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264" w:rsidRDefault="000F1264" w:rsidP="000F126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1" name="Rectángulo 1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5225E0" id="Rectángulo 1" o:spid="_x0000_s1026" style="position:absolute;margin-left:0;margin-top:0;width:50pt;height:50pt;z-index:2516592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" filled="f" stroked="f">
                <o:lock v:ext="edit" aspectratio="t" selection="t"/>
              </v:rect>
            </w:pict>
          </mc:Fallback>
        </mc:AlternateContent>
      </w:r>
    </w:p>
    <w:p w:rsidR="000F1264" w:rsidRDefault="000F1264" w:rsidP="000F1264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0F1264" w:rsidRDefault="000F1264" w:rsidP="000F1264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Murcie</w:t>
      </w: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rozloha: 11</w:t>
      </w:r>
      <w:r>
        <w:rPr>
          <w:rFonts w:ascii="Arial" w:eastAsia="Arial" w:hAnsi="Arial" w:cs="Arial"/>
          <w:color w:val="000000"/>
          <w:sz w:val="20"/>
          <w:szCs w:val="20"/>
        </w:rPr>
        <w:t>.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>314 km</w:t>
      </w:r>
      <w:r w:rsidRPr="00136A2E">
        <w:rPr>
          <w:rFonts w:ascii="Arial" w:eastAsia="Arial" w:hAnsi="Arial" w:cs="Arial"/>
          <w:color w:val="000000"/>
          <w:sz w:val="20"/>
          <w:szCs w:val="20"/>
          <w:vertAlign w:val="superscript"/>
        </w:rPr>
        <w:t>2</w:t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počet obyvatel: </w:t>
      </w:r>
      <w:r w:rsidRPr="00E71DA9">
        <w:rPr>
          <w:rFonts w:ascii="Arial" w:eastAsia="Arial" w:hAnsi="Arial" w:cs="Arial"/>
          <w:color w:val="000000"/>
          <w:sz w:val="20"/>
          <w:szCs w:val="20"/>
        </w:rPr>
        <w:t>1,5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 mil.</w:t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statut autonomní oblasti</w:t>
      </w: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-2" w:firstLineChars="0" w:firstLine="0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průmysl – textilní, kožedělné výrobky, chemické produkty, potravinářství</w:t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zemědělství – ovoce, zelenina, luštěniny</w:t>
      </w:r>
      <w:r w:rsidRPr="00136A2E">
        <w:rPr>
          <w:rFonts w:ascii="Arial" w:eastAsia="Arial" w:hAnsi="Arial" w:cs="Arial"/>
          <w:color w:val="000000"/>
          <w:sz w:val="20"/>
          <w:szCs w:val="20"/>
        </w:rPr>
        <w:br/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HDP 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>meziroční změna</w:t>
      </w:r>
      <w:r>
        <w:rPr>
          <w:rFonts w:ascii="Arial" w:eastAsia="Arial" w:hAnsi="Arial" w:cs="Arial"/>
          <w:color w:val="000000"/>
          <w:sz w:val="20"/>
          <w:szCs w:val="20"/>
        </w:rPr>
        <w:t>: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 +</w:t>
      </w:r>
      <w:r>
        <w:rPr>
          <w:rFonts w:ascii="Arial" w:eastAsia="Arial" w:hAnsi="Arial" w:cs="Arial"/>
          <w:color w:val="000000"/>
          <w:sz w:val="20"/>
          <w:szCs w:val="20"/>
        </w:rPr>
        <w:t>5,2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 %</w:t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HDP na obyvatele: </w:t>
      </w:r>
      <w:r>
        <w:rPr>
          <w:rFonts w:ascii="Arial" w:eastAsia="Arial" w:hAnsi="Arial" w:cs="Arial"/>
          <w:color w:val="000000"/>
          <w:sz w:val="20"/>
          <w:szCs w:val="20"/>
        </w:rPr>
        <w:t>19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 8</w:t>
      </w:r>
      <w:r>
        <w:rPr>
          <w:rFonts w:ascii="Arial" w:eastAsia="Arial" w:hAnsi="Arial" w:cs="Arial"/>
          <w:color w:val="000000"/>
          <w:sz w:val="20"/>
          <w:szCs w:val="20"/>
        </w:rPr>
        <w:t>38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 eur (</w:t>
      </w:r>
      <w:r w:rsidRPr="007379C9">
        <w:rPr>
          <w:rFonts w:ascii="Arial" w:eastAsia="Arial" w:hAnsi="Arial" w:cs="Arial"/>
          <w:color w:val="000000"/>
          <w:sz w:val="20"/>
          <w:szCs w:val="20"/>
        </w:rPr>
        <w:t>20</w:t>
      </w:r>
      <w:r>
        <w:rPr>
          <w:rFonts w:ascii="Arial" w:eastAsia="Arial" w:hAnsi="Arial" w:cs="Arial"/>
          <w:color w:val="000000"/>
          <w:sz w:val="20"/>
          <w:szCs w:val="20"/>
        </w:rPr>
        <w:t>20</w:t>
      </w:r>
      <w:r w:rsidRPr="00136A2E">
        <w:rPr>
          <w:rFonts w:ascii="Arial" w:eastAsia="Arial" w:hAnsi="Arial" w:cs="Arial"/>
          <w:color w:val="000000"/>
          <w:sz w:val="20"/>
          <w:szCs w:val="20"/>
        </w:rPr>
        <w:t>)</w:t>
      </w:r>
      <w:r w:rsidRPr="00136A2E">
        <w:rPr>
          <w:rFonts w:ascii="Arial" w:eastAsia="Arial" w:hAnsi="Arial" w:cs="Arial"/>
          <w:color w:val="000000"/>
          <w:sz w:val="20"/>
          <w:szCs w:val="20"/>
        </w:rPr>
        <w:br/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vývoz – Francie, SRN, UK, Nizozemsko, Itálie</w:t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paliva a maziva, zelenina a ovoce (čerstvá a konzervovaná), chemické výrobky </w:t>
      </w:r>
      <w:r w:rsidRPr="00136A2E">
        <w:rPr>
          <w:rFonts w:ascii="Arial" w:eastAsia="Arial" w:hAnsi="Arial" w:cs="Arial"/>
          <w:color w:val="000000"/>
          <w:sz w:val="20"/>
          <w:szCs w:val="20"/>
        </w:rPr>
        <w:br/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 xml:space="preserve">dovoz – Saúdská Arábie, Libye – ropa; Mexiko, Brazílie, Čína </w:t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ropa, luštěniny, chemické výrobky, rostlinné oleje, obilniny</w:t>
      </w: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-2" w:right="565" w:firstLineChars="0" w:firstLine="0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nejvýznamnější zahraniční investoři v Murcii – Lucembursko, Švýcarsko, Francie, SRN, Nizozemsko</w:t>
      </w:r>
    </w:p>
    <w:p w:rsidR="000F1264" w:rsidRPr="00136A2E" w:rsidRDefault="000F1264" w:rsidP="000F1264">
      <w:pPr>
        <w:pStyle w:val="Odstavecseseznamem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right="565" w:firstLineChars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136A2E">
        <w:rPr>
          <w:rFonts w:ascii="Arial" w:eastAsia="Arial" w:hAnsi="Arial" w:cs="Arial"/>
          <w:color w:val="000000"/>
          <w:sz w:val="20"/>
          <w:szCs w:val="20"/>
        </w:rPr>
        <w:t>IT, zpracovatelský průmysl, potravinářský sektor, chemický a farmaceutický průmysl</w:t>
      </w: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457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tbl>
      <w:tblPr>
        <w:tblW w:w="8719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74"/>
        <w:gridCol w:w="1349"/>
        <w:gridCol w:w="1349"/>
        <w:gridCol w:w="1349"/>
        <w:gridCol w:w="1349"/>
        <w:gridCol w:w="1349"/>
      </w:tblGrid>
      <w:tr w:rsidR="000F1264" w:rsidTr="003F5B7E">
        <w:trPr>
          <w:trHeight w:val="315"/>
          <w:jc w:val="center"/>
        </w:trPr>
        <w:tc>
          <w:tcPr>
            <w:tcW w:w="8719" w:type="dxa"/>
            <w:gridSpan w:val="6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Zahraniční obchod</w:t>
            </w: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(v mil. EUR)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Celkem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349" w:type="dxa"/>
          </w:tcPr>
          <w:p w:rsidR="000F1264" w:rsidRPr="00FE20FE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349" w:type="dxa"/>
          </w:tcPr>
          <w:p w:rsidR="000F1264" w:rsidRPr="00FE20FE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2021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Vývoz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10 538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10 7</w:t>
            </w:r>
            <w:r w:rsidRPr="002E4CDB">
              <w:rPr>
                <w:rFonts w:ascii="Arial" w:eastAsia="Arial" w:hAnsi="Arial" w:cs="Arial"/>
                <w:sz w:val="20"/>
                <w:szCs w:val="20"/>
              </w:rPr>
              <w:t>83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10 561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9 952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12 152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Dovoz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9 637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10 </w:t>
            </w:r>
            <w:r w:rsidRPr="002E4CDB">
              <w:rPr>
                <w:rFonts w:ascii="Arial" w:eastAsia="Arial" w:hAnsi="Arial" w:cs="Arial"/>
                <w:sz w:val="20"/>
                <w:szCs w:val="20"/>
              </w:rPr>
              <w:t>790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11 054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8 135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10 906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Obrat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20 125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21 5</w:t>
            </w:r>
            <w:r w:rsidRPr="002E4CDB">
              <w:rPr>
                <w:rFonts w:ascii="Arial" w:eastAsia="Arial" w:hAnsi="Arial" w:cs="Arial"/>
                <w:sz w:val="20"/>
                <w:szCs w:val="20"/>
              </w:rPr>
              <w:t>73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21 615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18 087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23 058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Saldo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901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-</w:t>
            </w:r>
            <w:r w:rsidRPr="002E4CDB">
              <w:rPr>
                <w:rFonts w:ascii="Arial" w:eastAsia="Arial" w:hAnsi="Arial" w:cs="Arial"/>
                <w:sz w:val="20"/>
                <w:szCs w:val="20"/>
              </w:rPr>
              <w:t>8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-493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1 817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1 246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8719" w:type="dxa"/>
            <w:gridSpan w:val="6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 ČR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349" w:type="dxa"/>
          </w:tcPr>
          <w:p w:rsidR="000F1264" w:rsidRPr="00FE20FE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 w:rsidRPr="00FE20FE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349" w:type="dxa"/>
          </w:tcPr>
          <w:p w:rsidR="000F1264" w:rsidRPr="00FE20FE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2021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Vývoz do ČR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70,67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74,38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75,41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79,16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103,15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Dovoz z ČR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15,42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8,46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8,11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8,77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15,83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Obrat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86,09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82,84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83,52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87,93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118,98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1974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Saldo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55,25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color w:val="000000"/>
                <w:sz w:val="20"/>
                <w:szCs w:val="20"/>
              </w:rPr>
              <w:t>65,92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sz w:val="20"/>
                <w:szCs w:val="20"/>
              </w:rPr>
              <w:t>67,3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70,39</w:t>
            </w:r>
          </w:p>
        </w:tc>
        <w:tc>
          <w:tcPr>
            <w:tcW w:w="1349" w:type="dxa"/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87,32</w:t>
            </w:r>
          </w:p>
        </w:tc>
      </w:tr>
      <w:tr w:rsidR="000F1264" w:rsidTr="003F5B7E">
        <w:trPr>
          <w:trHeight w:val="315"/>
          <w:jc w:val="center"/>
        </w:trPr>
        <w:tc>
          <w:tcPr>
            <w:tcW w:w="8719" w:type="dxa"/>
            <w:gridSpan w:val="6"/>
          </w:tcPr>
          <w:p w:rsidR="000F1264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 xml:space="preserve">Zdroj: ICEX Estacom </w:t>
            </w:r>
          </w:p>
        </w:tc>
      </w:tr>
    </w:tbl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D17CC2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  <w:r>
        <w:lastRenderedPageBreak/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3.35pt;margin-top:3.35pt;width:450pt;height:315pt;z-index:251660288" stroked="t" strokecolor="#f93" strokeweight="2pt">
            <v:imagedata r:id="rId6" o:title=""/>
            <w10:wrap type="topAndBottom"/>
          </v:shape>
          <o:OLEObject Type="Embed" ProgID="MSGraph.Chart.8" ShapeID="_x0000_s1027" DrawAspect="Content" ObjectID="_1723290434" r:id="rId7">
            <o:FieldCodes>\s</o:FieldCodes>
          </o:OLEObject>
        </w:object>
      </w: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16"/>
          <w:szCs w:val="16"/>
        </w:rPr>
      </w:pPr>
    </w:p>
    <w:tbl>
      <w:tblPr>
        <w:tblW w:w="9082" w:type="dxa"/>
        <w:tblInd w:w="60" w:type="dxa"/>
        <w:tblLayout w:type="fixed"/>
        <w:tblLook w:val="0000" w:firstRow="0" w:lastRow="0" w:firstColumn="0" w:lastColumn="0" w:noHBand="0" w:noVBand="0"/>
      </w:tblPr>
      <w:tblGrid>
        <w:gridCol w:w="6270"/>
        <w:gridCol w:w="1406"/>
        <w:gridCol w:w="1406"/>
      </w:tblGrid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Hlavní položky dovozu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do </w:t>
            </w: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ČR z Murcie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mil. EUR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% v 20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21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Polykarbonáty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13,80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13,38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Citrony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11,45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11,10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Hlávkový salát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7,31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7,09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Vepřové výrobky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4,64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4,5</w:t>
            </w:r>
          </w:p>
        </w:tc>
      </w:tr>
      <w:tr w:rsidR="000F1264" w:rsidTr="003F5B7E">
        <w:trPr>
          <w:trHeight w:val="300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Farmaceutika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4,39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4,25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Vepřové maso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4,03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3,91</w:t>
            </w:r>
          </w:p>
        </w:tc>
      </w:tr>
      <w:tr w:rsidR="000F1264" w:rsidTr="003F5B7E">
        <w:trPr>
          <w:trHeight w:val="315"/>
        </w:trPr>
        <w:tc>
          <w:tcPr>
            <w:tcW w:w="9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FF0000"/>
                <w:sz w:val="20"/>
                <w:szCs w:val="20"/>
              </w:rPr>
            </w:pP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Hlavní položky vývozu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z </w:t>
            </w: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ČR do Murcie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mil. EUR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2E4CD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% v 20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21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Polyethylen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3,37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21,29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Papír a karton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1,66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10,49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Polykarbonáty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1,13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7,14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Mechanické lopaty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1,13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7,14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Papír a karton (nebělený)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0,73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4,61</w:t>
            </w:r>
          </w:p>
        </w:tc>
      </w:tr>
      <w:tr w:rsidR="000F1264" w:rsidTr="003F5B7E">
        <w:trPr>
          <w:trHeight w:val="315"/>
        </w:trPr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Plastové výrobky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0,62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64" w:rsidRPr="002E4CDB" w:rsidRDefault="000F1264" w:rsidP="003F5B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3,92</w:t>
            </w:r>
          </w:p>
        </w:tc>
      </w:tr>
    </w:tbl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Zdroj: ICEX Estacom</w:t>
      </w: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4F5B40C8" wp14:editId="7AD12347">
            <wp:simplePos x="0" y="0"/>
            <wp:positionH relativeFrom="column">
              <wp:posOffset>176530</wp:posOffset>
            </wp:positionH>
            <wp:positionV relativeFrom="paragraph">
              <wp:posOffset>24130</wp:posOffset>
            </wp:positionV>
            <wp:extent cx="5825490" cy="4178935"/>
            <wp:effectExtent l="0" t="0" r="3810" b="12065"/>
            <wp:wrapTopAndBottom/>
            <wp:docPr id="5" name="Graf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1264" w:rsidRPr="001E54CD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44346D7" wp14:editId="64017D3F">
            <wp:simplePos x="0" y="0"/>
            <wp:positionH relativeFrom="margin">
              <wp:posOffset>186055</wp:posOffset>
            </wp:positionH>
            <wp:positionV relativeFrom="paragraph">
              <wp:posOffset>215265</wp:posOffset>
            </wp:positionV>
            <wp:extent cx="5815965" cy="4178935"/>
            <wp:effectExtent l="0" t="0" r="13335" b="12065"/>
            <wp:wrapTopAndBottom/>
            <wp:docPr id="6" name="Graf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  <w:bookmarkStart w:id="0" w:name="_GoBack"/>
      <w:bookmarkEnd w:id="0"/>
    </w:p>
    <w:p w:rsidR="000F1264" w:rsidRDefault="000F1264" w:rsidP="000F12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  <w:u w:val="single"/>
        </w:rPr>
      </w:pPr>
    </w:p>
    <w:p w:rsidR="000F1264" w:rsidRDefault="000F1264" w:rsidP="000F1264">
      <w:pPr>
        <w:ind w:leftChars="0" w:left="2" w:hanging="2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Podíl autonomních oblastí na zahraničním obchodu Španělska s ČR</w:t>
      </w:r>
    </w:p>
    <w:p w:rsidR="000F1264" w:rsidRDefault="000F1264" w:rsidP="000F1264">
      <w:pPr>
        <w:ind w:leftChars="0" w:left="2" w:hanging="2"/>
        <w:jc w:val="center"/>
      </w:pPr>
      <w:r>
        <w:rPr>
          <w:rFonts w:ascii="Arial" w:hAnsi="Arial" w:cs="Arial"/>
          <w:b/>
          <w:sz w:val="20"/>
          <w:szCs w:val="20"/>
        </w:rPr>
        <w:t>(obrat)</w:t>
      </w:r>
    </w:p>
    <w:p w:rsidR="000F1264" w:rsidRDefault="000F1264" w:rsidP="000F1264">
      <w:pPr>
        <w:ind w:leftChars="0" w:left="2" w:hanging="2"/>
      </w:pPr>
    </w:p>
    <w:p w:rsidR="000F1264" w:rsidRDefault="000F1264" w:rsidP="000F1264">
      <w:pPr>
        <w:ind w:leftChars="0" w:left="2" w:hanging="2"/>
      </w:pPr>
    </w:p>
    <w:p w:rsidR="000F1264" w:rsidRDefault="000F1264" w:rsidP="000F1264">
      <w:pPr>
        <w:ind w:leftChars="0" w:left="2" w:hanging="2"/>
      </w:pPr>
    </w:p>
    <w:p w:rsidR="000F1264" w:rsidRPr="00DF3A32" w:rsidRDefault="000F1264" w:rsidP="000F1264">
      <w:pPr>
        <w:ind w:leftChars="0" w:left="2" w:hanging="2"/>
      </w:pPr>
      <w:r>
        <w:rPr>
          <w:noProof/>
        </w:rPr>
        <w:drawing>
          <wp:inline distT="0" distB="0" distL="0" distR="0" wp14:anchorId="282EBD3E" wp14:editId="241EC7D2">
            <wp:extent cx="6324600" cy="7562850"/>
            <wp:effectExtent l="0" t="0" r="0" b="0"/>
            <wp:docPr id="3" name="Gráfico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F4255" w:rsidRDefault="001F4255">
      <w:pPr>
        <w:ind w:left="0" w:hanging="2"/>
      </w:pPr>
    </w:p>
    <w:sectPr w:rsidR="001F4255">
      <w:pgSz w:w="11906" w:h="16838"/>
      <w:pgMar w:top="1417" w:right="1417" w:bottom="1417" w:left="1417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E155E9"/>
    <w:multiLevelType w:val="hybridMultilevel"/>
    <w:tmpl w:val="1F36A002"/>
    <w:lvl w:ilvl="0" w:tplc="0405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264"/>
    <w:rsid w:val="000F1264"/>
    <w:rsid w:val="001F4255"/>
    <w:rsid w:val="00D17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C38E0CF9-3021-49AB-B44C-256B67905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0F1264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rsid w:val="000F1264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List_aplikace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List_aplikace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List_aplikace_Microsoft_Excel2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cs-CZ"/>
              <a:t>Dovoz do ČR z Murcie </a:t>
            </a:r>
          </a:p>
        </c:rich>
      </c:tx>
      <c:layout>
        <c:manualLayout>
          <c:xMode val="edge"/>
          <c:yMode val="edge"/>
          <c:x val="0.35170843997672296"/>
          <c:y val="1.398609932913529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cs-CZ"/>
        </a:p>
      </c:txPr>
    </c:title>
    <c:autoTitleDeleted val="0"/>
    <c:view3D>
      <c:rotX val="30"/>
      <c:rotY val="36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31323283082077052"/>
          <c:y val="0.351981351981352"/>
          <c:w val="0.41876046901172531"/>
          <c:h val="0.36363636363636365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1-80F0-4A8F-9CBC-3F1C13251DF5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3-80F0-4A8F-9CBC-3F1C13251DF5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5-80F0-4A8F-9CBC-3F1C13251DF5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4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4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7-80F0-4A8F-9CBC-3F1C13251DF5}"/>
              </c:ext>
            </c:extLst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9-80F0-4A8F-9CBC-3F1C13251DF5}"/>
              </c:ext>
            </c:extLst>
          </c:dPt>
          <c:dPt>
            <c:idx val="5"/>
            <c:bubble3D val="0"/>
            <c:spPr>
              <a:gradFill rotWithShape="1">
                <a:gsLst>
                  <a:gs pos="0">
                    <a:schemeClr val="accent6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B-80F0-4A8F-9CBC-3F1C13251DF5}"/>
              </c:ext>
            </c:extLst>
          </c:dPt>
          <c:dPt>
            <c:idx val="6"/>
            <c:bubble3D val="0"/>
            <c:spPr>
              <a:gradFill rotWithShape="1">
                <a:gsLst>
                  <a:gs pos="0">
                    <a:schemeClr val="accent1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D-80F0-4A8F-9CBC-3F1C13251DF5}"/>
              </c:ext>
            </c:extLst>
          </c:dPt>
          <c:dPt>
            <c:idx val="7"/>
            <c:bubble3D val="0"/>
            <c:spPr>
              <a:gradFill rotWithShape="1">
                <a:gsLst>
                  <a:gs pos="0">
                    <a:schemeClr val="accent2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0-80F0-4A8F-9CBC-3F1C13251DF5}"/>
              </c:ext>
            </c:extLst>
          </c:dPt>
          <c:dPt>
            <c:idx val="8"/>
            <c:bubble3D val="0"/>
            <c:spPr>
              <a:gradFill rotWithShape="1">
                <a:gsLst>
                  <a:gs pos="0">
                    <a:schemeClr val="accent3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F-80F0-4A8F-9CBC-3F1C13251DF5}"/>
              </c:ext>
            </c:extLst>
          </c:dPt>
          <c:dLbls>
            <c:dLbl>
              <c:idx val="0"/>
              <c:layout>
                <c:manualLayout>
                  <c:x val="6.2920206215692498E-2"/>
                  <c:y val="-7.4321155363574087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80F0-4A8F-9CBC-3F1C13251DF5}"/>
                </c:ext>
              </c:extLst>
            </c:dLbl>
            <c:dLbl>
              <c:idx val="1"/>
              <c:layout>
                <c:manualLayout>
                  <c:x val="7.0757309685537187E-2"/>
                  <c:y val="-5.9662090939437973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80F0-4A8F-9CBC-3F1C13251DF5}"/>
                </c:ext>
              </c:extLst>
            </c:dLbl>
            <c:dLbl>
              <c:idx val="2"/>
              <c:layout>
                <c:manualLayout>
                  <c:x val="4.664174172473029E-2"/>
                  <c:y val="-9.0964563937941126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80F0-4A8F-9CBC-3F1C13251DF5}"/>
                </c:ext>
              </c:extLst>
            </c:dLbl>
            <c:dLbl>
              <c:idx val="3"/>
              <c:layout>
                <c:manualLayout>
                  <c:x val="3.8235753558927929E-2"/>
                  <c:y val="-6.6617451575580857E-3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80F0-4A8F-9CBC-3F1C13251DF5}"/>
                </c:ext>
              </c:extLst>
            </c:dLbl>
            <c:dLbl>
              <c:idx val="4"/>
              <c:layout>
                <c:manualLayout>
                  <c:x val="3.738449469486687E-2"/>
                  <c:y val="6.515463868186501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80F0-4A8F-9CBC-3F1C13251DF5}"/>
                </c:ext>
              </c:extLst>
            </c:dLbl>
            <c:dLbl>
              <c:idx val="5"/>
              <c:layout>
                <c:manualLayout>
                  <c:x val="-5.9977443957503922E-2"/>
                  <c:y val="0.1076255074558469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80F0-4A8F-9CBC-3F1C13251DF5}"/>
                </c:ext>
              </c:extLst>
            </c:dLbl>
            <c:dLbl>
              <c:idx val="6"/>
              <c:layout>
                <c:manualLayout>
                  <c:x val="-7.2184657427958876E-2"/>
                  <c:y val="-3.0860015769568139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80F0-4A8F-9CBC-3F1C13251DF5}"/>
                </c:ext>
              </c:extLst>
            </c:dLbl>
            <c:dLbl>
              <c:idx val="7"/>
              <c:layout>
                <c:manualLayout>
                  <c:xMode val="edge"/>
                  <c:yMode val="edge"/>
                  <c:x val="0.5510887772194305"/>
                  <c:y val="0.19347319347319347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80F0-4A8F-9CBC-3F1C13251DF5}"/>
                </c:ext>
              </c:extLst>
            </c:dLbl>
            <c:dLbl>
              <c:idx val="8"/>
              <c:layout>
                <c:manualLayout>
                  <c:xMode val="edge"/>
                  <c:yMode val="edge"/>
                  <c:x val="0.51926298157453932"/>
                  <c:y val="0.18648018648018649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80F0-4A8F-9CBC-3F1C13251DF5}"/>
                </c:ext>
              </c:extLst>
            </c:dLbl>
            <c:dLbl>
              <c:idx val="9"/>
              <c:layout>
                <c:manualLayout>
                  <c:xMode val="edge"/>
                  <c:yMode val="edge"/>
                  <c:x val="0.54606365159128978"/>
                  <c:y val="0.14219114219114218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80F0-4A8F-9CBC-3F1C13251DF5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cs-CZ"/>
              </a:p>
            </c:txPr>
            <c:dLblPos val="bestFit"/>
            <c:showLegendKey val="1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Sheet1!$B$1:$H$1</c:f>
              <c:strCache>
                <c:ptCount val="7"/>
                <c:pt idx="0">
                  <c:v>Polykarbonáty</c:v>
                </c:pt>
                <c:pt idx="1">
                  <c:v>Citrony</c:v>
                </c:pt>
                <c:pt idx="2">
                  <c:v>Hlávkový salát</c:v>
                </c:pt>
                <c:pt idx="3">
                  <c:v>Vepřové výrobky</c:v>
                </c:pt>
                <c:pt idx="4">
                  <c:v>Farmaceutika</c:v>
                </c:pt>
                <c:pt idx="5">
                  <c:v>Vepřové maso</c:v>
                </c:pt>
                <c:pt idx="6">
                  <c:v>Další</c:v>
                </c:pt>
              </c:strCache>
            </c:strRef>
          </c:cat>
          <c:val>
            <c:numRef>
              <c:f>Sheet1!$B$2:$H$2</c:f>
              <c:numCache>
                <c:formatCode>General</c:formatCode>
                <c:ptCount val="7"/>
                <c:pt idx="0">
                  <c:v>13</c:v>
                </c:pt>
                <c:pt idx="1">
                  <c:v>11</c:v>
                </c:pt>
                <c:pt idx="2">
                  <c:v>7</c:v>
                </c:pt>
                <c:pt idx="3">
                  <c:v>4</c:v>
                </c:pt>
                <c:pt idx="4">
                  <c:v>4</c:v>
                </c:pt>
                <c:pt idx="5">
                  <c:v>4</c:v>
                </c:pt>
                <c:pt idx="6">
                  <c:v>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9-80F0-4A8F-9CBC-3F1C13251DF5}"/>
            </c:ext>
          </c:extLst>
        </c:ser>
        <c:ser>
          <c:idx val="1"/>
          <c:order val="1"/>
          <c:tx>
            <c:strRef>
              <c:f>Sheet1!$A$4</c:f>
              <c:strCache>
                <c:ptCount val="1"/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B-80F0-4A8F-9CBC-3F1C13251DF5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C-80F0-4A8F-9CBC-3F1C13251DF5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E-80F0-4A8F-9CBC-3F1C13251DF5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4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4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0-80F0-4A8F-9CBC-3F1C13251DF5}"/>
              </c:ext>
            </c:extLst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2-80F0-4A8F-9CBC-3F1C13251DF5}"/>
              </c:ext>
            </c:extLst>
          </c:dPt>
          <c:dPt>
            <c:idx val="5"/>
            <c:bubble3D val="0"/>
            <c:spPr>
              <a:gradFill rotWithShape="1">
                <a:gsLst>
                  <a:gs pos="0">
                    <a:schemeClr val="accent6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4-80F0-4A8F-9CBC-3F1C13251DF5}"/>
              </c:ext>
            </c:extLst>
          </c:dPt>
          <c:dPt>
            <c:idx val="6"/>
            <c:bubble3D val="0"/>
            <c:spPr>
              <a:gradFill rotWithShape="1">
                <a:gsLst>
                  <a:gs pos="0">
                    <a:schemeClr val="accent1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6-80F0-4A8F-9CBC-3F1C13251DF5}"/>
              </c:ext>
            </c:extLst>
          </c:dPt>
          <c:dLbls>
            <c:numFmt formatCode="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cs-CZ"/>
              </a:p>
            </c:txPr>
            <c:showLegendKey val="1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Sheet1!$B$1:$H$1</c:f>
              <c:strCache>
                <c:ptCount val="7"/>
                <c:pt idx="0">
                  <c:v>Polykarbonáty</c:v>
                </c:pt>
                <c:pt idx="1">
                  <c:v>Citrony</c:v>
                </c:pt>
                <c:pt idx="2">
                  <c:v>Hlávkový salát</c:v>
                </c:pt>
                <c:pt idx="3">
                  <c:v>Vepřové výrobky</c:v>
                </c:pt>
                <c:pt idx="4">
                  <c:v>Farmaceutika</c:v>
                </c:pt>
                <c:pt idx="5">
                  <c:v>Vepřové maso</c:v>
                </c:pt>
                <c:pt idx="6">
                  <c:v>Další</c:v>
                </c:pt>
              </c:strCache>
            </c:strRef>
          </c:cat>
          <c:val>
            <c:numRef>
              <c:f>Sheet1!$B$4:$H$4</c:f>
              <c:numCache>
                <c:formatCode>General</c:formatCode>
                <c:ptCount val="7"/>
              </c:numCache>
            </c:numRef>
          </c:val>
          <c:extLst>
            <c:ext xmlns:c16="http://schemas.microsoft.com/office/drawing/2014/chart" uri="{C3380CC4-5D6E-409C-BE32-E72D297353CC}">
              <c16:uniqueId val="{00000027-80F0-4A8F-9CBC-3F1C13251DF5}"/>
            </c:ext>
          </c:extLst>
        </c:ser>
        <c:dLbls>
          <c:showLegendKey val="1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cs-CZ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cs-CZ"/>
              <a:t>Vývoz z ČR do Murcie</a:t>
            </a:r>
          </a:p>
        </c:rich>
      </c:tx>
      <c:layout>
        <c:manualLayout>
          <c:xMode val="edge"/>
          <c:yMode val="edge"/>
          <c:x val="0.37347336168632378"/>
          <c:y val="2.310325477663567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cs-CZ"/>
        </a:p>
      </c:txPr>
    </c:title>
    <c:autoTitleDeleted val="0"/>
    <c:view3D>
      <c:rotX val="30"/>
      <c:rotY val="36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31323283082077052"/>
          <c:y val="0.34965034965034963"/>
          <c:w val="0.41876046901172531"/>
          <c:h val="0.36363636363636365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1-01BB-4DAA-9764-7E9006A9EAEE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3-01BB-4DAA-9764-7E9006A9EAEE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5-01BB-4DAA-9764-7E9006A9EAEE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4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4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7-01BB-4DAA-9764-7E9006A9EAEE}"/>
              </c:ext>
            </c:extLst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9-01BB-4DAA-9764-7E9006A9EAEE}"/>
              </c:ext>
            </c:extLst>
          </c:dPt>
          <c:dPt>
            <c:idx val="5"/>
            <c:bubble3D val="0"/>
            <c:spPr>
              <a:gradFill rotWithShape="1">
                <a:gsLst>
                  <a:gs pos="0">
                    <a:schemeClr val="accent6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B-01BB-4DAA-9764-7E9006A9EAEE}"/>
              </c:ext>
            </c:extLst>
          </c:dPt>
          <c:dPt>
            <c:idx val="6"/>
            <c:bubble3D val="0"/>
            <c:spPr>
              <a:gradFill rotWithShape="1">
                <a:gsLst>
                  <a:gs pos="0">
                    <a:schemeClr val="accent1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D-01BB-4DAA-9764-7E9006A9EAEE}"/>
              </c:ext>
            </c:extLst>
          </c:dPt>
          <c:dPt>
            <c:idx val="7"/>
            <c:bubble3D val="0"/>
            <c:spPr>
              <a:gradFill rotWithShape="1">
                <a:gsLst>
                  <a:gs pos="0">
                    <a:schemeClr val="accent2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0-01BB-4DAA-9764-7E9006A9EAEE}"/>
              </c:ext>
            </c:extLst>
          </c:dPt>
          <c:dPt>
            <c:idx val="8"/>
            <c:bubble3D val="0"/>
            <c:spPr>
              <a:gradFill rotWithShape="1">
                <a:gsLst>
                  <a:gs pos="0">
                    <a:schemeClr val="accent3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F-01BB-4DAA-9764-7E9006A9EAEE}"/>
              </c:ext>
            </c:extLst>
          </c:dPt>
          <c:dLbls>
            <c:dLbl>
              <c:idx val="0"/>
              <c:layout>
                <c:manualLayout>
                  <c:x val="6.2927824094507034E-2"/>
                  <c:y val="-6.4846663246973357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01BB-4DAA-9764-7E9006A9EAEE}"/>
                </c:ext>
              </c:extLst>
            </c:dLbl>
            <c:dLbl>
              <c:idx val="1"/>
              <c:layout>
                <c:manualLayout>
                  <c:x val="5.5361817129274904E-2"/>
                  <c:y val="-4.5208634828478145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01BB-4DAA-9764-7E9006A9EAEE}"/>
                </c:ext>
              </c:extLst>
            </c:dLbl>
            <c:dLbl>
              <c:idx val="2"/>
              <c:layout>
                <c:manualLayout>
                  <c:x val="8.8686758967718049E-2"/>
                  <c:y val="5.0646094980596468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01BB-4DAA-9764-7E9006A9EAEE}"/>
                </c:ext>
              </c:extLst>
            </c:dLbl>
            <c:dLbl>
              <c:idx val="3"/>
              <c:layout>
                <c:manualLayout>
                  <c:x val="5.826956729991728E-2"/>
                  <c:y val="8.8323569731631912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01BB-4DAA-9764-7E9006A9EAEE}"/>
                </c:ext>
              </c:extLst>
            </c:dLbl>
            <c:dLbl>
              <c:idx val="4"/>
              <c:layout>
                <c:manualLayout>
                  <c:x val="-2.716568373721634E-2"/>
                  <c:y val="9.7332854262789703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01BB-4DAA-9764-7E9006A9EAEE}"/>
                </c:ext>
              </c:extLst>
            </c:dLbl>
            <c:dLbl>
              <c:idx val="5"/>
              <c:layout>
                <c:manualLayout>
                  <c:x val="-0.11607492494739072"/>
                  <c:y val="6.2209422464607145E-2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01BB-4DAA-9764-7E9006A9EAEE}"/>
                </c:ext>
              </c:extLst>
            </c:dLbl>
            <c:dLbl>
              <c:idx val="6"/>
              <c:layout>
                <c:manualLayout>
                  <c:x val="-1.631798433379178E-2"/>
                  <c:y val="-0.11456584993383245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01BB-4DAA-9764-7E9006A9EAEE}"/>
                </c:ext>
              </c:extLst>
            </c:dLbl>
            <c:dLbl>
              <c:idx val="7"/>
              <c:layout>
                <c:manualLayout>
                  <c:xMode val="edge"/>
                  <c:yMode val="edge"/>
                  <c:x val="0.5510887772194305"/>
                  <c:y val="0.19347319347319347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01BB-4DAA-9764-7E9006A9EAEE}"/>
                </c:ext>
              </c:extLst>
            </c:dLbl>
            <c:dLbl>
              <c:idx val="8"/>
              <c:layout>
                <c:manualLayout>
                  <c:xMode val="edge"/>
                  <c:yMode val="edge"/>
                  <c:x val="0.51926298157453932"/>
                  <c:y val="0.18648018648018649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01BB-4DAA-9764-7E9006A9EAEE}"/>
                </c:ext>
              </c:extLst>
            </c:dLbl>
            <c:dLbl>
              <c:idx val="9"/>
              <c:layout>
                <c:manualLayout>
                  <c:xMode val="edge"/>
                  <c:yMode val="edge"/>
                  <c:x val="0.54606365159128978"/>
                  <c:y val="0.14219114219114218"/>
                </c:manualLayout>
              </c:layout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01BB-4DAA-9764-7E9006A9EAEE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cs-CZ"/>
              </a:p>
            </c:txPr>
            <c:dLblPos val="bestFit"/>
            <c:showLegendKey val="1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Sheet1!$B$1:$H$1</c:f>
              <c:strCache>
                <c:ptCount val="7"/>
                <c:pt idx="0">
                  <c:v>Polyethylen</c:v>
                </c:pt>
                <c:pt idx="1">
                  <c:v>Papír a karton</c:v>
                </c:pt>
                <c:pt idx="2">
                  <c:v>Polykarbonáty</c:v>
                </c:pt>
                <c:pt idx="3">
                  <c:v>Mechanické lopaty</c:v>
                </c:pt>
                <c:pt idx="4">
                  <c:v>Papír a karton (nebělený)</c:v>
                </c:pt>
                <c:pt idx="5">
                  <c:v>Plastové výrobky</c:v>
                </c:pt>
                <c:pt idx="6">
                  <c:v>Další</c:v>
                </c:pt>
              </c:strCache>
            </c:strRef>
          </c:cat>
          <c:val>
            <c:numRef>
              <c:f>Sheet1!$B$2:$H$2</c:f>
              <c:numCache>
                <c:formatCode>General</c:formatCode>
                <c:ptCount val="7"/>
                <c:pt idx="0">
                  <c:v>21</c:v>
                </c:pt>
                <c:pt idx="1">
                  <c:v>10</c:v>
                </c:pt>
                <c:pt idx="2">
                  <c:v>7</c:v>
                </c:pt>
                <c:pt idx="3">
                  <c:v>7</c:v>
                </c:pt>
                <c:pt idx="4">
                  <c:v>5</c:v>
                </c:pt>
                <c:pt idx="5">
                  <c:v>4</c:v>
                </c:pt>
                <c:pt idx="6">
                  <c:v>46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9-01BB-4DAA-9764-7E9006A9EAEE}"/>
            </c:ext>
          </c:extLst>
        </c:ser>
        <c:ser>
          <c:idx val="1"/>
          <c:order val="1"/>
          <c:tx>
            <c:strRef>
              <c:f>Sheet1!$A$4</c:f>
              <c:strCache>
                <c:ptCount val="1"/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B-01BB-4DAA-9764-7E9006A9EAEE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C-01BB-4DAA-9764-7E9006A9EAEE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E-01BB-4DAA-9764-7E9006A9EAEE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4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4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0-01BB-4DAA-9764-7E9006A9EAEE}"/>
              </c:ext>
            </c:extLst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2-01BB-4DAA-9764-7E9006A9EAEE}"/>
              </c:ext>
            </c:extLst>
          </c:dPt>
          <c:dPt>
            <c:idx val="5"/>
            <c:bubble3D val="0"/>
            <c:spPr>
              <a:gradFill rotWithShape="1">
                <a:gsLst>
                  <a:gs pos="0">
                    <a:schemeClr val="accent6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4-01BB-4DAA-9764-7E9006A9EAEE}"/>
              </c:ext>
            </c:extLst>
          </c:dPt>
          <c:dPt>
            <c:idx val="6"/>
            <c:bubble3D val="0"/>
            <c:spPr>
              <a:gradFill rotWithShape="1">
                <a:gsLst>
                  <a:gs pos="0">
                    <a:schemeClr val="accent1">
                      <a:lumMod val="60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lumMod val="60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60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26-01BB-4DAA-9764-7E9006A9EAEE}"/>
              </c:ext>
            </c:extLst>
          </c:dPt>
          <c:dLbls>
            <c:numFmt formatCode="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cs-CZ"/>
              </a:p>
            </c:txPr>
            <c:showLegendKey val="1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Sheet1!$B$1:$H$1</c:f>
              <c:strCache>
                <c:ptCount val="7"/>
                <c:pt idx="0">
                  <c:v>Polyethylen</c:v>
                </c:pt>
                <c:pt idx="1">
                  <c:v>Papír a karton</c:v>
                </c:pt>
                <c:pt idx="2">
                  <c:v>Polykarbonáty</c:v>
                </c:pt>
                <c:pt idx="3">
                  <c:v>Mechanické lopaty</c:v>
                </c:pt>
                <c:pt idx="4">
                  <c:v>Papír a karton (nebělený)</c:v>
                </c:pt>
                <c:pt idx="5">
                  <c:v>Plastové výrobky</c:v>
                </c:pt>
                <c:pt idx="6">
                  <c:v>Další</c:v>
                </c:pt>
              </c:strCache>
            </c:strRef>
          </c:cat>
          <c:val>
            <c:numRef>
              <c:f>Sheet1!$B$4:$H$4</c:f>
              <c:numCache>
                <c:formatCode>General</c:formatCode>
                <c:ptCount val="7"/>
              </c:numCache>
            </c:numRef>
          </c:val>
          <c:extLst>
            <c:ext xmlns:c16="http://schemas.microsoft.com/office/drawing/2014/chart" uri="{C3380CC4-5D6E-409C-BE32-E72D297353CC}">
              <c16:uniqueId val="{00000027-01BB-4DAA-9764-7E9006A9EAEE}"/>
            </c:ext>
          </c:extLst>
        </c:ser>
        <c:dLbls>
          <c:showLegendKey val="1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cs-CZ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Hoja1!$B$1</c:f>
              <c:strCache>
                <c:ptCount val="1"/>
                <c:pt idx="0">
                  <c:v>Columna1</c:v>
                </c:pt>
              </c:strCache>
            </c:strRef>
          </c:tx>
          <c:dPt>
            <c:idx val="0"/>
            <c:bubble3D val="0"/>
            <c:spPr>
              <a:solidFill>
                <a:schemeClr val="accent1">
                  <a:alpha val="90000"/>
                </a:schemeClr>
              </a:solidFill>
              <a:ln w="19047">
                <a:solidFill>
                  <a:schemeClr val="accent1">
                    <a:lumMod val="75000"/>
                  </a:schemeClr>
                </a:solidFill>
              </a:ln>
              <a:effectLst>
                <a:innerShdw blurRad="114300">
                  <a:schemeClr val="accent1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1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6EBC-4327-B0C3-3C75AD41F441}"/>
              </c:ext>
            </c:extLst>
          </c:dPt>
          <c:dPt>
            <c:idx val="1"/>
            <c:bubble3D val="0"/>
            <c:spPr>
              <a:solidFill>
                <a:schemeClr val="accent2">
                  <a:alpha val="90000"/>
                </a:schemeClr>
              </a:solidFill>
              <a:ln w="19047">
                <a:solidFill>
                  <a:schemeClr val="accent2">
                    <a:lumMod val="75000"/>
                  </a:schemeClr>
                </a:solidFill>
              </a:ln>
              <a:effectLst>
                <a:innerShdw blurRad="114300">
                  <a:schemeClr val="accent2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2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6EBC-4327-B0C3-3C75AD41F441}"/>
              </c:ext>
            </c:extLst>
          </c:dPt>
          <c:dPt>
            <c:idx val="2"/>
            <c:bubble3D val="0"/>
            <c:spPr>
              <a:solidFill>
                <a:schemeClr val="accent3">
                  <a:alpha val="90000"/>
                </a:schemeClr>
              </a:solidFill>
              <a:ln w="19047">
                <a:solidFill>
                  <a:schemeClr val="accent3">
                    <a:lumMod val="75000"/>
                  </a:schemeClr>
                </a:solidFill>
              </a:ln>
              <a:effectLst>
                <a:innerShdw blurRad="114300">
                  <a:schemeClr val="accent3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3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6EBC-4327-B0C3-3C75AD41F441}"/>
              </c:ext>
            </c:extLst>
          </c:dPt>
          <c:dPt>
            <c:idx val="3"/>
            <c:bubble3D val="0"/>
            <c:spPr>
              <a:solidFill>
                <a:schemeClr val="accent4">
                  <a:alpha val="90000"/>
                </a:schemeClr>
              </a:solidFill>
              <a:ln w="19047">
                <a:solidFill>
                  <a:schemeClr val="accent4">
                    <a:lumMod val="75000"/>
                  </a:schemeClr>
                </a:solidFill>
              </a:ln>
              <a:effectLst>
                <a:innerShdw blurRad="114300">
                  <a:schemeClr val="accent4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4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6EBC-4327-B0C3-3C75AD41F441}"/>
              </c:ext>
            </c:extLst>
          </c:dPt>
          <c:dPt>
            <c:idx val="4"/>
            <c:bubble3D val="0"/>
            <c:spPr>
              <a:solidFill>
                <a:schemeClr val="accent5">
                  <a:alpha val="90000"/>
                </a:schemeClr>
              </a:solidFill>
              <a:ln w="19047">
                <a:solidFill>
                  <a:schemeClr val="accent5">
                    <a:lumMod val="75000"/>
                  </a:schemeClr>
                </a:solidFill>
              </a:ln>
              <a:effectLst>
                <a:innerShdw blurRad="114300">
                  <a:schemeClr val="accent5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5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9-6EBC-4327-B0C3-3C75AD41F441}"/>
              </c:ext>
            </c:extLst>
          </c:dPt>
          <c:dPt>
            <c:idx val="5"/>
            <c:bubble3D val="0"/>
            <c:spPr>
              <a:solidFill>
                <a:schemeClr val="accent6">
                  <a:alpha val="90000"/>
                </a:schemeClr>
              </a:solidFill>
              <a:ln w="19047">
                <a:solidFill>
                  <a:schemeClr val="accent6">
                    <a:lumMod val="75000"/>
                  </a:schemeClr>
                </a:solidFill>
              </a:ln>
              <a:effectLst>
                <a:innerShdw blurRad="114300">
                  <a:schemeClr val="accent6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6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B-6EBC-4327-B0C3-3C75AD41F441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  <a:alpha val="90000"/>
                </a:schemeClr>
              </a:solidFill>
              <a:ln w="19047">
                <a:solidFill>
                  <a:schemeClr val="accent1">
                    <a:lumMod val="60000"/>
                    <a:lumMod val="75000"/>
                  </a:schemeClr>
                </a:solidFill>
              </a:ln>
              <a:effectLst>
                <a:innerShdw blurRad="114300">
                  <a:schemeClr val="accent1">
                    <a:lumMod val="6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1">
                    <a:lumMod val="6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D-6EBC-4327-B0C3-3C75AD41F441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  <a:alpha val="90000"/>
                </a:schemeClr>
              </a:solidFill>
              <a:ln w="19047">
                <a:solidFill>
                  <a:schemeClr val="accent2">
                    <a:lumMod val="60000"/>
                    <a:lumMod val="75000"/>
                  </a:schemeClr>
                </a:solidFill>
              </a:ln>
              <a:effectLst>
                <a:innerShdw blurRad="114300">
                  <a:schemeClr val="accent2">
                    <a:lumMod val="6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2">
                    <a:lumMod val="6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F-6EBC-4327-B0C3-3C75AD41F441}"/>
              </c:ext>
            </c:extLst>
          </c:dPt>
          <c:dPt>
            <c:idx val="8"/>
            <c:bubble3D val="0"/>
            <c:spPr>
              <a:solidFill>
                <a:schemeClr val="accent3">
                  <a:lumMod val="60000"/>
                  <a:alpha val="90000"/>
                </a:schemeClr>
              </a:solidFill>
              <a:ln w="19047">
                <a:solidFill>
                  <a:schemeClr val="accent3">
                    <a:lumMod val="60000"/>
                    <a:lumMod val="75000"/>
                  </a:schemeClr>
                </a:solidFill>
              </a:ln>
              <a:effectLst>
                <a:innerShdw blurRad="114300">
                  <a:schemeClr val="accent3">
                    <a:lumMod val="6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3">
                    <a:lumMod val="6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1-6EBC-4327-B0C3-3C75AD41F441}"/>
              </c:ext>
            </c:extLst>
          </c:dPt>
          <c:dPt>
            <c:idx val="9"/>
            <c:bubble3D val="0"/>
            <c:spPr>
              <a:solidFill>
                <a:schemeClr val="accent4">
                  <a:lumMod val="60000"/>
                  <a:alpha val="90000"/>
                </a:schemeClr>
              </a:solidFill>
              <a:ln w="19047">
                <a:solidFill>
                  <a:schemeClr val="accent4">
                    <a:lumMod val="60000"/>
                    <a:lumMod val="75000"/>
                  </a:schemeClr>
                </a:solidFill>
              </a:ln>
              <a:effectLst>
                <a:innerShdw blurRad="114300">
                  <a:schemeClr val="accent4">
                    <a:lumMod val="6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4">
                    <a:lumMod val="6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3-6EBC-4327-B0C3-3C75AD41F441}"/>
              </c:ext>
            </c:extLst>
          </c:dPt>
          <c:dPt>
            <c:idx val="10"/>
            <c:bubble3D val="0"/>
            <c:spPr>
              <a:solidFill>
                <a:schemeClr val="accent5">
                  <a:lumMod val="60000"/>
                  <a:alpha val="90000"/>
                </a:schemeClr>
              </a:solidFill>
              <a:ln w="19047">
                <a:solidFill>
                  <a:schemeClr val="accent5">
                    <a:lumMod val="60000"/>
                    <a:lumMod val="75000"/>
                  </a:schemeClr>
                </a:solidFill>
              </a:ln>
              <a:effectLst>
                <a:innerShdw blurRad="114300">
                  <a:schemeClr val="accent5">
                    <a:lumMod val="6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5">
                    <a:lumMod val="6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5-6EBC-4327-B0C3-3C75AD41F441}"/>
              </c:ext>
            </c:extLst>
          </c:dPt>
          <c:dPt>
            <c:idx val="11"/>
            <c:bubble3D val="0"/>
            <c:spPr>
              <a:solidFill>
                <a:schemeClr val="accent6">
                  <a:lumMod val="60000"/>
                  <a:alpha val="90000"/>
                </a:schemeClr>
              </a:solidFill>
              <a:ln w="19047">
                <a:solidFill>
                  <a:schemeClr val="accent6">
                    <a:lumMod val="60000"/>
                    <a:lumMod val="75000"/>
                  </a:schemeClr>
                </a:solidFill>
              </a:ln>
              <a:effectLst>
                <a:innerShdw blurRad="114300">
                  <a:schemeClr val="accent6">
                    <a:lumMod val="6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6">
                    <a:lumMod val="6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7-6EBC-4327-B0C3-3C75AD41F441}"/>
              </c:ext>
            </c:extLst>
          </c:dPt>
          <c:dPt>
            <c:idx val="12"/>
            <c:bubble3D val="0"/>
            <c:spPr>
              <a:solidFill>
                <a:schemeClr val="accent1">
                  <a:lumMod val="80000"/>
                  <a:lumOff val="20000"/>
                  <a:alpha val="90000"/>
                </a:schemeClr>
              </a:solidFill>
              <a:ln w="19047">
                <a:solidFill>
                  <a:schemeClr val="accent1">
                    <a:lumMod val="80000"/>
                    <a:lumOff val="20000"/>
                    <a:lumMod val="75000"/>
                  </a:schemeClr>
                </a:solidFill>
              </a:ln>
              <a:effectLst>
                <a:innerShdw blurRad="114300">
                  <a:schemeClr val="accent1">
                    <a:lumMod val="80000"/>
                    <a:lumOff val="2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1">
                    <a:lumMod val="80000"/>
                    <a:lumOff val="2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9-6EBC-4327-B0C3-3C75AD41F441}"/>
              </c:ext>
            </c:extLst>
          </c:dPt>
          <c:dPt>
            <c:idx val="13"/>
            <c:bubble3D val="0"/>
            <c:spPr>
              <a:solidFill>
                <a:schemeClr val="accent2">
                  <a:lumMod val="80000"/>
                  <a:lumOff val="20000"/>
                  <a:alpha val="90000"/>
                </a:schemeClr>
              </a:solidFill>
              <a:ln w="19047">
                <a:solidFill>
                  <a:schemeClr val="accent2">
                    <a:lumMod val="80000"/>
                    <a:lumOff val="20000"/>
                    <a:lumMod val="75000"/>
                  </a:schemeClr>
                </a:solidFill>
              </a:ln>
              <a:effectLst>
                <a:innerShdw blurRad="114300">
                  <a:schemeClr val="accent2">
                    <a:lumMod val="80000"/>
                    <a:lumOff val="2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2">
                    <a:lumMod val="80000"/>
                    <a:lumOff val="2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B-6EBC-4327-B0C3-3C75AD41F441}"/>
              </c:ext>
            </c:extLst>
          </c:dPt>
          <c:dPt>
            <c:idx val="14"/>
            <c:bubble3D val="0"/>
            <c:spPr>
              <a:solidFill>
                <a:schemeClr val="accent3">
                  <a:lumMod val="80000"/>
                  <a:lumOff val="20000"/>
                  <a:alpha val="90000"/>
                </a:schemeClr>
              </a:solidFill>
              <a:ln w="19047">
                <a:solidFill>
                  <a:schemeClr val="accent3">
                    <a:lumMod val="80000"/>
                    <a:lumOff val="20000"/>
                    <a:lumMod val="75000"/>
                  </a:schemeClr>
                </a:solidFill>
              </a:ln>
              <a:effectLst>
                <a:innerShdw blurRad="114300">
                  <a:schemeClr val="accent3">
                    <a:lumMod val="80000"/>
                    <a:lumOff val="2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3">
                    <a:lumMod val="80000"/>
                    <a:lumOff val="2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D-6EBC-4327-B0C3-3C75AD41F441}"/>
              </c:ext>
            </c:extLst>
          </c:dPt>
          <c:dPt>
            <c:idx val="15"/>
            <c:bubble3D val="0"/>
            <c:spPr>
              <a:solidFill>
                <a:schemeClr val="accent4">
                  <a:lumMod val="80000"/>
                  <a:lumOff val="20000"/>
                  <a:alpha val="90000"/>
                </a:schemeClr>
              </a:solidFill>
              <a:ln w="19047">
                <a:solidFill>
                  <a:schemeClr val="accent4">
                    <a:lumMod val="80000"/>
                    <a:lumOff val="20000"/>
                    <a:lumMod val="75000"/>
                  </a:schemeClr>
                </a:solidFill>
              </a:ln>
              <a:effectLst>
                <a:innerShdw blurRad="114300">
                  <a:schemeClr val="accent4">
                    <a:lumMod val="80000"/>
                    <a:lumOff val="2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4">
                    <a:lumMod val="80000"/>
                    <a:lumOff val="2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1F-6EBC-4327-B0C3-3C75AD41F441}"/>
              </c:ext>
            </c:extLst>
          </c:dPt>
          <c:dPt>
            <c:idx val="16"/>
            <c:bubble3D val="0"/>
            <c:spPr>
              <a:solidFill>
                <a:schemeClr val="accent5">
                  <a:lumMod val="80000"/>
                  <a:lumOff val="20000"/>
                  <a:alpha val="90000"/>
                </a:schemeClr>
              </a:solidFill>
              <a:ln w="19047">
                <a:solidFill>
                  <a:schemeClr val="accent5">
                    <a:lumMod val="80000"/>
                    <a:lumOff val="20000"/>
                    <a:lumMod val="75000"/>
                  </a:schemeClr>
                </a:solidFill>
              </a:ln>
              <a:effectLst>
                <a:innerShdw blurRad="114300">
                  <a:schemeClr val="accent5">
                    <a:lumMod val="80000"/>
                    <a:lumOff val="20000"/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5">
                    <a:lumMod val="80000"/>
                    <a:lumOff val="20000"/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21-6EBC-4327-B0C3-3C75AD41F441}"/>
              </c:ext>
            </c:extLst>
          </c:dPt>
          <c:dLbls>
            <c:dLbl>
              <c:idx val="0"/>
              <c:layout>
                <c:manualLayout>
                  <c:x val="-0.23654899596880527"/>
                  <c:y val="8.8736578382247674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1"/>
                  </a:solidFill>
                  <a:round/>
                </a:ln>
                <a:effectLst>
                  <a:outerShdw blurRad="50800" dist="38100" dir="2700000" algn="tl" rotWithShape="0">
                    <a:schemeClr val="accent1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1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EBC-4327-B0C3-3C75AD41F441}"/>
                </c:ext>
              </c:extLst>
            </c:dLbl>
            <c:dLbl>
              <c:idx val="1"/>
              <c:layout>
                <c:manualLayout>
                  <c:x val="-0.16287499947674014"/>
                  <c:y val="-0.20902012248468954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2"/>
                  </a:solidFill>
                  <a:round/>
                </a:ln>
                <a:effectLst>
                  <a:outerShdw blurRad="50800" dist="38100" dir="2700000" algn="tl" rotWithShape="0">
                    <a:schemeClr val="accent2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2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EBC-4327-B0C3-3C75AD41F441}"/>
                </c:ext>
              </c:extLst>
            </c:dLbl>
            <c:dLbl>
              <c:idx val="2"/>
              <c:layout>
                <c:manualLayout>
                  <c:x val="8.5690891509374728E-2"/>
                  <c:y val="-0.14754222010127535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3"/>
                  </a:solidFill>
                  <a:round/>
                </a:ln>
                <a:effectLst>
                  <a:outerShdw blurRad="50800" dist="38100" dir="2700000" algn="tl" rotWithShape="0">
                    <a:schemeClr val="accent3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3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EBC-4327-B0C3-3C75AD41F441}"/>
                </c:ext>
              </c:extLst>
            </c:dLbl>
            <c:dLbl>
              <c:idx val="3"/>
              <c:layout>
                <c:manualLayout>
                  <c:x val="0.14421565129132272"/>
                  <c:y val="-0.14359540284737135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4"/>
                  </a:solidFill>
                  <a:round/>
                </a:ln>
                <a:effectLst>
                  <a:outerShdw blurRad="50800" dist="38100" dir="2700000" algn="tl" rotWithShape="0">
                    <a:schemeClr val="accent4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4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6EBC-4327-B0C3-3C75AD41F441}"/>
                </c:ext>
              </c:extLst>
            </c:dLbl>
            <c:dLbl>
              <c:idx val="4"/>
              <c:layout>
                <c:manualLayout>
                  <c:x val="6.4451158106747231E-2"/>
                  <c:y val="-9.2120814443649154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5"/>
                  </a:solidFill>
                  <a:round/>
                </a:ln>
                <a:effectLst>
                  <a:outerShdw blurRad="50800" dist="38100" dir="2700000" algn="tl" rotWithShape="0">
                    <a:schemeClr val="accent5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5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EBC-4327-B0C3-3C75AD41F441}"/>
                </c:ext>
              </c:extLst>
            </c:dLbl>
            <c:dLbl>
              <c:idx val="5"/>
              <c:layout>
                <c:manualLayout>
                  <c:x val="0.18731117824773413"/>
                  <c:y val="-4.8250483841035023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6"/>
                  </a:solidFill>
                  <a:round/>
                </a:ln>
                <a:effectLst>
                  <a:outerShdw blurRad="50800" dist="38100" dir="2700000" algn="tl" rotWithShape="0">
                    <a:schemeClr val="accent6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6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EBC-4327-B0C3-3C75AD41F441}"/>
                </c:ext>
              </c:extLst>
            </c:dLbl>
            <c:dLbl>
              <c:idx val="6"/>
              <c:layout>
                <c:manualLayout>
                  <c:x val="0.10274250461894679"/>
                  <c:y val="2.634428272223548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1">
                      <a:lumMod val="6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1">
                      <a:lumMod val="60000"/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1">
                          <a:lumMod val="60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EBC-4327-B0C3-3C75AD41F441}"/>
                </c:ext>
              </c:extLst>
            </c:dLbl>
            <c:dLbl>
              <c:idx val="7"/>
              <c:layout>
                <c:manualLayout>
                  <c:x val="4.8121892618407595E-2"/>
                  <c:y val="1.8713513083591794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2">
                      <a:lumMod val="6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2">
                      <a:lumMod val="60000"/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2">
                          <a:lumMod val="60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6EBC-4327-B0C3-3C75AD41F441}"/>
                </c:ext>
              </c:extLst>
            </c:dLbl>
            <c:dLbl>
              <c:idx val="8"/>
              <c:layout>
                <c:manualLayout>
                  <c:x val="-3.0505189872413983E-2"/>
                  <c:y val="9.7629841724329921E-3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3">
                      <a:lumMod val="6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3">
                      <a:lumMod val="60000"/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3">
                          <a:lumMod val="60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EBC-4327-B0C3-3C75AD41F441}"/>
                </c:ext>
              </c:extLst>
            </c:dLbl>
            <c:dLbl>
              <c:idx val="9"/>
              <c:layout>
                <c:manualLayout>
                  <c:x val="7.9231312098072326E-2"/>
                  <c:y val="6.578448527267422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4">
                      <a:lumMod val="6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4">
                      <a:lumMod val="60000"/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4">
                          <a:lumMod val="60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EBC-4327-B0C3-3C75AD41F441}"/>
                </c:ext>
              </c:extLst>
            </c:dLbl>
            <c:dLbl>
              <c:idx val="10"/>
              <c:layout>
                <c:manualLayout>
                  <c:x val="-1.8570624291298934E-2"/>
                  <c:y val="-1.8920172857180731E-3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5">
                      <a:lumMod val="6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5">
                      <a:lumMod val="60000"/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5">
                          <a:lumMod val="60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EBC-4327-B0C3-3C75AD41F441}"/>
                </c:ext>
              </c:extLst>
            </c:dLbl>
            <c:dLbl>
              <c:idx val="11"/>
              <c:layout>
                <c:manualLayout>
                  <c:x val="-0.29485913203447756"/>
                  <c:y val="-0.10257284127362867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6">
                      <a:lumMod val="6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6">
                      <a:lumMod val="60000"/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6">
                          <a:lumMod val="60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7-6EBC-4327-B0C3-3C75AD41F441}"/>
                </c:ext>
              </c:extLst>
            </c:dLbl>
            <c:dLbl>
              <c:idx val="12"/>
              <c:layout>
                <c:manualLayout>
                  <c:x val="-0.10098849426299057"/>
                  <c:y val="-0.10593984464063204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1">
                      <a:lumMod val="80000"/>
                      <a:lumOff val="2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1">
                      <a:lumMod val="80000"/>
                      <a:lumOff val="20000"/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1">
                          <a:lumMod val="80000"/>
                          <a:lumOff val="20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9-6EBC-4327-B0C3-3C75AD41F441}"/>
                </c:ext>
              </c:extLst>
            </c:dLbl>
            <c:dLbl>
              <c:idx val="13"/>
              <c:layout>
                <c:manualLayout>
                  <c:x val="0.12800707203266259"/>
                  <c:y val="-9.8043691508258438E-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accent1"/>
                        </a:solidFill>
                        <a:effectLst/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baseline="0"/>
                      <a:t>La Rioja
0,3%</a:t>
                    </a:r>
                  </a:p>
                </c:rich>
              </c:tx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2">
                      <a:lumMod val="80000"/>
                      <a:lumOff val="2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2">
                      <a:lumMod val="80000"/>
                      <a:lumOff val="20000"/>
                      <a:lumMod val="75000"/>
                      <a:alpha val="40000"/>
                    </a:schemeClr>
                  </a:outerShdw>
                </a:effectLst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B-6EBC-4327-B0C3-3C75AD41F441}"/>
                </c:ext>
              </c:extLst>
            </c:dLbl>
            <c:dLbl>
              <c:idx val="14"/>
              <c:layout>
                <c:manualLayout>
                  <c:x val="0.2066996534798709"/>
                  <c:y val="-3.9722421061003751E-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accent1"/>
                        </a:solidFill>
                        <a:effectLst/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baseline="0"/>
                      <a:t>Asturie
0.35%</a:t>
                    </a:r>
                  </a:p>
                </c:rich>
              </c:tx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3">
                      <a:lumMod val="80000"/>
                      <a:lumOff val="2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3">
                      <a:lumMod val="80000"/>
                      <a:lumOff val="20000"/>
                      <a:lumMod val="75000"/>
                      <a:alpha val="40000"/>
                    </a:schemeClr>
                  </a:outerShdw>
                </a:effectLst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D-6EBC-4327-B0C3-3C75AD41F441}"/>
                </c:ext>
              </c:extLst>
            </c:dLbl>
            <c:dLbl>
              <c:idx val="15"/>
              <c:layout>
                <c:manualLayout>
                  <c:x val="0.30472107904940871"/>
                  <c:y val="2.1605159203584402E-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accent1"/>
                        </a:solidFill>
                        <a:effectLst/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baseline="0"/>
                      <a:t>Bal. ostrovy
0,21%</a:t>
                    </a:r>
                  </a:p>
                </c:rich>
              </c:tx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4">
                      <a:lumMod val="80000"/>
                      <a:lumOff val="2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4">
                      <a:lumMod val="80000"/>
                      <a:lumOff val="20000"/>
                      <a:lumMod val="75000"/>
                      <a:alpha val="40000"/>
                    </a:schemeClr>
                  </a:outerShdw>
                </a:effectLst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F-6EBC-4327-B0C3-3C75AD41F441}"/>
                </c:ext>
              </c:extLst>
            </c:dLbl>
            <c:dLbl>
              <c:idx val="16"/>
              <c:layout>
                <c:manualLayout>
                  <c:x val="0.41041463472655026"/>
                  <c:y val="8.6299742835175872E-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accent1"/>
                        </a:solidFill>
                        <a:effectLst/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baseline="0"/>
                      <a:t>Extremadura
0,11%</a:t>
                    </a:r>
                  </a:p>
                </c:rich>
              </c:tx>
              <c:spPr>
                <a:solidFill>
                  <a:schemeClr val="lt1">
                    <a:alpha val="90000"/>
                  </a:schemeClr>
                </a:solidFill>
                <a:ln w="12698" cap="flat" cmpd="sng" algn="ctr">
                  <a:solidFill>
                    <a:schemeClr val="accent5">
                      <a:lumMod val="80000"/>
                      <a:lumOff val="20000"/>
                    </a:schemeClr>
                  </a:solidFill>
                  <a:round/>
                </a:ln>
                <a:effectLst>
                  <a:outerShdw blurRad="50800" dist="38100" dir="2700000" algn="tl" rotWithShape="0">
                    <a:schemeClr val="accent5">
                      <a:lumMod val="80000"/>
                      <a:lumOff val="20000"/>
                      <a:lumMod val="75000"/>
                      <a:alpha val="40000"/>
                    </a:schemeClr>
                  </a:outerShdw>
                </a:effectLst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21-6EBC-4327-B0C3-3C75AD41F441}"/>
                </c:ext>
              </c:extLst>
            </c:dLbl>
            <c:spPr>
              <a:solidFill>
                <a:sysClr val="window" lastClr="FFFFFF">
                  <a:alpha val="90000"/>
                </a:sysClr>
              </a:solidFill>
              <a:ln w="12698" cap="flat" cmpd="sng" algn="ctr">
                <a:solidFill>
                  <a:srgbClr val="5B9BD5"/>
                </a:solidFill>
                <a:round/>
              </a:ln>
              <a:effectLst>
                <a:outerShdw blurRad="50800" dist="38100" dir="2700000" algn="tl" rotWithShape="0">
                  <a:srgbClr val="5B9BD5">
                    <a:lumMod val="75000"/>
                    <a:alpha val="40000"/>
                  </a:srgbClr>
                </a:outerShdw>
              </a:effectLst>
            </c:spPr>
            <c:dLblPos val="in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4">
                  <a:solidFill>
                    <a:schemeClr val="tx1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Hoja1!$A$2:$A$18</c:f>
              <c:strCache>
                <c:ptCount val="17"/>
                <c:pt idx="0">
                  <c:v>Katalánsko</c:v>
                </c:pt>
                <c:pt idx="1">
                  <c:v>Madrid</c:v>
                </c:pt>
                <c:pt idx="2">
                  <c:v>Valencie</c:v>
                </c:pt>
                <c:pt idx="3">
                  <c:v>Baskicko</c:v>
                </c:pt>
                <c:pt idx="4">
                  <c:v>Kastilie a León</c:v>
                </c:pt>
                <c:pt idx="5">
                  <c:v>Navarra</c:v>
                </c:pt>
                <c:pt idx="6">
                  <c:v>Aragon</c:v>
                </c:pt>
                <c:pt idx="7">
                  <c:v>Galicie</c:v>
                </c:pt>
                <c:pt idx="8">
                  <c:v>Kastilie-La Mancha</c:v>
                </c:pt>
                <c:pt idx="9">
                  <c:v>Andalusie</c:v>
                </c:pt>
                <c:pt idx="10">
                  <c:v>Murcie</c:v>
                </c:pt>
                <c:pt idx="11">
                  <c:v>Kan. ostrovy</c:v>
                </c:pt>
                <c:pt idx="12">
                  <c:v>Kantábrie</c:v>
                </c:pt>
                <c:pt idx="13">
                  <c:v>La Rioja</c:v>
                </c:pt>
                <c:pt idx="14">
                  <c:v>Asturie</c:v>
                </c:pt>
                <c:pt idx="15">
                  <c:v>Bal. ostrovy</c:v>
                </c:pt>
                <c:pt idx="16">
                  <c:v>Extremadura</c:v>
                </c:pt>
              </c:strCache>
            </c:strRef>
          </c:cat>
          <c:val>
            <c:numRef>
              <c:f>Hoja1!$B$2:$B$18</c:f>
              <c:numCache>
                <c:formatCode>#,##0</c:formatCode>
                <c:ptCount val="17"/>
                <c:pt idx="0" formatCode="General">
                  <c:v>2423</c:v>
                </c:pt>
                <c:pt idx="1">
                  <c:v>1186</c:v>
                </c:pt>
                <c:pt idx="2" formatCode="General">
                  <c:v>589</c:v>
                </c:pt>
                <c:pt idx="3" formatCode="General">
                  <c:v>519</c:v>
                </c:pt>
                <c:pt idx="4" formatCode="General">
                  <c:v>322</c:v>
                </c:pt>
                <c:pt idx="5" formatCode="General">
                  <c:v>640</c:v>
                </c:pt>
                <c:pt idx="6" formatCode="General">
                  <c:v>316</c:v>
                </c:pt>
                <c:pt idx="7" formatCode="General">
                  <c:v>245</c:v>
                </c:pt>
                <c:pt idx="8" formatCode="General">
                  <c:v>199</c:v>
                </c:pt>
                <c:pt idx="9" formatCode="General">
                  <c:v>374</c:v>
                </c:pt>
                <c:pt idx="10" formatCode="General">
                  <c:v>119</c:v>
                </c:pt>
                <c:pt idx="11" formatCode="General">
                  <c:v>101</c:v>
                </c:pt>
                <c:pt idx="12" formatCode="General">
                  <c:v>32</c:v>
                </c:pt>
                <c:pt idx="13" formatCode="General">
                  <c:v>19</c:v>
                </c:pt>
                <c:pt idx="14" formatCode="General">
                  <c:v>25</c:v>
                </c:pt>
                <c:pt idx="15" formatCode="General">
                  <c:v>15</c:v>
                </c:pt>
                <c:pt idx="16" formatCode="General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22-6EBC-4327-B0C3-3C75AD41F44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396">
          <a:noFill/>
        </a:ln>
      </c:spPr>
    </c:plotArea>
    <c:plotVisOnly val="1"/>
    <c:dispBlanksAs val="gap"/>
    <c:showDLblsOverMax val="0"/>
  </c:chart>
  <c:spPr>
    <a:solidFill>
      <a:schemeClr val="bg1"/>
    </a:solidFill>
    <a:ln w="9524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cs-CZ"/>
    </a:p>
  </c:txPr>
  <c:externalData r:id="rId2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6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66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1D107F-21D5-4205-BE12-C49E3AB24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244</Words>
  <Characters>1440</Characters>
  <Application>Microsoft Office Word</Application>
  <DocSecurity>0</DocSecurity>
  <Lines>12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MZV ČR</Company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IGLESIAS-GARROTE Begoňa</dc:creator>
  <cp:keywords/>
  <dc:description/>
  <cp:lastModifiedBy>Brožek Jan</cp:lastModifiedBy>
  <cp:revision>2</cp:revision>
  <dcterms:created xsi:type="dcterms:W3CDTF">2022-08-29T13:01:00Z</dcterms:created>
  <dcterms:modified xsi:type="dcterms:W3CDTF">2022-08-29T13:01:00Z</dcterms:modified>
</cp:coreProperties>
</file>