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6C" w:rsidRDefault="00C2096C" w:rsidP="00C209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EF44A" wp14:editId="6D2E7E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Rectángulo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71A1C" id="Rectángulo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NlEb31dAgAArg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Autonomní oblast Valencie</w:t>
      </w: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C2096C" w:rsidRPr="00E3500F" w:rsidRDefault="00C2096C" w:rsidP="00C2096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3500F">
        <w:rPr>
          <w:rFonts w:ascii="Arial" w:eastAsia="Arial" w:hAnsi="Arial" w:cs="Arial"/>
          <w:color w:val="000000"/>
          <w:sz w:val="20"/>
          <w:szCs w:val="20"/>
        </w:rPr>
        <w:t>rozloha: 23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Pr="00E3500F">
        <w:rPr>
          <w:rFonts w:ascii="Arial" w:eastAsia="Arial" w:hAnsi="Arial" w:cs="Arial"/>
          <w:color w:val="000000"/>
          <w:sz w:val="20"/>
          <w:szCs w:val="20"/>
        </w:rPr>
        <w:t>255 km</w:t>
      </w:r>
      <w:r w:rsidRPr="00E3500F"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</w:p>
    <w:p w:rsidR="00C2096C" w:rsidRPr="00E3500F" w:rsidRDefault="00C2096C" w:rsidP="00C2096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3500F">
        <w:rPr>
          <w:rFonts w:ascii="Arial" w:eastAsia="Arial" w:hAnsi="Arial" w:cs="Arial"/>
          <w:color w:val="000000"/>
          <w:sz w:val="20"/>
          <w:szCs w:val="20"/>
        </w:rPr>
        <w:t xml:space="preserve">počet obyvatel: </w:t>
      </w:r>
      <w:r w:rsidRPr="00303265">
        <w:rPr>
          <w:rFonts w:ascii="Arial" w:eastAsia="Arial" w:hAnsi="Arial" w:cs="Arial"/>
          <w:color w:val="000000"/>
          <w:sz w:val="20"/>
          <w:szCs w:val="20"/>
        </w:rPr>
        <w:t>5</w:t>
      </w:r>
      <w:r w:rsidRPr="00E3500F">
        <w:rPr>
          <w:rFonts w:ascii="Arial" w:eastAsia="Arial" w:hAnsi="Arial" w:cs="Arial"/>
          <w:color w:val="000000"/>
          <w:sz w:val="20"/>
          <w:szCs w:val="20"/>
        </w:rPr>
        <w:t xml:space="preserve"> mil. </w:t>
      </w:r>
    </w:p>
    <w:p w:rsidR="00C2096C" w:rsidRPr="00E3500F" w:rsidRDefault="00C2096C" w:rsidP="00C2096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3500F">
        <w:rPr>
          <w:rFonts w:ascii="Arial" w:eastAsia="Arial" w:hAnsi="Arial" w:cs="Arial"/>
          <w:color w:val="000000"/>
          <w:sz w:val="20"/>
          <w:szCs w:val="20"/>
        </w:rPr>
        <w:t>statut autonomní oblasti</w:t>
      </w: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-2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2096C" w:rsidRPr="00E3500F" w:rsidRDefault="00C2096C" w:rsidP="00C2096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3500F">
        <w:rPr>
          <w:rFonts w:ascii="Arial" w:eastAsia="Arial" w:hAnsi="Arial" w:cs="Arial"/>
          <w:color w:val="000000"/>
          <w:sz w:val="20"/>
          <w:szCs w:val="20"/>
        </w:rPr>
        <w:t>průmysl – potravinářský, automobilový, kožedělný, petrochemický, nábytkářský</w:t>
      </w:r>
    </w:p>
    <w:p w:rsidR="00C2096C" w:rsidRPr="00E3500F" w:rsidRDefault="00C2096C" w:rsidP="00C2096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3500F">
        <w:rPr>
          <w:rFonts w:ascii="Arial" w:eastAsia="Arial" w:hAnsi="Arial" w:cs="Arial"/>
          <w:color w:val="000000"/>
          <w:sz w:val="20"/>
          <w:szCs w:val="20"/>
        </w:rPr>
        <w:t>zemědělství - zelinářství, ovocnářství, chov dobytka a drůbeže, rybolov</w:t>
      </w: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-2" w:right="565" w:firstLineChars="0" w:firstLine="7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2096C" w:rsidRPr="00E3500F" w:rsidRDefault="00C2096C" w:rsidP="00C2096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HDP </w:t>
      </w:r>
      <w:r w:rsidRPr="00E3500F">
        <w:rPr>
          <w:rFonts w:ascii="Arial" w:eastAsia="Arial" w:hAnsi="Arial" w:cs="Arial"/>
          <w:color w:val="000000"/>
          <w:sz w:val="20"/>
          <w:szCs w:val="20"/>
        </w:rPr>
        <w:t>meziroční změna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 w:rsidRPr="00E3500F">
        <w:rPr>
          <w:rFonts w:ascii="Arial" w:eastAsia="Arial" w:hAnsi="Arial" w:cs="Arial"/>
          <w:color w:val="000000"/>
          <w:sz w:val="20"/>
          <w:szCs w:val="20"/>
        </w:rPr>
        <w:t xml:space="preserve"> +</w:t>
      </w:r>
      <w:r w:rsidRPr="004C5F4A">
        <w:rPr>
          <w:rFonts w:ascii="Arial" w:eastAsia="Arial" w:hAnsi="Arial" w:cs="Arial"/>
          <w:color w:val="000000"/>
          <w:sz w:val="20"/>
          <w:szCs w:val="20"/>
        </w:rPr>
        <w:t xml:space="preserve">5,4 </w:t>
      </w:r>
      <w:r w:rsidRPr="00E3500F">
        <w:rPr>
          <w:rFonts w:ascii="Arial" w:eastAsia="Arial" w:hAnsi="Arial" w:cs="Arial"/>
          <w:color w:val="000000"/>
          <w:sz w:val="20"/>
          <w:szCs w:val="20"/>
        </w:rPr>
        <w:t>%</w:t>
      </w:r>
    </w:p>
    <w:p w:rsidR="00C2096C" w:rsidRPr="00E3500F" w:rsidRDefault="00C2096C" w:rsidP="00C2096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E3500F">
        <w:rPr>
          <w:rFonts w:ascii="Arial" w:eastAsia="Arial" w:hAnsi="Arial" w:cs="Arial"/>
          <w:color w:val="000000"/>
          <w:sz w:val="20"/>
          <w:szCs w:val="20"/>
        </w:rPr>
        <w:t>HDP na obyvatele: 2</w:t>
      </w:r>
      <w:r>
        <w:rPr>
          <w:rFonts w:ascii="Arial" w:eastAsia="Arial" w:hAnsi="Arial" w:cs="Arial"/>
          <w:color w:val="000000"/>
          <w:sz w:val="20"/>
          <w:szCs w:val="20"/>
        </w:rPr>
        <w:t>0</w:t>
      </w:r>
      <w:r w:rsidRPr="00E3500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792</w:t>
      </w:r>
      <w:r w:rsidRPr="00E3500F">
        <w:rPr>
          <w:rFonts w:ascii="Arial" w:eastAsia="Arial" w:hAnsi="Arial" w:cs="Arial"/>
          <w:color w:val="000000"/>
          <w:sz w:val="20"/>
          <w:szCs w:val="20"/>
        </w:rPr>
        <w:t xml:space="preserve"> eur (</w:t>
      </w:r>
      <w:r w:rsidRPr="00257CDF">
        <w:rPr>
          <w:rFonts w:ascii="Arial" w:eastAsia="Arial" w:hAnsi="Arial" w:cs="Arial"/>
          <w:color w:val="000000"/>
          <w:sz w:val="20"/>
          <w:szCs w:val="20"/>
        </w:rPr>
        <w:t>20</w:t>
      </w:r>
      <w:r>
        <w:rPr>
          <w:rFonts w:ascii="Arial" w:eastAsia="Arial" w:hAnsi="Arial" w:cs="Arial"/>
          <w:color w:val="000000"/>
          <w:sz w:val="20"/>
          <w:szCs w:val="20"/>
        </w:rPr>
        <w:t>20</w:t>
      </w:r>
      <w:r w:rsidRPr="00E3500F">
        <w:rPr>
          <w:rFonts w:ascii="Arial" w:eastAsia="Arial" w:hAnsi="Arial" w:cs="Arial"/>
          <w:color w:val="000000"/>
          <w:sz w:val="20"/>
          <w:szCs w:val="20"/>
        </w:rPr>
        <w:t>)</w:t>
      </w:r>
      <w:r w:rsidRPr="00E3500F">
        <w:rPr>
          <w:rFonts w:ascii="Arial" w:eastAsia="Arial" w:hAnsi="Arial" w:cs="Arial"/>
          <w:color w:val="000000"/>
          <w:sz w:val="20"/>
          <w:szCs w:val="20"/>
        </w:rPr>
        <w:br/>
      </w:r>
    </w:p>
    <w:p w:rsidR="00C2096C" w:rsidRPr="00E3500F" w:rsidRDefault="00C2096C" w:rsidP="00C2096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57" w:firstLineChars="0"/>
        <w:rPr>
          <w:rFonts w:ascii="Arial" w:eastAsia="Arial" w:hAnsi="Arial" w:cs="Arial"/>
          <w:color w:val="000000"/>
          <w:sz w:val="20"/>
          <w:szCs w:val="20"/>
        </w:rPr>
      </w:pPr>
      <w:r w:rsidRPr="00E3500F">
        <w:rPr>
          <w:rFonts w:ascii="Arial" w:eastAsia="Arial" w:hAnsi="Arial" w:cs="Arial"/>
          <w:color w:val="000000"/>
          <w:sz w:val="20"/>
          <w:szCs w:val="20"/>
        </w:rPr>
        <w:t xml:space="preserve">významný turistický ruch </w:t>
      </w:r>
    </w:p>
    <w:p w:rsidR="00C2096C" w:rsidRPr="00E3500F" w:rsidRDefault="00C2096C" w:rsidP="00C2096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9,5</w:t>
      </w:r>
      <w:r w:rsidRPr="00E3500F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E3500F">
        <w:rPr>
          <w:rFonts w:ascii="Arial" w:eastAsia="Arial" w:hAnsi="Arial" w:cs="Arial"/>
          <w:color w:val="000000"/>
          <w:sz w:val="20"/>
          <w:szCs w:val="20"/>
        </w:rPr>
        <w:t>mil. zahraničních turistů za rok 201</w:t>
      </w:r>
      <w:r>
        <w:rPr>
          <w:rFonts w:ascii="Arial" w:eastAsia="Arial" w:hAnsi="Arial" w:cs="Arial"/>
          <w:color w:val="000000"/>
          <w:sz w:val="20"/>
          <w:szCs w:val="20"/>
        </w:rPr>
        <w:t>9</w:t>
      </w:r>
      <w:r w:rsidRPr="00E3500F">
        <w:rPr>
          <w:rFonts w:ascii="Arial" w:eastAsia="Arial" w:hAnsi="Arial" w:cs="Arial"/>
          <w:color w:val="000000"/>
          <w:sz w:val="20"/>
          <w:szCs w:val="20"/>
        </w:rPr>
        <w:t>, nejvíce Britů</w:t>
      </w: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457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C2096C" w:rsidRPr="00E3500F" w:rsidRDefault="00C2096C" w:rsidP="00C2096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3500F">
        <w:rPr>
          <w:rFonts w:ascii="Arial" w:eastAsia="Arial" w:hAnsi="Arial" w:cs="Arial"/>
          <w:color w:val="000000"/>
          <w:sz w:val="20"/>
          <w:szCs w:val="20"/>
        </w:rPr>
        <w:t>vývoz – SRN, Francie, UK, Itálie, USA, Portugalsko</w:t>
      </w:r>
    </w:p>
    <w:p w:rsidR="00C2096C" w:rsidRPr="00E3500F" w:rsidRDefault="00C2096C" w:rsidP="00C2096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E3500F">
        <w:rPr>
          <w:rFonts w:ascii="Arial" w:eastAsia="Arial" w:hAnsi="Arial" w:cs="Arial"/>
          <w:color w:val="000000"/>
          <w:sz w:val="20"/>
          <w:szCs w:val="20"/>
        </w:rPr>
        <w:t>vozidla, ovoce (převážně citrusové), keramické stavebniny, ropné výrobky, obuv</w:t>
      </w:r>
      <w:r w:rsidRPr="00E3500F">
        <w:rPr>
          <w:rFonts w:ascii="Arial" w:eastAsia="Arial" w:hAnsi="Arial" w:cs="Arial"/>
          <w:color w:val="000000"/>
          <w:sz w:val="20"/>
          <w:szCs w:val="20"/>
        </w:rPr>
        <w:br/>
      </w:r>
    </w:p>
    <w:p w:rsidR="00C2096C" w:rsidRPr="00E3500F" w:rsidRDefault="00C2096C" w:rsidP="00C2096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3500F">
        <w:rPr>
          <w:rFonts w:ascii="Arial" w:eastAsia="Arial" w:hAnsi="Arial" w:cs="Arial"/>
          <w:color w:val="000000"/>
          <w:sz w:val="20"/>
          <w:szCs w:val="20"/>
        </w:rPr>
        <w:t xml:space="preserve">dovoz – Čína, SRN, Francie, Itálie, UK, USA </w:t>
      </w:r>
    </w:p>
    <w:p w:rsidR="00C2096C" w:rsidRPr="00E3500F" w:rsidRDefault="00C2096C" w:rsidP="00C2096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3500F">
        <w:rPr>
          <w:rFonts w:ascii="Arial" w:eastAsia="Arial" w:hAnsi="Arial" w:cs="Arial"/>
          <w:color w:val="000000"/>
          <w:sz w:val="20"/>
          <w:szCs w:val="20"/>
        </w:rPr>
        <w:t>automobilové komponenty, ropa, vozidla, chemické výrobky, obuv</w:t>
      </w: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-2" w:right="565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2096C" w:rsidRPr="00E3500F" w:rsidRDefault="00C2096C" w:rsidP="00C2096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3500F">
        <w:rPr>
          <w:rFonts w:ascii="Arial" w:eastAsia="Arial" w:hAnsi="Arial" w:cs="Arial"/>
          <w:color w:val="000000"/>
          <w:sz w:val="20"/>
          <w:szCs w:val="20"/>
        </w:rPr>
        <w:t xml:space="preserve">nejvýznamnější zahraniční investoři ve Valencii – SRN, Francie, Lucembursko, Itálie, USA, Nizozemsko </w:t>
      </w:r>
    </w:p>
    <w:p w:rsidR="00C2096C" w:rsidRPr="00E3500F" w:rsidRDefault="00C2096C" w:rsidP="00C2096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3500F">
        <w:rPr>
          <w:rFonts w:ascii="Arial" w:eastAsia="Arial" w:hAnsi="Arial" w:cs="Arial"/>
          <w:color w:val="000000"/>
          <w:sz w:val="20"/>
          <w:szCs w:val="20"/>
        </w:rPr>
        <w:t>výroba plastů, IT, automobilový průmysl, obnovitelné zdroje energie, nerostné produkty, potravinářský sektor</w:t>
      </w: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87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354"/>
        <w:gridCol w:w="1354"/>
        <w:gridCol w:w="1354"/>
        <w:gridCol w:w="1354"/>
        <w:gridCol w:w="1354"/>
      </w:tblGrid>
      <w:tr w:rsidR="00C2096C" w:rsidTr="003D12AB">
        <w:trPr>
          <w:trHeight w:val="330"/>
          <w:jc w:val="center"/>
        </w:trPr>
        <w:tc>
          <w:tcPr>
            <w:tcW w:w="8724" w:type="dxa"/>
            <w:gridSpan w:val="6"/>
            <w:vAlign w:val="center"/>
          </w:tcPr>
          <w:p w:rsidR="00C2096C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Zahraniční obchod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(v mil. EUR)</w:t>
            </w:r>
          </w:p>
        </w:tc>
      </w:tr>
      <w:tr w:rsidR="00C2096C" w:rsidTr="003D12AB">
        <w:trPr>
          <w:trHeight w:val="330"/>
          <w:jc w:val="center"/>
        </w:trPr>
        <w:tc>
          <w:tcPr>
            <w:tcW w:w="1954" w:type="dxa"/>
          </w:tcPr>
          <w:p w:rsidR="00C2096C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54" w:type="dxa"/>
          </w:tcPr>
          <w:p w:rsidR="00C2096C" w:rsidRPr="0005564E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54" w:type="dxa"/>
          </w:tcPr>
          <w:p w:rsidR="00C2096C" w:rsidRPr="0005564E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C2096C" w:rsidTr="003D12AB">
        <w:trPr>
          <w:trHeight w:val="315"/>
          <w:jc w:val="center"/>
        </w:trPr>
        <w:tc>
          <w:tcPr>
            <w:tcW w:w="1954" w:type="dxa"/>
          </w:tcPr>
          <w:p w:rsidR="00C2096C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color w:val="000000"/>
                <w:sz w:val="20"/>
                <w:szCs w:val="20"/>
              </w:rPr>
              <w:t>29 525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color w:val="000000"/>
                <w:sz w:val="20"/>
                <w:szCs w:val="20"/>
              </w:rPr>
              <w:t>30 324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sz w:val="20"/>
                <w:szCs w:val="20"/>
              </w:rPr>
              <w:t>31 160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29 124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34 413</w:t>
            </w:r>
          </w:p>
        </w:tc>
      </w:tr>
      <w:tr w:rsidR="00C2096C" w:rsidTr="003D12AB">
        <w:trPr>
          <w:trHeight w:val="315"/>
          <w:jc w:val="center"/>
        </w:trPr>
        <w:tc>
          <w:tcPr>
            <w:tcW w:w="1954" w:type="dxa"/>
          </w:tcPr>
          <w:p w:rsidR="00C2096C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color w:val="000000"/>
                <w:sz w:val="20"/>
                <w:szCs w:val="20"/>
              </w:rPr>
              <w:t>26 120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color w:val="000000"/>
                <w:sz w:val="20"/>
                <w:szCs w:val="20"/>
              </w:rPr>
              <w:t>27 465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sz w:val="20"/>
                <w:szCs w:val="20"/>
              </w:rPr>
              <w:t>28 421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25 171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28 846</w:t>
            </w:r>
          </w:p>
        </w:tc>
      </w:tr>
      <w:tr w:rsidR="00C2096C" w:rsidTr="003D12AB">
        <w:trPr>
          <w:trHeight w:val="315"/>
          <w:jc w:val="center"/>
        </w:trPr>
        <w:tc>
          <w:tcPr>
            <w:tcW w:w="1954" w:type="dxa"/>
          </w:tcPr>
          <w:p w:rsidR="00C2096C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color w:val="000000"/>
                <w:sz w:val="20"/>
                <w:szCs w:val="20"/>
              </w:rPr>
              <w:t>55 645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color w:val="000000"/>
                <w:sz w:val="20"/>
                <w:szCs w:val="20"/>
              </w:rPr>
              <w:t>57 789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sz w:val="20"/>
                <w:szCs w:val="20"/>
              </w:rPr>
              <w:t>59 581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54 295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63 259</w:t>
            </w:r>
          </w:p>
        </w:tc>
      </w:tr>
      <w:tr w:rsidR="00C2096C" w:rsidTr="003D12AB">
        <w:trPr>
          <w:trHeight w:val="330"/>
          <w:jc w:val="center"/>
        </w:trPr>
        <w:tc>
          <w:tcPr>
            <w:tcW w:w="1954" w:type="dxa"/>
          </w:tcPr>
          <w:p w:rsidR="00C2096C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color w:val="000000"/>
                <w:sz w:val="20"/>
                <w:szCs w:val="20"/>
              </w:rPr>
              <w:t>3 405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color w:val="000000"/>
                <w:sz w:val="20"/>
                <w:szCs w:val="20"/>
              </w:rPr>
              <w:t>2 859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sz w:val="20"/>
                <w:szCs w:val="20"/>
              </w:rPr>
              <w:t>2 740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3 953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2 567</w:t>
            </w:r>
          </w:p>
        </w:tc>
      </w:tr>
      <w:tr w:rsidR="00C2096C" w:rsidTr="003D12AB">
        <w:trPr>
          <w:trHeight w:val="330"/>
          <w:jc w:val="center"/>
        </w:trPr>
        <w:tc>
          <w:tcPr>
            <w:tcW w:w="8724" w:type="dxa"/>
            <w:gridSpan w:val="6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096C" w:rsidTr="003D12AB">
        <w:trPr>
          <w:trHeight w:val="330"/>
          <w:jc w:val="center"/>
        </w:trPr>
        <w:tc>
          <w:tcPr>
            <w:tcW w:w="1954" w:type="dxa"/>
          </w:tcPr>
          <w:p w:rsidR="00C2096C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 ČR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54" w:type="dxa"/>
          </w:tcPr>
          <w:p w:rsidR="00C2096C" w:rsidRPr="0005564E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54" w:type="dxa"/>
          </w:tcPr>
          <w:p w:rsidR="00C2096C" w:rsidRPr="0005564E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C2096C" w:rsidTr="003D12AB">
        <w:trPr>
          <w:trHeight w:val="315"/>
          <w:jc w:val="center"/>
        </w:trPr>
        <w:tc>
          <w:tcPr>
            <w:tcW w:w="1954" w:type="dxa"/>
          </w:tcPr>
          <w:p w:rsidR="00C2096C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 do ČR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sz w:val="20"/>
                <w:szCs w:val="20"/>
              </w:rPr>
              <w:t>272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259,91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324,79</w:t>
            </w:r>
          </w:p>
        </w:tc>
      </w:tr>
      <w:tr w:rsidR="00C2096C" w:rsidTr="003D12AB">
        <w:trPr>
          <w:trHeight w:val="315"/>
          <w:jc w:val="center"/>
        </w:trPr>
        <w:tc>
          <w:tcPr>
            <w:tcW w:w="1954" w:type="dxa"/>
          </w:tcPr>
          <w:p w:rsidR="00C2096C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 z ČR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sz w:val="20"/>
                <w:szCs w:val="20"/>
              </w:rPr>
              <w:t>354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324,30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263,95</w:t>
            </w:r>
          </w:p>
        </w:tc>
      </w:tr>
      <w:tr w:rsidR="00C2096C" w:rsidTr="003D12AB">
        <w:trPr>
          <w:trHeight w:val="315"/>
          <w:jc w:val="center"/>
        </w:trPr>
        <w:tc>
          <w:tcPr>
            <w:tcW w:w="1954" w:type="dxa"/>
          </w:tcPr>
          <w:p w:rsidR="00C2096C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sz w:val="20"/>
                <w:szCs w:val="20"/>
              </w:rPr>
              <w:t>626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584,21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588,74</w:t>
            </w:r>
          </w:p>
        </w:tc>
      </w:tr>
      <w:tr w:rsidR="00C2096C" w:rsidTr="003D12AB">
        <w:trPr>
          <w:trHeight w:val="330"/>
          <w:jc w:val="center"/>
        </w:trPr>
        <w:tc>
          <w:tcPr>
            <w:tcW w:w="1954" w:type="dxa"/>
          </w:tcPr>
          <w:p w:rsidR="00C2096C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color w:val="000000"/>
                <w:sz w:val="20"/>
                <w:szCs w:val="20"/>
              </w:rPr>
              <w:t>-150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color w:val="000000"/>
                <w:sz w:val="20"/>
                <w:szCs w:val="20"/>
              </w:rPr>
              <w:t>-163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sz w:val="20"/>
                <w:szCs w:val="20"/>
              </w:rPr>
              <w:t>-82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-64,39</w:t>
            </w:r>
          </w:p>
        </w:tc>
        <w:tc>
          <w:tcPr>
            <w:tcW w:w="1354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60,84</w:t>
            </w:r>
          </w:p>
        </w:tc>
      </w:tr>
      <w:tr w:rsidR="00C2096C" w:rsidTr="003D12AB">
        <w:trPr>
          <w:trHeight w:val="330"/>
          <w:jc w:val="center"/>
        </w:trPr>
        <w:tc>
          <w:tcPr>
            <w:tcW w:w="8724" w:type="dxa"/>
            <w:gridSpan w:val="6"/>
          </w:tcPr>
          <w:p w:rsidR="00C2096C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Zdroj: ICEX Estacom</w:t>
            </w:r>
          </w:p>
        </w:tc>
      </w:tr>
    </w:tbl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 w:rsidRPr="002A4491">
        <w:rPr>
          <w:bdr w:val="single" w:sz="18" w:space="0" w:color="F79646"/>
        </w:rPr>
        <w:object w:dxaOrig="9014" w:dyaOrig="6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330pt" o:ole="">
            <v:imagedata r:id="rId5" o:title=""/>
            <o:lock v:ext="edit" aspectratio="f"/>
          </v:shape>
          <o:OLEObject Type="Embed" ProgID="MSGraph.Chart.8" ShapeID="_x0000_i1025" DrawAspect="Content" ObjectID="_1723555794" r:id="rId6">
            <o:FieldCodes>\s</o:FieldCodes>
          </o:OLEObject>
        </w:object>
      </w: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3"/>
        <w:gridCol w:w="1136"/>
        <w:gridCol w:w="1323"/>
      </w:tblGrid>
      <w:tr w:rsidR="00C2096C" w:rsidTr="003D12AB">
        <w:trPr>
          <w:trHeight w:val="330"/>
        </w:trPr>
        <w:tc>
          <w:tcPr>
            <w:tcW w:w="66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Hlavní položky dovozu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do </w:t>
            </w:r>
            <w:r w:rsidRPr="00ED5F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ČR z Valencie</w:t>
            </w:r>
          </w:p>
        </w:tc>
        <w:tc>
          <w:tcPr>
            <w:tcW w:w="1136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3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C2096C" w:rsidTr="003D12AB">
        <w:trPr>
          <w:trHeight w:val="315"/>
        </w:trPr>
        <w:tc>
          <w:tcPr>
            <w:tcW w:w="66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Elektrické akumulátory</w:t>
            </w:r>
          </w:p>
        </w:tc>
        <w:tc>
          <w:tcPr>
            <w:tcW w:w="1136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18,71</w:t>
            </w:r>
          </w:p>
        </w:tc>
        <w:tc>
          <w:tcPr>
            <w:tcW w:w="13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5,76</w:t>
            </w:r>
          </w:p>
        </w:tc>
      </w:tr>
      <w:tr w:rsidR="00C2096C" w:rsidTr="003D12AB">
        <w:trPr>
          <w:trHeight w:val="315"/>
        </w:trPr>
        <w:tc>
          <w:tcPr>
            <w:tcW w:w="66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Mandarinky</w:t>
            </w:r>
          </w:p>
        </w:tc>
        <w:tc>
          <w:tcPr>
            <w:tcW w:w="1136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16,48</w:t>
            </w:r>
          </w:p>
        </w:tc>
        <w:tc>
          <w:tcPr>
            <w:tcW w:w="13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5,07</w:t>
            </w:r>
          </w:p>
        </w:tc>
      </w:tr>
      <w:tr w:rsidR="00C2096C" w:rsidTr="003D12AB">
        <w:trPr>
          <w:trHeight w:val="315"/>
        </w:trPr>
        <w:tc>
          <w:tcPr>
            <w:tcW w:w="66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Pomeranče</w:t>
            </w:r>
          </w:p>
        </w:tc>
        <w:tc>
          <w:tcPr>
            <w:tcW w:w="1136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16,06</w:t>
            </w:r>
          </w:p>
        </w:tc>
        <w:tc>
          <w:tcPr>
            <w:tcW w:w="13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4,94</w:t>
            </w:r>
          </w:p>
        </w:tc>
      </w:tr>
      <w:tr w:rsidR="00C2096C" w:rsidTr="003D12AB">
        <w:trPr>
          <w:trHeight w:val="315"/>
        </w:trPr>
        <w:tc>
          <w:tcPr>
            <w:tcW w:w="66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Osobní automobily (objem válců mezi 1000 a 1500 cm</w:t>
            </w:r>
            <w:r w:rsidRPr="00281941">
              <w:rPr>
                <w:rFonts w:ascii="Arial" w:eastAsia="Arial" w:hAnsi="Arial" w:cs="Arial"/>
                <w:sz w:val="16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11,44</w:t>
            </w:r>
          </w:p>
        </w:tc>
        <w:tc>
          <w:tcPr>
            <w:tcW w:w="13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3,52</w:t>
            </w:r>
          </w:p>
        </w:tc>
      </w:tr>
      <w:tr w:rsidR="00C2096C" w:rsidTr="003D12AB">
        <w:trPr>
          <w:trHeight w:val="300"/>
        </w:trPr>
        <w:tc>
          <w:tcPr>
            <w:tcW w:w="66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Automobilové komponenty</w:t>
            </w:r>
          </w:p>
        </w:tc>
        <w:tc>
          <w:tcPr>
            <w:tcW w:w="1136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3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3,24</w:t>
            </w:r>
          </w:p>
        </w:tc>
      </w:tr>
      <w:tr w:rsidR="00C2096C" w:rsidTr="003D12AB">
        <w:trPr>
          <w:trHeight w:val="315"/>
        </w:trPr>
        <w:tc>
          <w:tcPr>
            <w:tcW w:w="66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Keramické obklady</w:t>
            </w:r>
          </w:p>
        </w:tc>
        <w:tc>
          <w:tcPr>
            <w:tcW w:w="1136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9,99</w:t>
            </w:r>
          </w:p>
        </w:tc>
        <w:tc>
          <w:tcPr>
            <w:tcW w:w="13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3,07</w:t>
            </w:r>
          </w:p>
        </w:tc>
      </w:tr>
      <w:tr w:rsidR="00C2096C" w:rsidTr="003D12AB">
        <w:trPr>
          <w:trHeight w:val="315"/>
        </w:trPr>
        <w:tc>
          <w:tcPr>
            <w:tcW w:w="66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Citrony</w:t>
            </w:r>
          </w:p>
        </w:tc>
        <w:tc>
          <w:tcPr>
            <w:tcW w:w="1136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9,89</w:t>
            </w:r>
          </w:p>
        </w:tc>
        <w:tc>
          <w:tcPr>
            <w:tcW w:w="13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3,04</w:t>
            </w:r>
          </w:p>
        </w:tc>
      </w:tr>
      <w:tr w:rsidR="00C2096C" w:rsidTr="003D12AB">
        <w:trPr>
          <w:trHeight w:val="330"/>
        </w:trPr>
        <w:tc>
          <w:tcPr>
            <w:tcW w:w="9082" w:type="dxa"/>
            <w:gridSpan w:val="3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2096C" w:rsidTr="003D12AB">
        <w:trPr>
          <w:trHeight w:val="330"/>
        </w:trPr>
        <w:tc>
          <w:tcPr>
            <w:tcW w:w="66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Hlavní položky vývozu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z </w:t>
            </w:r>
            <w:r w:rsidRPr="00ED5F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ČR do Valencie</w:t>
            </w:r>
          </w:p>
        </w:tc>
        <w:tc>
          <w:tcPr>
            <w:tcW w:w="1136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3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D5F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C2096C" w:rsidTr="003D12AB">
        <w:trPr>
          <w:trHeight w:val="315"/>
        </w:trPr>
        <w:tc>
          <w:tcPr>
            <w:tcW w:w="66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Části sedadel</w:t>
            </w:r>
          </w:p>
        </w:tc>
        <w:tc>
          <w:tcPr>
            <w:tcW w:w="1136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37,43</w:t>
            </w:r>
          </w:p>
        </w:tc>
        <w:tc>
          <w:tcPr>
            <w:tcW w:w="13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14,18</w:t>
            </w:r>
          </w:p>
        </w:tc>
      </w:tr>
      <w:tr w:rsidR="00C2096C" w:rsidTr="003D12AB">
        <w:trPr>
          <w:trHeight w:val="315"/>
        </w:trPr>
        <w:tc>
          <w:tcPr>
            <w:tcW w:w="66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Automobily</w:t>
            </w:r>
          </w:p>
        </w:tc>
        <w:tc>
          <w:tcPr>
            <w:tcW w:w="1136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23,83</w:t>
            </w:r>
          </w:p>
        </w:tc>
        <w:tc>
          <w:tcPr>
            <w:tcW w:w="13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9,03</w:t>
            </w:r>
          </w:p>
        </w:tc>
      </w:tr>
      <w:tr w:rsidR="00C2096C" w:rsidTr="003D12AB">
        <w:trPr>
          <w:trHeight w:val="315"/>
        </w:trPr>
        <w:tc>
          <w:tcPr>
            <w:tcW w:w="66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Části klimatizačních zařízení</w:t>
            </w:r>
          </w:p>
        </w:tc>
        <w:tc>
          <w:tcPr>
            <w:tcW w:w="1136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3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7,99</w:t>
            </w:r>
          </w:p>
        </w:tc>
      </w:tr>
      <w:tr w:rsidR="00C2096C" w:rsidTr="003D12AB">
        <w:trPr>
          <w:trHeight w:val="315"/>
        </w:trPr>
        <w:tc>
          <w:tcPr>
            <w:tcW w:w="66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Díly a příslušenství karoserie</w:t>
            </w:r>
          </w:p>
        </w:tc>
        <w:tc>
          <w:tcPr>
            <w:tcW w:w="1136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17,68</w:t>
            </w:r>
          </w:p>
        </w:tc>
        <w:tc>
          <w:tcPr>
            <w:tcW w:w="13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6,7</w:t>
            </w:r>
          </w:p>
        </w:tc>
      </w:tr>
      <w:tr w:rsidR="00C2096C" w:rsidTr="003D12AB">
        <w:trPr>
          <w:trHeight w:val="315"/>
        </w:trPr>
        <w:tc>
          <w:tcPr>
            <w:tcW w:w="66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Elektrické akumulátory</w:t>
            </w:r>
          </w:p>
        </w:tc>
        <w:tc>
          <w:tcPr>
            <w:tcW w:w="1136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11,09</w:t>
            </w:r>
          </w:p>
        </w:tc>
        <w:tc>
          <w:tcPr>
            <w:tcW w:w="1323" w:type="dxa"/>
            <w:vAlign w:val="center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4,2</w:t>
            </w:r>
          </w:p>
        </w:tc>
      </w:tr>
      <w:tr w:rsidR="00C2096C" w:rsidTr="003D12AB">
        <w:trPr>
          <w:trHeight w:val="315"/>
        </w:trPr>
        <w:tc>
          <w:tcPr>
            <w:tcW w:w="66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Zařízení pro rozvod elektriky  </w:t>
            </w:r>
          </w:p>
        </w:tc>
        <w:tc>
          <w:tcPr>
            <w:tcW w:w="1136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13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3,8</w:t>
            </w:r>
          </w:p>
        </w:tc>
      </w:tr>
      <w:tr w:rsidR="00C2096C" w:rsidTr="003D12AB">
        <w:trPr>
          <w:trHeight w:val="315"/>
        </w:trPr>
        <w:tc>
          <w:tcPr>
            <w:tcW w:w="66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Bílkovinné koncentráty</w:t>
            </w:r>
          </w:p>
        </w:tc>
        <w:tc>
          <w:tcPr>
            <w:tcW w:w="1136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9,42</w:t>
            </w:r>
          </w:p>
        </w:tc>
        <w:tc>
          <w:tcPr>
            <w:tcW w:w="1323" w:type="dxa"/>
          </w:tcPr>
          <w:p w:rsidR="00C2096C" w:rsidRPr="00ED5FB6" w:rsidRDefault="00C2096C" w:rsidP="003D1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3,57</w:t>
            </w:r>
          </w:p>
        </w:tc>
      </w:tr>
    </w:tbl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Zdroj: ICEX Estacom</w:t>
      </w: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  <w:u w:val="single"/>
        </w:rPr>
      </w:pPr>
      <w:r>
        <w:br w:type="page"/>
      </w: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noProof/>
          <w:color w:val="000000"/>
          <w:sz w:val="28"/>
          <w:szCs w:val="28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2BA835F0" wp14:editId="6F29FC25">
            <wp:simplePos x="0" y="0"/>
            <wp:positionH relativeFrom="margin">
              <wp:align>center</wp:align>
            </wp:positionH>
            <wp:positionV relativeFrom="paragraph">
              <wp:posOffset>342900</wp:posOffset>
            </wp:positionV>
            <wp:extent cx="5755005" cy="4114165"/>
            <wp:effectExtent l="0" t="0" r="17145" b="635"/>
            <wp:wrapTopAndBottom/>
            <wp:docPr id="4" name="Graf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</w:rPr>
      </w:pPr>
      <w:r>
        <w:rPr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38BB0DFB" wp14:editId="7B141771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5755005" cy="4114165"/>
            <wp:effectExtent l="0" t="0" r="17145" b="635"/>
            <wp:wrapTopAndBottom/>
            <wp:docPr id="2" name="Graf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bookmarkStart w:id="0" w:name="_GoBack"/>
      <w:bookmarkEnd w:id="0"/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u w:val="single"/>
        </w:rPr>
      </w:pPr>
    </w:p>
    <w:p w:rsidR="00C2096C" w:rsidRDefault="00C2096C" w:rsidP="00C209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</w:p>
    <w:p w:rsidR="00C2096C" w:rsidRDefault="00C2096C" w:rsidP="00C2096C">
      <w:pPr>
        <w:ind w:leftChars="0" w:left="2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Podíl autonomních oblastí na zahraničním obchodu Španělska s ČR</w:t>
      </w:r>
    </w:p>
    <w:p w:rsidR="00C2096C" w:rsidRDefault="00C2096C" w:rsidP="00C2096C">
      <w:pPr>
        <w:ind w:leftChars="0" w:left="2" w:hanging="2"/>
        <w:jc w:val="center"/>
      </w:pPr>
      <w:r>
        <w:rPr>
          <w:rFonts w:ascii="Arial" w:hAnsi="Arial" w:cs="Arial"/>
          <w:b/>
          <w:sz w:val="20"/>
          <w:szCs w:val="20"/>
        </w:rPr>
        <w:t>(obrat)</w:t>
      </w:r>
    </w:p>
    <w:p w:rsidR="00C2096C" w:rsidRDefault="00C2096C" w:rsidP="00C2096C">
      <w:pPr>
        <w:ind w:leftChars="0" w:left="2" w:hanging="2"/>
      </w:pPr>
    </w:p>
    <w:p w:rsidR="00C2096C" w:rsidRDefault="00C2096C" w:rsidP="00C2096C">
      <w:pPr>
        <w:ind w:leftChars="0" w:left="2" w:hanging="2"/>
      </w:pPr>
    </w:p>
    <w:p w:rsidR="00C2096C" w:rsidRDefault="00C2096C" w:rsidP="00C2096C">
      <w:pPr>
        <w:ind w:leftChars="0" w:left="2" w:hanging="2"/>
      </w:pPr>
    </w:p>
    <w:p w:rsidR="00C2096C" w:rsidRDefault="00C2096C" w:rsidP="00C2096C">
      <w:pPr>
        <w:ind w:leftChars="0" w:left="2" w:hanging="2"/>
      </w:pPr>
      <w:r>
        <w:rPr>
          <w:noProof/>
        </w:rPr>
        <w:drawing>
          <wp:inline distT="0" distB="0" distL="0" distR="0" wp14:anchorId="4CD45245" wp14:editId="0865039A">
            <wp:extent cx="6324600" cy="7562850"/>
            <wp:effectExtent l="0" t="0" r="0" b="0"/>
            <wp:docPr id="3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68B1" w:rsidRDefault="00D900DE">
      <w:pPr>
        <w:ind w:left="0" w:hanging="2"/>
      </w:pPr>
    </w:p>
    <w:sectPr w:rsidR="006768B1">
      <w:pgSz w:w="11906" w:h="16838"/>
      <w:pgMar w:top="851" w:right="851" w:bottom="720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17825"/>
    <w:multiLevelType w:val="hybridMultilevel"/>
    <w:tmpl w:val="CDD4B3D8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6C"/>
    <w:rsid w:val="00056BD8"/>
    <w:rsid w:val="00350CC4"/>
    <w:rsid w:val="00C2096C"/>
    <w:rsid w:val="00D900DE"/>
    <w:rsid w:val="00F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B75A0B1-B749-447E-B6B8-332AFF06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209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Dovoz do ČR z oblasti Valencie</a:t>
            </a:r>
          </a:p>
        </c:rich>
      </c:tx>
      <c:layout>
        <c:manualLayout>
          <c:xMode val="edge"/>
          <c:yMode val="edge"/>
          <c:x val="0.26351567027309275"/>
          <c:y val="3.39558573853989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7142857142857144"/>
          <c:y val="0.33175355450236965"/>
          <c:w val="0.41344537815126048"/>
          <c:h val="0.3625592417061611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4CA5-46F6-B377-9080224B6EE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4CA5-46F6-B377-9080224B6EE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4CA5-46F6-B377-9080224B6EE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4CA5-46F6-B377-9080224B6EE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4CA5-46F6-B377-9080224B6EE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4CA5-46F6-B377-9080224B6EE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4CA5-46F6-B377-9080224B6EE3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4CA5-46F6-B377-9080224B6EE3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4CA5-46F6-B377-9080224B6EE3}"/>
              </c:ext>
            </c:extLst>
          </c:dPt>
          <c:dLbls>
            <c:dLbl>
              <c:idx val="0"/>
              <c:layout>
                <c:manualLayout>
                  <c:x val="-0.25925537857916725"/>
                  <c:y val="-0.1007810819449390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CA5-46F6-B377-9080224B6EE3}"/>
                </c:ext>
              </c:extLst>
            </c:dLbl>
            <c:dLbl>
              <c:idx val="1"/>
              <c:layout>
                <c:manualLayout>
                  <c:x val="-0.11156184920777662"/>
                  <c:y val="-0.12856436239188271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188016344034451"/>
                      <c:h val="7.70797962648556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CA5-46F6-B377-9080224B6EE3}"/>
                </c:ext>
              </c:extLst>
            </c:dLbl>
            <c:dLbl>
              <c:idx val="2"/>
              <c:layout>
                <c:manualLayout>
                  <c:x val="4.9874153019849682E-2"/>
                  <c:y val="-0.2188983669833368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Pomeranče 
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CA5-46F6-B377-9080224B6EE3}"/>
                </c:ext>
              </c:extLst>
            </c:dLbl>
            <c:dLbl>
              <c:idx val="3"/>
              <c:layout>
                <c:manualLayout>
                  <c:x val="2.5373392377591331E-2"/>
                  <c:y val="-0.1466076348420639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CA5-46F6-B377-9080224B6EE3}"/>
                </c:ext>
              </c:extLst>
            </c:dLbl>
            <c:dLbl>
              <c:idx val="4"/>
              <c:layout>
                <c:manualLayout>
                  <c:x val="4.5676241810389227E-2"/>
                  <c:y val="-5.999273242565623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CA5-46F6-B377-9080224B6EE3}"/>
                </c:ext>
              </c:extLst>
            </c:dLbl>
            <c:dLbl>
              <c:idx val="5"/>
              <c:layout>
                <c:manualLayout>
                  <c:x val="4.5565555546865843E-3"/>
                  <c:y val="1.1281268495551288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4CA5-46F6-B377-9080224B6EE3}"/>
                </c:ext>
              </c:extLst>
            </c:dLbl>
            <c:dLbl>
              <c:idx val="6"/>
              <c:layout>
                <c:manualLayout>
                  <c:x val="6.9730087115476014E-2"/>
                  <c:y val="6.107022931749201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4CA5-46F6-B377-9080224B6EE3}"/>
                </c:ext>
              </c:extLst>
            </c:dLbl>
            <c:dLbl>
              <c:idx val="7"/>
              <c:layout>
                <c:manualLayout>
                  <c:x val="-6.3544167207500252E-2"/>
                  <c:y val="-0.1001656472212466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4CA5-46F6-B377-9080224B6EE3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4403361344537815"/>
                  <c:y val="0.1161137440758293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CA5-46F6-B377-9080224B6EE3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60672268907563021"/>
                  <c:y val="0.1042654028436018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CA5-46F6-B377-9080224B6EE3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Elektrické akumulátory</c:v>
                </c:pt>
                <c:pt idx="1">
                  <c:v>Mandarinky</c:v>
                </c:pt>
                <c:pt idx="2">
                  <c:v>Pomeranče</c:v>
                </c:pt>
                <c:pt idx="3">
                  <c:v>Osobní automobily</c:v>
                </c:pt>
                <c:pt idx="4">
                  <c:v>Automobilové komponenty</c:v>
                </c:pt>
                <c:pt idx="5">
                  <c:v>Keramické obklady</c:v>
                </c:pt>
                <c:pt idx="6">
                  <c:v>Citrony</c:v>
                </c:pt>
                <c:pt idx="7">
                  <c:v>Další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4CA5-46F6-B377-9080224B6EE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4CA5-46F6-B377-9080224B6EE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4CA5-46F6-B377-9080224B6EE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4CA5-46F6-B377-9080224B6EE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4CA5-46F6-B377-9080224B6EE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4CA5-46F6-B377-9080224B6EE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4CA5-46F6-B377-9080224B6EE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4CA5-46F6-B377-9080224B6EE3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3-4CA5-46F6-B377-9080224B6EE3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Elektrické akumulátory</c:v>
                </c:pt>
                <c:pt idx="1">
                  <c:v>Mandarinky</c:v>
                </c:pt>
                <c:pt idx="2">
                  <c:v>Pomeranče</c:v>
                </c:pt>
                <c:pt idx="3">
                  <c:v>Osobní automobily</c:v>
                </c:pt>
                <c:pt idx="4">
                  <c:v>Automobilové komponenty</c:v>
                </c:pt>
                <c:pt idx="5">
                  <c:v>Keramické obklady</c:v>
                </c:pt>
                <c:pt idx="6">
                  <c:v>Citrony</c:v>
                </c:pt>
                <c:pt idx="7">
                  <c:v>Další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24-4CA5-46F6-B377-9080224B6EE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6-4CA5-46F6-B377-9080224B6EE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8-4CA5-46F6-B377-9080224B6EE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A-4CA5-46F6-B377-9080224B6EE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C-4CA5-46F6-B377-9080224B6EE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E-4CA5-46F6-B377-9080224B6EE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0-4CA5-46F6-B377-9080224B6EE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2-4CA5-46F6-B377-9080224B6EE3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4-4CA5-46F6-B377-9080224B6EE3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Elektrické akumulátory</c:v>
                </c:pt>
                <c:pt idx="1">
                  <c:v>Mandarinky</c:v>
                </c:pt>
                <c:pt idx="2">
                  <c:v>Pomeranče</c:v>
                </c:pt>
                <c:pt idx="3">
                  <c:v>Osobní automobily</c:v>
                </c:pt>
                <c:pt idx="4">
                  <c:v>Automobilové komponenty</c:v>
                </c:pt>
                <c:pt idx="5">
                  <c:v>Keramické obklady</c:v>
                </c:pt>
                <c:pt idx="6">
                  <c:v>Citrony</c:v>
                </c:pt>
                <c:pt idx="7">
                  <c:v>Další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35-4CA5-46F6-B377-9080224B6EE3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Vývoz z ČR do oblasti Valencie</a:t>
            </a:r>
          </a:p>
        </c:rich>
      </c:tx>
      <c:layout>
        <c:manualLayout>
          <c:xMode val="edge"/>
          <c:yMode val="edge"/>
          <c:x val="0.30985794104436049"/>
          <c:y val="3.39558573853989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7142857142857144"/>
          <c:y val="0.33175355450236965"/>
          <c:w val="0.41344537815126048"/>
          <c:h val="0.3625592417061611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99F-4070-89CF-143C9196391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299F-4070-89CF-143C9196391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299F-4070-89CF-143C9196391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299F-4070-89CF-143C9196391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299F-4070-89CF-143C9196391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299F-4070-89CF-143C9196391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299F-4070-89CF-143C9196391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299F-4070-89CF-143C9196391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299F-4070-89CF-143C9196391A}"/>
              </c:ext>
            </c:extLst>
          </c:dPt>
          <c:dLbls>
            <c:dLbl>
              <c:idx val="0"/>
              <c:layout>
                <c:manualLayout>
                  <c:x val="5.41067202162554E-2"/>
                  <c:y val="-7.299911011985565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99F-4070-89CF-143C9196391A}"/>
                </c:ext>
              </c:extLst>
            </c:dLbl>
            <c:dLbl>
              <c:idx val="1"/>
              <c:layout>
                <c:manualLayout>
                  <c:x val="4.6222548894397135E-2"/>
                  <c:y val="-2.978368636163115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99F-4070-89CF-143C9196391A}"/>
                </c:ext>
              </c:extLst>
            </c:dLbl>
            <c:dLbl>
              <c:idx val="2"/>
              <c:layout>
                <c:manualLayout>
                  <c:x val="0"/>
                  <c:y val="-4.911908005634198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Části</a:t>
                    </a:r>
                    <a:r>
                      <a:rPr lang="en-US" baseline="0"/>
                      <a:t> klimatizačních zařízení</a:t>
                    </a:r>
                    <a:r>
                      <a:rPr lang="en-US"/>
                      <a:t>
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99F-4070-89CF-143C9196391A}"/>
                </c:ext>
              </c:extLst>
            </c:dLbl>
            <c:dLbl>
              <c:idx val="3"/>
              <c:layout>
                <c:manualLayout>
                  <c:x val="2.7580167176223132E-2"/>
                  <c:y val="-1.695799755235874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99F-4070-89CF-143C9196391A}"/>
                </c:ext>
              </c:extLst>
            </c:dLbl>
            <c:dLbl>
              <c:idx val="4"/>
              <c:layout>
                <c:manualLayout>
                  <c:x val="2.3608493824071233E-2"/>
                  <c:y val="2.335346297486853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99F-4070-89CF-143C9196391A}"/>
                </c:ext>
              </c:extLst>
            </c:dLbl>
            <c:dLbl>
              <c:idx val="5"/>
              <c:layout>
                <c:manualLayout>
                  <c:x val="-2.8545066424790166E-2"/>
                  <c:y val="5.758471038473177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299F-4070-89CF-143C9196391A}"/>
                </c:ext>
              </c:extLst>
            </c:dLbl>
            <c:dLbl>
              <c:idx val="6"/>
              <c:layout>
                <c:manualLayout>
                  <c:x val="-0.22597773590118522"/>
                  <c:y val="5.798333319154676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299F-4070-89CF-143C9196391A}"/>
                </c:ext>
              </c:extLst>
            </c:dLbl>
            <c:dLbl>
              <c:idx val="7"/>
              <c:layout>
                <c:manualLayout>
                  <c:x val="-4.3683194019814055E-2"/>
                  <c:y val="-0.12794771235475486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299F-4070-89CF-143C9196391A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4403361344537815"/>
                  <c:y val="0.1161137440758293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99F-4070-89CF-143C9196391A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60672268907563021"/>
                  <c:y val="0.1042654028436018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99F-4070-89CF-143C9196391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Části sedadel</c:v>
                </c:pt>
                <c:pt idx="1">
                  <c:v>Automobily</c:v>
                </c:pt>
                <c:pt idx="2">
                  <c:v>Části klimatizačních zařízení</c:v>
                </c:pt>
                <c:pt idx="3">
                  <c:v>Díly a příslušenství karoserie</c:v>
                </c:pt>
                <c:pt idx="4">
                  <c:v>Elektrické akumulátory</c:v>
                </c:pt>
                <c:pt idx="5">
                  <c:v>Zařízení pro rozvod elektriky</c:v>
                </c:pt>
                <c:pt idx="6">
                  <c:v>Bílkovinné koncentráty</c:v>
                </c:pt>
                <c:pt idx="7">
                  <c:v>Další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14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299F-4070-89CF-143C9196391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299F-4070-89CF-143C9196391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299F-4070-89CF-143C9196391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299F-4070-89CF-143C9196391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299F-4070-89CF-143C9196391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299F-4070-89CF-143C9196391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299F-4070-89CF-143C9196391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299F-4070-89CF-143C9196391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3-299F-4070-89CF-143C9196391A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Části sedadel</c:v>
                </c:pt>
                <c:pt idx="1">
                  <c:v>Automobily</c:v>
                </c:pt>
                <c:pt idx="2">
                  <c:v>Části klimatizačních zařízení</c:v>
                </c:pt>
                <c:pt idx="3">
                  <c:v>Díly a příslušenství karoserie</c:v>
                </c:pt>
                <c:pt idx="4">
                  <c:v>Elektrické akumulátory</c:v>
                </c:pt>
                <c:pt idx="5">
                  <c:v>Zařízení pro rozvod elektriky</c:v>
                </c:pt>
                <c:pt idx="6">
                  <c:v>Bílkovinné koncentráty</c:v>
                </c:pt>
                <c:pt idx="7">
                  <c:v>Další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24-299F-4070-89CF-143C9196391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6-299F-4070-89CF-143C9196391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8-299F-4070-89CF-143C9196391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A-299F-4070-89CF-143C9196391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C-299F-4070-89CF-143C9196391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E-299F-4070-89CF-143C9196391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0-299F-4070-89CF-143C9196391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2-299F-4070-89CF-143C9196391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4-299F-4070-89CF-143C9196391A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Části sedadel</c:v>
                </c:pt>
                <c:pt idx="1">
                  <c:v>Automobily</c:v>
                </c:pt>
                <c:pt idx="2">
                  <c:v>Části klimatizačních zařízení</c:v>
                </c:pt>
                <c:pt idx="3">
                  <c:v>Díly a příslušenství karoserie</c:v>
                </c:pt>
                <c:pt idx="4">
                  <c:v>Elektrické akumulátory</c:v>
                </c:pt>
                <c:pt idx="5">
                  <c:v>Zařízení pro rozvod elektriky</c:v>
                </c:pt>
                <c:pt idx="6">
                  <c:v>Bílkovinné koncentráty</c:v>
                </c:pt>
                <c:pt idx="7">
                  <c:v>Další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35-299F-4070-89CF-143C9196391A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47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95A-45A6-9B74-4B4D61F1460E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47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95A-45A6-9B74-4B4D61F1460E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47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95A-45A6-9B74-4B4D61F1460E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47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95A-45A6-9B74-4B4D61F1460E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47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95A-45A6-9B74-4B4D61F1460E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47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95A-45A6-9B74-4B4D61F1460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47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95A-45A6-9B74-4B4D61F1460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47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95A-45A6-9B74-4B4D61F1460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47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A95A-45A6-9B74-4B4D61F1460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47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A95A-45A6-9B74-4B4D61F1460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  <a:alpha val="90000"/>
                </a:schemeClr>
              </a:solidFill>
              <a:ln w="19047">
                <a:solidFill>
                  <a:schemeClr val="accent5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A95A-45A6-9B74-4B4D61F1460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  <a:alpha val="90000"/>
                </a:schemeClr>
              </a:solidFill>
              <a:ln w="19047">
                <a:solidFill>
                  <a:schemeClr val="accent6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A95A-45A6-9B74-4B4D61F1460E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1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A95A-45A6-9B74-4B4D61F1460E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2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A95A-45A6-9B74-4B4D61F1460E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3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A95A-45A6-9B74-4B4D61F1460E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4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A95A-45A6-9B74-4B4D61F1460E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5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A95A-45A6-9B74-4B4D61F1460E}"/>
              </c:ext>
            </c:extLst>
          </c:dPt>
          <c:dLbls>
            <c:dLbl>
              <c:idx val="0"/>
              <c:layout>
                <c:manualLayout>
                  <c:x val="-0.23654899596880527"/>
                  <c:y val="8.873657838224767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95A-45A6-9B74-4B4D61F1460E}"/>
                </c:ext>
              </c:extLst>
            </c:dLbl>
            <c:dLbl>
              <c:idx val="1"/>
              <c:layout>
                <c:manualLayout>
                  <c:x val="-0.16287499947674014"/>
                  <c:y val="-0.2090201224846895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95A-45A6-9B74-4B4D61F1460E}"/>
                </c:ext>
              </c:extLst>
            </c:dLbl>
            <c:dLbl>
              <c:idx val="2"/>
              <c:layout>
                <c:manualLayout>
                  <c:x val="8.5690891509374728E-2"/>
                  <c:y val="-0.147542220101275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95A-45A6-9B74-4B4D61F1460E}"/>
                </c:ext>
              </c:extLst>
            </c:dLbl>
            <c:dLbl>
              <c:idx val="3"/>
              <c:layout>
                <c:manualLayout>
                  <c:x val="0.14421565129132272"/>
                  <c:y val="-0.143595402847371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95A-45A6-9B74-4B4D61F1460E}"/>
                </c:ext>
              </c:extLst>
            </c:dLbl>
            <c:dLbl>
              <c:idx val="4"/>
              <c:layout>
                <c:manualLayout>
                  <c:x val="6.4451158106747231E-2"/>
                  <c:y val="-9.212081444364915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95A-45A6-9B74-4B4D61F1460E}"/>
                </c:ext>
              </c:extLst>
            </c:dLbl>
            <c:dLbl>
              <c:idx val="5"/>
              <c:layout>
                <c:manualLayout>
                  <c:x val="0.18731117824773413"/>
                  <c:y val="-4.825048384103502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A95A-45A6-9B74-4B4D61F1460E}"/>
                </c:ext>
              </c:extLst>
            </c:dLbl>
            <c:dLbl>
              <c:idx val="6"/>
              <c:layout>
                <c:manualLayout>
                  <c:x val="0.10274250461894679"/>
                  <c:y val="2.634428272223548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95A-45A6-9B74-4B4D61F1460E}"/>
                </c:ext>
              </c:extLst>
            </c:dLbl>
            <c:dLbl>
              <c:idx val="7"/>
              <c:layout>
                <c:manualLayout>
                  <c:x val="4.8121892618407595E-2"/>
                  <c:y val="1.871351308359179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95A-45A6-9B74-4B4D61F1460E}"/>
                </c:ext>
              </c:extLst>
            </c:dLbl>
            <c:dLbl>
              <c:idx val="8"/>
              <c:layout>
                <c:manualLayout>
                  <c:x val="-3.0505189872413983E-2"/>
                  <c:y val="9.762984172432992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A95A-45A6-9B74-4B4D61F1460E}"/>
                </c:ext>
              </c:extLst>
            </c:dLbl>
            <c:dLbl>
              <c:idx val="9"/>
              <c:layout>
                <c:manualLayout>
                  <c:x val="7.9231312098072326E-2"/>
                  <c:y val="6.57844852726742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A95A-45A6-9B74-4B4D61F1460E}"/>
                </c:ext>
              </c:extLst>
            </c:dLbl>
            <c:dLbl>
              <c:idx val="10"/>
              <c:layout>
                <c:manualLayout>
                  <c:x val="-1.8570624291298934E-2"/>
                  <c:y val="-1.892017285718073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A95A-45A6-9B74-4B4D61F1460E}"/>
                </c:ext>
              </c:extLst>
            </c:dLbl>
            <c:dLbl>
              <c:idx val="11"/>
              <c:layout>
                <c:manualLayout>
                  <c:x val="-0.29485913203447756"/>
                  <c:y val="-0.1025728412736286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A95A-45A6-9B74-4B4D61F1460E}"/>
                </c:ext>
              </c:extLst>
            </c:dLbl>
            <c:dLbl>
              <c:idx val="12"/>
              <c:layout>
                <c:manualLayout>
                  <c:x val="-0.10098849426299057"/>
                  <c:y val="-0.1059398446406320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A95A-45A6-9B74-4B4D61F1460E}"/>
                </c:ext>
              </c:extLst>
            </c:dLbl>
            <c:dLbl>
              <c:idx val="13"/>
              <c:layout>
                <c:manualLayout>
                  <c:x val="0.12800707203266259"/>
                  <c:y val="-9.804369150825843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La Rioja
0,3%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A95A-45A6-9B74-4B4D61F1460E}"/>
                </c:ext>
              </c:extLst>
            </c:dLbl>
            <c:dLbl>
              <c:idx val="14"/>
              <c:layout>
                <c:manualLayout>
                  <c:x val="0.2066996534798709"/>
                  <c:y val="-3.972242106100375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Asturie
0.35%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A95A-45A6-9B74-4B4D61F1460E}"/>
                </c:ext>
              </c:extLst>
            </c:dLbl>
            <c:dLbl>
              <c:idx val="15"/>
              <c:layout>
                <c:manualLayout>
                  <c:x val="0.30472107904940871"/>
                  <c:y val="2.160515920358440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Bal. ostrovy
0,21%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A95A-45A6-9B74-4B4D61F1460E}"/>
                </c:ext>
              </c:extLst>
            </c:dLbl>
            <c:dLbl>
              <c:idx val="16"/>
              <c:layout>
                <c:manualLayout>
                  <c:x val="0.41041463472655026"/>
                  <c:y val="8.62997428351758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Extremadura
0,11%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A95A-45A6-9B74-4B4D61F1460E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698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4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Hoja1!$A$2:$A$18</c:f>
              <c:strCache>
                <c:ptCount val="17"/>
                <c:pt idx="0">
                  <c:v>Katalánsko</c:v>
                </c:pt>
                <c:pt idx="1">
                  <c:v>Madrid</c:v>
                </c:pt>
                <c:pt idx="2">
                  <c:v>Valencie</c:v>
                </c:pt>
                <c:pt idx="3">
                  <c:v>Baskicko</c:v>
                </c:pt>
                <c:pt idx="4">
                  <c:v>Kastilie a León</c:v>
                </c:pt>
                <c:pt idx="5">
                  <c:v>Navarra</c:v>
                </c:pt>
                <c:pt idx="6">
                  <c:v>Aragon</c:v>
                </c:pt>
                <c:pt idx="7">
                  <c:v>Galicie</c:v>
                </c:pt>
                <c:pt idx="8">
                  <c:v>Kastilie-La Mancha</c:v>
                </c:pt>
                <c:pt idx="9">
                  <c:v>Andalusie</c:v>
                </c:pt>
                <c:pt idx="10">
                  <c:v>Murcie</c:v>
                </c:pt>
                <c:pt idx="11">
                  <c:v>Kan. ostrovy</c:v>
                </c:pt>
                <c:pt idx="12">
                  <c:v>Kantábrie</c:v>
                </c:pt>
                <c:pt idx="13">
                  <c:v>La Rioja</c:v>
                </c:pt>
                <c:pt idx="14">
                  <c:v>Asturie</c:v>
                </c:pt>
                <c:pt idx="15">
                  <c:v>Bal. ostrovy</c:v>
                </c:pt>
                <c:pt idx="16">
                  <c:v>Extremadura</c:v>
                </c:pt>
              </c:strCache>
            </c:strRef>
          </c:cat>
          <c:val>
            <c:numRef>
              <c:f>Hoja1!$B$2:$B$18</c:f>
              <c:numCache>
                <c:formatCode>#,##0</c:formatCode>
                <c:ptCount val="17"/>
                <c:pt idx="0" formatCode="General">
                  <c:v>2423</c:v>
                </c:pt>
                <c:pt idx="1">
                  <c:v>1186</c:v>
                </c:pt>
                <c:pt idx="2" formatCode="General">
                  <c:v>589</c:v>
                </c:pt>
                <c:pt idx="3" formatCode="General">
                  <c:v>519</c:v>
                </c:pt>
                <c:pt idx="4" formatCode="General">
                  <c:v>322</c:v>
                </c:pt>
                <c:pt idx="5" formatCode="General">
                  <c:v>640</c:v>
                </c:pt>
                <c:pt idx="6" formatCode="General">
                  <c:v>316</c:v>
                </c:pt>
                <c:pt idx="7" formatCode="General">
                  <c:v>245</c:v>
                </c:pt>
                <c:pt idx="8" formatCode="General">
                  <c:v>199</c:v>
                </c:pt>
                <c:pt idx="9" formatCode="General">
                  <c:v>374</c:v>
                </c:pt>
                <c:pt idx="10" formatCode="General">
                  <c:v>119</c:v>
                </c:pt>
                <c:pt idx="11" formatCode="General">
                  <c:v>101</c:v>
                </c:pt>
                <c:pt idx="12" formatCode="General">
                  <c:v>32</c:v>
                </c:pt>
                <c:pt idx="13" formatCode="General">
                  <c:v>19</c:v>
                </c:pt>
                <c:pt idx="14" formatCode="General">
                  <c:v>25</c:v>
                </c:pt>
                <c:pt idx="15" formatCode="General">
                  <c:v>15</c:v>
                </c:pt>
                <c:pt idx="16" formatCode="General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A95A-45A6-9B74-4B4D61F146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Brožek Jan</dc:creator>
  <cp:keywords/>
  <dc:description/>
  <cp:lastModifiedBy>Brožek Jan</cp:lastModifiedBy>
  <cp:revision>2</cp:revision>
  <dcterms:created xsi:type="dcterms:W3CDTF">2022-08-29T09:22:00Z</dcterms:created>
  <dcterms:modified xsi:type="dcterms:W3CDTF">2022-09-01T14:44:00Z</dcterms:modified>
</cp:coreProperties>
</file>