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EB" w:rsidRDefault="00FF0DEB" w:rsidP="00FF0D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ctángu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9F9B" id="Rectá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99XQ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NlEb31dAgAArg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:rsidR="00FF0DEB" w:rsidRDefault="00FF0DEB" w:rsidP="00FF0D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FF0DEB" w:rsidRDefault="00FF0DEB" w:rsidP="00FF0DE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 </w:t>
      </w:r>
      <w:proofErr w:type="spellStart"/>
      <w:r>
        <w:rPr>
          <w:rFonts w:ascii="Arial" w:eastAsia="Arial" w:hAnsi="Arial" w:cs="Arial"/>
          <w:b/>
          <w:color w:val="000000"/>
        </w:rPr>
        <w:t>Rioja</w:t>
      </w:r>
      <w:proofErr w:type="spellEnd"/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rozloha: 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>045 km</w:t>
      </w:r>
      <w:r w:rsidRPr="00F54B90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E30259">
        <w:rPr>
          <w:rFonts w:ascii="Arial" w:eastAsia="Arial" w:hAnsi="Arial" w:cs="Arial"/>
          <w:color w:val="000000"/>
          <w:sz w:val="20"/>
          <w:szCs w:val="20"/>
        </w:rPr>
        <w:t>319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tis. 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průmysl – chemické produkty, těžba nekovových minerálů, obuv, nábytek 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zemědělství – víno, polotovary, ovocné a zeleninové konzervy, chov dobytka</w: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tvorba HDP – z toho 5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% služby, 2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>,6 % průmysl (vč. energetiky), 5,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% stavebnictví,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6,8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% zemědělství (</w:t>
      </w:r>
      <w:r w:rsidRPr="006E7F3F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>
        <w:rPr>
          <w:rFonts w:ascii="Arial" w:eastAsia="Arial" w:hAnsi="Arial" w:cs="Arial"/>
          <w:color w:val="000000"/>
          <w:sz w:val="20"/>
          <w:szCs w:val="20"/>
        </w:rPr>
        <w:t>3,8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HDP na obyvatele: 2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714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6E7F3F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F54B90">
        <w:rPr>
          <w:rFonts w:ascii="Arial" w:eastAsia="Arial" w:hAnsi="Arial" w:cs="Arial"/>
          <w:color w:val="000000"/>
          <w:sz w:val="20"/>
          <w:szCs w:val="20"/>
        </w:rPr>
        <w:t>)</w:t>
      </w:r>
      <w:r w:rsidRPr="00F54B90">
        <w:rPr>
          <w:rFonts w:ascii="Arial" w:eastAsia="Arial" w:hAnsi="Arial" w:cs="Arial"/>
          <w:color w:val="000000"/>
          <w:sz w:val="20"/>
          <w:szCs w:val="20"/>
        </w:rPr>
        <w:br/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vývoz – Francie, SRN, UK, Portugalsko, USA, Itálie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víno, obuv, chemické produkty, dřevěné polotovary, kovové obaly</w: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dovoz – SRN, Francie, Čína, Portugalsko, Itálie, Belgie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chemické výrobky, tabák, konzervy, dřevěné a ostatní obaly, automobilové komponenty</w: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nejvýznamnější zahraniční investoři v La </w:t>
      </w:r>
      <w:proofErr w:type="spellStart"/>
      <w:r w:rsidRPr="00F54B90">
        <w:rPr>
          <w:rFonts w:ascii="Arial" w:eastAsia="Arial" w:hAnsi="Arial" w:cs="Arial"/>
          <w:color w:val="000000"/>
          <w:sz w:val="20"/>
          <w:szCs w:val="20"/>
        </w:rPr>
        <w:t>Rioja</w:t>
      </w:r>
      <w:proofErr w:type="spellEnd"/>
      <w:r w:rsidRPr="00F54B90">
        <w:rPr>
          <w:rFonts w:ascii="Arial" w:eastAsia="Arial" w:hAnsi="Arial" w:cs="Arial"/>
          <w:color w:val="000000"/>
          <w:sz w:val="20"/>
          <w:szCs w:val="20"/>
        </w:rPr>
        <w:t xml:space="preserve"> – SRN, Nizozemsko</w:t>
      </w:r>
    </w:p>
    <w:p w:rsidR="00FF0DEB" w:rsidRPr="00F54B90" w:rsidRDefault="00FF0DEB" w:rsidP="00FF0DEB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54B90">
        <w:rPr>
          <w:rFonts w:ascii="Arial" w:eastAsia="Arial" w:hAnsi="Arial" w:cs="Arial"/>
          <w:color w:val="000000"/>
          <w:sz w:val="20"/>
          <w:szCs w:val="20"/>
        </w:rPr>
        <w:t>potravinářský průmysl, kožedělný průmysl, poradenské služby</w: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426"/>
        <w:gridCol w:w="1426"/>
        <w:gridCol w:w="1426"/>
        <w:gridCol w:w="1426"/>
        <w:gridCol w:w="1426"/>
      </w:tblGrid>
      <w:tr w:rsidR="00FF0DEB" w:rsidTr="003F5B7E">
        <w:trPr>
          <w:trHeight w:val="330"/>
          <w:jc w:val="center"/>
        </w:trPr>
        <w:tc>
          <w:tcPr>
            <w:tcW w:w="8797" w:type="dxa"/>
            <w:gridSpan w:val="6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FF0DEB" w:rsidTr="003F5B7E">
        <w:trPr>
          <w:trHeight w:val="330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26" w:type="dxa"/>
          </w:tcPr>
          <w:p w:rsidR="00FF0DEB" w:rsidRPr="00C22112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26" w:type="dxa"/>
          </w:tcPr>
          <w:p w:rsidR="00FF0DEB" w:rsidRPr="00C22112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221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1 848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1 85</w:t>
            </w:r>
            <w:r w:rsidRPr="00EC3AF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1 892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1 705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1 841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1 358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1 438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1 429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1 251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1 381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3 206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3 29</w:t>
            </w:r>
            <w:r w:rsidRPr="00EC3AF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3 321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1 956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3 222</w:t>
            </w:r>
          </w:p>
        </w:tc>
      </w:tr>
      <w:tr w:rsidR="00FF0DEB" w:rsidTr="003F5B7E">
        <w:trPr>
          <w:trHeight w:val="330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463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460</w:t>
            </w:r>
          </w:p>
        </w:tc>
      </w:tr>
      <w:tr w:rsidR="00FF0DEB" w:rsidTr="003F5B7E">
        <w:trPr>
          <w:trHeight w:val="330"/>
          <w:jc w:val="center"/>
        </w:trPr>
        <w:tc>
          <w:tcPr>
            <w:tcW w:w="8797" w:type="dxa"/>
            <w:gridSpan w:val="6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DEB" w:rsidTr="003F5B7E">
        <w:trPr>
          <w:trHeight w:val="330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26" w:type="dxa"/>
          </w:tcPr>
          <w:p w:rsidR="00FF0DEB" w:rsidRPr="00C22112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26" w:type="dxa"/>
          </w:tcPr>
          <w:p w:rsidR="00FF0DEB" w:rsidRPr="00C22112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13,32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12,82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11,63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5,82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25,88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24,95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18,64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1667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426" w:type="dxa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1,69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426" w:type="dxa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F0DEB" w:rsidTr="003F5B7E">
        <w:trPr>
          <w:trHeight w:val="315"/>
          <w:jc w:val="center"/>
        </w:trPr>
        <w:tc>
          <w:tcPr>
            <w:tcW w:w="8797" w:type="dxa"/>
            <w:gridSpan w:val="6"/>
          </w:tcPr>
          <w:p w:rsidR="00FF0DEB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Zdroj: ICEX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Estacom</w:t>
            </w:r>
            <w:proofErr w:type="spellEnd"/>
          </w:p>
        </w:tc>
      </w:tr>
    </w:tbl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2954AE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4pt;width:457.9pt;height:315pt;z-index:251660288" stroked="t" strokecolor="#f93" strokeweight="2pt">
            <v:imagedata r:id="rId5" o:title=""/>
            <w10:wrap type="topAndBottom"/>
          </v:shape>
          <o:OLEObject Type="Embed" ProgID="MSGraph.Chart.8" ShapeID="_x0000_s1027" DrawAspect="Content" ObjectID="_1723290110" r:id="rId6">
            <o:FieldCodes>\s</o:FieldCodes>
          </o:OLEObject>
        </w:object>
      </w: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224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70"/>
        <w:gridCol w:w="1477"/>
        <w:gridCol w:w="1477"/>
      </w:tblGrid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lavní položky dovozu ČR z La </w:t>
            </w:r>
            <w:proofErr w:type="spellStart"/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Rioja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sz w:val="20"/>
                <w:szCs w:val="20"/>
              </w:rPr>
              <w:t>Automob</w:t>
            </w:r>
            <w:r>
              <w:rPr>
                <w:rFonts w:ascii="Arial" w:eastAsia="Arial" w:hAnsi="Arial" w:cs="Arial"/>
                <w:sz w:val="20"/>
                <w:szCs w:val="20"/>
              </w:rPr>
              <w:t>ilové komponenty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38,84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12,79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Přístroje pro tvarování pryže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7,25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Víno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4,68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Trubky, roury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2,65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Systémy odpružení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2,42</w:t>
            </w:r>
          </w:p>
        </w:tc>
      </w:tr>
      <w:tr w:rsidR="00FF0DEB" w:rsidTr="003F5B7E">
        <w:trPr>
          <w:trHeight w:val="315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lavní položky vývozu ČR do La </w:t>
            </w:r>
            <w:proofErr w:type="spellStart"/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Rioja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3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Cigarety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38,14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Díly a příslušenství karoserie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Papír a karton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8,93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Vulkanizované pryžové hadice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7,04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Telefonní díly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5,15</w:t>
            </w:r>
          </w:p>
        </w:tc>
      </w:tr>
      <w:tr w:rsidR="00FF0DEB" w:rsidTr="003F5B7E">
        <w:trPr>
          <w:trHeight w:val="3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Kraftový papír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B" w:rsidRPr="00EC3AF1" w:rsidRDefault="00FF0DEB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3,09</w:t>
            </w:r>
          </w:p>
        </w:tc>
      </w:tr>
    </w:tbl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Zdroj: ICEX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Estacom</w:t>
      </w:r>
      <w:proofErr w:type="spellEnd"/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FF0DEB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61F728" wp14:editId="7E5383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29300" cy="4114800"/>
            <wp:effectExtent l="0" t="0" r="0" b="0"/>
            <wp:wrapTopAndBottom/>
            <wp:docPr id="5" name="Graf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DEB" w:rsidRPr="00B4369C" w:rsidRDefault="00FF0DEB" w:rsidP="00FF0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D6D160" wp14:editId="202B394D">
            <wp:simplePos x="0" y="0"/>
            <wp:positionH relativeFrom="column">
              <wp:posOffset>-83185</wp:posOffset>
            </wp:positionH>
            <wp:positionV relativeFrom="paragraph">
              <wp:posOffset>487680</wp:posOffset>
            </wp:positionV>
            <wp:extent cx="5829300" cy="4114800"/>
            <wp:effectExtent l="0" t="0" r="0" b="0"/>
            <wp:wrapTopAndBottom/>
            <wp:docPr id="6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FF0DEB" w:rsidRDefault="00FF0DEB" w:rsidP="00FF0DEB">
      <w:pPr>
        <w:ind w:leftChars="0"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FF0DEB" w:rsidRDefault="00FF0DEB" w:rsidP="00FF0DEB">
      <w:pPr>
        <w:ind w:leftChars="0" w:left="2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FF0DEB" w:rsidRDefault="00FF0DEB" w:rsidP="00FF0DEB">
      <w:pPr>
        <w:ind w:leftChars="0" w:left="2" w:hanging="2"/>
      </w:pPr>
    </w:p>
    <w:p w:rsidR="00FF0DEB" w:rsidRDefault="00FF0DEB" w:rsidP="00FF0DEB">
      <w:pPr>
        <w:ind w:leftChars="0" w:left="2" w:hanging="2"/>
      </w:pPr>
    </w:p>
    <w:p w:rsidR="00FF0DEB" w:rsidRDefault="00FF0DEB" w:rsidP="00FF0DEB">
      <w:pPr>
        <w:ind w:leftChars="0" w:left="2" w:hanging="2"/>
      </w:pPr>
    </w:p>
    <w:p w:rsidR="00FF0DEB" w:rsidRDefault="00FF0DEB" w:rsidP="00FF0DEB">
      <w:pPr>
        <w:ind w:leftChars="0" w:left="2" w:hanging="2"/>
      </w:pPr>
    </w:p>
    <w:p w:rsidR="00FF0DEB" w:rsidRDefault="00FF0DEB" w:rsidP="00FF0DEB">
      <w:pPr>
        <w:ind w:leftChars="0" w:left="2" w:hanging="2"/>
      </w:pPr>
      <w:r>
        <w:rPr>
          <w:noProof/>
        </w:rPr>
        <w:drawing>
          <wp:inline distT="0" distB="0" distL="0" distR="0" wp14:anchorId="35420841" wp14:editId="414371D1">
            <wp:extent cx="6324600" cy="7562850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255" w:rsidRDefault="001F4255" w:rsidP="00FF0DEB">
      <w:pPr>
        <w:ind w:leftChars="0" w:left="0" w:firstLineChars="0" w:firstLine="0"/>
      </w:pP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2914"/>
    <w:multiLevelType w:val="hybridMultilevel"/>
    <w:tmpl w:val="2C1A2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EB"/>
    <w:rsid w:val="001F4255"/>
    <w:rsid w:val="002954AE"/>
    <w:rsid w:val="007974DA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F75A94-1613-4E65-9221-8496E8B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F0DE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ČR z La Rioja</a:t>
            </a:r>
          </a:p>
        </c:rich>
      </c:tx>
      <c:layout>
        <c:manualLayout>
          <c:xMode val="edge"/>
          <c:yMode val="edge"/>
          <c:x val="0.3958663990530595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395348837209303"/>
          <c:y val="0.3127962085308057"/>
          <c:w val="0.41528239202657807"/>
          <c:h val="0.369668246445497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571-4DEF-800B-A864E4C0D60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571-4DEF-800B-A864E4C0D60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571-4DEF-800B-A864E4C0D60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571-4DEF-800B-A864E4C0D60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0571-4DEF-800B-A864E4C0D60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571-4DEF-800B-A864E4C0D60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571-4DEF-800B-A864E4C0D60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0571-4DEF-800B-A864E4C0D60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0571-4DEF-800B-A864E4C0D609}"/>
              </c:ext>
            </c:extLst>
          </c:dPt>
          <c:dLbls>
            <c:dLbl>
              <c:idx val="0"/>
              <c:layout>
                <c:manualLayout>
                  <c:x val="3.9373176848105929E-2"/>
                  <c:y val="-0.1105347291040963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71-4DEF-800B-A864E4C0D609}"/>
                </c:ext>
              </c:extLst>
            </c:dLbl>
            <c:dLbl>
              <c:idx val="1"/>
              <c:layout>
                <c:manualLayout>
                  <c:x val="7.1928533443123527E-2"/>
                  <c:y val="6.737338388257023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71-4DEF-800B-A864E4C0D609}"/>
                </c:ext>
              </c:extLst>
            </c:dLbl>
            <c:dLbl>
              <c:idx val="2"/>
              <c:layout>
                <c:manualLayout>
                  <c:x val="6.2933285300121836E-2"/>
                  <c:y val="0.1034942160007776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571-4DEF-800B-A864E4C0D609}"/>
                </c:ext>
              </c:extLst>
            </c:dLbl>
            <c:dLbl>
              <c:idx val="3"/>
              <c:layout>
                <c:manualLayout>
                  <c:x val="-9.3947219775822571E-2"/>
                  <c:y val="0.1284906328191334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571-4DEF-800B-A864E4C0D609}"/>
                </c:ext>
              </c:extLst>
            </c:dLbl>
            <c:dLbl>
              <c:idx val="4"/>
              <c:layout>
                <c:manualLayout>
                  <c:x val="-9.9372823495102333E-2"/>
                  <c:y val="6.464664139204821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571-4DEF-800B-A864E4C0D609}"/>
                </c:ext>
              </c:extLst>
            </c:dLbl>
            <c:dLbl>
              <c:idx val="5"/>
              <c:layout>
                <c:manualLayout>
                  <c:x val="-7.4248991789842955E-2"/>
                  <c:y val="-6.995766524445101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571-4DEF-800B-A864E4C0D609}"/>
                </c:ext>
              </c:extLst>
            </c:dLbl>
            <c:dLbl>
              <c:idx val="6"/>
              <c:layout>
                <c:manualLayout>
                  <c:x val="-2.1849107096907044E-2"/>
                  <c:y val="-9.642388451443571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571-4DEF-800B-A864E4C0D609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55315614617940201"/>
                  <c:y val="0.187203791469194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571-4DEF-800B-A864E4C0D609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5481727574750828"/>
                  <c:y val="0.1042654028436018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571-4DEF-800B-A864E4C0D609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3189368770764119"/>
                  <c:y val="6.872037914691943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571-4DEF-800B-A864E4C0D60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Automobilové komponenty</c:v>
                </c:pt>
                <c:pt idx="1">
                  <c:v>Lisy</c:v>
                </c:pt>
                <c:pt idx="2">
                  <c:v>Přístroje na tvarování pryže</c:v>
                </c:pt>
                <c:pt idx="3">
                  <c:v>Víno</c:v>
                </c:pt>
                <c:pt idx="4">
                  <c:v>Trubky, Roury</c:v>
                </c:pt>
                <c:pt idx="5">
                  <c:v>Systémy odpružení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39</c:v>
                </c:pt>
                <c:pt idx="1">
                  <c:v>13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571-4DEF-800B-A864E4C0D609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0571-4DEF-800B-A864E4C0D60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0571-4DEF-800B-A864E4C0D60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0571-4DEF-800B-A864E4C0D60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0571-4DEF-800B-A864E4C0D60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0571-4DEF-800B-A864E4C0D60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0571-4DEF-800B-A864E4C0D60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0571-4DEF-800B-A864E4C0D609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Automobilové komponenty</c:v>
                </c:pt>
                <c:pt idx="1">
                  <c:v>Lisy</c:v>
                </c:pt>
                <c:pt idx="2">
                  <c:v>Přístroje na tvarování pryže</c:v>
                </c:pt>
                <c:pt idx="3">
                  <c:v>Víno</c:v>
                </c:pt>
                <c:pt idx="4">
                  <c:v>Trubky, Roury</c:v>
                </c:pt>
                <c:pt idx="5">
                  <c:v>Systémy odpružení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0571-4DEF-800B-A864E4C0D609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ČR do La Rioja</a:t>
            </a:r>
          </a:p>
        </c:rich>
      </c:tx>
      <c:layout>
        <c:manualLayout>
          <c:xMode val="edge"/>
          <c:yMode val="edge"/>
          <c:x val="0.38704321273566294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395348837209303"/>
          <c:y val="0.3127962085308057"/>
          <c:w val="0.41528239202657807"/>
          <c:h val="0.369668246445497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66B-4DDF-B8B8-84D677BE58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66B-4DDF-B8B8-84D677BE58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66B-4DDF-B8B8-84D677BE58B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66B-4DDF-B8B8-84D677BE58B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66B-4DDF-B8B8-84D677BE58B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66B-4DDF-B8B8-84D677BE58B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66B-4DDF-B8B8-84D677BE58B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D66B-4DDF-B8B8-84D677BE58B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66B-4DDF-B8B8-84D677BE58B6}"/>
              </c:ext>
            </c:extLst>
          </c:dPt>
          <c:dLbls>
            <c:dLbl>
              <c:idx val="0"/>
              <c:layout>
                <c:manualLayout>
                  <c:x val="3.9517485074967551E-2"/>
                  <c:y val="-3.724638537481395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66B-4DDF-B8B8-84D677BE58B6}"/>
                </c:ext>
              </c:extLst>
            </c:dLbl>
            <c:dLbl>
              <c:idx val="1"/>
              <c:layout>
                <c:manualLayout>
                  <c:x val="4.5726364687770138E-2"/>
                  <c:y val="7.450872748331416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66B-4DDF-B8B8-84D677BE58B6}"/>
                </c:ext>
              </c:extLst>
            </c:dLbl>
            <c:dLbl>
              <c:idx val="2"/>
              <c:layout>
                <c:manualLayout>
                  <c:x val="2.0990292310132441E-2"/>
                  <c:y val="0.1597833839424626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66B-4DDF-B8B8-84D677BE58B6}"/>
                </c:ext>
              </c:extLst>
            </c:dLbl>
            <c:dLbl>
              <c:idx val="3"/>
              <c:layout>
                <c:manualLayout>
                  <c:x val="-8.3153131280386594E-2"/>
                  <c:y val="0.1530684946306409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66B-4DDF-B8B8-84D677BE58B6}"/>
                </c:ext>
              </c:extLst>
            </c:dLbl>
            <c:dLbl>
              <c:idx val="4"/>
              <c:layout>
                <c:manualLayout>
                  <c:x val="-0.12283765600891314"/>
                  <c:y val="2.0415776918090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66B-4DDF-B8B8-84D677BE58B6}"/>
                </c:ext>
              </c:extLst>
            </c:dLbl>
            <c:dLbl>
              <c:idx val="5"/>
              <c:layout>
                <c:manualLayout>
                  <c:x val="-6.228260683100887E-2"/>
                  <c:y val="-0.1310440361621464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66B-4DDF-B8B8-84D677BE58B6}"/>
                </c:ext>
              </c:extLst>
            </c:dLbl>
            <c:dLbl>
              <c:idx val="6"/>
              <c:layout>
                <c:manualLayout>
                  <c:x val="0.11968448654360525"/>
                  <c:y val="-7.89224839522758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66B-4DDF-B8B8-84D677BE58B6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72093023255813948"/>
                  <c:y val="0.1611374407582938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66B-4DDF-B8B8-84D677BE58B6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73421926910299"/>
                  <c:y val="0.1327014218009478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66B-4DDF-B8B8-84D677BE58B6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3853820598006643"/>
                  <c:y val="8.056872037914691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66B-4DDF-B8B8-84D677BE58B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Cigarety</c:v>
                </c:pt>
                <c:pt idx="1">
                  <c:v>Díly a příslušenství karoserie</c:v>
                </c:pt>
                <c:pt idx="2">
                  <c:v>Papír a karton</c:v>
                </c:pt>
                <c:pt idx="3">
                  <c:v>Vulkanizované pryžové hadice</c:v>
                </c:pt>
                <c:pt idx="4">
                  <c:v>Telefonní díly</c:v>
                </c:pt>
                <c:pt idx="5">
                  <c:v>Kraftový papír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38</c:v>
                </c:pt>
                <c:pt idx="1">
                  <c:v>12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D66B-4DDF-B8B8-84D677BE58B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D66B-4DDF-B8B8-84D677BE58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D66B-4DDF-B8B8-84D677BE58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D66B-4DDF-B8B8-84D677BE58B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D66B-4DDF-B8B8-84D677BE58B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D66B-4DDF-B8B8-84D677BE58B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D66B-4DDF-B8B8-84D677BE58B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D66B-4DDF-B8B8-84D677BE58B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Cigarety</c:v>
                </c:pt>
                <c:pt idx="1">
                  <c:v>Díly a příslušenství karoserie</c:v>
                </c:pt>
                <c:pt idx="2">
                  <c:v>Papír a karton</c:v>
                </c:pt>
                <c:pt idx="3">
                  <c:v>Vulkanizované pryžové hadice</c:v>
                </c:pt>
                <c:pt idx="4">
                  <c:v>Telefonní díly</c:v>
                </c:pt>
                <c:pt idx="5">
                  <c:v>Kraftový papír</c:v>
                </c:pt>
                <c:pt idx="6">
                  <c:v>Další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D66B-4DDF-B8B8-84D677BE58B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D66B-4DDF-B8B8-84D677BE58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B-D66B-4DDF-B8B8-84D677BE58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D66B-4DDF-B8B8-84D677BE58B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D66B-4DDF-B8B8-84D677BE58B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0-D66B-4DDF-B8B8-84D677BE58B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2-D66B-4DDF-B8B8-84D677BE58B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4-D66B-4DDF-B8B8-84D677BE58B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Cigarety</c:v>
                </c:pt>
                <c:pt idx="1">
                  <c:v>Díly a příslušenství karoserie</c:v>
                </c:pt>
                <c:pt idx="2">
                  <c:v>Papír a karton</c:v>
                </c:pt>
                <c:pt idx="3">
                  <c:v>Vulkanizované pryžové hadice</c:v>
                </c:pt>
                <c:pt idx="4">
                  <c:v>Telefonní díly</c:v>
                </c:pt>
                <c:pt idx="5">
                  <c:v>Kraftový papír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5-D66B-4DDF-B8B8-84D677BE58B6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2E-47FA-90C6-76A6CB34544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2E-47FA-90C6-76A6CB34544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2E-47FA-90C6-76A6CB34544C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2E-47FA-90C6-76A6CB34544C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2E-47FA-90C6-76A6CB34544C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2E-47FA-90C6-76A6CB34544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2E-47FA-90C6-76A6CB34544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2E-47FA-90C6-76A6CB34544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2E-47FA-90C6-76A6CB34544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2E-47FA-90C6-76A6CB34544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2E-47FA-90C6-76A6CB34544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2E-47FA-90C6-76A6CB34544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92E-47FA-90C6-76A6CB34544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92E-47FA-90C6-76A6CB34544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92E-47FA-90C6-76A6CB34544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792E-47FA-90C6-76A6CB34544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792E-47FA-90C6-76A6CB34544C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2E-47FA-90C6-76A6CB34544C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2E-47FA-90C6-76A6CB34544C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92E-47FA-90C6-76A6CB34544C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92E-47FA-90C6-76A6CB34544C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92E-47FA-90C6-76A6CB34544C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92E-47FA-90C6-76A6CB34544C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92E-47FA-90C6-76A6CB34544C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92E-47FA-90C6-76A6CB34544C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92E-47FA-90C6-76A6CB34544C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92E-47FA-90C6-76A6CB34544C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92E-47FA-90C6-76A6CB34544C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92E-47FA-90C6-76A6CB34544C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92E-47FA-90C6-76A6CB34544C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92E-47FA-90C6-76A6CB34544C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92E-47FA-90C6-76A6CB34544C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92E-47FA-90C6-76A6CB34544C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792E-47FA-90C6-76A6CB34544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792E-47FA-90C6-76A6CB345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2022-08-29T12:55:00Z</dcterms:created>
  <dcterms:modified xsi:type="dcterms:W3CDTF">2022-08-29T12:55:00Z</dcterms:modified>
</cp:coreProperties>
</file>