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E43" w:rsidRDefault="002E5E43" w:rsidP="00DC3FD5">
      <w:pPr>
        <w:jc w:val="center"/>
        <w:rPr>
          <w:sz w:val="40"/>
          <w:szCs w:val="40"/>
        </w:rPr>
      </w:pPr>
      <w:bookmarkStart w:id="0" w:name="_GoBack"/>
      <w:bookmarkEnd w:id="0"/>
    </w:p>
    <w:p w:rsidR="002E5E43" w:rsidRDefault="002E5E43" w:rsidP="00DC3FD5">
      <w:pPr>
        <w:jc w:val="center"/>
        <w:rPr>
          <w:sz w:val="40"/>
          <w:szCs w:val="40"/>
        </w:rPr>
      </w:pPr>
    </w:p>
    <w:p w:rsidR="0014082A" w:rsidRDefault="00DC3FD5" w:rsidP="00DC3FD5">
      <w:pPr>
        <w:jc w:val="center"/>
        <w:rPr>
          <w:sz w:val="40"/>
          <w:szCs w:val="40"/>
        </w:rPr>
      </w:pPr>
      <w:r w:rsidRPr="00DC3FD5">
        <w:rPr>
          <w:sz w:val="40"/>
          <w:szCs w:val="40"/>
        </w:rPr>
        <w:t xml:space="preserve">Zpráva k </w:t>
      </w:r>
      <w:r>
        <w:rPr>
          <w:sz w:val="40"/>
          <w:szCs w:val="40"/>
        </w:rPr>
        <w:t>Akčnímu plánu České republiky k </w:t>
      </w:r>
      <w:r w:rsidRPr="00DC3FD5">
        <w:rPr>
          <w:sz w:val="40"/>
          <w:szCs w:val="40"/>
        </w:rPr>
        <w:t>implementaci rezoluce Rady bezpečnosti OSN č. 1325 (2000), o ženách, míru a bezpečnosti a souvisejících rezolucí na léta 2017 – 2020 za rok 2017</w:t>
      </w:r>
    </w:p>
    <w:p w:rsidR="002E5E43" w:rsidRPr="00DC3FD5" w:rsidRDefault="002E5E43" w:rsidP="00DC3FD5">
      <w:pPr>
        <w:jc w:val="center"/>
        <w:rPr>
          <w:sz w:val="40"/>
          <w:szCs w:val="40"/>
        </w:rPr>
      </w:pPr>
    </w:p>
    <w:p w:rsidR="00DC3FD5" w:rsidRDefault="00DC3FD5" w:rsidP="0014082A"/>
    <w:p w:rsidR="00DC3FD5" w:rsidRDefault="00DC3FD5" w:rsidP="00DC3FD5">
      <w:pPr>
        <w:jc w:val="center"/>
        <w:rPr>
          <w:i/>
        </w:rPr>
      </w:pPr>
      <w:r w:rsidRPr="00DC3FD5">
        <w:rPr>
          <w:i/>
        </w:rPr>
        <w:t>Zpráva je předkládána na základě usnesení vlády ČR č. 16 ze dne 9. ledna 2017</w:t>
      </w:r>
    </w:p>
    <w:p w:rsidR="002E5E43" w:rsidRDefault="002E5E43" w:rsidP="00DC3FD5">
      <w:pPr>
        <w:jc w:val="center"/>
        <w:rPr>
          <w:i/>
        </w:rPr>
      </w:pPr>
    </w:p>
    <w:p w:rsidR="00DC3FD5" w:rsidRPr="00DC3FD5" w:rsidRDefault="00DC3FD5" w:rsidP="00DC3FD5">
      <w:pPr>
        <w:jc w:val="center"/>
        <w:rPr>
          <w:i/>
        </w:rPr>
      </w:pPr>
    </w:p>
    <w:p w:rsidR="0014082A" w:rsidRDefault="001C6E96" w:rsidP="001C6E96">
      <w:pPr>
        <w:jc w:val="center"/>
      </w:pPr>
      <w:r>
        <w:rPr>
          <w:noProof/>
        </w:rPr>
        <w:drawing>
          <wp:inline distT="0" distB="0" distL="0" distR="0">
            <wp:extent cx="3400425" cy="5078898"/>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4434" cy="5099822"/>
                    </a:xfrm>
                    <a:prstGeom prst="rect">
                      <a:avLst/>
                    </a:prstGeom>
                    <a:noFill/>
                  </pic:spPr>
                </pic:pic>
              </a:graphicData>
            </a:graphic>
          </wp:inline>
        </w:drawing>
      </w:r>
    </w:p>
    <w:p w:rsidR="0014082A" w:rsidRDefault="0095275A" w:rsidP="0095275A">
      <w:pPr>
        <w:jc w:val="center"/>
        <w:rPr>
          <w:i/>
        </w:rPr>
      </w:pPr>
      <w:r>
        <w:rPr>
          <w:i/>
        </w:rPr>
        <w:t xml:space="preserve">                                                                     </w:t>
      </w:r>
      <w:r w:rsidRPr="0095275A">
        <w:rPr>
          <w:i/>
        </w:rPr>
        <w:t>Archiv ČRA</w:t>
      </w:r>
    </w:p>
    <w:p w:rsidR="00DC3FD5" w:rsidRDefault="00DC3FD5" w:rsidP="0095275A">
      <w:pPr>
        <w:jc w:val="center"/>
        <w:rPr>
          <w:i/>
        </w:rPr>
      </w:pPr>
    </w:p>
    <w:p w:rsidR="00DC3FD5" w:rsidRDefault="00DC3FD5" w:rsidP="0095275A">
      <w:pPr>
        <w:jc w:val="center"/>
        <w:rPr>
          <w:i/>
        </w:rPr>
      </w:pPr>
    </w:p>
    <w:p w:rsidR="00DC3FD5" w:rsidRDefault="00DC3FD5" w:rsidP="0095275A">
      <w:pPr>
        <w:jc w:val="center"/>
        <w:rPr>
          <w:i/>
        </w:rPr>
      </w:pPr>
    </w:p>
    <w:p w:rsidR="00DC3FD5" w:rsidRDefault="00DC3FD5" w:rsidP="0095275A">
      <w:pPr>
        <w:jc w:val="center"/>
        <w:rPr>
          <w:i/>
        </w:rPr>
      </w:pPr>
    </w:p>
    <w:p w:rsidR="00DC3FD5" w:rsidRPr="0095275A" w:rsidRDefault="00DC3FD5" w:rsidP="0095275A">
      <w:pPr>
        <w:jc w:val="center"/>
        <w:rPr>
          <w:i/>
        </w:rPr>
      </w:pPr>
    </w:p>
    <w:sdt>
      <w:sdtPr>
        <w:rPr>
          <w:rFonts w:ascii="Times New Roman" w:eastAsia="Times New Roman" w:hAnsi="Times New Roman" w:cs="Times New Roman"/>
          <w:b w:val="0"/>
          <w:bCs w:val="0"/>
          <w:color w:val="auto"/>
          <w:sz w:val="24"/>
          <w:szCs w:val="24"/>
          <w:lang w:eastAsia="cs-CZ"/>
        </w:rPr>
        <w:id w:val="531427876"/>
        <w:docPartObj>
          <w:docPartGallery w:val="Table of Contents"/>
          <w:docPartUnique/>
        </w:docPartObj>
      </w:sdtPr>
      <w:sdtEndPr/>
      <w:sdtContent>
        <w:p w:rsidR="00725D46" w:rsidRDefault="00725D46">
          <w:pPr>
            <w:pStyle w:val="Nadpisobsahu"/>
          </w:pPr>
          <w:r>
            <w:t>Obsah</w:t>
          </w:r>
        </w:p>
        <w:p w:rsidR="00503439" w:rsidRDefault="00B17EEE">
          <w:pPr>
            <w:pStyle w:val="Obsah1"/>
            <w:tabs>
              <w:tab w:val="right" w:leader="dot" w:pos="9060"/>
            </w:tabs>
            <w:rPr>
              <w:rFonts w:asciiTheme="minorHAnsi" w:eastAsiaTheme="minorEastAsia" w:hAnsiTheme="minorHAnsi" w:cstheme="minorBidi"/>
              <w:noProof/>
              <w:sz w:val="22"/>
              <w:szCs w:val="22"/>
            </w:rPr>
          </w:pPr>
          <w:r>
            <w:fldChar w:fldCharType="begin"/>
          </w:r>
          <w:r w:rsidR="00725D46">
            <w:instrText xml:space="preserve"> TOC \o "1-3" \h \z \u </w:instrText>
          </w:r>
          <w:r>
            <w:fldChar w:fldCharType="separate"/>
          </w:r>
          <w:hyperlink w:anchor="_Toc514782391" w:history="1">
            <w:r w:rsidR="00503439" w:rsidRPr="00AB3219">
              <w:rPr>
                <w:rStyle w:val="Hypertextovodkaz"/>
                <w:noProof/>
              </w:rPr>
              <w:t>Úvod</w:t>
            </w:r>
            <w:r w:rsidR="00503439">
              <w:rPr>
                <w:noProof/>
                <w:webHidden/>
              </w:rPr>
              <w:tab/>
            </w:r>
            <w:r w:rsidR="00503439">
              <w:rPr>
                <w:noProof/>
                <w:webHidden/>
              </w:rPr>
              <w:fldChar w:fldCharType="begin"/>
            </w:r>
            <w:r w:rsidR="00503439">
              <w:rPr>
                <w:noProof/>
                <w:webHidden/>
              </w:rPr>
              <w:instrText xml:space="preserve"> PAGEREF _Toc514782391 \h </w:instrText>
            </w:r>
            <w:r w:rsidR="00503439">
              <w:rPr>
                <w:noProof/>
                <w:webHidden/>
              </w:rPr>
            </w:r>
            <w:r w:rsidR="00503439">
              <w:rPr>
                <w:noProof/>
                <w:webHidden/>
              </w:rPr>
              <w:fldChar w:fldCharType="separate"/>
            </w:r>
            <w:r w:rsidR="00CB77F6">
              <w:rPr>
                <w:noProof/>
                <w:webHidden/>
              </w:rPr>
              <w:t>3</w:t>
            </w:r>
            <w:r w:rsidR="00503439">
              <w:rPr>
                <w:noProof/>
                <w:webHidden/>
              </w:rPr>
              <w:fldChar w:fldCharType="end"/>
            </w:r>
          </w:hyperlink>
        </w:p>
        <w:p w:rsidR="00503439" w:rsidRDefault="00CB77F6">
          <w:pPr>
            <w:pStyle w:val="Obsah1"/>
            <w:tabs>
              <w:tab w:val="left" w:pos="440"/>
              <w:tab w:val="right" w:leader="dot" w:pos="9060"/>
            </w:tabs>
            <w:rPr>
              <w:rFonts w:asciiTheme="minorHAnsi" w:eastAsiaTheme="minorEastAsia" w:hAnsiTheme="minorHAnsi" w:cstheme="minorBidi"/>
              <w:noProof/>
              <w:sz w:val="22"/>
              <w:szCs w:val="22"/>
            </w:rPr>
          </w:pPr>
          <w:hyperlink w:anchor="_Toc514782392" w:history="1">
            <w:r w:rsidR="00503439" w:rsidRPr="00AB3219">
              <w:rPr>
                <w:rStyle w:val="Hypertextovodkaz"/>
                <w:noProof/>
              </w:rPr>
              <w:t>I.</w:t>
            </w:r>
            <w:r w:rsidR="00503439">
              <w:rPr>
                <w:rFonts w:asciiTheme="minorHAnsi" w:eastAsiaTheme="minorEastAsia" w:hAnsiTheme="minorHAnsi" w:cstheme="minorBidi"/>
                <w:noProof/>
                <w:sz w:val="22"/>
                <w:szCs w:val="22"/>
              </w:rPr>
              <w:tab/>
            </w:r>
            <w:r w:rsidR="00503439" w:rsidRPr="00AB3219">
              <w:rPr>
                <w:rStyle w:val="Hypertextovodkaz"/>
                <w:noProof/>
              </w:rPr>
              <w:t>Vyrovnané zastoupení žen a mužů v rozhodovacích pozicích</w:t>
            </w:r>
            <w:r w:rsidR="00503439">
              <w:rPr>
                <w:noProof/>
                <w:webHidden/>
              </w:rPr>
              <w:tab/>
            </w:r>
            <w:r w:rsidR="00503439">
              <w:rPr>
                <w:noProof/>
                <w:webHidden/>
              </w:rPr>
              <w:fldChar w:fldCharType="begin"/>
            </w:r>
            <w:r w:rsidR="00503439">
              <w:rPr>
                <w:noProof/>
                <w:webHidden/>
              </w:rPr>
              <w:instrText xml:space="preserve"> PAGEREF _Toc514782392 \h </w:instrText>
            </w:r>
            <w:r w:rsidR="00503439">
              <w:rPr>
                <w:noProof/>
                <w:webHidden/>
              </w:rPr>
            </w:r>
            <w:r w:rsidR="00503439">
              <w:rPr>
                <w:noProof/>
                <w:webHidden/>
              </w:rPr>
              <w:fldChar w:fldCharType="separate"/>
            </w:r>
            <w:r>
              <w:rPr>
                <w:noProof/>
                <w:webHidden/>
              </w:rPr>
              <w:t>4</w:t>
            </w:r>
            <w:r w:rsidR="00503439">
              <w:rPr>
                <w:noProof/>
                <w:webHidden/>
              </w:rPr>
              <w:fldChar w:fldCharType="end"/>
            </w:r>
          </w:hyperlink>
        </w:p>
        <w:p w:rsidR="00503439" w:rsidRDefault="00CB77F6">
          <w:pPr>
            <w:pStyle w:val="Obsah2"/>
            <w:tabs>
              <w:tab w:val="right" w:leader="dot" w:pos="9060"/>
            </w:tabs>
            <w:rPr>
              <w:rFonts w:asciiTheme="minorHAnsi" w:eastAsiaTheme="minorEastAsia" w:hAnsiTheme="minorHAnsi" w:cstheme="minorBidi"/>
              <w:noProof/>
              <w:sz w:val="22"/>
              <w:szCs w:val="22"/>
            </w:rPr>
          </w:pPr>
          <w:hyperlink w:anchor="_Toc514782393" w:history="1">
            <w:r w:rsidR="00503439" w:rsidRPr="00AB3219">
              <w:rPr>
                <w:rStyle w:val="Hypertextovodkaz"/>
                <w:noProof/>
              </w:rPr>
              <w:t>Úkol č. 1</w:t>
            </w:r>
            <w:r w:rsidR="00503439">
              <w:rPr>
                <w:noProof/>
                <w:webHidden/>
              </w:rPr>
              <w:tab/>
            </w:r>
            <w:r w:rsidR="00503439">
              <w:rPr>
                <w:noProof/>
                <w:webHidden/>
              </w:rPr>
              <w:fldChar w:fldCharType="begin"/>
            </w:r>
            <w:r w:rsidR="00503439">
              <w:rPr>
                <w:noProof/>
                <w:webHidden/>
              </w:rPr>
              <w:instrText xml:space="preserve"> PAGEREF _Toc514782393 \h </w:instrText>
            </w:r>
            <w:r w:rsidR="00503439">
              <w:rPr>
                <w:noProof/>
                <w:webHidden/>
              </w:rPr>
            </w:r>
            <w:r w:rsidR="00503439">
              <w:rPr>
                <w:noProof/>
                <w:webHidden/>
              </w:rPr>
              <w:fldChar w:fldCharType="separate"/>
            </w:r>
            <w:r>
              <w:rPr>
                <w:noProof/>
                <w:webHidden/>
              </w:rPr>
              <w:t>4</w:t>
            </w:r>
            <w:r w:rsidR="00503439">
              <w:rPr>
                <w:noProof/>
                <w:webHidden/>
              </w:rPr>
              <w:fldChar w:fldCharType="end"/>
            </w:r>
          </w:hyperlink>
        </w:p>
        <w:p w:rsidR="00503439" w:rsidRDefault="00CB77F6">
          <w:pPr>
            <w:pStyle w:val="Obsah2"/>
            <w:tabs>
              <w:tab w:val="right" w:leader="dot" w:pos="9060"/>
            </w:tabs>
            <w:rPr>
              <w:rFonts w:asciiTheme="minorHAnsi" w:eastAsiaTheme="minorEastAsia" w:hAnsiTheme="minorHAnsi" w:cstheme="minorBidi"/>
              <w:noProof/>
              <w:sz w:val="22"/>
              <w:szCs w:val="22"/>
            </w:rPr>
          </w:pPr>
          <w:hyperlink w:anchor="_Toc514782394" w:history="1">
            <w:r w:rsidR="00503439" w:rsidRPr="00AB3219">
              <w:rPr>
                <w:rStyle w:val="Hypertextovodkaz"/>
                <w:noProof/>
              </w:rPr>
              <w:t>Úkol č. 2</w:t>
            </w:r>
            <w:r w:rsidR="00503439">
              <w:rPr>
                <w:noProof/>
                <w:webHidden/>
              </w:rPr>
              <w:tab/>
            </w:r>
            <w:r w:rsidR="00503439">
              <w:rPr>
                <w:noProof/>
                <w:webHidden/>
              </w:rPr>
              <w:fldChar w:fldCharType="begin"/>
            </w:r>
            <w:r w:rsidR="00503439">
              <w:rPr>
                <w:noProof/>
                <w:webHidden/>
              </w:rPr>
              <w:instrText xml:space="preserve"> PAGEREF _Toc514782394 \h </w:instrText>
            </w:r>
            <w:r w:rsidR="00503439">
              <w:rPr>
                <w:noProof/>
                <w:webHidden/>
              </w:rPr>
            </w:r>
            <w:r w:rsidR="00503439">
              <w:rPr>
                <w:noProof/>
                <w:webHidden/>
              </w:rPr>
              <w:fldChar w:fldCharType="separate"/>
            </w:r>
            <w:r>
              <w:rPr>
                <w:noProof/>
                <w:webHidden/>
              </w:rPr>
              <w:t>6</w:t>
            </w:r>
            <w:r w:rsidR="00503439">
              <w:rPr>
                <w:noProof/>
                <w:webHidden/>
              </w:rPr>
              <w:fldChar w:fldCharType="end"/>
            </w:r>
          </w:hyperlink>
        </w:p>
        <w:p w:rsidR="00503439" w:rsidRDefault="00CB77F6">
          <w:pPr>
            <w:pStyle w:val="Obsah2"/>
            <w:tabs>
              <w:tab w:val="right" w:leader="dot" w:pos="9060"/>
            </w:tabs>
            <w:rPr>
              <w:rFonts w:asciiTheme="minorHAnsi" w:eastAsiaTheme="minorEastAsia" w:hAnsiTheme="minorHAnsi" w:cstheme="minorBidi"/>
              <w:noProof/>
              <w:sz w:val="22"/>
              <w:szCs w:val="22"/>
            </w:rPr>
          </w:pPr>
          <w:hyperlink w:anchor="_Toc514782395" w:history="1">
            <w:r w:rsidR="00503439" w:rsidRPr="00AB3219">
              <w:rPr>
                <w:rStyle w:val="Hypertextovodkaz"/>
                <w:noProof/>
              </w:rPr>
              <w:t>Úkol č. 3</w:t>
            </w:r>
            <w:r w:rsidR="00503439">
              <w:rPr>
                <w:noProof/>
                <w:webHidden/>
              </w:rPr>
              <w:tab/>
            </w:r>
            <w:r w:rsidR="00503439">
              <w:rPr>
                <w:noProof/>
                <w:webHidden/>
              </w:rPr>
              <w:fldChar w:fldCharType="begin"/>
            </w:r>
            <w:r w:rsidR="00503439">
              <w:rPr>
                <w:noProof/>
                <w:webHidden/>
              </w:rPr>
              <w:instrText xml:space="preserve"> PAGEREF _Toc514782395 \h </w:instrText>
            </w:r>
            <w:r w:rsidR="00503439">
              <w:rPr>
                <w:noProof/>
                <w:webHidden/>
              </w:rPr>
            </w:r>
            <w:r w:rsidR="00503439">
              <w:rPr>
                <w:noProof/>
                <w:webHidden/>
              </w:rPr>
              <w:fldChar w:fldCharType="separate"/>
            </w:r>
            <w:r>
              <w:rPr>
                <w:noProof/>
                <w:webHidden/>
              </w:rPr>
              <w:t>7</w:t>
            </w:r>
            <w:r w:rsidR="00503439">
              <w:rPr>
                <w:noProof/>
                <w:webHidden/>
              </w:rPr>
              <w:fldChar w:fldCharType="end"/>
            </w:r>
          </w:hyperlink>
        </w:p>
        <w:p w:rsidR="00503439" w:rsidRDefault="00CB77F6">
          <w:pPr>
            <w:pStyle w:val="Obsah2"/>
            <w:tabs>
              <w:tab w:val="right" w:leader="dot" w:pos="9060"/>
            </w:tabs>
            <w:rPr>
              <w:rFonts w:asciiTheme="minorHAnsi" w:eastAsiaTheme="minorEastAsia" w:hAnsiTheme="minorHAnsi" w:cstheme="minorBidi"/>
              <w:noProof/>
              <w:sz w:val="22"/>
              <w:szCs w:val="22"/>
            </w:rPr>
          </w:pPr>
          <w:hyperlink w:anchor="_Toc514782396" w:history="1">
            <w:r w:rsidR="00503439" w:rsidRPr="00AB3219">
              <w:rPr>
                <w:rStyle w:val="Hypertextovodkaz"/>
                <w:noProof/>
              </w:rPr>
              <w:t>Úkol č. 4</w:t>
            </w:r>
            <w:r w:rsidR="00503439">
              <w:rPr>
                <w:noProof/>
                <w:webHidden/>
              </w:rPr>
              <w:tab/>
            </w:r>
            <w:r w:rsidR="00503439">
              <w:rPr>
                <w:noProof/>
                <w:webHidden/>
              </w:rPr>
              <w:fldChar w:fldCharType="begin"/>
            </w:r>
            <w:r w:rsidR="00503439">
              <w:rPr>
                <w:noProof/>
                <w:webHidden/>
              </w:rPr>
              <w:instrText xml:space="preserve"> PAGEREF _Toc514782396 \h </w:instrText>
            </w:r>
            <w:r w:rsidR="00503439">
              <w:rPr>
                <w:noProof/>
                <w:webHidden/>
              </w:rPr>
            </w:r>
            <w:r w:rsidR="00503439">
              <w:rPr>
                <w:noProof/>
                <w:webHidden/>
              </w:rPr>
              <w:fldChar w:fldCharType="separate"/>
            </w:r>
            <w:r>
              <w:rPr>
                <w:noProof/>
                <w:webHidden/>
              </w:rPr>
              <w:t>8</w:t>
            </w:r>
            <w:r w:rsidR="00503439">
              <w:rPr>
                <w:noProof/>
                <w:webHidden/>
              </w:rPr>
              <w:fldChar w:fldCharType="end"/>
            </w:r>
          </w:hyperlink>
        </w:p>
        <w:p w:rsidR="00503439" w:rsidRDefault="00CB77F6">
          <w:pPr>
            <w:pStyle w:val="Obsah1"/>
            <w:tabs>
              <w:tab w:val="left" w:pos="660"/>
              <w:tab w:val="right" w:leader="dot" w:pos="9060"/>
            </w:tabs>
            <w:rPr>
              <w:rFonts w:asciiTheme="minorHAnsi" w:eastAsiaTheme="minorEastAsia" w:hAnsiTheme="minorHAnsi" w:cstheme="minorBidi"/>
              <w:noProof/>
              <w:sz w:val="22"/>
              <w:szCs w:val="22"/>
            </w:rPr>
          </w:pPr>
          <w:hyperlink w:anchor="_Toc514782397" w:history="1">
            <w:r w:rsidR="00503439" w:rsidRPr="00AB3219">
              <w:rPr>
                <w:rStyle w:val="Hypertextovodkaz"/>
                <w:noProof/>
              </w:rPr>
              <w:t>II.</w:t>
            </w:r>
            <w:r w:rsidR="00503439">
              <w:rPr>
                <w:rFonts w:asciiTheme="minorHAnsi" w:eastAsiaTheme="minorEastAsia" w:hAnsiTheme="minorHAnsi" w:cstheme="minorBidi"/>
                <w:noProof/>
                <w:sz w:val="22"/>
                <w:szCs w:val="22"/>
              </w:rPr>
              <w:tab/>
            </w:r>
            <w:r w:rsidR="00503439" w:rsidRPr="00AB3219">
              <w:rPr>
                <w:rStyle w:val="Hypertextovodkaz"/>
                <w:noProof/>
              </w:rPr>
              <w:t>Slaďování pracovního a soukromého života ve vztahu k agendě WPS</w:t>
            </w:r>
            <w:r w:rsidR="00503439">
              <w:rPr>
                <w:noProof/>
                <w:webHidden/>
              </w:rPr>
              <w:tab/>
            </w:r>
            <w:r w:rsidR="00503439">
              <w:rPr>
                <w:noProof/>
                <w:webHidden/>
              </w:rPr>
              <w:fldChar w:fldCharType="begin"/>
            </w:r>
            <w:r w:rsidR="00503439">
              <w:rPr>
                <w:noProof/>
                <w:webHidden/>
              </w:rPr>
              <w:instrText xml:space="preserve"> PAGEREF _Toc514782397 \h </w:instrText>
            </w:r>
            <w:r w:rsidR="00503439">
              <w:rPr>
                <w:noProof/>
                <w:webHidden/>
              </w:rPr>
            </w:r>
            <w:r w:rsidR="00503439">
              <w:rPr>
                <w:noProof/>
                <w:webHidden/>
              </w:rPr>
              <w:fldChar w:fldCharType="separate"/>
            </w:r>
            <w:r>
              <w:rPr>
                <w:noProof/>
                <w:webHidden/>
              </w:rPr>
              <w:t>9</w:t>
            </w:r>
            <w:r w:rsidR="00503439">
              <w:rPr>
                <w:noProof/>
                <w:webHidden/>
              </w:rPr>
              <w:fldChar w:fldCharType="end"/>
            </w:r>
          </w:hyperlink>
        </w:p>
        <w:p w:rsidR="00503439" w:rsidRDefault="00CB77F6">
          <w:pPr>
            <w:pStyle w:val="Obsah2"/>
            <w:tabs>
              <w:tab w:val="right" w:leader="dot" w:pos="9060"/>
            </w:tabs>
            <w:rPr>
              <w:rFonts w:asciiTheme="minorHAnsi" w:eastAsiaTheme="minorEastAsia" w:hAnsiTheme="minorHAnsi" w:cstheme="minorBidi"/>
              <w:noProof/>
              <w:sz w:val="22"/>
              <w:szCs w:val="22"/>
            </w:rPr>
          </w:pPr>
          <w:hyperlink w:anchor="_Toc514782398" w:history="1">
            <w:r w:rsidR="00503439" w:rsidRPr="00AB3219">
              <w:rPr>
                <w:rStyle w:val="Hypertextovodkaz"/>
                <w:noProof/>
              </w:rPr>
              <w:t>Úkol č. 5</w:t>
            </w:r>
            <w:r w:rsidR="00503439">
              <w:rPr>
                <w:noProof/>
                <w:webHidden/>
              </w:rPr>
              <w:tab/>
            </w:r>
            <w:r w:rsidR="00503439">
              <w:rPr>
                <w:noProof/>
                <w:webHidden/>
              </w:rPr>
              <w:fldChar w:fldCharType="begin"/>
            </w:r>
            <w:r w:rsidR="00503439">
              <w:rPr>
                <w:noProof/>
                <w:webHidden/>
              </w:rPr>
              <w:instrText xml:space="preserve"> PAGEREF _Toc514782398 \h </w:instrText>
            </w:r>
            <w:r w:rsidR="00503439">
              <w:rPr>
                <w:noProof/>
                <w:webHidden/>
              </w:rPr>
            </w:r>
            <w:r w:rsidR="00503439">
              <w:rPr>
                <w:noProof/>
                <w:webHidden/>
              </w:rPr>
              <w:fldChar w:fldCharType="separate"/>
            </w:r>
            <w:r>
              <w:rPr>
                <w:noProof/>
                <w:webHidden/>
              </w:rPr>
              <w:t>9</w:t>
            </w:r>
            <w:r w:rsidR="00503439">
              <w:rPr>
                <w:noProof/>
                <w:webHidden/>
              </w:rPr>
              <w:fldChar w:fldCharType="end"/>
            </w:r>
          </w:hyperlink>
        </w:p>
        <w:p w:rsidR="00503439" w:rsidRDefault="00CB77F6">
          <w:pPr>
            <w:pStyle w:val="Obsah2"/>
            <w:tabs>
              <w:tab w:val="right" w:leader="dot" w:pos="9060"/>
            </w:tabs>
            <w:rPr>
              <w:rFonts w:asciiTheme="minorHAnsi" w:eastAsiaTheme="minorEastAsia" w:hAnsiTheme="minorHAnsi" w:cstheme="minorBidi"/>
              <w:noProof/>
              <w:sz w:val="22"/>
              <w:szCs w:val="22"/>
            </w:rPr>
          </w:pPr>
          <w:hyperlink w:anchor="_Toc514782399" w:history="1">
            <w:r w:rsidR="00503439" w:rsidRPr="00AB3219">
              <w:rPr>
                <w:rStyle w:val="Hypertextovodkaz"/>
                <w:noProof/>
              </w:rPr>
              <w:t>Úkol č. 6</w:t>
            </w:r>
            <w:r w:rsidR="00503439">
              <w:rPr>
                <w:noProof/>
                <w:webHidden/>
              </w:rPr>
              <w:tab/>
            </w:r>
            <w:r w:rsidR="00503439">
              <w:rPr>
                <w:noProof/>
                <w:webHidden/>
              </w:rPr>
              <w:fldChar w:fldCharType="begin"/>
            </w:r>
            <w:r w:rsidR="00503439">
              <w:rPr>
                <w:noProof/>
                <w:webHidden/>
              </w:rPr>
              <w:instrText xml:space="preserve"> PAGEREF _Toc514782399 \h </w:instrText>
            </w:r>
            <w:r w:rsidR="00503439">
              <w:rPr>
                <w:noProof/>
                <w:webHidden/>
              </w:rPr>
            </w:r>
            <w:r w:rsidR="00503439">
              <w:rPr>
                <w:noProof/>
                <w:webHidden/>
              </w:rPr>
              <w:fldChar w:fldCharType="separate"/>
            </w:r>
            <w:r>
              <w:rPr>
                <w:noProof/>
                <w:webHidden/>
              </w:rPr>
              <w:t>11</w:t>
            </w:r>
            <w:r w:rsidR="00503439">
              <w:rPr>
                <w:noProof/>
                <w:webHidden/>
              </w:rPr>
              <w:fldChar w:fldCharType="end"/>
            </w:r>
          </w:hyperlink>
        </w:p>
        <w:p w:rsidR="00503439" w:rsidRDefault="00CB77F6">
          <w:pPr>
            <w:pStyle w:val="Obsah2"/>
            <w:tabs>
              <w:tab w:val="right" w:leader="dot" w:pos="9060"/>
            </w:tabs>
            <w:rPr>
              <w:rFonts w:asciiTheme="minorHAnsi" w:eastAsiaTheme="minorEastAsia" w:hAnsiTheme="minorHAnsi" w:cstheme="minorBidi"/>
              <w:noProof/>
              <w:sz w:val="22"/>
              <w:szCs w:val="22"/>
            </w:rPr>
          </w:pPr>
          <w:hyperlink w:anchor="_Toc514782400" w:history="1">
            <w:r w:rsidR="00503439" w:rsidRPr="00AB3219">
              <w:rPr>
                <w:rStyle w:val="Hypertextovodkaz"/>
                <w:noProof/>
              </w:rPr>
              <w:t>Úkol č. 7</w:t>
            </w:r>
            <w:r w:rsidR="00503439">
              <w:rPr>
                <w:noProof/>
                <w:webHidden/>
              </w:rPr>
              <w:tab/>
            </w:r>
            <w:r w:rsidR="00503439">
              <w:rPr>
                <w:noProof/>
                <w:webHidden/>
              </w:rPr>
              <w:fldChar w:fldCharType="begin"/>
            </w:r>
            <w:r w:rsidR="00503439">
              <w:rPr>
                <w:noProof/>
                <w:webHidden/>
              </w:rPr>
              <w:instrText xml:space="preserve"> PAGEREF _Toc514782400 \h </w:instrText>
            </w:r>
            <w:r w:rsidR="00503439">
              <w:rPr>
                <w:noProof/>
                <w:webHidden/>
              </w:rPr>
            </w:r>
            <w:r w:rsidR="00503439">
              <w:rPr>
                <w:noProof/>
                <w:webHidden/>
              </w:rPr>
              <w:fldChar w:fldCharType="separate"/>
            </w:r>
            <w:r>
              <w:rPr>
                <w:noProof/>
                <w:webHidden/>
              </w:rPr>
              <w:t>12</w:t>
            </w:r>
            <w:r w:rsidR="00503439">
              <w:rPr>
                <w:noProof/>
                <w:webHidden/>
              </w:rPr>
              <w:fldChar w:fldCharType="end"/>
            </w:r>
          </w:hyperlink>
        </w:p>
        <w:p w:rsidR="00503439" w:rsidRDefault="00CB77F6">
          <w:pPr>
            <w:pStyle w:val="Obsah1"/>
            <w:tabs>
              <w:tab w:val="left" w:pos="660"/>
              <w:tab w:val="right" w:leader="dot" w:pos="9060"/>
            </w:tabs>
            <w:rPr>
              <w:rFonts w:asciiTheme="minorHAnsi" w:eastAsiaTheme="minorEastAsia" w:hAnsiTheme="minorHAnsi" w:cstheme="minorBidi"/>
              <w:noProof/>
              <w:sz w:val="22"/>
              <w:szCs w:val="22"/>
            </w:rPr>
          </w:pPr>
          <w:hyperlink w:anchor="_Toc514782401" w:history="1">
            <w:r w:rsidR="00503439" w:rsidRPr="00AB3219">
              <w:rPr>
                <w:rStyle w:val="Hypertextovodkaz"/>
                <w:noProof/>
              </w:rPr>
              <w:t>III.</w:t>
            </w:r>
            <w:r w:rsidR="00503439">
              <w:rPr>
                <w:rFonts w:asciiTheme="minorHAnsi" w:eastAsiaTheme="minorEastAsia" w:hAnsiTheme="minorHAnsi" w:cstheme="minorBidi"/>
                <w:noProof/>
                <w:sz w:val="22"/>
                <w:szCs w:val="22"/>
              </w:rPr>
              <w:tab/>
            </w:r>
            <w:r w:rsidR="00503439" w:rsidRPr="00AB3219">
              <w:rPr>
                <w:rStyle w:val="Hypertextovodkaz"/>
                <w:noProof/>
              </w:rPr>
              <w:t>Vzdělávání a školení ve vztahu k agendě WPS</w:t>
            </w:r>
            <w:r w:rsidR="00503439">
              <w:rPr>
                <w:noProof/>
                <w:webHidden/>
              </w:rPr>
              <w:tab/>
            </w:r>
            <w:r w:rsidR="00503439">
              <w:rPr>
                <w:noProof/>
                <w:webHidden/>
              </w:rPr>
              <w:fldChar w:fldCharType="begin"/>
            </w:r>
            <w:r w:rsidR="00503439">
              <w:rPr>
                <w:noProof/>
                <w:webHidden/>
              </w:rPr>
              <w:instrText xml:space="preserve"> PAGEREF _Toc514782401 \h </w:instrText>
            </w:r>
            <w:r w:rsidR="00503439">
              <w:rPr>
                <w:noProof/>
                <w:webHidden/>
              </w:rPr>
            </w:r>
            <w:r w:rsidR="00503439">
              <w:rPr>
                <w:noProof/>
                <w:webHidden/>
              </w:rPr>
              <w:fldChar w:fldCharType="separate"/>
            </w:r>
            <w:r>
              <w:rPr>
                <w:noProof/>
                <w:webHidden/>
              </w:rPr>
              <w:t>13</w:t>
            </w:r>
            <w:r w:rsidR="00503439">
              <w:rPr>
                <w:noProof/>
                <w:webHidden/>
              </w:rPr>
              <w:fldChar w:fldCharType="end"/>
            </w:r>
          </w:hyperlink>
        </w:p>
        <w:p w:rsidR="00503439" w:rsidRDefault="00CB77F6">
          <w:pPr>
            <w:pStyle w:val="Obsah2"/>
            <w:tabs>
              <w:tab w:val="right" w:leader="dot" w:pos="9060"/>
            </w:tabs>
            <w:rPr>
              <w:rFonts w:asciiTheme="minorHAnsi" w:eastAsiaTheme="minorEastAsia" w:hAnsiTheme="minorHAnsi" w:cstheme="minorBidi"/>
              <w:noProof/>
              <w:sz w:val="22"/>
              <w:szCs w:val="22"/>
            </w:rPr>
          </w:pPr>
          <w:hyperlink w:anchor="_Toc514782402" w:history="1">
            <w:r w:rsidR="00503439" w:rsidRPr="00AB3219">
              <w:rPr>
                <w:rStyle w:val="Hypertextovodkaz"/>
                <w:noProof/>
              </w:rPr>
              <w:t>Úkol č. 8</w:t>
            </w:r>
            <w:r w:rsidR="00503439">
              <w:rPr>
                <w:noProof/>
                <w:webHidden/>
              </w:rPr>
              <w:tab/>
            </w:r>
            <w:r w:rsidR="00503439">
              <w:rPr>
                <w:noProof/>
                <w:webHidden/>
              </w:rPr>
              <w:fldChar w:fldCharType="begin"/>
            </w:r>
            <w:r w:rsidR="00503439">
              <w:rPr>
                <w:noProof/>
                <w:webHidden/>
              </w:rPr>
              <w:instrText xml:space="preserve"> PAGEREF _Toc514782402 \h </w:instrText>
            </w:r>
            <w:r w:rsidR="00503439">
              <w:rPr>
                <w:noProof/>
                <w:webHidden/>
              </w:rPr>
            </w:r>
            <w:r w:rsidR="00503439">
              <w:rPr>
                <w:noProof/>
                <w:webHidden/>
              </w:rPr>
              <w:fldChar w:fldCharType="separate"/>
            </w:r>
            <w:r>
              <w:rPr>
                <w:noProof/>
                <w:webHidden/>
              </w:rPr>
              <w:t>13</w:t>
            </w:r>
            <w:r w:rsidR="00503439">
              <w:rPr>
                <w:noProof/>
                <w:webHidden/>
              </w:rPr>
              <w:fldChar w:fldCharType="end"/>
            </w:r>
          </w:hyperlink>
        </w:p>
        <w:p w:rsidR="00503439" w:rsidRDefault="00CB77F6">
          <w:pPr>
            <w:pStyle w:val="Obsah2"/>
            <w:tabs>
              <w:tab w:val="right" w:leader="dot" w:pos="9060"/>
            </w:tabs>
            <w:rPr>
              <w:rFonts w:asciiTheme="minorHAnsi" w:eastAsiaTheme="minorEastAsia" w:hAnsiTheme="minorHAnsi" w:cstheme="minorBidi"/>
              <w:noProof/>
              <w:sz w:val="22"/>
              <w:szCs w:val="22"/>
            </w:rPr>
          </w:pPr>
          <w:hyperlink w:anchor="_Toc514782403" w:history="1">
            <w:r w:rsidR="00503439" w:rsidRPr="00AB3219">
              <w:rPr>
                <w:rStyle w:val="Hypertextovodkaz"/>
                <w:noProof/>
              </w:rPr>
              <w:t>Úkol č. 9</w:t>
            </w:r>
            <w:r w:rsidR="00503439">
              <w:rPr>
                <w:noProof/>
                <w:webHidden/>
              </w:rPr>
              <w:tab/>
            </w:r>
            <w:r w:rsidR="00503439">
              <w:rPr>
                <w:noProof/>
                <w:webHidden/>
              </w:rPr>
              <w:fldChar w:fldCharType="begin"/>
            </w:r>
            <w:r w:rsidR="00503439">
              <w:rPr>
                <w:noProof/>
                <w:webHidden/>
              </w:rPr>
              <w:instrText xml:space="preserve"> PAGEREF _Toc514782403 \h </w:instrText>
            </w:r>
            <w:r w:rsidR="00503439">
              <w:rPr>
                <w:noProof/>
                <w:webHidden/>
              </w:rPr>
            </w:r>
            <w:r w:rsidR="00503439">
              <w:rPr>
                <w:noProof/>
                <w:webHidden/>
              </w:rPr>
              <w:fldChar w:fldCharType="separate"/>
            </w:r>
            <w:r>
              <w:rPr>
                <w:noProof/>
                <w:webHidden/>
              </w:rPr>
              <w:t>15</w:t>
            </w:r>
            <w:r w:rsidR="00503439">
              <w:rPr>
                <w:noProof/>
                <w:webHidden/>
              </w:rPr>
              <w:fldChar w:fldCharType="end"/>
            </w:r>
          </w:hyperlink>
        </w:p>
        <w:p w:rsidR="00503439" w:rsidRDefault="00CB77F6">
          <w:pPr>
            <w:pStyle w:val="Obsah1"/>
            <w:tabs>
              <w:tab w:val="left" w:pos="660"/>
              <w:tab w:val="right" w:leader="dot" w:pos="9060"/>
            </w:tabs>
            <w:rPr>
              <w:rFonts w:asciiTheme="minorHAnsi" w:eastAsiaTheme="minorEastAsia" w:hAnsiTheme="minorHAnsi" w:cstheme="minorBidi"/>
              <w:noProof/>
              <w:sz w:val="22"/>
              <w:szCs w:val="22"/>
            </w:rPr>
          </w:pPr>
          <w:hyperlink w:anchor="_Toc514782404" w:history="1">
            <w:r w:rsidR="00503439" w:rsidRPr="00AB3219">
              <w:rPr>
                <w:rStyle w:val="Hypertextovodkaz"/>
                <w:noProof/>
              </w:rPr>
              <w:t>IV.</w:t>
            </w:r>
            <w:r w:rsidR="00503439">
              <w:rPr>
                <w:rFonts w:asciiTheme="minorHAnsi" w:eastAsiaTheme="minorEastAsia" w:hAnsiTheme="minorHAnsi" w:cstheme="minorBidi"/>
                <w:noProof/>
                <w:sz w:val="22"/>
                <w:szCs w:val="22"/>
              </w:rPr>
              <w:tab/>
            </w:r>
            <w:r w:rsidR="00503439" w:rsidRPr="00AB3219">
              <w:rPr>
                <w:rStyle w:val="Hypertextovodkaz"/>
                <w:noProof/>
              </w:rPr>
              <w:t>Mezinárodní spolupráce a prosazování problematiky WPS</w:t>
            </w:r>
            <w:r w:rsidR="00503439">
              <w:rPr>
                <w:noProof/>
                <w:webHidden/>
              </w:rPr>
              <w:tab/>
            </w:r>
            <w:r w:rsidR="00503439">
              <w:rPr>
                <w:noProof/>
                <w:webHidden/>
              </w:rPr>
              <w:fldChar w:fldCharType="begin"/>
            </w:r>
            <w:r w:rsidR="00503439">
              <w:rPr>
                <w:noProof/>
                <w:webHidden/>
              </w:rPr>
              <w:instrText xml:space="preserve"> PAGEREF _Toc514782404 \h </w:instrText>
            </w:r>
            <w:r w:rsidR="00503439">
              <w:rPr>
                <w:noProof/>
                <w:webHidden/>
              </w:rPr>
            </w:r>
            <w:r w:rsidR="00503439">
              <w:rPr>
                <w:noProof/>
                <w:webHidden/>
              </w:rPr>
              <w:fldChar w:fldCharType="separate"/>
            </w:r>
            <w:r>
              <w:rPr>
                <w:noProof/>
                <w:webHidden/>
              </w:rPr>
              <w:t>15</w:t>
            </w:r>
            <w:r w:rsidR="00503439">
              <w:rPr>
                <w:noProof/>
                <w:webHidden/>
              </w:rPr>
              <w:fldChar w:fldCharType="end"/>
            </w:r>
          </w:hyperlink>
        </w:p>
        <w:p w:rsidR="00503439" w:rsidRDefault="00CB77F6">
          <w:pPr>
            <w:pStyle w:val="Obsah2"/>
            <w:tabs>
              <w:tab w:val="right" w:leader="dot" w:pos="9060"/>
            </w:tabs>
            <w:rPr>
              <w:rFonts w:asciiTheme="minorHAnsi" w:eastAsiaTheme="minorEastAsia" w:hAnsiTheme="minorHAnsi" w:cstheme="minorBidi"/>
              <w:noProof/>
              <w:sz w:val="22"/>
              <w:szCs w:val="22"/>
            </w:rPr>
          </w:pPr>
          <w:hyperlink w:anchor="_Toc514782405" w:history="1">
            <w:r w:rsidR="00503439" w:rsidRPr="00AB3219">
              <w:rPr>
                <w:rStyle w:val="Hypertextovodkaz"/>
                <w:noProof/>
              </w:rPr>
              <w:t>Úkol č. 10</w:t>
            </w:r>
            <w:r w:rsidR="00503439">
              <w:rPr>
                <w:noProof/>
                <w:webHidden/>
              </w:rPr>
              <w:tab/>
            </w:r>
            <w:r w:rsidR="00503439">
              <w:rPr>
                <w:noProof/>
                <w:webHidden/>
              </w:rPr>
              <w:fldChar w:fldCharType="begin"/>
            </w:r>
            <w:r w:rsidR="00503439">
              <w:rPr>
                <w:noProof/>
                <w:webHidden/>
              </w:rPr>
              <w:instrText xml:space="preserve"> PAGEREF _Toc514782405 \h </w:instrText>
            </w:r>
            <w:r w:rsidR="00503439">
              <w:rPr>
                <w:noProof/>
                <w:webHidden/>
              </w:rPr>
            </w:r>
            <w:r w:rsidR="00503439">
              <w:rPr>
                <w:noProof/>
                <w:webHidden/>
              </w:rPr>
              <w:fldChar w:fldCharType="separate"/>
            </w:r>
            <w:r>
              <w:rPr>
                <w:noProof/>
                <w:webHidden/>
              </w:rPr>
              <w:t>15</w:t>
            </w:r>
            <w:r w:rsidR="00503439">
              <w:rPr>
                <w:noProof/>
                <w:webHidden/>
              </w:rPr>
              <w:fldChar w:fldCharType="end"/>
            </w:r>
          </w:hyperlink>
        </w:p>
        <w:p w:rsidR="00503439" w:rsidRDefault="00CB77F6">
          <w:pPr>
            <w:pStyle w:val="Obsah2"/>
            <w:tabs>
              <w:tab w:val="right" w:leader="dot" w:pos="9060"/>
            </w:tabs>
            <w:rPr>
              <w:rFonts w:asciiTheme="minorHAnsi" w:eastAsiaTheme="minorEastAsia" w:hAnsiTheme="minorHAnsi" w:cstheme="minorBidi"/>
              <w:noProof/>
              <w:sz w:val="22"/>
              <w:szCs w:val="22"/>
            </w:rPr>
          </w:pPr>
          <w:hyperlink w:anchor="_Toc514782406" w:history="1">
            <w:r w:rsidR="00503439" w:rsidRPr="00AB3219">
              <w:rPr>
                <w:rStyle w:val="Hypertextovodkaz"/>
                <w:noProof/>
              </w:rPr>
              <w:t>Úkol č. 11</w:t>
            </w:r>
            <w:r w:rsidR="00503439">
              <w:rPr>
                <w:noProof/>
                <w:webHidden/>
              </w:rPr>
              <w:tab/>
            </w:r>
            <w:r w:rsidR="00503439">
              <w:rPr>
                <w:noProof/>
                <w:webHidden/>
              </w:rPr>
              <w:fldChar w:fldCharType="begin"/>
            </w:r>
            <w:r w:rsidR="00503439">
              <w:rPr>
                <w:noProof/>
                <w:webHidden/>
              </w:rPr>
              <w:instrText xml:space="preserve"> PAGEREF _Toc514782406 \h </w:instrText>
            </w:r>
            <w:r w:rsidR="00503439">
              <w:rPr>
                <w:noProof/>
                <w:webHidden/>
              </w:rPr>
            </w:r>
            <w:r w:rsidR="00503439">
              <w:rPr>
                <w:noProof/>
                <w:webHidden/>
              </w:rPr>
              <w:fldChar w:fldCharType="separate"/>
            </w:r>
            <w:r>
              <w:rPr>
                <w:noProof/>
                <w:webHidden/>
              </w:rPr>
              <w:t>16</w:t>
            </w:r>
            <w:r w:rsidR="00503439">
              <w:rPr>
                <w:noProof/>
                <w:webHidden/>
              </w:rPr>
              <w:fldChar w:fldCharType="end"/>
            </w:r>
          </w:hyperlink>
        </w:p>
        <w:p w:rsidR="00503439" w:rsidRDefault="00CB77F6">
          <w:pPr>
            <w:pStyle w:val="Obsah2"/>
            <w:tabs>
              <w:tab w:val="right" w:leader="dot" w:pos="9060"/>
            </w:tabs>
            <w:rPr>
              <w:rFonts w:asciiTheme="minorHAnsi" w:eastAsiaTheme="minorEastAsia" w:hAnsiTheme="minorHAnsi" w:cstheme="minorBidi"/>
              <w:noProof/>
              <w:sz w:val="22"/>
              <w:szCs w:val="22"/>
            </w:rPr>
          </w:pPr>
          <w:hyperlink w:anchor="_Toc514782407" w:history="1">
            <w:r w:rsidR="00503439" w:rsidRPr="00AB3219">
              <w:rPr>
                <w:rStyle w:val="Hypertextovodkaz"/>
                <w:noProof/>
              </w:rPr>
              <w:t>Úkol č. 12</w:t>
            </w:r>
            <w:r w:rsidR="00503439">
              <w:rPr>
                <w:noProof/>
                <w:webHidden/>
              </w:rPr>
              <w:tab/>
            </w:r>
            <w:r w:rsidR="00503439">
              <w:rPr>
                <w:noProof/>
                <w:webHidden/>
              </w:rPr>
              <w:fldChar w:fldCharType="begin"/>
            </w:r>
            <w:r w:rsidR="00503439">
              <w:rPr>
                <w:noProof/>
                <w:webHidden/>
              </w:rPr>
              <w:instrText xml:space="preserve"> PAGEREF _Toc514782407 \h </w:instrText>
            </w:r>
            <w:r w:rsidR="00503439">
              <w:rPr>
                <w:noProof/>
                <w:webHidden/>
              </w:rPr>
            </w:r>
            <w:r w:rsidR="00503439">
              <w:rPr>
                <w:noProof/>
                <w:webHidden/>
              </w:rPr>
              <w:fldChar w:fldCharType="separate"/>
            </w:r>
            <w:r>
              <w:rPr>
                <w:noProof/>
                <w:webHidden/>
              </w:rPr>
              <w:t>16</w:t>
            </w:r>
            <w:r w:rsidR="00503439">
              <w:rPr>
                <w:noProof/>
                <w:webHidden/>
              </w:rPr>
              <w:fldChar w:fldCharType="end"/>
            </w:r>
          </w:hyperlink>
        </w:p>
        <w:p w:rsidR="00503439" w:rsidRDefault="00CB77F6">
          <w:pPr>
            <w:pStyle w:val="Obsah2"/>
            <w:tabs>
              <w:tab w:val="right" w:leader="dot" w:pos="9060"/>
            </w:tabs>
            <w:rPr>
              <w:rFonts w:asciiTheme="minorHAnsi" w:eastAsiaTheme="minorEastAsia" w:hAnsiTheme="minorHAnsi" w:cstheme="minorBidi"/>
              <w:noProof/>
              <w:sz w:val="22"/>
              <w:szCs w:val="22"/>
            </w:rPr>
          </w:pPr>
          <w:hyperlink w:anchor="_Toc514782408" w:history="1">
            <w:r w:rsidR="00503439" w:rsidRPr="00AB3219">
              <w:rPr>
                <w:rStyle w:val="Hypertextovodkaz"/>
                <w:noProof/>
              </w:rPr>
              <w:t>Úkol č. 13</w:t>
            </w:r>
            <w:r w:rsidR="00503439">
              <w:rPr>
                <w:noProof/>
                <w:webHidden/>
              </w:rPr>
              <w:tab/>
            </w:r>
            <w:r w:rsidR="00503439">
              <w:rPr>
                <w:noProof/>
                <w:webHidden/>
              </w:rPr>
              <w:fldChar w:fldCharType="begin"/>
            </w:r>
            <w:r w:rsidR="00503439">
              <w:rPr>
                <w:noProof/>
                <w:webHidden/>
              </w:rPr>
              <w:instrText xml:space="preserve"> PAGEREF _Toc514782408 \h </w:instrText>
            </w:r>
            <w:r w:rsidR="00503439">
              <w:rPr>
                <w:noProof/>
                <w:webHidden/>
              </w:rPr>
            </w:r>
            <w:r w:rsidR="00503439">
              <w:rPr>
                <w:noProof/>
                <w:webHidden/>
              </w:rPr>
              <w:fldChar w:fldCharType="separate"/>
            </w:r>
            <w:r>
              <w:rPr>
                <w:noProof/>
                <w:webHidden/>
              </w:rPr>
              <w:t>18</w:t>
            </w:r>
            <w:r w:rsidR="00503439">
              <w:rPr>
                <w:noProof/>
                <w:webHidden/>
              </w:rPr>
              <w:fldChar w:fldCharType="end"/>
            </w:r>
          </w:hyperlink>
        </w:p>
        <w:p w:rsidR="00503439" w:rsidRDefault="00CB77F6">
          <w:pPr>
            <w:pStyle w:val="Obsah2"/>
            <w:tabs>
              <w:tab w:val="right" w:leader="dot" w:pos="9060"/>
            </w:tabs>
            <w:rPr>
              <w:rFonts w:asciiTheme="minorHAnsi" w:eastAsiaTheme="minorEastAsia" w:hAnsiTheme="minorHAnsi" w:cstheme="minorBidi"/>
              <w:noProof/>
              <w:sz w:val="22"/>
              <w:szCs w:val="22"/>
            </w:rPr>
          </w:pPr>
          <w:hyperlink w:anchor="_Toc514782409" w:history="1">
            <w:r w:rsidR="00503439" w:rsidRPr="00AB3219">
              <w:rPr>
                <w:rStyle w:val="Hypertextovodkaz"/>
                <w:noProof/>
              </w:rPr>
              <w:t>Úkol č. 14</w:t>
            </w:r>
            <w:r w:rsidR="00503439">
              <w:rPr>
                <w:noProof/>
                <w:webHidden/>
              </w:rPr>
              <w:tab/>
            </w:r>
            <w:r w:rsidR="00503439">
              <w:rPr>
                <w:noProof/>
                <w:webHidden/>
              </w:rPr>
              <w:fldChar w:fldCharType="begin"/>
            </w:r>
            <w:r w:rsidR="00503439">
              <w:rPr>
                <w:noProof/>
                <w:webHidden/>
              </w:rPr>
              <w:instrText xml:space="preserve"> PAGEREF _Toc514782409 \h </w:instrText>
            </w:r>
            <w:r w:rsidR="00503439">
              <w:rPr>
                <w:noProof/>
                <w:webHidden/>
              </w:rPr>
            </w:r>
            <w:r w:rsidR="00503439">
              <w:rPr>
                <w:noProof/>
                <w:webHidden/>
              </w:rPr>
              <w:fldChar w:fldCharType="separate"/>
            </w:r>
            <w:r>
              <w:rPr>
                <w:noProof/>
                <w:webHidden/>
              </w:rPr>
              <w:t>19</w:t>
            </w:r>
            <w:r w:rsidR="00503439">
              <w:rPr>
                <w:noProof/>
                <w:webHidden/>
              </w:rPr>
              <w:fldChar w:fldCharType="end"/>
            </w:r>
          </w:hyperlink>
        </w:p>
        <w:p w:rsidR="00503439" w:rsidRDefault="00CB77F6">
          <w:pPr>
            <w:pStyle w:val="Obsah2"/>
            <w:tabs>
              <w:tab w:val="right" w:leader="dot" w:pos="9060"/>
            </w:tabs>
            <w:rPr>
              <w:rFonts w:asciiTheme="minorHAnsi" w:eastAsiaTheme="minorEastAsia" w:hAnsiTheme="minorHAnsi" w:cstheme="minorBidi"/>
              <w:noProof/>
              <w:sz w:val="22"/>
              <w:szCs w:val="22"/>
            </w:rPr>
          </w:pPr>
          <w:hyperlink w:anchor="_Toc514782410" w:history="1">
            <w:r w:rsidR="00503439" w:rsidRPr="00AB3219">
              <w:rPr>
                <w:rStyle w:val="Hypertextovodkaz"/>
                <w:noProof/>
              </w:rPr>
              <w:t>Úkol č. 15</w:t>
            </w:r>
            <w:r w:rsidR="00503439">
              <w:rPr>
                <w:noProof/>
                <w:webHidden/>
              </w:rPr>
              <w:tab/>
            </w:r>
            <w:r w:rsidR="00503439">
              <w:rPr>
                <w:noProof/>
                <w:webHidden/>
              </w:rPr>
              <w:fldChar w:fldCharType="begin"/>
            </w:r>
            <w:r w:rsidR="00503439">
              <w:rPr>
                <w:noProof/>
                <w:webHidden/>
              </w:rPr>
              <w:instrText xml:space="preserve"> PAGEREF _Toc514782410 \h </w:instrText>
            </w:r>
            <w:r w:rsidR="00503439">
              <w:rPr>
                <w:noProof/>
                <w:webHidden/>
              </w:rPr>
            </w:r>
            <w:r w:rsidR="00503439">
              <w:rPr>
                <w:noProof/>
                <w:webHidden/>
              </w:rPr>
              <w:fldChar w:fldCharType="separate"/>
            </w:r>
            <w:r>
              <w:rPr>
                <w:noProof/>
                <w:webHidden/>
              </w:rPr>
              <w:t>20</w:t>
            </w:r>
            <w:r w:rsidR="00503439">
              <w:rPr>
                <w:noProof/>
                <w:webHidden/>
              </w:rPr>
              <w:fldChar w:fldCharType="end"/>
            </w:r>
          </w:hyperlink>
        </w:p>
        <w:p w:rsidR="00503439" w:rsidRDefault="00CB77F6">
          <w:pPr>
            <w:pStyle w:val="Obsah2"/>
            <w:tabs>
              <w:tab w:val="right" w:leader="dot" w:pos="9060"/>
            </w:tabs>
            <w:rPr>
              <w:rFonts w:asciiTheme="minorHAnsi" w:eastAsiaTheme="minorEastAsia" w:hAnsiTheme="minorHAnsi" w:cstheme="minorBidi"/>
              <w:noProof/>
              <w:sz w:val="22"/>
              <w:szCs w:val="22"/>
            </w:rPr>
          </w:pPr>
          <w:hyperlink w:anchor="_Toc514782411" w:history="1">
            <w:r w:rsidR="00503439" w:rsidRPr="00AB3219">
              <w:rPr>
                <w:rStyle w:val="Hypertextovodkaz"/>
                <w:noProof/>
              </w:rPr>
              <w:t>Úkol č. 16</w:t>
            </w:r>
            <w:r w:rsidR="00503439">
              <w:rPr>
                <w:noProof/>
                <w:webHidden/>
              </w:rPr>
              <w:tab/>
            </w:r>
            <w:r w:rsidR="00503439">
              <w:rPr>
                <w:noProof/>
                <w:webHidden/>
              </w:rPr>
              <w:fldChar w:fldCharType="begin"/>
            </w:r>
            <w:r w:rsidR="00503439">
              <w:rPr>
                <w:noProof/>
                <w:webHidden/>
              </w:rPr>
              <w:instrText xml:space="preserve"> PAGEREF _Toc514782411 \h </w:instrText>
            </w:r>
            <w:r w:rsidR="00503439">
              <w:rPr>
                <w:noProof/>
                <w:webHidden/>
              </w:rPr>
            </w:r>
            <w:r w:rsidR="00503439">
              <w:rPr>
                <w:noProof/>
                <w:webHidden/>
              </w:rPr>
              <w:fldChar w:fldCharType="separate"/>
            </w:r>
            <w:r>
              <w:rPr>
                <w:noProof/>
                <w:webHidden/>
              </w:rPr>
              <w:t>21</w:t>
            </w:r>
            <w:r w:rsidR="00503439">
              <w:rPr>
                <w:noProof/>
                <w:webHidden/>
              </w:rPr>
              <w:fldChar w:fldCharType="end"/>
            </w:r>
          </w:hyperlink>
        </w:p>
        <w:p w:rsidR="00503439" w:rsidRDefault="00CB77F6">
          <w:pPr>
            <w:pStyle w:val="Obsah2"/>
            <w:tabs>
              <w:tab w:val="right" w:leader="dot" w:pos="9060"/>
            </w:tabs>
            <w:rPr>
              <w:rFonts w:asciiTheme="minorHAnsi" w:eastAsiaTheme="minorEastAsia" w:hAnsiTheme="minorHAnsi" w:cstheme="minorBidi"/>
              <w:noProof/>
              <w:sz w:val="22"/>
              <w:szCs w:val="22"/>
            </w:rPr>
          </w:pPr>
          <w:hyperlink w:anchor="_Toc514782412" w:history="1">
            <w:r w:rsidR="00503439" w:rsidRPr="00AB3219">
              <w:rPr>
                <w:rStyle w:val="Hypertextovodkaz"/>
                <w:noProof/>
              </w:rPr>
              <w:t>Úkol č. 17</w:t>
            </w:r>
            <w:r w:rsidR="00503439">
              <w:rPr>
                <w:noProof/>
                <w:webHidden/>
              </w:rPr>
              <w:tab/>
            </w:r>
            <w:r w:rsidR="00503439">
              <w:rPr>
                <w:noProof/>
                <w:webHidden/>
              </w:rPr>
              <w:fldChar w:fldCharType="begin"/>
            </w:r>
            <w:r w:rsidR="00503439">
              <w:rPr>
                <w:noProof/>
                <w:webHidden/>
              </w:rPr>
              <w:instrText xml:space="preserve"> PAGEREF _Toc514782412 \h </w:instrText>
            </w:r>
            <w:r w:rsidR="00503439">
              <w:rPr>
                <w:noProof/>
                <w:webHidden/>
              </w:rPr>
            </w:r>
            <w:r w:rsidR="00503439">
              <w:rPr>
                <w:noProof/>
                <w:webHidden/>
              </w:rPr>
              <w:fldChar w:fldCharType="separate"/>
            </w:r>
            <w:r>
              <w:rPr>
                <w:noProof/>
                <w:webHidden/>
              </w:rPr>
              <w:t>22</w:t>
            </w:r>
            <w:r w:rsidR="00503439">
              <w:rPr>
                <w:noProof/>
                <w:webHidden/>
              </w:rPr>
              <w:fldChar w:fldCharType="end"/>
            </w:r>
          </w:hyperlink>
        </w:p>
        <w:p w:rsidR="00503439" w:rsidRDefault="00CB77F6">
          <w:pPr>
            <w:pStyle w:val="Obsah1"/>
            <w:tabs>
              <w:tab w:val="left" w:pos="660"/>
              <w:tab w:val="right" w:leader="dot" w:pos="9060"/>
            </w:tabs>
            <w:rPr>
              <w:rFonts w:asciiTheme="minorHAnsi" w:eastAsiaTheme="minorEastAsia" w:hAnsiTheme="minorHAnsi" w:cstheme="minorBidi"/>
              <w:noProof/>
              <w:sz w:val="22"/>
              <w:szCs w:val="22"/>
            </w:rPr>
          </w:pPr>
          <w:hyperlink w:anchor="_Toc514782413" w:history="1">
            <w:r w:rsidR="00503439" w:rsidRPr="00AB3219">
              <w:rPr>
                <w:rStyle w:val="Hypertextovodkaz"/>
                <w:noProof/>
              </w:rPr>
              <w:t>V.</w:t>
            </w:r>
            <w:r w:rsidR="00503439">
              <w:rPr>
                <w:rFonts w:asciiTheme="minorHAnsi" w:eastAsiaTheme="minorEastAsia" w:hAnsiTheme="minorHAnsi" w:cstheme="minorBidi"/>
                <w:noProof/>
                <w:sz w:val="22"/>
                <w:szCs w:val="22"/>
              </w:rPr>
              <w:tab/>
            </w:r>
            <w:r w:rsidR="00503439" w:rsidRPr="00AB3219">
              <w:rPr>
                <w:rStyle w:val="Hypertextovodkaz"/>
                <w:noProof/>
              </w:rPr>
              <w:t>Důstojnost a integrita žen ve vztahu k problematice WPS</w:t>
            </w:r>
            <w:r w:rsidR="00503439">
              <w:rPr>
                <w:noProof/>
                <w:webHidden/>
              </w:rPr>
              <w:tab/>
            </w:r>
            <w:r w:rsidR="00503439">
              <w:rPr>
                <w:noProof/>
                <w:webHidden/>
              </w:rPr>
              <w:fldChar w:fldCharType="begin"/>
            </w:r>
            <w:r w:rsidR="00503439">
              <w:rPr>
                <w:noProof/>
                <w:webHidden/>
              </w:rPr>
              <w:instrText xml:space="preserve"> PAGEREF _Toc514782413 \h </w:instrText>
            </w:r>
            <w:r w:rsidR="00503439">
              <w:rPr>
                <w:noProof/>
                <w:webHidden/>
              </w:rPr>
            </w:r>
            <w:r w:rsidR="00503439">
              <w:rPr>
                <w:noProof/>
                <w:webHidden/>
              </w:rPr>
              <w:fldChar w:fldCharType="separate"/>
            </w:r>
            <w:r>
              <w:rPr>
                <w:noProof/>
                <w:webHidden/>
              </w:rPr>
              <w:t>23</w:t>
            </w:r>
            <w:r w:rsidR="00503439">
              <w:rPr>
                <w:noProof/>
                <w:webHidden/>
              </w:rPr>
              <w:fldChar w:fldCharType="end"/>
            </w:r>
          </w:hyperlink>
        </w:p>
        <w:p w:rsidR="00503439" w:rsidRDefault="00CB77F6">
          <w:pPr>
            <w:pStyle w:val="Obsah2"/>
            <w:tabs>
              <w:tab w:val="right" w:leader="dot" w:pos="9060"/>
            </w:tabs>
            <w:rPr>
              <w:rFonts w:asciiTheme="minorHAnsi" w:eastAsiaTheme="minorEastAsia" w:hAnsiTheme="minorHAnsi" w:cstheme="minorBidi"/>
              <w:noProof/>
              <w:sz w:val="22"/>
              <w:szCs w:val="22"/>
            </w:rPr>
          </w:pPr>
          <w:hyperlink w:anchor="_Toc514782414" w:history="1">
            <w:r w:rsidR="00503439" w:rsidRPr="00AB3219">
              <w:rPr>
                <w:rStyle w:val="Hypertextovodkaz"/>
                <w:noProof/>
              </w:rPr>
              <w:t>Úkol č. 18</w:t>
            </w:r>
            <w:r w:rsidR="00503439">
              <w:rPr>
                <w:noProof/>
                <w:webHidden/>
              </w:rPr>
              <w:tab/>
            </w:r>
            <w:r w:rsidR="00503439">
              <w:rPr>
                <w:noProof/>
                <w:webHidden/>
              </w:rPr>
              <w:fldChar w:fldCharType="begin"/>
            </w:r>
            <w:r w:rsidR="00503439">
              <w:rPr>
                <w:noProof/>
                <w:webHidden/>
              </w:rPr>
              <w:instrText xml:space="preserve"> PAGEREF _Toc514782414 \h </w:instrText>
            </w:r>
            <w:r w:rsidR="00503439">
              <w:rPr>
                <w:noProof/>
                <w:webHidden/>
              </w:rPr>
            </w:r>
            <w:r w:rsidR="00503439">
              <w:rPr>
                <w:noProof/>
                <w:webHidden/>
              </w:rPr>
              <w:fldChar w:fldCharType="separate"/>
            </w:r>
            <w:r>
              <w:rPr>
                <w:noProof/>
                <w:webHidden/>
              </w:rPr>
              <w:t>23</w:t>
            </w:r>
            <w:r w:rsidR="00503439">
              <w:rPr>
                <w:noProof/>
                <w:webHidden/>
              </w:rPr>
              <w:fldChar w:fldCharType="end"/>
            </w:r>
          </w:hyperlink>
        </w:p>
        <w:p w:rsidR="00503439" w:rsidRDefault="00CB77F6">
          <w:pPr>
            <w:pStyle w:val="Obsah2"/>
            <w:tabs>
              <w:tab w:val="right" w:leader="dot" w:pos="9060"/>
            </w:tabs>
            <w:rPr>
              <w:rFonts w:asciiTheme="minorHAnsi" w:eastAsiaTheme="minorEastAsia" w:hAnsiTheme="minorHAnsi" w:cstheme="minorBidi"/>
              <w:noProof/>
              <w:sz w:val="22"/>
              <w:szCs w:val="22"/>
            </w:rPr>
          </w:pPr>
          <w:hyperlink w:anchor="_Toc514782415" w:history="1">
            <w:r w:rsidR="00503439" w:rsidRPr="00AB3219">
              <w:rPr>
                <w:rStyle w:val="Hypertextovodkaz"/>
                <w:noProof/>
              </w:rPr>
              <w:t>Úkol č. 19</w:t>
            </w:r>
            <w:r w:rsidR="00503439">
              <w:rPr>
                <w:noProof/>
                <w:webHidden/>
              </w:rPr>
              <w:tab/>
            </w:r>
            <w:r w:rsidR="00503439">
              <w:rPr>
                <w:noProof/>
                <w:webHidden/>
              </w:rPr>
              <w:fldChar w:fldCharType="begin"/>
            </w:r>
            <w:r w:rsidR="00503439">
              <w:rPr>
                <w:noProof/>
                <w:webHidden/>
              </w:rPr>
              <w:instrText xml:space="preserve"> PAGEREF _Toc514782415 \h </w:instrText>
            </w:r>
            <w:r w:rsidR="00503439">
              <w:rPr>
                <w:noProof/>
                <w:webHidden/>
              </w:rPr>
            </w:r>
            <w:r w:rsidR="00503439">
              <w:rPr>
                <w:noProof/>
                <w:webHidden/>
              </w:rPr>
              <w:fldChar w:fldCharType="separate"/>
            </w:r>
            <w:r>
              <w:rPr>
                <w:noProof/>
                <w:webHidden/>
              </w:rPr>
              <w:t>24</w:t>
            </w:r>
            <w:r w:rsidR="00503439">
              <w:rPr>
                <w:noProof/>
                <w:webHidden/>
              </w:rPr>
              <w:fldChar w:fldCharType="end"/>
            </w:r>
          </w:hyperlink>
        </w:p>
        <w:p w:rsidR="00503439" w:rsidRDefault="00CB77F6">
          <w:pPr>
            <w:pStyle w:val="Obsah2"/>
            <w:tabs>
              <w:tab w:val="right" w:leader="dot" w:pos="9060"/>
            </w:tabs>
            <w:rPr>
              <w:rFonts w:asciiTheme="minorHAnsi" w:eastAsiaTheme="minorEastAsia" w:hAnsiTheme="minorHAnsi" w:cstheme="minorBidi"/>
              <w:noProof/>
              <w:sz w:val="22"/>
              <w:szCs w:val="22"/>
            </w:rPr>
          </w:pPr>
          <w:hyperlink w:anchor="_Toc514782416" w:history="1">
            <w:r w:rsidR="00503439" w:rsidRPr="00AB3219">
              <w:rPr>
                <w:rStyle w:val="Hypertextovodkaz"/>
                <w:noProof/>
              </w:rPr>
              <w:t>Úkol č. 20</w:t>
            </w:r>
            <w:r w:rsidR="00503439">
              <w:rPr>
                <w:noProof/>
                <w:webHidden/>
              </w:rPr>
              <w:tab/>
            </w:r>
            <w:r w:rsidR="00503439">
              <w:rPr>
                <w:noProof/>
                <w:webHidden/>
              </w:rPr>
              <w:fldChar w:fldCharType="begin"/>
            </w:r>
            <w:r w:rsidR="00503439">
              <w:rPr>
                <w:noProof/>
                <w:webHidden/>
              </w:rPr>
              <w:instrText xml:space="preserve"> PAGEREF _Toc514782416 \h </w:instrText>
            </w:r>
            <w:r w:rsidR="00503439">
              <w:rPr>
                <w:noProof/>
                <w:webHidden/>
              </w:rPr>
            </w:r>
            <w:r w:rsidR="00503439">
              <w:rPr>
                <w:noProof/>
                <w:webHidden/>
              </w:rPr>
              <w:fldChar w:fldCharType="separate"/>
            </w:r>
            <w:r>
              <w:rPr>
                <w:noProof/>
                <w:webHidden/>
              </w:rPr>
              <w:t>25</w:t>
            </w:r>
            <w:r w:rsidR="00503439">
              <w:rPr>
                <w:noProof/>
                <w:webHidden/>
              </w:rPr>
              <w:fldChar w:fldCharType="end"/>
            </w:r>
          </w:hyperlink>
        </w:p>
        <w:p w:rsidR="00503439" w:rsidRDefault="00CB77F6">
          <w:pPr>
            <w:pStyle w:val="Obsah1"/>
            <w:tabs>
              <w:tab w:val="left" w:pos="660"/>
              <w:tab w:val="right" w:leader="dot" w:pos="9060"/>
            </w:tabs>
            <w:rPr>
              <w:rFonts w:asciiTheme="minorHAnsi" w:eastAsiaTheme="minorEastAsia" w:hAnsiTheme="minorHAnsi" w:cstheme="minorBidi"/>
              <w:noProof/>
              <w:sz w:val="22"/>
              <w:szCs w:val="22"/>
            </w:rPr>
          </w:pPr>
          <w:hyperlink w:anchor="_Toc514782417" w:history="1">
            <w:r w:rsidR="00503439" w:rsidRPr="00AB3219">
              <w:rPr>
                <w:rStyle w:val="Hypertextovodkaz"/>
                <w:noProof/>
              </w:rPr>
              <w:t>VI.</w:t>
            </w:r>
            <w:r w:rsidR="00503439">
              <w:rPr>
                <w:rFonts w:asciiTheme="minorHAnsi" w:eastAsiaTheme="minorEastAsia" w:hAnsiTheme="minorHAnsi" w:cstheme="minorBidi"/>
                <w:noProof/>
                <w:sz w:val="22"/>
                <w:szCs w:val="22"/>
              </w:rPr>
              <w:tab/>
            </w:r>
            <w:r w:rsidR="00503439" w:rsidRPr="00AB3219">
              <w:rPr>
                <w:rStyle w:val="Hypertextovodkaz"/>
                <w:noProof/>
              </w:rPr>
              <w:t>Agenda WPS a současné globální výzvy</w:t>
            </w:r>
            <w:r w:rsidR="00503439">
              <w:rPr>
                <w:noProof/>
                <w:webHidden/>
              </w:rPr>
              <w:tab/>
            </w:r>
            <w:r w:rsidR="00503439">
              <w:rPr>
                <w:noProof/>
                <w:webHidden/>
              </w:rPr>
              <w:fldChar w:fldCharType="begin"/>
            </w:r>
            <w:r w:rsidR="00503439">
              <w:rPr>
                <w:noProof/>
                <w:webHidden/>
              </w:rPr>
              <w:instrText xml:space="preserve"> PAGEREF _Toc514782417 \h </w:instrText>
            </w:r>
            <w:r w:rsidR="00503439">
              <w:rPr>
                <w:noProof/>
                <w:webHidden/>
              </w:rPr>
            </w:r>
            <w:r w:rsidR="00503439">
              <w:rPr>
                <w:noProof/>
                <w:webHidden/>
              </w:rPr>
              <w:fldChar w:fldCharType="separate"/>
            </w:r>
            <w:r>
              <w:rPr>
                <w:noProof/>
                <w:webHidden/>
              </w:rPr>
              <w:t>26</w:t>
            </w:r>
            <w:r w:rsidR="00503439">
              <w:rPr>
                <w:noProof/>
                <w:webHidden/>
              </w:rPr>
              <w:fldChar w:fldCharType="end"/>
            </w:r>
          </w:hyperlink>
        </w:p>
        <w:p w:rsidR="00503439" w:rsidRDefault="00CB77F6">
          <w:pPr>
            <w:pStyle w:val="Obsah2"/>
            <w:tabs>
              <w:tab w:val="right" w:leader="dot" w:pos="9060"/>
            </w:tabs>
            <w:rPr>
              <w:rFonts w:asciiTheme="minorHAnsi" w:eastAsiaTheme="minorEastAsia" w:hAnsiTheme="minorHAnsi" w:cstheme="minorBidi"/>
              <w:noProof/>
              <w:sz w:val="22"/>
              <w:szCs w:val="22"/>
            </w:rPr>
          </w:pPr>
          <w:hyperlink w:anchor="_Toc514782418" w:history="1">
            <w:r w:rsidR="00503439" w:rsidRPr="00AB3219">
              <w:rPr>
                <w:rStyle w:val="Hypertextovodkaz"/>
                <w:noProof/>
              </w:rPr>
              <w:t>Úkol č. 21</w:t>
            </w:r>
            <w:r w:rsidR="00503439">
              <w:rPr>
                <w:noProof/>
                <w:webHidden/>
              </w:rPr>
              <w:tab/>
            </w:r>
            <w:r w:rsidR="00503439">
              <w:rPr>
                <w:noProof/>
                <w:webHidden/>
              </w:rPr>
              <w:fldChar w:fldCharType="begin"/>
            </w:r>
            <w:r w:rsidR="00503439">
              <w:rPr>
                <w:noProof/>
                <w:webHidden/>
              </w:rPr>
              <w:instrText xml:space="preserve"> PAGEREF _Toc514782418 \h </w:instrText>
            </w:r>
            <w:r w:rsidR="00503439">
              <w:rPr>
                <w:noProof/>
                <w:webHidden/>
              </w:rPr>
            </w:r>
            <w:r w:rsidR="00503439">
              <w:rPr>
                <w:noProof/>
                <w:webHidden/>
              </w:rPr>
              <w:fldChar w:fldCharType="separate"/>
            </w:r>
            <w:r>
              <w:rPr>
                <w:noProof/>
                <w:webHidden/>
              </w:rPr>
              <w:t>26</w:t>
            </w:r>
            <w:r w:rsidR="00503439">
              <w:rPr>
                <w:noProof/>
                <w:webHidden/>
              </w:rPr>
              <w:fldChar w:fldCharType="end"/>
            </w:r>
          </w:hyperlink>
        </w:p>
        <w:p w:rsidR="00503439" w:rsidRDefault="00CB77F6">
          <w:pPr>
            <w:pStyle w:val="Obsah2"/>
            <w:tabs>
              <w:tab w:val="right" w:leader="dot" w:pos="9060"/>
            </w:tabs>
            <w:rPr>
              <w:rFonts w:asciiTheme="minorHAnsi" w:eastAsiaTheme="minorEastAsia" w:hAnsiTheme="minorHAnsi" w:cstheme="minorBidi"/>
              <w:noProof/>
              <w:sz w:val="22"/>
              <w:szCs w:val="22"/>
            </w:rPr>
          </w:pPr>
          <w:hyperlink w:anchor="_Toc514782419" w:history="1">
            <w:r w:rsidR="00503439" w:rsidRPr="00AB3219">
              <w:rPr>
                <w:rStyle w:val="Hypertextovodkaz"/>
                <w:noProof/>
              </w:rPr>
              <w:t>Úkol č. 22</w:t>
            </w:r>
            <w:r w:rsidR="00503439">
              <w:rPr>
                <w:noProof/>
                <w:webHidden/>
              </w:rPr>
              <w:tab/>
            </w:r>
            <w:r w:rsidR="00503439">
              <w:rPr>
                <w:noProof/>
                <w:webHidden/>
              </w:rPr>
              <w:fldChar w:fldCharType="begin"/>
            </w:r>
            <w:r w:rsidR="00503439">
              <w:rPr>
                <w:noProof/>
                <w:webHidden/>
              </w:rPr>
              <w:instrText xml:space="preserve"> PAGEREF _Toc514782419 \h </w:instrText>
            </w:r>
            <w:r w:rsidR="00503439">
              <w:rPr>
                <w:noProof/>
                <w:webHidden/>
              </w:rPr>
            </w:r>
            <w:r w:rsidR="00503439">
              <w:rPr>
                <w:noProof/>
                <w:webHidden/>
              </w:rPr>
              <w:fldChar w:fldCharType="separate"/>
            </w:r>
            <w:r>
              <w:rPr>
                <w:noProof/>
                <w:webHidden/>
              </w:rPr>
              <w:t>27</w:t>
            </w:r>
            <w:r w:rsidR="00503439">
              <w:rPr>
                <w:noProof/>
                <w:webHidden/>
              </w:rPr>
              <w:fldChar w:fldCharType="end"/>
            </w:r>
          </w:hyperlink>
        </w:p>
        <w:p w:rsidR="00503439" w:rsidRDefault="00CB77F6">
          <w:pPr>
            <w:pStyle w:val="Obsah1"/>
            <w:tabs>
              <w:tab w:val="left" w:pos="660"/>
              <w:tab w:val="right" w:leader="dot" w:pos="9060"/>
            </w:tabs>
            <w:rPr>
              <w:rFonts w:asciiTheme="minorHAnsi" w:eastAsiaTheme="minorEastAsia" w:hAnsiTheme="minorHAnsi" w:cstheme="minorBidi"/>
              <w:noProof/>
              <w:sz w:val="22"/>
              <w:szCs w:val="22"/>
            </w:rPr>
          </w:pPr>
          <w:hyperlink w:anchor="_Toc514782420" w:history="1">
            <w:r w:rsidR="00503439" w:rsidRPr="00AB3219">
              <w:rPr>
                <w:rStyle w:val="Hypertextovodkaz"/>
                <w:noProof/>
              </w:rPr>
              <w:t>VII.</w:t>
            </w:r>
            <w:r w:rsidR="00503439">
              <w:rPr>
                <w:rFonts w:asciiTheme="minorHAnsi" w:eastAsiaTheme="minorEastAsia" w:hAnsiTheme="minorHAnsi" w:cstheme="minorBidi"/>
                <w:noProof/>
                <w:sz w:val="22"/>
                <w:szCs w:val="22"/>
              </w:rPr>
              <w:tab/>
            </w:r>
            <w:r w:rsidR="00503439" w:rsidRPr="00AB3219">
              <w:rPr>
                <w:rStyle w:val="Hypertextovodkaz"/>
                <w:noProof/>
              </w:rPr>
              <w:t>Institucionální zabezpečení rovnosti žen a mužů ve vztahu k agendě WPS</w:t>
            </w:r>
            <w:r w:rsidR="00503439">
              <w:rPr>
                <w:noProof/>
                <w:webHidden/>
              </w:rPr>
              <w:tab/>
            </w:r>
            <w:r w:rsidR="00503439">
              <w:rPr>
                <w:noProof/>
                <w:webHidden/>
              </w:rPr>
              <w:fldChar w:fldCharType="begin"/>
            </w:r>
            <w:r w:rsidR="00503439">
              <w:rPr>
                <w:noProof/>
                <w:webHidden/>
              </w:rPr>
              <w:instrText xml:space="preserve"> PAGEREF _Toc514782420 \h </w:instrText>
            </w:r>
            <w:r w:rsidR="00503439">
              <w:rPr>
                <w:noProof/>
                <w:webHidden/>
              </w:rPr>
            </w:r>
            <w:r w:rsidR="00503439">
              <w:rPr>
                <w:noProof/>
                <w:webHidden/>
              </w:rPr>
              <w:fldChar w:fldCharType="separate"/>
            </w:r>
            <w:r>
              <w:rPr>
                <w:noProof/>
                <w:webHidden/>
              </w:rPr>
              <w:t>27</w:t>
            </w:r>
            <w:r w:rsidR="00503439">
              <w:rPr>
                <w:noProof/>
                <w:webHidden/>
              </w:rPr>
              <w:fldChar w:fldCharType="end"/>
            </w:r>
          </w:hyperlink>
        </w:p>
        <w:p w:rsidR="00503439" w:rsidRDefault="00CB77F6">
          <w:pPr>
            <w:pStyle w:val="Obsah2"/>
            <w:tabs>
              <w:tab w:val="right" w:leader="dot" w:pos="9060"/>
            </w:tabs>
            <w:rPr>
              <w:rFonts w:asciiTheme="minorHAnsi" w:eastAsiaTheme="minorEastAsia" w:hAnsiTheme="minorHAnsi" w:cstheme="minorBidi"/>
              <w:noProof/>
              <w:sz w:val="22"/>
              <w:szCs w:val="22"/>
            </w:rPr>
          </w:pPr>
          <w:hyperlink w:anchor="_Toc514782421" w:history="1">
            <w:r w:rsidR="00503439" w:rsidRPr="00AB3219">
              <w:rPr>
                <w:rStyle w:val="Hypertextovodkaz"/>
                <w:noProof/>
              </w:rPr>
              <w:t>Úkol č. 23</w:t>
            </w:r>
            <w:r w:rsidR="00503439">
              <w:rPr>
                <w:noProof/>
                <w:webHidden/>
              </w:rPr>
              <w:tab/>
            </w:r>
            <w:r w:rsidR="00503439">
              <w:rPr>
                <w:noProof/>
                <w:webHidden/>
              </w:rPr>
              <w:fldChar w:fldCharType="begin"/>
            </w:r>
            <w:r w:rsidR="00503439">
              <w:rPr>
                <w:noProof/>
                <w:webHidden/>
              </w:rPr>
              <w:instrText xml:space="preserve"> PAGEREF _Toc514782421 \h </w:instrText>
            </w:r>
            <w:r w:rsidR="00503439">
              <w:rPr>
                <w:noProof/>
                <w:webHidden/>
              </w:rPr>
            </w:r>
            <w:r w:rsidR="00503439">
              <w:rPr>
                <w:noProof/>
                <w:webHidden/>
              </w:rPr>
              <w:fldChar w:fldCharType="separate"/>
            </w:r>
            <w:r>
              <w:rPr>
                <w:noProof/>
                <w:webHidden/>
              </w:rPr>
              <w:t>27</w:t>
            </w:r>
            <w:r w:rsidR="00503439">
              <w:rPr>
                <w:noProof/>
                <w:webHidden/>
              </w:rPr>
              <w:fldChar w:fldCharType="end"/>
            </w:r>
          </w:hyperlink>
        </w:p>
        <w:p w:rsidR="00503439" w:rsidRDefault="00CB77F6">
          <w:pPr>
            <w:pStyle w:val="Obsah2"/>
            <w:tabs>
              <w:tab w:val="right" w:leader="dot" w:pos="9060"/>
            </w:tabs>
            <w:rPr>
              <w:rFonts w:asciiTheme="minorHAnsi" w:eastAsiaTheme="minorEastAsia" w:hAnsiTheme="minorHAnsi" w:cstheme="minorBidi"/>
              <w:noProof/>
              <w:sz w:val="22"/>
              <w:szCs w:val="22"/>
            </w:rPr>
          </w:pPr>
          <w:hyperlink w:anchor="_Toc514782422" w:history="1">
            <w:r w:rsidR="00503439" w:rsidRPr="00AB3219">
              <w:rPr>
                <w:rStyle w:val="Hypertextovodkaz"/>
                <w:noProof/>
              </w:rPr>
              <w:t>Úkol č. 24</w:t>
            </w:r>
            <w:r w:rsidR="00503439">
              <w:rPr>
                <w:noProof/>
                <w:webHidden/>
              </w:rPr>
              <w:tab/>
            </w:r>
            <w:r w:rsidR="00503439">
              <w:rPr>
                <w:noProof/>
                <w:webHidden/>
              </w:rPr>
              <w:fldChar w:fldCharType="begin"/>
            </w:r>
            <w:r w:rsidR="00503439">
              <w:rPr>
                <w:noProof/>
                <w:webHidden/>
              </w:rPr>
              <w:instrText xml:space="preserve"> PAGEREF _Toc514782422 \h </w:instrText>
            </w:r>
            <w:r w:rsidR="00503439">
              <w:rPr>
                <w:noProof/>
                <w:webHidden/>
              </w:rPr>
            </w:r>
            <w:r w:rsidR="00503439">
              <w:rPr>
                <w:noProof/>
                <w:webHidden/>
              </w:rPr>
              <w:fldChar w:fldCharType="separate"/>
            </w:r>
            <w:r>
              <w:rPr>
                <w:noProof/>
                <w:webHidden/>
              </w:rPr>
              <w:t>28</w:t>
            </w:r>
            <w:r w:rsidR="00503439">
              <w:rPr>
                <w:noProof/>
                <w:webHidden/>
              </w:rPr>
              <w:fldChar w:fldCharType="end"/>
            </w:r>
          </w:hyperlink>
        </w:p>
        <w:p w:rsidR="00503439" w:rsidRDefault="00CB77F6">
          <w:pPr>
            <w:pStyle w:val="Obsah2"/>
            <w:tabs>
              <w:tab w:val="right" w:leader="dot" w:pos="9060"/>
            </w:tabs>
            <w:rPr>
              <w:rFonts w:asciiTheme="minorHAnsi" w:eastAsiaTheme="minorEastAsia" w:hAnsiTheme="minorHAnsi" w:cstheme="minorBidi"/>
              <w:noProof/>
              <w:sz w:val="22"/>
              <w:szCs w:val="22"/>
            </w:rPr>
          </w:pPr>
          <w:hyperlink w:anchor="_Toc514782423" w:history="1">
            <w:r w:rsidR="00503439" w:rsidRPr="00AB3219">
              <w:rPr>
                <w:rStyle w:val="Hypertextovodkaz"/>
                <w:noProof/>
              </w:rPr>
              <w:t>Úkol č. 25</w:t>
            </w:r>
            <w:r w:rsidR="00503439">
              <w:rPr>
                <w:noProof/>
                <w:webHidden/>
              </w:rPr>
              <w:tab/>
            </w:r>
            <w:r w:rsidR="00503439">
              <w:rPr>
                <w:noProof/>
                <w:webHidden/>
              </w:rPr>
              <w:fldChar w:fldCharType="begin"/>
            </w:r>
            <w:r w:rsidR="00503439">
              <w:rPr>
                <w:noProof/>
                <w:webHidden/>
              </w:rPr>
              <w:instrText xml:space="preserve"> PAGEREF _Toc514782423 \h </w:instrText>
            </w:r>
            <w:r w:rsidR="00503439">
              <w:rPr>
                <w:noProof/>
                <w:webHidden/>
              </w:rPr>
            </w:r>
            <w:r w:rsidR="00503439">
              <w:rPr>
                <w:noProof/>
                <w:webHidden/>
              </w:rPr>
              <w:fldChar w:fldCharType="separate"/>
            </w:r>
            <w:r>
              <w:rPr>
                <w:noProof/>
                <w:webHidden/>
              </w:rPr>
              <w:t>29</w:t>
            </w:r>
            <w:r w:rsidR="00503439">
              <w:rPr>
                <w:noProof/>
                <w:webHidden/>
              </w:rPr>
              <w:fldChar w:fldCharType="end"/>
            </w:r>
          </w:hyperlink>
        </w:p>
        <w:p w:rsidR="00503439" w:rsidRDefault="00CB77F6">
          <w:pPr>
            <w:pStyle w:val="Obsah1"/>
            <w:tabs>
              <w:tab w:val="right" w:leader="dot" w:pos="9060"/>
            </w:tabs>
            <w:rPr>
              <w:rFonts w:asciiTheme="minorHAnsi" w:eastAsiaTheme="minorEastAsia" w:hAnsiTheme="minorHAnsi" w:cstheme="minorBidi"/>
              <w:noProof/>
              <w:sz w:val="22"/>
              <w:szCs w:val="22"/>
            </w:rPr>
          </w:pPr>
          <w:hyperlink w:anchor="_Toc514782424" w:history="1">
            <w:r w:rsidR="00503439" w:rsidRPr="00AB3219">
              <w:rPr>
                <w:rStyle w:val="Hypertextovodkaz"/>
                <w:noProof/>
              </w:rPr>
              <w:t>Příloha 1 – Počet vyslaných osob do mezinárodních civilních struktur a misí</w:t>
            </w:r>
            <w:r w:rsidR="00503439">
              <w:rPr>
                <w:noProof/>
                <w:webHidden/>
              </w:rPr>
              <w:tab/>
            </w:r>
            <w:r w:rsidR="00503439">
              <w:rPr>
                <w:noProof/>
                <w:webHidden/>
              </w:rPr>
              <w:fldChar w:fldCharType="begin"/>
            </w:r>
            <w:r w:rsidR="00503439">
              <w:rPr>
                <w:noProof/>
                <w:webHidden/>
              </w:rPr>
              <w:instrText xml:space="preserve"> PAGEREF _Toc514782424 \h </w:instrText>
            </w:r>
            <w:r w:rsidR="00503439">
              <w:rPr>
                <w:noProof/>
                <w:webHidden/>
              </w:rPr>
            </w:r>
            <w:r w:rsidR="00503439">
              <w:rPr>
                <w:noProof/>
                <w:webHidden/>
              </w:rPr>
              <w:fldChar w:fldCharType="separate"/>
            </w:r>
            <w:r>
              <w:rPr>
                <w:noProof/>
                <w:webHidden/>
              </w:rPr>
              <w:t>31</w:t>
            </w:r>
            <w:r w:rsidR="00503439">
              <w:rPr>
                <w:noProof/>
                <w:webHidden/>
              </w:rPr>
              <w:fldChar w:fldCharType="end"/>
            </w:r>
          </w:hyperlink>
        </w:p>
        <w:p w:rsidR="00503439" w:rsidRDefault="00CB77F6">
          <w:pPr>
            <w:pStyle w:val="Obsah1"/>
            <w:tabs>
              <w:tab w:val="right" w:leader="dot" w:pos="9060"/>
            </w:tabs>
            <w:rPr>
              <w:rFonts w:asciiTheme="minorHAnsi" w:eastAsiaTheme="minorEastAsia" w:hAnsiTheme="minorHAnsi" w:cstheme="minorBidi"/>
              <w:noProof/>
              <w:sz w:val="22"/>
              <w:szCs w:val="22"/>
            </w:rPr>
          </w:pPr>
          <w:hyperlink w:anchor="_Toc514782425" w:history="1">
            <w:r w:rsidR="00503439" w:rsidRPr="00AB3219">
              <w:rPr>
                <w:rStyle w:val="Hypertextovodkaz"/>
                <w:noProof/>
              </w:rPr>
              <w:t>Příloha 2 – Zastoupení žen v Armádě a Policii ČR</w:t>
            </w:r>
            <w:r w:rsidR="00503439">
              <w:rPr>
                <w:noProof/>
                <w:webHidden/>
              </w:rPr>
              <w:tab/>
            </w:r>
            <w:r w:rsidR="00503439">
              <w:rPr>
                <w:noProof/>
                <w:webHidden/>
              </w:rPr>
              <w:fldChar w:fldCharType="begin"/>
            </w:r>
            <w:r w:rsidR="00503439">
              <w:rPr>
                <w:noProof/>
                <w:webHidden/>
              </w:rPr>
              <w:instrText xml:space="preserve"> PAGEREF _Toc514782425 \h </w:instrText>
            </w:r>
            <w:r w:rsidR="00503439">
              <w:rPr>
                <w:noProof/>
                <w:webHidden/>
              </w:rPr>
            </w:r>
            <w:r w:rsidR="00503439">
              <w:rPr>
                <w:noProof/>
                <w:webHidden/>
              </w:rPr>
              <w:fldChar w:fldCharType="separate"/>
            </w:r>
            <w:r>
              <w:rPr>
                <w:noProof/>
                <w:webHidden/>
              </w:rPr>
              <w:t>32</w:t>
            </w:r>
            <w:r w:rsidR="00503439">
              <w:rPr>
                <w:noProof/>
                <w:webHidden/>
              </w:rPr>
              <w:fldChar w:fldCharType="end"/>
            </w:r>
          </w:hyperlink>
        </w:p>
        <w:p w:rsidR="00503439" w:rsidRDefault="00CB77F6">
          <w:pPr>
            <w:pStyle w:val="Obsah1"/>
            <w:tabs>
              <w:tab w:val="right" w:leader="dot" w:pos="9060"/>
            </w:tabs>
            <w:rPr>
              <w:rFonts w:asciiTheme="minorHAnsi" w:eastAsiaTheme="minorEastAsia" w:hAnsiTheme="minorHAnsi" w:cstheme="minorBidi"/>
              <w:noProof/>
              <w:sz w:val="22"/>
              <w:szCs w:val="22"/>
            </w:rPr>
          </w:pPr>
          <w:hyperlink w:anchor="_Toc514782426" w:history="1">
            <w:r w:rsidR="00503439" w:rsidRPr="00AB3219">
              <w:rPr>
                <w:rStyle w:val="Hypertextovodkaz"/>
                <w:noProof/>
              </w:rPr>
              <w:t>Příloha 3 – Projekty realizované v rámci rozvojové spolupráce a humanitární pomoci</w:t>
            </w:r>
            <w:r w:rsidR="00503439">
              <w:rPr>
                <w:noProof/>
                <w:webHidden/>
              </w:rPr>
              <w:tab/>
            </w:r>
            <w:r w:rsidR="00503439">
              <w:rPr>
                <w:noProof/>
                <w:webHidden/>
              </w:rPr>
              <w:fldChar w:fldCharType="begin"/>
            </w:r>
            <w:r w:rsidR="00503439">
              <w:rPr>
                <w:noProof/>
                <w:webHidden/>
              </w:rPr>
              <w:instrText xml:space="preserve"> PAGEREF _Toc514782426 \h </w:instrText>
            </w:r>
            <w:r w:rsidR="00503439">
              <w:rPr>
                <w:noProof/>
                <w:webHidden/>
              </w:rPr>
            </w:r>
            <w:r w:rsidR="00503439">
              <w:rPr>
                <w:noProof/>
                <w:webHidden/>
              </w:rPr>
              <w:fldChar w:fldCharType="separate"/>
            </w:r>
            <w:r>
              <w:rPr>
                <w:noProof/>
                <w:webHidden/>
              </w:rPr>
              <w:t>33</w:t>
            </w:r>
            <w:r w:rsidR="00503439">
              <w:rPr>
                <w:noProof/>
                <w:webHidden/>
              </w:rPr>
              <w:fldChar w:fldCharType="end"/>
            </w:r>
          </w:hyperlink>
        </w:p>
        <w:p w:rsidR="009A6BAE" w:rsidRPr="009A6BAE" w:rsidRDefault="00B17EEE" w:rsidP="009A6BAE">
          <w:r>
            <w:fldChar w:fldCharType="end"/>
          </w:r>
        </w:p>
      </w:sdtContent>
    </w:sdt>
    <w:p w:rsidR="00794C3E" w:rsidRDefault="00794C3E" w:rsidP="00794C3E">
      <w:pPr>
        <w:pStyle w:val="Nadpis1"/>
      </w:pPr>
      <w:bookmarkStart w:id="1" w:name="_Toc514782391"/>
      <w:r>
        <w:lastRenderedPageBreak/>
        <w:t>Úvod</w:t>
      </w:r>
      <w:bookmarkEnd w:id="1"/>
    </w:p>
    <w:p w:rsidR="00294A53" w:rsidRDefault="00294A53" w:rsidP="005741A7">
      <w:pPr>
        <w:autoSpaceDE w:val="0"/>
        <w:autoSpaceDN w:val="0"/>
        <w:adjustRightInd w:val="0"/>
        <w:spacing w:before="120"/>
        <w:jc w:val="both"/>
      </w:pPr>
    </w:p>
    <w:p w:rsidR="00AC44C9" w:rsidRPr="005741A7" w:rsidRDefault="005741A7" w:rsidP="005741A7">
      <w:pPr>
        <w:autoSpaceDE w:val="0"/>
        <w:autoSpaceDN w:val="0"/>
        <w:adjustRightInd w:val="0"/>
        <w:spacing w:before="120"/>
        <w:jc w:val="both"/>
      </w:pPr>
      <w:r w:rsidRPr="005741A7">
        <w:t>Rok 2017 se stal prvním r</w:t>
      </w:r>
      <w:r>
        <w:t xml:space="preserve">okem implementace Akčního plánu </w:t>
      </w:r>
      <w:r w:rsidRPr="005741A7">
        <w:t>České republiky k implementaci rezoluce Rady bezpečnosti OSN č. 1325 (2000), o ženách, míru a bezpečnosti a souvisejících rezolucí na léta 2017 – 2020 (</w:t>
      </w:r>
      <w:r>
        <w:t xml:space="preserve">dále jen „AP k </w:t>
      </w:r>
      <w:r w:rsidRPr="005741A7">
        <w:t>agen</w:t>
      </w:r>
      <w:r>
        <w:t>dě</w:t>
      </w:r>
      <w:r w:rsidRPr="005741A7">
        <w:t xml:space="preserve"> WPS</w:t>
      </w:r>
      <w:r>
        <w:t>“</w:t>
      </w:r>
      <w:r w:rsidRPr="005741A7">
        <w:t>)</w:t>
      </w:r>
      <w:r w:rsidR="001C6E96">
        <w:t xml:space="preserve">. AP k agendě WPS </w:t>
      </w:r>
      <w:r>
        <w:t>byl přijat vládou ČR dne 9. ledna 2017. ČR se tak připojila k </w:t>
      </w:r>
      <w:r w:rsidR="00E849E8" w:rsidRPr="00EE277E">
        <w:t>74</w:t>
      </w:r>
      <w:r w:rsidRPr="00EE277E">
        <w:t xml:space="preserve"> státům</w:t>
      </w:r>
      <w:r w:rsidR="00EE277E">
        <w:rPr>
          <w:rStyle w:val="Znakapoznpodarou"/>
        </w:rPr>
        <w:footnoteReference w:id="1"/>
      </w:r>
      <w:r w:rsidR="00C645D2">
        <w:t>, které tímto způsobem potvrzují důležitost agendy WPS.</w:t>
      </w:r>
    </w:p>
    <w:p w:rsidR="00AC44C9" w:rsidRDefault="00AC44C9" w:rsidP="00AC44C9">
      <w:pPr>
        <w:autoSpaceDE w:val="0"/>
        <w:autoSpaceDN w:val="0"/>
        <w:adjustRightInd w:val="0"/>
        <w:jc w:val="both"/>
      </w:pPr>
    </w:p>
    <w:p w:rsidR="00C645D2" w:rsidRPr="00BF63D5" w:rsidRDefault="00B35BFD" w:rsidP="00AC44C9">
      <w:pPr>
        <w:autoSpaceDE w:val="0"/>
        <w:autoSpaceDN w:val="0"/>
        <w:adjustRightInd w:val="0"/>
        <w:jc w:val="both"/>
      </w:pPr>
      <w:r>
        <w:t xml:space="preserve">I přesto, že některé závazky </w:t>
      </w:r>
      <w:r w:rsidR="00C645D2">
        <w:t>v rámci agendy WPS ČR realizovala v</w:t>
      </w:r>
      <w:r>
        <w:t> </w:t>
      </w:r>
      <w:r w:rsidR="00C645D2">
        <w:t>období</w:t>
      </w:r>
      <w:r>
        <w:t xml:space="preserve"> před přijetím </w:t>
      </w:r>
      <w:r w:rsidR="00C645D2">
        <w:t>AP k agendě WPS</w:t>
      </w:r>
      <w:r>
        <w:t>, jeho přijetí</w:t>
      </w:r>
      <w:r w:rsidR="00C645D2">
        <w:t xml:space="preserve"> </w:t>
      </w:r>
      <w:r w:rsidR="00930EDD">
        <w:t xml:space="preserve">ČR </w:t>
      </w:r>
      <w:r w:rsidR="00C645D2">
        <w:t>vnímá jako akc</w:t>
      </w:r>
      <w:r w:rsidR="001C0F72">
        <w:t xml:space="preserve">elerační moment pro rozvoj </w:t>
      </w:r>
      <w:r w:rsidR="00C645D2">
        <w:t>agendy</w:t>
      </w:r>
      <w:r w:rsidR="001C6E96">
        <w:t xml:space="preserve"> WPS</w:t>
      </w:r>
      <w:r w:rsidR="00C645D2">
        <w:t>,</w:t>
      </w:r>
      <w:r w:rsidR="00725D46">
        <w:t xml:space="preserve"> která </w:t>
      </w:r>
      <w:r w:rsidR="00DD1B79">
        <w:t>nepokrývá pouze problematiku</w:t>
      </w:r>
      <w:r w:rsidR="00C645D2">
        <w:t xml:space="preserve"> </w:t>
      </w:r>
      <w:r w:rsidR="00725D46">
        <w:t>účasti</w:t>
      </w:r>
      <w:r w:rsidR="00C645D2">
        <w:t xml:space="preserve"> žen </w:t>
      </w:r>
      <w:r w:rsidR="00725D46">
        <w:t>na mírových jednáních a při řešení konfliktů</w:t>
      </w:r>
      <w:r w:rsidR="00896FD6">
        <w:t xml:space="preserve"> (</w:t>
      </w:r>
      <w:r w:rsidR="00896FD6" w:rsidRPr="00BF63D5">
        <w:t>participation</w:t>
      </w:r>
      <w:r>
        <w:t xml:space="preserve">), </w:t>
      </w:r>
      <w:r w:rsidR="00DD1B79">
        <w:t>nýbrž se zabývá</w:t>
      </w:r>
      <w:r>
        <w:t xml:space="preserve"> i</w:t>
      </w:r>
      <w:r w:rsidR="00C645D2">
        <w:t xml:space="preserve"> faktory, které mohou vzniku </w:t>
      </w:r>
      <w:r w:rsidR="00896FD6">
        <w:t>konfliktu zabránit (</w:t>
      </w:r>
      <w:r w:rsidR="00896FD6" w:rsidRPr="00BF63D5">
        <w:t>prevention</w:t>
      </w:r>
      <w:r w:rsidRPr="00BF63D5">
        <w:t>)</w:t>
      </w:r>
      <w:r>
        <w:t xml:space="preserve">, </w:t>
      </w:r>
      <w:r w:rsidR="00C645D2">
        <w:t>ochran</w:t>
      </w:r>
      <w:r>
        <w:t>o</w:t>
      </w:r>
      <w:r w:rsidR="00C645D2">
        <w:t>u žen a dí</w:t>
      </w:r>
      <w:r>
        <w:t>vek a jejich práv</w:t>
      </w:r>
      <w:r w:rsidR="00C645D2">
        <w:t xml:space="preserve"> (</w:t>
      </w:r>
      <w:r w:rsidR="00C645D2" w:rsidRPr="00BF63D5">
        <w:t>protection</w:t>
      </w:r>
      <w:r w:rsidR="00C645D2">
        <w:t xml:space="preserve">) a </w:t>
      </w:r>
      <w:r w:rsidR="00725D46">
        <w:t>postkonfliktním urovnáním</w:t>
      </w:r>
      <w:r w:rsidR="00C645D2">
        <w:t xml:space="preserve"> (</w:t>
      </w:r>
      <w:r w:rsidR="00C645D2" w:rsidRPr="00BF63D5">
        <w:t>relief and recovery).</w:t>
      </w:r>
    </w:p>
    <w:p w:rsidR="00C645D2" w:rsidRPr="00BF63D5" w:rsidRDefault="00C645D2" w:rsidP="00AC44C9">
      <w:pPr>
        <w:autoSpaceDE w:val="0"/>
        <w:autoSpaceDN w:val="0"/>
        <w:adjustRightInd w:val="0"/>
        <w:jc w:val="both"/>
      </w:pPr>
    </w:p>
    <w:p w:rsidR="00930EDD" w:rsidRPr="00EE277E" w:rsidRDefault="001C0F72" w:rsidP="00AC44C9">
      <w:pPr>
        <w:autoSpaceDE w:val="0"/>
        <w:autoSpaceDN w:val="0"/>
        <w:adjustRightInd w:val="0"/>
        <w:jc w:val="both"/>
      </w:pPr>
      <w:r>
        <w:t xml:space="preserve">Přijetím AP k agendě WPS si Ministerstvo </w:t>
      </w:r>
      <w:r w:rsidR="001C6E96">
        <w:t xml:space="preserve">zahraničních věcí, obrany, </w:t>
      </w:r>
      <w:r w:rsidR="007C1F6F">
        <w:t>vnitra a Sekce pro </w:t>
      </w:r>
      <w:r>
        <w:t>lidská práva</w:t>
      </w:r>
      <w:r w:rsidR="00C645D2">
        <w:t xml:space="preserve"> </w:t>
      </w:r>
      <w:r w:rsidR="007C1F6F">
        <w:t xml:space="preserve">Úřadu vlády </w:t>
      </w:r>
      <w:r w:rsidR="00930EDD">
        <w:t>stanovily úkoly, které jsou odhodlány plnit</w:t>
      </w:r>
      <w:r w:rsidR="001C6E96">
        <w:t xml:space="preserve"> a agendu WPS tak na </w:t>
      </w:r>
      <w:r w:rsidR="00D33147">
        <w:t>vnitrostátní i mezinárodní úrovni</w:t>
      </w:r>
      <w:r w:rsidR="00B35BFD">
        <w:t xml:space="preserve"> implementovat. </w:t>
      </w:r>
      <w:r w:rsidR="00930EDD">
        <w:t>Zna</w:t>
      </w:r>
      <w:r>
        <w:t xml:space="preserve">čnou roli v rozvoji agendy </w:t>
      </w:r>
      <w:r w:rsidR="00B35BFD">
        <w:t>WPS hraje nevládní a akademický sektor, jehož expertízy a z</w:t>
      </w:r>
      <w:r w:rsidR="007C1F6F">
        <w:t>kušenosti jsou předpokladem pro </w:t>
      </w:r>
      <w:r w:rsidR="00DD1B79">
        <w:t>všestranný rozvoj agendy</w:t>
      </w:r>
      <w:r w:rsidR="00B35BFD">
        <w:t>.</w:t>
      </w:r>
      <w:r w:rsidR="00930EDD">
        <w:t xml:space="preserve"> Platformou pro </w:t>
      </w:r>
      <w:r w:rsidR="00D33147">
        <w:t>monitoring a </w:t>
      </w:r>
      <w:r w:rsidR="00DD1B79">
        <w:t>výměnu informací k agendě WPS</w:t>
      </w:r>
      <w:r w:rsidR="00B35BFD">
        <w:t xml:space="preserve"> </w:t>
      </w:r>
      <w:r w:rsidR="00930EDD">
        <w:t>se sta</w:t>
      </w:r>
      <w:r w:rsidR="00B35BFD">
        <w:t>la mezirezortní pracovní skupina, která sdružuje zástupce a zástupkyně ministerstev</w:t>
      </w:r>
      <w:r w:rsidR="00930EDD">
        <w:t>, nevládních organizací a akademické sféry</w:t>
      </w:r>
      <w:r w:rsidR="00DD1B79">
        <w:t>,</w:t>
      </w:r>
      <w:r w:rsidR="00930EDD">
        <w:t xml:space="preserve"> a jejíž činnost je úzce svázána s činností </w:t>
      </w:r>
      <w:r w:rsidR="001C6E96">
        <w:t>Rady vlády pro </w:t>
      </w:r>
      <w:r w:rsidR="00EE277E" w:rsidRPr="00EE277E">
        <w:t>rovnost žen a mužů</w:t>
      </w:r>
      <w:r w:rsidR="00930EDD" w:rsidRPr="00EE277E">
        <w:t>.</w:t>
      </w:r>
      <w:r w:rsidR="007C1F6F">
        <w:t xml:space="preserve"> </w:t>
      </w:r>
    </w:p>
    <w:p w:rsidR="00930EDD" w:rsidRDefault="00930EDD" w:rsidP="00AC44C9">
      <w:pPr>
        <w:autoSpaceDE w:val="0"/>
        <w:autoSpaceDN w:val="0"/>
        <w:adjustRightInd w:val="0"/>
        <w:jc w:val="both"/>
      </w:pPr>
    </w:p>
    <w:p w:rsidR="007C1F6F" w:rsidRDefault="00175EAC" w:rsidP="007C1F6F">
      <w:pPr>
        <w:autoSpaceDE w:val="0"/>
        <w:autoSpaceDN w:val="0"/>
        <w:adjustRightInd w:val="0"/>
        <w:jc w:val="both"/>
      </w:pPr>
      <w:r>
        <w:t>Rok 2017 se stal prvním rokem implementace AP k agendě WPS. Předkládaná zpráva je tedy první souhr</w:t>
      </w:r>
      <w:r w:rsidR="001C6E96">
        <w:t>nnou zprávou k této problematice</w:t>
      </w:r>
      <w:r w:rsidR="008B3A9C">
        <w:t xml:space="preserve"> a j</w:t>
      </w:r>
      <w:r w:rsidR="00794C3E">
        <w:t xml:space="preserve">ejím cílem je </w:t>
      </w:r>
      <w:r w:rsidR="008B3A9C">
        <w:t xml:space="preserve">podat informaci o plnění stanovených úkolů společně s uvedením příkladů dobré praxe. Zpráva zároveň přináší výhled na </w:t>
      </w:r>
      <w:r w:rsidR="001C6E96">
        <w:t>nejbližší období</w:t>
      </w:r>
      <w:r w:rsidR="008B3A9C">
        <w:t xml:space="preserve"> a identifikuje výzvy, které před ČR v souvislosti s implementací agendy WPS stojí.</w:t>
      </w:r>
      <w:r w:rsidR="007349C0">
        <w:t xml:space="preserve"> Zpráva </w:t>
      </w:r>
      <w:r w:rsidR="00794C3E">
        <w:t>navazuje na</w:t>
      </w:r>
      <w:r w:rsidR="001C0F72">
        <w:t xml:space="preserve"> </w:t>
      </w:r>
      <w:r w:rsidR="00794C3E">
        <w:t>dokument každoročně vydávaný Sekcí pro lidská práva Úřadu vlády</w:t>
      </w:r>
      <w:r w:rsidR="00EE277E">
        <w:t xml:space="preserve"> </w:t>
      </w:r>
      <w:r w:rsidR="00EE277E" w:rsidRPr="00460602">
        <w:rPr>
          <w:i/>
        </w:rPr>
        <w:t>Aktualizovaná opatření Priorit a postupů vlády při p</w:t>
      </w:r>
      <w:r w:rsidR="00794C3E" w:rsidRPr="00460602">
        <w:rPr>
          <w:i/>
        </w:rPr>
        <w:t>ro</w:t>
      </w:r>
      <w:r w:rsidR="001C6E96" w:rsidRPr="00460602">
        <w:rPr>
          <w:i/>
        </w:rPr>
        <w:t>sazování rovnosti ž</w:t>
      </w:r>
      <w:r w:rsidR="007C1F6F" w:rsidRPr="00460602">
        <w:rPr>
          <w:i/>
        </w:rPr>
        <w:t>en a mužů</w:t>
      </w:r>
      <w:r w:rsidR="00460602">
        <w:t>.</w:t>
      </w:r>
    </w:p>
    <w:p w:rsidR="00294A53" w:rsidRDefault="00294A53" w:rsidP="007C1F6F">
      <w:pPr>
        <w:autoSpaceDE w:val="0"/>
        <w:autoSpaceDN w:val="0"/>
        <w:adjustRightInd w:val="0"/>
        <w:jc w:val="both"/>
      </w:pPr>
    </w:p>
    <w:p w:rsidR="007C1F6F" w:rsidRDefault="007C1F6F" w:rsidP="007C1F6F">
      <w:pPr>
        <w:autoSpaceDE w:val="0"/>
        <w:autoSpaceDN w:val="0"/>
        <w:adjustRightInd w:val="0"/>
        <w:jc w:val="both"/>
      </w:pPr>
    </w:p>
    <w:p w:rsidR="00AD5577" w:rsidRDefault="007C1F6F" w:rsidP="00364D84">
      <w:pPr>
        <w:autoSpaceDE w:val="0"/>
        <w:autoSpaceDN w:val="0"/>
        <w:adjustRightInd w:val="0"/>
        <w:jc w:val="center"/>
        <w:rPr>
          <w:rStyle w:val="ListLabel1"/>
          <w:rFonts w:cs="Times New Roman"/>
          <w:b w:val="0"/>
          <w:color w:val="auto"/>
          <w:sz w:val="24"/>
        </w:rPr>
      </w:pPr>
      <w:r>
        <w:rPr>
          <w:noProof/>
        </w:rPr>
        <w:drawing>
          <wp:inline distT="0" distB="0" distL="0" distR="0">
            <wp:extent cx="4276725" cy="2860061"/>
            <wp:effectExtent l="0" t="0" r="0" b="0"/>
            <wp:docPr id="4" name="obrázek 2" descr="Setkání pracovní skupiny k Ak&amp;ccaron;nímu plánu &amp;Ccaron;R k implementaci rezoluce Rady bezpe&amp;ccaron;nosti OSN 1325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tkání pracovní skupiny k Ak&amp;ccaron;nímu plánu &amp;Ccaron;R k implementaci rezoluce Rady bezpe&amp;ccaron;nosti OSN 1325 (20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3245" cy="2864421"/>
                    </a:xfrm>
                    <a:prstGeom prst="rect">
                      <a:avLst/>
                    </a:prstGeom>
                    <a:noFill/>
                    <a:ln>
                      <a:noFill/>
                    </a:ln>
                  </pic:spPr>
                </pic:pic>
              </a:graphicData>
            </a:graphic>
          </wp:inline>
        </w:drawing>
      </w:r>
    </w:p>
    <w:p w:rsidR="00121B33" w:rsidRPr="00121B33" w:rsidRDefault="00121B33" w:rsidP="00364D84">
      <w:pPr>
        <w:autoSpaceDE w:val="0"/>
        <w:autoSpaceDN w:val="0"/>
        <w:adjustRightInd w:val="0"/>
        <w:jc w:val="center"/>
        <w:rPr>
          <w:rStyle w:val="ListLabel1"/>
          <w:rFonts w:cs="Times New Roman"/>
          <w:b w:val="0"/>
          <w:i/>
          <w:color w:val="auto"/>
          <w:sz w:val="20"/>
          <w:szCs w:val="20"/>
        </w:rPr>
      </w:pPr>
      <w:r w:rsidRPr="00121B33">
        <w:rPr>
          <w:rStyle w:val="ListLabel1"/>
          <w:rFonts w:cs="Times New Roman"/>
          <w:b w:val="0"/>
          <w:i/>
          <w:color w:val="auto"/>
          <w:sz w:val="20"/>
          <w:szCs w:val="20"/>
        </w:rPr>
        <w:t>Zasedání pracovní skupiny k agendě WPS – Archiv MZV</w:t>
      </w:r>
    </w:p>
    <w:p w:rsidR="00FC5493" w:rsidRPr="003327B8" w:rsidRDefault="00AC44C9" w:rsidP="00FD4FB3">
      <w:pPr>
        <w:pStyle w:val="Nadpis1"/>
        <w:numPr>
          <w:ilvl w:val="0"/>
          <w:numId w:val="34"/>
        </w:numPr>
      </w:pPr>
      <w:bookmarkStart w:id="2" w:name="_Toc514782392"/>
      <w:r w:rsidRPr="00FC5493">
        <w:rPr>
          <w:rStyle w:val="ListLabel1"/>
          <w:rFonts w:cstheme="majorBidi"/>
          <w:b/>
          <w:color w:val="365F91" w:themeColor="accent1" w:themeShade="BF"/>
          <w:sz w:val="28"/>
        </w:rPr>
        <w:lastRenderedPageBreak/>
        <w:t>Vyrovnané zastoupení žen a mužů v rozhodovacích pozicích</w:t>
      </w:r>
      <w:bookmarkEnd w:id="2"/>
      <w:r w:rsidRPr="00FC5493">
        <w:rPr>
          <w:rStyle w:val="ListLabel1"/>
          <w:rFonts w:cstheme="majorBidi"/>
          <w:b/>
          <w:color w:val="365F91" w:themeColor="accent1" w:themeShade="BF"/>
          <w:sz w:val="28"/>
        </w:rPr>
        <w:t xml:space="preserve"> </w:t>
      </w:r>
    </w:p>
    <w:p w:rsidR="00294A53" w:rsidRDefault="00294A53" w:rsidP="002765B5">
      <w:pPr>
        <w:pStyle w:val="Nadpis2"/>
        <w:spacing w:before="0"/>
      </w:pPr>
    </w:p>
    <w:p w:rsidR="00294A53" w:rsidRPr="00292D64" w:rsidRDefault="00761160" w:rsidP="002765B5">
      <w:pPr>
        <w:pStyle w:val="Nadpis2"/>
        <w:spacing w:before="0"/>
      </w:pPr>
      <w:bookmarkStart w:id="3" w:name="_Toc514782393"/>
      <w:r w:rsidRPr="00DE3806">
        <w:t>Úkol č. 1</w:t>
      </w:r>
      <w:bookmarkEnd w:id="3"/>
      <w:r w:rsidR="001C6E96">
        <w:t xml:space="preserve"> </w:t>
      </w:r>
    </w:p>
    <w:p w:rsidR="00E0427E" w:rsidRPr="007E7D84" w:rsidRDefault="00E849E8" w:rsidP="00DE3806">
      <w:pPr>
        <w:jc w:val="both"/>
        <w:rPr>
          <w:b/>
          <w:i/>
        </w:rPr>
      </w:pPr>
      <w:r>
        <w:rPr>
          <w:b/>
          <w:i/>
        </w:rPr>
        <w:t xml:space="preserve">Obecný cíl: </w:t>
      </w:r>
      <w:r w:rsidR="00AC44C9" w:rsidRPr="007E7D84">
        <w:rPr>
          <w:b/>
          <w:i/>
        </w:rPr>
        <w:t>Usilovat o zvýšení zastoupení žen v rámci vojenských a civilních misí, v mezinárodních organizacích včetně rozhodovacích pozic</w:t>
      </w:r>
      <w:r w:rsidR="007953A0" w:rsidRPr="007E7D84">
        <w:rPr>
          <w:b/>
          <w:i/>
        </w:rPr>
        <w:t xml:space="preserve"> </w:t>
      </w:r>
      <w:r w:rsidR="001C0F72" w:rsidRPr="007E7D84">
        <w:rPr>
          <w:b/>
          <w:i/>
        </w:rPr>
        <w:t>(MO, MV/PP, MZV)</w:t>
      </w:r>
      <w:r w:rsidR="00AC44C9" w:rsidRPr="007E7D84">
        <w:rPr>
          <w:b/>
          <w:i/>
        </w:rPr>
        <w:t xml:space="preserve"> </w:t>
      </w:r>
    </w:p>
    <w:p w:rsidR="001C0F72" w:rsidRDefault="001C0F72" w:rsidP="00DE3806">
      <w:pPr>
        <w:jc w:val="both"/>
        <w:rPr>
          <w:i/>
        </w:rPr>
      </w:pPr>
    </w:p>
    <w:p w:rsidR="00E849E8" w:rsidRDefault="00E849E8" w:rsidP="007E7D84">
      <w:pPr>
        <w:jc w:val="both"/>
        <w:rPr>
          <w:i/>
        </w:rPr>
      </w:pPr>
      <w:r>
        <w:rPr>
          <w:i/>
        </w:rPr>
        <w:t xml:space="preserve">Úkoly: </w:t>
      </w:r>
    </w:p>
    <w:p w:rsidR="001C0F72" w:rsidRPr="00583897" w:rsidRDefault="001C0F72" w:rsidP="00583897">
      <w:pPr>
        <w:pStyle w:val="Odstavecseseznamem"/>
        <w:numPr>
          <w:ilvl w:val="0"/>
          <w:numId w:val="6"/>
        </w:numPr>
        <w:jc w:val="both"/>
        <w:rPr>
          <w:i/>
        </w:rPr>
      </w:pPr>
      <w:r w:rsidRPr="00E849E8">
        <w:rPr>
          <w:i/>
        </w:rPr>
        <w:t>V rámci nabízených pozic (NATO, EU, OBSE a OSN</w:t>
      </w:r>
      <w:r w:rsidR="00936A68">
        <w:rPr>
          <w:i/>
        </w:rPr>
        <w:t>) pro-aktivně hledat pozice pro </w:t>
      </w:r>
      <w:r w:rsidRPr="00E849E8">
        <w:rPr>
          <w:i/>
        </w:rPr>
        <w:t>uplatnění žen a konkrétními opatřeními zvyšovat kompetence žen-vojákyň a žen-policistek pro případnou účast v zahraničních vojenských a civilních misích</w:t>
      </w:r>
      <w:r w:rsidR="004908B3">
        <w:rPr>
          <w:i/>
        </w:rPr>
        <w:t>;</w:t>
      </w:r>
      <w:r w:rsidR="00583897">
        <w:rPr>
          <w:i/>
        </w:rPr>
        <w:t xml:space="preserve"> </w:t>
      </w:r>
      <w:r w:rsidR="004908B3" w:rsidRPr="00583897">
        <w:rPr>
          <w:i/>
        </w:rPr>
        <w:t>p</w:t>
      </w:r>
      <w:r w:rsidRPr="00583897">
        <w:rPr>
          <w:i/>
        </w:rPr>
        <w:t>rostřednictvím osvětových aktivit podporovat zájem</w:t>
      </w:r>
      <w:r w:rsidR="00A35E11">
        <w:rPr>
          <w:i/>
        </w:rPr>
        <w:t xml:space="preserve"> žen-vojákyň a žen-policistek o </w:t>
      </w:r>
      <w:r w:rsidRPr="00583897">
        <w:rPr>
          <w:i/>
        </w:rPr>
        <w:t>účast v zahraničníc</w:t>
      </w:r>
      <w:r w:rsidR="004908B3" w:rsidRPr="00583897">
        <w:rPr>
          <w:i/>
        </w:rPr>
        <w:t>h vojenských a civilních misích;</w:t>
      </w:r>
      <w:r w:rsidRPr="00583897">
        <w:rPr>
          <w:i/>
        </w:rPr>
        <w:t xml:space="preserve"> </w:t>
      </w:r>
    </w:p>
    <w:p w:rsidR="001C0F72" w:rsidRPr="007E7D84" w:rsidRDefault="004908B3" w:rsidP="00E849E8">
      <w:pPr>
        <w:pStyle w:val="Textkomente"/>
        <w:numPr>
          <w:ilvl w:val="0"/>
          <w:numId w:val="6"/>
        </w:numPr>
        <w:spacing w:after="0"/>
        <w:jc w:val="both"/>
        <w:rPr>
          <w:rFonts w:ascii="Times New Roman" w:hAnsi="Times New Roman" w:cs="Times New Roman"/>
          <w:i/>
          <w:sz w:val="24"/>
          <w:szCs w:val="24"/>
        </w:rPr>
      </w:pPr>
      <w:r>
        <w:rPr>
          <w:rFonts w:ascii="Times New Roman" w:hAnsi="Times New Roman" w:cs="Times New Roman"/>
          <w:i/>
          <w:sz w:val="24"/>
          <w:szCs w:val="24"/>
        </w:rPr>
        <w:t>p</w:t>
      </w:r>
      <w:r w:rsidR="001C0F72" w:rsidRPr="007E7D84">
        <w:rPr>
          <w:rFonts w:ascii="Times New Roman" w:hAnsi="Times New Roman" w:cs="Times New Roman"/>
          <w:i/>
          <w:sz w:val="24"/>
          <w:szCs w:val="24"/>
        </w:rPr>
        <w:t>ravidelné sledování a vyhodnocení vývoje statisti</w:t>
      </w:r>
      <w:r w:rsidR="00A35E11">
        <w:rPr>
          <w:rFonts w:ascii="Times New Roman" w:hAnsi="Times New Roman" w:cs="Times New Roman"/>
          <w:i/>
          <w:sz w:val="24"/>
          <w:szCs w:val="24"/>
        </w:rPr>
        <w:t>ckých údajů týkajících se žen a </w:t>
      </w:r>
      <w:r w:rsidR="001C0F72" w:rsidRPr="007E7D84">
        <w:rPr>
          <w:rFonts w:ascii="Times New Roman" w:hAnsi="Times New Roman" w:cs="Times New Roman"/>
          <w:i/>
          <w:sz w:val="24"/>
          <w:szCs w:val="24"/>
        </w:rPr>
        <w:t>mužů účastnících se zahraničních vojenských operací a pozorovatelských misí;</w:t>
      </w:r>
    </w:p>
    <w:p w:rsidR="001C0F72" w:rsidRPr="00E849E8" w:rsidRDefault="001C0F72" w:rsidP="00583897">
      <w:pPr>
        <w:pStyle w:val="Odstavecseseznamem"/>
        <w:jc w:val="both"/>
        <w:rPr>
          <w:i/>
        </w:rPr>
      </w:pPr>
      <w:r w:rsidRPr="00E849E8">
        <w:rPr>
          <w:i/>
        </w:rPr>
        <w:t>krátkodobé a dlouhodobé vysílání zaměstnankyň do zahraničí do programů EU/ EASO/ FRONTEX;</w:t>
      </w:r>
    </w:p>
    <w:p w:rsidR="001C0F72" w:rsidRPr="00E849E8" w:rsidRDefault="004908B3" w:rsidP="00E849E8">
      <w:pPr>
        <w:pStyle w:val="Odstavecseseznamem"/>
        <w:numPr>
          <w:ilvl w:val="0"/>
          <w:numId w:val="6"/>
        </w:numPr>
        <w:jc w:val="both"/>
        <w:rPr>
          <w:i/>
        </w:rPr>
      </w:pPr>
      <w:r>
        <w:rPr>
          <w:i/>
        </w:rPr>
        <w:t>p</w:t>
      </w:r>
      <w:r w:rsidR="001C0F72" w:rsidRPr="00E849E8">
        <w:rPr>
          <w:i/>
        </w:rPr>
        <w:t xml:space="preserve">ři tvorbě koncepčních materiálů upravujících </w:t>
      </w:r>
      <w:r w:rsidR="00A35E11">
        <w:rPr>
          <w:i/>
        </w:rPr>
        <w:t>výběr pracovníků a pracovnic do </w:t>
      </w:r>
      <w:r w:rsidR="001C0F72" w:rsidRPr="00E849E8">
        <w:rPr>
          <w:i/>
        </w:rPr>
        <w:t xml:space="preserve">zahraničních vojenských a civilních misí zahrnovat princip zohledňování vyváženého zastoupení mužů a žen v zahraničních vojenských a civilních misích včetně vedoucích pozic, </w:t>
      </w:r>
      <w:r w:rsidR="001C0F72" w:rsidRPr="00E849E8">
        <w:rPr>
          <w:i/>
          <w:color w:val="000000"/>
        </w:rPr>
        <w:t>zohlednění specifických potřeb žen účastnících se zahraničních civilních a vojenských misí</w:t>
      </w:r>
      <w:r w:rsidR="0014082A">
        <w:rPr>
          <w:i/>
          <w:color w:val="000000"/>
        </w:rPr>
        <w:t>.</w:t>
      </w:r>
    </w:p>
    <w:p w:rsidR="006D656F" w:rsidRPr="007E7D84" w:rsidRDefault="006D656F" w:rsidP="007E7D84">
      <w:pPr>
        <w:jc w:val="both"/>
        <w:rPr>
          <w:i/>
          <w:u w:val="single"/>
        </w:rPr>
      </w:pPr>
    </w:p>
    <w:p w:rsidR="003C137B" w:rsidRDefault="00A14641" w:rsidP="003327B8">
      <w:pPr>
        <w:jc w:val="both"/>
      </w:pPr>
      <w:r>
        <w:t xml:space="preserve">V roce 2017 působilo v zahraničních operacích, včetně pozorovatelských misí, celkově </w:t>
      </w:r>
      <w:r w:rsidRPr="00A35E11">
        <w:rPr>
          <w:b/>
        </w:rPr>
        <w:t xml:space="preserve">1207 vojáků </w:t>
      </w:r>
      <w:r w:rsidR="00415368">
        <w:rPr>
          <w:b/>
        </w:rPr>
        <w:t xml:space="preserve">a vojákyň </w:t>
      </w:r>
      <w:r w:rsidRPr="00A35E11">
        <w:rPr>
          <w:b/>
        </w:rPr>
        <w:t>z p</w:t>
      </w:r>
      <w:r w:rsidR="00583897" w:rsidRPr="00A35E11">
        <w:rPr>
          <w:b/>
        </w:rPr>
        <w:t>ovolání, z toho 75 žen (6,2 %), z čehož 2 ženy působily ve velitelské funkci</w:t>
      </w:r>
      <w:r w:rsidR="00A35E11">
        <w:t xml:space="preserve">; </w:t>
      </w:r>
      <w:r w:rsidR="00583897" w:rsidRPr="0075255F">
        <w:t>velitelka 5</w:t>
      </w:r>
      <w:r w:rsidR="00A35E11">
        <w:t>. zastoupení na velitelství</w:t>
      </w:r>
      <w:r w:rsidR="00583897">
        <w:t xml:space="preserve"> </w:t>
      </w:r>
      <w:r w:rsidR="00A35E11">
        <w:t>úkolového uskupení Resolute Support</w:t>
      </w:r>
      <w:r w:rsidR="00583897">
        <w:t xml:space="preserve"> </w:t>
      </w:r>
      <w:r w:rsidR="00A35E11">
        <w:t xml:space="preserve">v </w:t>
      </w:r>
      <w:r w:rsidR="00583897">
        <w:t>Afghánistán</w:t>
      </w:r>
      <w:r w:rsidR="00A35E11">
        <w:t>u</w:t>
      </w:r>
      <w:r w:rsidR="00583897">
        <w:t xml:space="preserve"> </w:t>
      </w:r>
      <w:r w:rsidR="00A35E11">
        <w:t xml:space="preserve">(ÚU RS Afghánistán) </w:t>
      </w:r>
      <w:r w:rsidR="00583897">
        <w:t xml:space="preserve">a velitelka 20. </w:t>
      </w:r>
      <w:r w:rsidR="00A35E11">
        <w:t>Polního a chirurgického úkolového uskupení Resolute Support Afghánistán (</w:t>
      </w:r>
      <w:r w:rsidR="00A35E11" w:rsidRPr="00A35E11">
        <w:t>PCHT ÚU RS</w:t>
      </w:r>
      <w:r w:rsidR="00A35E11">
        <w:t xml:space="preserve"> Afghánistán)</w:t>
      </w:r>
      <w:r w:rsidR="00583897">
        <w:t xml:space="preserve">. </w:t>
      </w:r>
      <w:r w:rsidR="00DD6E05" w:rsidRPr="003333FE">
        <w:rPr>
          <w:b/>
        </w:rPr>
        <w:t xml:space="preserve">Početně nejvíce žen </w:t>
      </w:r>
      <w:r w:rsidR="00113296" w:rsidRPr="003333FE">
        <w:rPr>
          <w:b/>
        </w:rPr>
        <w:t xml:space="preserve">bylo </w:t>
      </w:r>
      <w:r w:rsidR="00DD6E05" w:rsidRPr="003333FE">
        <w:rPr>
          <w:b/>
        </w:rPr>
        <w:t xml:space="preserve">vysláno v rámci velitelství </w:t>
      </w:r>
      <w:r w:rsidR="007609FF" w:rsidRPr="003333FE">
        <w:rPr>
          <w:b/>
        </w:rPr>
        <w:t xml:space="preserve">ÚU </w:t>
      </w:r>
      <w:r w:rsidR="00A35E11" w:rsidRPr="003333FE">
        <w:rPr>
          <w:b/>
        </w:rPr>
        <w:t>RS Afghánistán</w:t>
      </w:r>
      <w:r w:rsidR="00A35E11">
        <w:t>, odbornost</w:t>
      </w:r>
      <w:r>
        <w:t xml:space="preserve"> </w:t>
      </w:r>
      <w:r w:rsidR="00DD6E05">
        <w:t>lidské zdroje, finanční a logistick</w:t>
      </w:r>
      <w:r w:rsidR="00113296">
        <w:t>á</w:t>
      </w:r>
      <w:r>
        <w:t xml:space="preserve">, </w:t>
      </w:r>
      <w:r w:rsidR="002741F6">
        <w:t>ochran</w:t>
      </w:r>
      <w:r>
        <w:t>a</w:t>
      </w:r>
      <w:r w:rsidR="002741F6">
        <w:t xml:space="preserve"> informací</w:t>
      </w:r>
      <w:r w:rsidR="00A35E11">
        <w:t xml:space="preserve"> a </w:t>
      </w:r>
      <w:r w:rsidR="00DD6E05">
        <w:t>do jed</w:t>
      </w:r>
      <w:r w:rsidR="00A35E11">
        <w:t xml:space="preserve">notek PCHT ÚU RS Afghánistán, </w:t>
      </w:r>
      <w:r>
        <w:t>odbornost</w:t>
      </w:r>
      <w:r w:rsidR="00113296">
        <w:t xml:space="preserve"> - </w:t>
      </w:r>
      <w:r w:rsidR="00A35E11">
        <w:t>zdravotnická</w:t>
      </w:r>
      <w:r w:rsidR="00583897">
        <w:t xml:space="preserve">. </w:t>
      </w:r>
      <w:r w:rsidR="00DD6E05" w:rsidRPr="003333FE">
        <w:rPr>
          <w:b/>
        </w:rPr>
        <w:t xml:space="preserve">Procentuálně byly ženy nejvíce zastoupeny </w:t>
      </w:r>
      <w:r w:rsidR="00A35E11" w:rsidRPr="003333FE">
        <w:rPr>
          <w:b/>
        </w:rPr>
        <w:t>v</w:t>
      </w:r>
      <w:r w:rsidR="00503439">
        <w:rPr>
          <w:b/>
        </w:rPr>
        <w:t xml:space="preserve"> PCHT ÚU RS Afghánistán a </w:t>
      </w:r>
      <w:r w:rsidR="00DD6E05" w:rsidRPr="003333FE">
        <w:rPr>
          <w:b/>
        </w:rPr>
        <w:t>PCHT Irák</w:t>
      </w:r>
      <w:r w:rsidR="00DD6E05">
        <w:t xml:space="preserve">, tj. ve zdravotnické odbornosti. </w:t>
      </w:r>
    </w:p>
    <w:p w:rsidR="003C137B" w:rsidRDefault="003C137B" w:rsidP="003327B8">
      <w:pPr>
        <w:jc w:val="both"/>
      </w:pPr>
    </w:p>
    <w:p w:rsidR="00E61196" w:rsidRDefault="00CC70E1" w:rsidP="00E61196">
      <w:pPr>
        <w:jc w:val="both"/>
      </w:pPr>
      <w:r w:rsidRPr="003327B8">
        <w:t>Vojákyně působily v jednotkách</w:t>
      </w:r>
      <w:r w:rsidR="003C137B">
        <w:rPr>
          <w:rStyle w:val="Znakapoznpodarou"/>
        </w:rPr>
        <w:footnoteReference w:id="2"/>
      </w:r>
      <w:r w:rsidRPr="003327B8">
        <w:t xml:space="preserve">:  </w:t>
      </w:r>
    </w:p>
    <w:p w:rsidR="00294A53" w:rsidRDefault="00294A53" w:rsidP="00E61196">
      <w:pPr>
        <w:jc w:val="both"/>
      </w:pPr>
    </w:p>
    <w:tbl>
      <w:tblPr>
        <w:tblStyle w:val="Mkatabulky"/>
        <w:tblW w:w="0" w:type="auto"/>
        <w:tblInd w:w="108" w:type="dxa"/>
        <w:tblLook w:val="04A0" w:firstRow="1" w:lastRow="0" w:firstColumn="1" w:lastColumn="0" w:noHBand="0" w:noVBand="1"/>
      </w:tblPr>
      <w:tblGrid>
        <w:gridCol w:w="5018"/>
        <w:gridCol w:w="3974"/>
      </w:tblGrid>
      <w:tr w:rsidR="003327B8" w:rsidTr="003333FE">
        <w:trPr>
          <w:trHeight w:val="330"/>
        </w:trPr>
        <w:tc>
          <w:tcPr>
            <w:tcW w:w="5018" w:type="dxa"/>
          </w:tcPr>
          <w:p w:rsidR="003327B8" w:rsidRDefault="00D008AF" w:rsidP="003327B8">
            <w:r>
              <w:t>ÚU RS</w:t>
            </w:r>
            <w:r w:rsidR="003327B8" w:rsidRPr="003327B8">
              <w:t xml:space="preserve"> </w:t>
            </w:r>
            <w:r>
              <w:t>(</w:t>
            </w:r>
            <w:r w:rsidR="003327B8" w:rsidRPr="003327B8">
              <w:t>Afghánistán</w:t>
            </w:r>
            <w:r>
              <w:t>)</w:t>
            </w:r>
            <w:r w:rsidR="003327B8" w:rsidRPr="003327B8">
              <w:t xml:space="preserve"> </w:t>
            </w:r>
          </w:p>
        </w:tc>
        <w:tc>
          <w:tcPr>
            <w:tcW w:w="3974" w:type="dxa"/>
          </w:tcPr>
          <w:p w:rsidR="003327B8" w:rsidRDefault="003327B8" w:rsidP="00804CE5">
            <w:pPr>
              <w:jc w:val="center"/>
            </w:pPr>
            <w:r>
              <w:t>50</w:t>
            </w:r>
          </w:p>
        </w:tc>
      </w:tr>
      <w:tr w:rsidR="003327B8" w:rsidTr="00804CE5">
        <w:trPr>
          <w:trHeight w:val="282"/>
        </w:trPr>
        <w:tc>
          <w:tcPr>
            <w:tcW w:w="5018" w:type="dxa"/>
          </w:tcPr>
          <w:p w:rsidR="003327B8" w:rsidRDefault="003327B8" w:rsidP="003327B8">
            <w:r w:rsidRPr="003327B8">
              <w:t xml:space="preserve">Letecký poradní tým </w:t>
            </w:r>
            <w:r w:rsidR="00D008AF">
              <w:t>(</w:t>
            </w:r>
            <w:r w:rsidRPr="003327B8">
              <w:t>Irák</w:t>
            </w:r>
            <w:r w:rsidR="00D008AF">
              <w:t>)</w:t>
            </w:r>
          </w:p>
        </w:tc>
        <w:tc>
          <w:tcPr>
            <w:tcW w:w="3974" w:type="dxa"/>
          </w:tcPr>
          <w:p w:rsidR="003327B8" w:rsidRDefault="003327B8" w:rsidP="00804CE5">
            <w:pPr>
              <w:jc w:val="center"/>
            </w:pPr>
            <w:r>
              <w:t>10</w:t>
            </w:r>
          </w:p>
        </w:tc>
      </w:tr>
      <w:tr w:rsidR="003327B8" w:rsidTr="00804CE5">
        <w:trPr>
          <w:trHeight w:val="282"/>
        </w:trPr>
        <w:tc>
          <w:tcPr>
            <w:tcW w:w="5018" w:type="dxa"/>
          </w:tcPr>
          <w:p w:rsidR="003327B8" w:rsidRDefault="00D008AF" w:rsidP="003327B8">
            <w:r>
              <w:t>PCHT</w:t>
            </w:r>
            <w:r w:rsidR="003327B8" w:rsidRPr="003327B8">
              <w:t xml:space="preserve"> </w:t>
            </w:r>
            <w:r>
              <w:t>(</w:t>
            </w:r>
            <w:r w:rsidR="003327B8" w:rsidRPr="003327B8">
              <w:t>Irák</w:t>
            </w:r>
            <w:r>
              <w:t>)</w:t>
            </w:r>
          </w:p>
        </w:tc>
        <w:tc>
          <w:tcPr>
            <w:tcW w:w="3974" w:type="dxa"/>
          </w:tcPr>
          <w:p w:rsidR="003327B8" w:rsidRDefault="003327B8" w:rsidP="00804CE5">
            <w:pPr>
              <w:jc w:val="center"/>
            </w:pPr>
            <w:r>
              <w:t>7</w:t>
            </w:r>
          </w:p>
        </w:tc>
      </w:tr>
      <w:tr w:rsidR="003327B8" w:rsidTr="00804CE5">
        <w:trPr>
          <w:trHeight w:val="282"/>
        </w:trPr>
        <w:tc>
          <w:tcPr>
            <w:tcW w:w="5018" w:type="dxa"/>
          </w:tcPr>
          <w:p w:rsidR="003327B8" w:rsidRDefault="00D008AF" w:rsidP="003327B8">
            <w:r>
              <w:t>EUTM (Mali)</w:t>
            </w:r>
          </w:p>
        </w:tc>
        <w:tc>
          <w:tcPr>
            <w:tcW w:w="3974" w:type="dxa"/>
          </w:tcPr>
          <w:p w:rsidR="003327B8" w:rsidRDefault="003327B8" w:rsidP="00804CE5">
            <w:pPr>
              <w:jc w:val="center"/>
            </w:pPr>
            <w:r>
              <w:t>1</w:t>
            </w:r>
          </w:p>
        </w:tc>
      </w:tr>
      <w:tr w:rsidR="003327B8" w:rsidTr="00804CE5">
        <w:trPr>
          <w:trHeight w:val="282"/>
        </w:trPr>
        <w:tc>
          <w:tcPr>
            <w:tcW w:w="5018" w:type="dxa"/>
          </w:tcPr>
          <w:p w:rsidR="003327B8" w:rsidRDefault="003327B8" w:rsidP="003327B8">
            <w:r w:rsidRPr="003327B8">
              <w:t xml:space="preserve">CASA ÚU MFO </w:t>
            </w:r>
            <w:r w:rsidR="00D008AF">
              <w:t>(</w:t>
            </w:r>
            <w:r w:rsidRPr="003327B8">
              <w:t>Sinaj</w:t>
            </w:r>
            <w:r w:rsidR="00D008AF">
              <w:t>)</w:t>
            </w:r>
          </w:p>
        </w:tc>
        <w:tc>
          <w:tcPr>
            <w:tcW w:w="3974" w:type="dxa"/>
          </w:tcPr>
          <w:p w:rsidR="003327B8" w:rsidRDefault="003327B8" w:rsidP="00804CE5">
            <w:pPr>
              <w:jc w:val="center"/>
            </w:pPr>
            <w:r>
              <w:t>1</w:t>
            </w:r>
          </w:p>
        </w:tc>
      </w:tr>
      <w:tr w:rsidR="00D008AF" w:rsidTr="00804CE5">
        <w:trPr>
          <w:trHeight w:val="282"/>
        </w:trPr>
        <w:tc>
          <w:tcPr>
            <w:tcW w:w="5018" w:type="dxa"/>
          </w:tcPr>
          <w:p w:rsidR="00D008AF" w:rsidRPr="003327B8" w:rsidRDefault="00D008AF" w:rsidP="003327B8">
            <w:r w:rsidRPr="003327B8">
              <w:t>EU NAVFOR MEDITERRANEAN</w:t>
            </w:r>
          </w:p>
        </w:tc>
        <w:tc>
          <w:tcPr>
            <w:tcW w:w="3974" w:type="dxa"/>
          </w:tcPr>
          <w:p w:rsidR="00D008AF" w:rsidRDefault="00D008AF" w:rsidP="00804CE5">
            <w:pPr>
              <w:jc w:val="center"/>
            </w:pPr>
            <w:r>
              <w:t>3</w:t>
            </w:r>
          </w:p>
        </w:tc>
      </w:tr>
      <w:tr w:rsidR="003327B8" w:rsidTr="00804CE5">
        <w:trPr>
          <w:trHeight w:val="282"/>
        </w:trPr>
        <w:tc>
          <w:tcPr>
            <w:tcW w:w="5018" w:type="dxa"/>
          </w:tcPr>
          <w:p w:rsidR="003327B8" w:rsidRDefault="003327B8" w:rsidP="003327B8">
            <w:r w:rsidRPr="003327B8">
              <w:t>EU NAVFOR ATALANTA</w:t>
            </w:r>
          </w:p>
        </w:tc>
        <w:tc>
          <w:tcPr>
            <w:tcW w:w="3974" w:type="dxa"/>
          </w:tcPr>
          <w:p w:rsidR="003327B8" w:rsidRDefault="003327B8" w:rsidP="00804CE5">
            <w:pPr>
              <w:jc w:val="center"/>
            </w:pPr>
            <w:r>
              <w:t>1</w:t>
            </w:r>
          </w:p>
        </w:tc>
      </w:tr>
      <w:tr w:rsidR="003327B8" w:rsidTr="00804CE5">
        <w:trPr>
          <w:trHeight w:val="282"/>
        </w:trPr>
        <w:tc>
          <w:tcPr>
            <w:tcW w:w="5018" w:type="dxa"/>
          </w:tcPr>
          <w:p w:rsidR="003327B8" w:rsidRDefault="003327B8" w:rsidP="003327B8">
            <w:r w:rsidRPr="003327B8">
              <w:t>ÚU HQ KFOR</w:t>
            </w:r>
            <w:r w:rsidR="00D008AF">
              <w:t xml:space="preserve"> (Kosovo)</w:t>
            </w:r>
          </w:p>
        </w:tc>
        <w:tc>
          <w:tcPr>
            <w:tcW w:w="3974" w:type="dxa"/>
          </w:tcPr>
          <w:p w:rsidR="003327B8" w:rsidRDefault="003327B8" w:rsidP="00804CE5">
            <w:pPr>
              <w:jc w:val="center"/>
            </w:pPr>
            <w:r>
              <w:t>1</w:t>
            </w:r>
          </w:p>
        </w:tc>
      </w:tr>
      <w:tr w:rsidR="003327B8" w:rsidTr="00804CE5">
        <w:trPr>
          <w:trHeight w:val="297"/>
        </w:trPr>
        <w:tc>
          <w:tcPr>
            <w:tcW w:w="5018" w:type="dxa"/>
          </w:tcPr>
          <w:p w:rsidR="003327B8" w:rsidRPr="003327B8" w:rsidRDefault="00D008AF" w:rsidP="003327B8">
            <w:r>
              <w:t>MONUSCO (Konžská demokratická republika)</w:t>
            </w:r>
          </w:p>
        </w:tc>
        <w:tc>
          <w:tcPr>
            <w:tcW w:w="3974" w:type="dxa"/>
          </w:tcPr>
          <w:p w:rsidR="003327B8" w:rsidRDefault="003327B8" w:rsidP="009D5896">
            <w:pPr>
              <w:jc w:val="center"/>
            </w:pPr>
            <w:r>
              <w:t>1</w:t>
            </w:r>
          </w:p>
        </w:tc>
      </w:tr>
    </w:tbl>
    <w:p w:rsidR="003327B8" w:rsidRDefault="003327B8" w:rsidP="003327B8">
      <w:pPr>
        <w:jc w:val="both"/>
      </w:pPr>
    </w:p>
    <w:p w:rsidR="00243AB0" w:rsidRPr="00243AB0" w:rsidRDefault="007609FF" w:rsidP="00243AB0">
      <w:pPr>
        <w:spacing w:before="120"/>
        <w:jc w:val="both"/>
      </w:pPr>
      <w:r w:rsidRPr="007609FF">
        <w:lastRenderedPageBreak/>
        <w:t xml:space="preserve">Ženy do velitelských pozic </w:t>
      </w:r>
      <w:r w:rsidR="0068336F">
        <w:t xml:space="preserve">schvaluje </w:t>
      </w:r>
      <w:r w:rsidRPr="007609FF">
        <w:t xml:space="preserve">zástupce </w:t>
      </w:r>
      <w:r w:rsidR="002741F6">
        <w:t>náčelníka Generálního štábu A</w:t>
      </w:r>
      <w:r w:rsidR="00313C66">
        <w:t>rmády ČR (AČR</w:t>
      </w:r>
      <w:r w:rsidR="002741F6">
        <w:t>)</w:t>
      </w:r>
      <w:r w:rsidR="00A14641">
        <w:t xml:space="preserve"> -</w:t>
      </w:r>
      <w:r w:rsidR="002741F6">
        <w:t xml:space="preserve"> </w:t>
      </w:r>
      <w:r w:rsidRPr="007609FF">
        <w:t>ředitel Společného operačního cent</w:t>
      </w:r>
      <w:r w:rsidR="00313C66">
        <w:t xml:space="preserve">ra Ministerstva obrany </w:t>
      </w:r>
      <w:r w:rsidR="0068336F">
        <w:t>n</w:t>
      </w:r>
      <w:r w:rsidRPr="007609FF">
        <w:t xml:space="preserve">a základě nominací velitelů </w:t>
      </w:r>
      <w:r w:rsidR="0068336F">
        <w:t>jednotlivých součástí ozbrojených sil.</w:t>
      </w:r>
      <w:r w:rsidR="00C35F8F">
        <w:t xml:space="preserve"> </w:t>
      </w:r>
      <w:r w:rsidR="00A14641">
        <w:t>D</w:t>
      </w:r>
      <w:r w:rsidRPr="0068336F">
        <w:t xml:space="preserve">o dalších </w:t>
      </w:r>
      <w:r w:rsidR="0068336F">
        <w:t>pozic</w:t>
      </w:r>
      <w:r w:rsidR="00A14641">
        <w:t xml:space="preserve"> </w:t>
      </w:r>
      <w:r w:rsidR="00C35F8F">
        <w:t xml:space="preserve">vybírají ženy, </w:t>
      </w:r>
      <w:r w:rsidRPr="0068336F">
        <w:t>včetně nižších velitelských</w:t>
      </w:r>
      <w:r w:rsidR="00A14641">
        <w:t xml:space="preserve"> funkcí</w:t>
      </w:r>
      <w:r w:rsidR="002741F6">
        <w:t>,</w:t>
      </w:r>
      <w:r w:rsidRPr="0068336F">
        <w:t xml:space="preserve"> </w:t>
      </w:r>
      <w:r w:rsidR="0068336F" w:rsidRPr="0068336F">
        <w:t xml:space="preserve">velitelé jednotek </w:t>
      </w:r>
      <w:r w:rsidR="004B58D8">
        <w:t xml:space="preserve">vysílaných </w:t>
      </w:r>
      <w:r w:rsidR="0068336F" w:rsidRPr="0068336F">
        <w:t xml:space="preserve">do </w:t>
      </w:r>
      <w:r w:rsidR="0068336F">
        <w:t xml:space="preserve">zahraničních operací. </w:t>
      </w:r>
      <w:r w:rsidR="00E642DF">
        <w:t>Účast těchto žen</w:t>
      </w:r>
      <w:r w:rsidR="00313C66">
        <w:t xml:space="preserve"> podléhá schválení</w:t>
      </w:r>
      <w:r w:rsidR="00A14641">
        <w:t xml:space="preserve"> </w:t>
      </w:r>
      <w:r w:rsidR="00313C66" w:rsidRPr="007609FF">
        <w:t>ředitel</w:t>
      </w:r>
      <w:r w:rsidR="00313C66">
        <w:t>e</w:t>
      </w:r>
      <w:r w:rsidR="00313C66" w:rsidRPr="007609FF">
        <w:t xml:space="preserve"> Společného operačního cent</w:t>
      </w:r>
      <w:r w:rsidR="00313C66">
        <w:t>ra a</w:t>
      </w:r>
      <w:r w:rsidR="00A14641">
        <w:t xml:space="preserve"> </w:t>
      </w:r>
      <w:r w:rsidR="00313C66" w:rsidRPr="007609FF">
        <w:t xml:space="preserve">zástupce </w:t>
      </w:r>
      <w:r w:rsidR="00313C66">
        <w:t>náčelníka Generálního štábu Armády ČR</w:t>
      </w:r>
      <w:r w:rsidR="0068336F">
        <w:t xml:space="preserve">. </w:t>
      </w:r>
      <w:r w:rsidR="0067184C">
        <w:t xml:space="preserve">V roce 2017 byl přijat </w:t>
      </w:r>
      <w:r w:rsidR="0067184C" w:rsidRPr="00F843DB">
        <w:rPr>
          <w:i/>
        </w:rPr>
        <w:t>Systémový rámec pro zapojování sil a prostředků rezortu Ministerstva obrany do misí OSN.</w:t>
      </w:r>
      <w:r w:rsidR="0067184C" w:rsidRPr="00D4453B">
        <w:rPr>
          <w:i/>
        </w:rPr>
        <w:t xml:space="preserve"> </w:t>
      </w:r>
      <w:r w:rsidR="0067184C">
        <w:t xml:space="preserve">Součástí tohoto dokumentu je kapitola, která se </w:t>
      </w:r>
      <w:r w:rsidR="0067184C" w:rsidRPr="00322682">
        <w:t>věnuje účasti žen v</w:t>
      </w:r>
      <w:r w:rsidR="0067184C">
        <w:t> </w:t>
      </w:r>
      <w:r w:rsidR="0067184C" w:rsidRPr="00322682">
        <w:t>misích OSN</w:t>
      </w:r>
      <w:r w:rsidR="0067184C">
        <w:t>.</w:t>
      </w:r>
    </w:p>
    <w:p w:rsidR="00F843DB" w:rsidRPr="00243AB0" w:rsidRDefault="00243AB0" w:rsidP="0068336F">
      <w:pPr>
        <w:spacing w:before="120"/>
        <w:jc w:val="both"/>
        <w:rPr>
          <w:color w:val="FF0000"/>
        </w:rPr>
      </w:pPr>
      <w:r>
        <w:rPr>
          <w:noProof/>
        </w:rPr>
        <w:drawing>
          <wp:inline distT="0" distB="0" distL="0" distR="0">
            <wp:extent cx="5772150" cy="23241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7609FF" w:rsidRPr="0068336F">
        <w:t xml:space="preserve"> </w:t>
      </w:r>
    </w:p>
    <w:p w:rsidR="00091D12" w:rsidRPr="00161EFA" w:rsidRDefault="00091D12" w:rsidP="00091D12">
      <w:pPr>
        <w:spacing w:before="120"/>
        <w:jc w:val="both"/>
      </w:pPr>
      <w:r w:rsidRPr="003333FE">
        <w:rPr>
          <w:b/>
          <w:color w:val="000000"/>
        </w:rPr>
        <w:t xml:space="preserve">Zatímco v roce 2016 byla do struktur vyslána pouze 1 žena, v roce 2017 bylo vysláno 5 žen. </w:t>
      </w:r>
      <w:r>
        <w:rPr>
          <w:color w:val="000000"/>
        </w:rPr>
        <w:t xml:space="preserve">K výběru personálu do </w:t>
      </w:r>
      <w:r w:rsidRPr="005C6088">
        <w:rPr>
          <w:color w:val="000000"/>
        </w:rPr>
        <w:t xml:space="preserve">struktur </w:t>
      </w:r>
      <w:r>
        <w:rPr>
          <w:color w:val="000000"/>
        </w:rPr>
        <w:t xml:space="preserve">využívají gestoři </w:t>
      </w:r>
      <w:r w:rsidRPr="005C6088">
        <w:rPr>
          <w:color w:val="000000"/>
        </w:rPr>
        <w:t xml:space="preserve">příslušných systemizovaných míst vhodných kandidátů/kandidátek výstup </w:t>
      </w:r>
      <w:r w:rsidRPr="0014082A">
        <w:rPr>
          <w:color w:val="000000"/>
        </w:rPr>
        <w:t>z ISSP.</w:t>
      </w:r>
      <w:r w:rsidRPr="005C6088">
        <w:rPr>
          <w:color w:val="000000"/>
        </w:rPr>
        <w:t xml:space="preserve"> Významným faktorem, který ovlivňuje reálný počet žen, ale i mužů vysílaných na zahraniční pracoviště</w:t>
      </w:r>
      <w:r>
        <w:rPr>
          <w:color w:val="000000"/>
        </w:rPr>
        <w:t>,</w:t>
      </w:r>
      <w:r w:rsidRPr="005C6088">
        <w:rPr>
          <w:color w:val="000000"/>
        </w:rPr>
        <w:t xml:space="preserve"> je příslušná hodnost </w:t>
      </w:r>
      <w:r>
        <w:rPr>
          <w:color w:val="000000"/>
        </w:rPr>
        <w:t>a </w:t>
      </w:r>
      <w:r w:rsidRPr="005C6088">
        <w:rPr>
          <w:color w:val="000000"/>
        </w:rPr>
        <w:t>odbornost, dále pak stupeň dosažených jazykových z</w:t>
      </w:r>
      <w:r>
        <w:rPr>
          <w:color w:val="000000"/>
        </w:rPr>
        <w:t>nalostí dle normy STANAG 6001 a osvědčení fyzické osoby</w:t>
      </w:r>
      <w:r w:rsidRPr="005C6088">
        <w:rPr>
          <w:color w:val="000000"/>
        </w:rPr>
        <w:t xml:space="preserve">. </w:t>
      </w:r>
      <w:r>
        <w:t xml:space="preserve"> </w:t>
      </w:r>
    </w:p>
    <w:p w:rsidR="00243AB0" w:rsidRPr="001F381B" w:rsidRDefault="00243AB0" w:rsidP="00243AB0">
      <w:pPr>
        <w:jc w:val="both"/>
        <w:rPr>
          <w:b/>
        </w:rPr>
      </w:pPr>
    </w:p>
    <w:p w:rsidR="0054706C" w:rsidRDefault="00243AB0" w:rsidP="00161EFA">
      <w:pPr>
        <w:pStyle w:val="Zkladntextodsazen2"/>
        <w:spacing w:after="0" w:line="240" w:lineRule="auto"/>
        <w:ind w:left="0"/>
        <w:jc w:val="both"/>
      </w:pPr>
      <w:r>
        <w:rPr>
          <w:noProof/>
        </w:rPr>
        <w:drawing>
          <wp:inline distT="0" distB="0" distL="0" distR="0">
            <wp:extent cx="5738884" cy="1890214"/>
            <wp:effectExtent l="0" t="0" r="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61EFA" w:rsidRDefault="00161EFA" w:rsidP="00161EFA">
      <w:pPr>
        <w:pStyle w:val="Zkladntextodsazen2"/>
        <w:spacing w:after="0" w:line="240" w:lineRule="auto"/>
        <w:ind w:left="0"/>
        <w:jc w:val="both"/>
      </w:pPr>
    </w:p>
    <w:p w:rsidR="0067184C" w:rsidRPr="0067184C" w:rsidRDefault="0067184C" w:rsidP="0067184C">
      <w:pPr>
        <w:spacing w:before="120"/>
        <w:jc w:val="both"/>
      </w:pPr>
      <w:r w:rsidRPr="00195BE6">
        <w:t xml:space="preserve">V podřízenosti sekce obranné politiky a strategie </w:t>
      </w:r>
      <w:r>
        <w:t>Ministerstva obrany bylo k 31. 12. 2017 na </w:t>
      </w:r>
      <w:r w:rsidRPr="00195BE6">
        <w:t>zahraničních pracovištích celkem 26 zaměstnanců</w:t>
      </w:r>
      <w:r>
        <w:t xml:space="preserve"> a zaměstnankyň</w:t>
      </w:r>
      <w:r w:rsidRPr="00195BE6">
        <w:t xml:space="preserve">, </w:t>
      </w:r>
      <w:r w:rsidRPr="009F313D">
        <w:t xml:space="preserve">z toho 6 žen </w:t>
      </w:r>
      <w:r>
        <w:t>(</w:t>
      </w:r>
      <w:r w:rsidRPr="009F313D">
        <w:t>23</w:t>
      </w:r>
      <w:r>
        <w:t xml:space="preserve"> </w:t>
      </w:r>
      <w:r w:rsidRPr="009F313D">
        <w:t>%</w:t>
      </w:r>
      <w:r>
        <w:t>).</w:t>
      </w:r>
      <w:r w:rsidRPr="00195BE6">
        <w:rPr>
          <w:u w:val="single"/>
        </w:rPr>
        <w:t xml:space="preserve">  </w:t>
      </w:r>
    </w:p>
    <w:p w:rsidR="0067184C" w:rsidRDefault="0067184C" w:rsidP="00344F62">
      <w:pPr>
        <w:jc w:val="both"/>
        <w:rPr>
          <w:iCs/>
        </w:rPr>
      </w:pPr>
    </w:p>
    <w:p w:rsidR="009E6C35" w:rsidRPr="00BD0D87" w:rsidRDefault="0059171D" w:rsidP="00344F62">
      <w:pPr>
        <w:jc w:val="both"/>
        <w:rPr>
          <w:iCs/>
        </w:rPr>
      </w:pPr>
      <w:r w:rsidRPr="00705380">
        <w:rPr>
          <w:iCs/>
        </w:rPr>
        <w:t xml:space="preserve">V návaznosti na Rozhodnutí Rady EU </w:t>
      </w:r>
      <w:r>
        <w:rPr>
          <w:iCs/>
        </w:rPr>
        <w:t>2015/</w:t>
      </w:r>
      <w:r w:rsidRPr="00705380">
        <w:rPr>
          <w:iCs/>
        </w:rPr>
        <w:t>1523</w:t>
      </w:r>
      <w:r>
        <w:rPr>
          <w:iCs/>
        </w:rPr>
        <w:t xml:space="preserve"> ze dne 14. září 2015</w:t>
      </w:r>
      <w:r w:rsidR="009E6C35">
        <w:rPr>
          <w:iCs/>
        </w:rPr>
        <w:t>, čl. 7</w:t>
      </w:r>
      <w:r w:rsidRPr="00705380">
        <w:rPr>
          <w:iCs/>
        </w:rPr>
        <w:t xml:space="preserve"> a v souladu </w:t>
      </w:r>
      <w:r>
        <w:rPr>
          <w:iCs/>
        </w:rPr>
        <w:br/>
      </w:r>
      <w:r w:rsidRPr="00705380">
        <w:rPr>
          <w:iCs/>
        </w:rPr>
        <w:t>s operačními plány Evropského azylového</w:t>
      </w:r>
      <w:r>
        <w:rPr>
          <w:iCs/>
        </w:rPr>
        <w:t xml:space="preserve"> </w:t>
      </w:r>
      <w:r w:rsidRPr="00174305">
        <w:rPr>
          <w:iCs/>
        </w:rPr>
        <w:t>podpůrného</w:t>
      </w:r>
      <w:r w:rsidRPr="00705380">
        <w:rPr>
          <w:iCs/>
        </w:rPr>
        <w:t xml:space="preserve"> úřadu (EASO), </w:t>
      </w:r>
      <w:r w:rsidR="000A1D88">
        <w:rPr>
          <w:iCs/>
        </w:rPr>
        <w:t>Česká republika ve </w:t>
      </w:r>
      <w:r w:rsidRPr="00F843DB">
        <w:rPr>
          <w:iCs/>
        </w:rPr>
        <w:t xml:space="preserve">spolupráci s EASO aktivně </w:t>
      </w:r>
      <w:r w:rsidR="009E6C35" w:rsidRPr="00F843DB">
        <w:rPr>
          <w:iCs/>
        </w:rPr>
        <w:t xml:space="preserve">přispívá </w:t>
      </w:r>
      <w:r w:rsidRPr="00F843DB">
        <w:rPr>
          <w:iCs/>
        </w:rPr>
        <w:t>k implementaci opatření prostřednictvím vysílání</w:t>
      </w:r>
      <w:r w:rsidR="00543D16" w:rsidRPr="00F843DB">
        <w:rPr>
          <w:iCs/>
        </w:rPr>
        <w:t xml:space="preserve"> národních </w:t>
      </w:r>
      <w:r w:rsidRPr="00F843DB">
        <w:rPr>
          <w:iCs/>
        </w:rPr>
        <w:t>expertů do zemí zasažených migrační krizí.</w:t>
      </w:r>
      <w:r w:rsidR="009A1F5D">
        <w:rPr>
          <w:iCs/>
        </w:rPr>
        <w:t xml:space="preserve"> </w:t>
      </w:r>
      <w:r w:rsidR="009A1F5D" w:rsidRPr="003333FE">
        <w:rPr>
          <w:b/>
          <w:iCs/>
        </w:rPr>
        <w:t xml:space="preserve">V roce 2017 </w:t>
      </w:r>
      <w:r w:rsidR="003333FE" w:rsidRPr="003333FE">
        <w:rPr>
          <w:b/>
          <w:iCs/>
        </w:rPr>
        <w:t xml:space="preserve">bylo </w:t>
      </w:r>
      <w:r w:rsidR="009A1F5D" w:rsidRPr="003333FE">
        <w:rPr>
          <w:b/>
          <w:iCs/>
        </w:rPr>
        <w:t>v rámci EASO</w:t>
      </w:r>
      <w:r w:rsidRPr="003333FE">
        <w:rPr>
          <w:b/>
          <w:iCs/>
        </w:rPr>
        <w:t xml:space="preserve"> vysláno</w:t>
      </w:r>
      <w:r w:rsidR="00543D16" w:rsidRPr="003333FE">
        <w:rPr>
          <w:b/>
          <w:iCs/>
        </w:rPr>
        <w:t xml:space="preserve"> 25 expertek a expertů do Itálie a </w:t>
      </w:r>
      <w:r w:rsidRPr="003333FE">
        <w:rPr>
          <w:b/>
          <w:iCs/>
        </w:rPr>
        <w:t>Řecka</w:t>
      </w:r>
      <w:r w:rsidR="00543D16" w:rsidRPr="003333FE">
        <w:rPr>
          <w:b/>
          <w:iCs/>
        </w:rPr>
        <w:t> – z </w:t>
      </w:r>
      <w:r w:rsidRPr="003333FE">
        <w:rPr>
          <w:b/>
          <w:iCs/>
        </w:rPr>
        <w:t>toho</w:t>
      </w:r>
      <w:r w:rsidR="00543D16" w:rsidRPr="003333FE">
        <w:rPr>
          <w:b/>
          <w:iCs/>
        </w:rPr>
        <w:t> 18 </w:t>
      </w:r>
      <w:r w:rsidR="009E6C35" w:rsidRPr="003333FE">
        <w:rPr>
          <w:b/>
          <w:iCs/>
        </w:rPr>
        <w:t xml:space="preserve">žen a </w:t>
      </w:r>
      <w:r w:rsidRPr="003333FE">
        <w:rPr>
          <w:b/>
          <w:iCs/>
        </w:rPr>
        <w:t>7 mužů</w:t>
      </w:r>
      <w:r w:rsidRPr="00705380">
        <w:rPr>
          <w:iCs/>
        </w:rPr>
        <w:t>. </w:t>
      </w:r>
      <w:r w:rsidR="009A1F5D">
        <w:rPr>
          <w:iCs/>
        </w:rPr>
        <w:t xml:space="preserve">V </w:t>
      </w:r>
      <w:r w:rsidR="009A1F5D">
        <w:t>Českém</w:t>
      </w:r>
      <w:r>
        <w:t xml:space="preserve"> národní</w:t>
      </w:r>
      <w:r w:rsidR="009A1F5D">
        <w:t>m</w:t>
      </w:r>
      <w:r>
        <w:t xml:space="preserve"> tým</w:t>
      </w:r>
      <w:r w:rsidR="009A1F5D">
        <w:t>u</w:t>
      </w:r>
      <w:r>
        <w:t xml:space="preserve"> </w:t>
      </w:r>
      <w:r w:rsidRPr="003333FE">
        <w:rPr>
          <w:b/>
        </w:rPr>
        <w:t>Evropské pohr</w:t>
      </w:r>
      <w:r w:rsidR="00F843DB" w:rsidRPr="003333FE">
        <w:rPr>
          <w:b/>
        </w:rPr>
        <w:t>aniční a </w:t>
      </w:r>
      <w:r w:rsidRPr="003333FE">
        <w:rPr>
          <w:b/>
        </w:rPr>
        <w:t xml:space="preserve">pobřežní stráže (EBCGT) </w:t>
      </w:r>
      <w:r w:rsidR="009A1F5D" w:rsidRPr="003333FE">
        <w:rPr>
          <w:b/>
        </w:rPr>
        <w:t>je</w:t>
      </w:r>
      <w:r w:rsidR="009A1F5D">
        <w:t xml:space="preserve"> </w:t>
      </w:r>
      <w:r w:rsidR="009A1F5D" w:rsidRPr="003333FE">
        <w:rPr>
          <w:b/>
        </w:rPr>
        <w:t xml:space="preserve">z celkového počtu </w:t>
      </w:r>
      <w:r w:rsidR="009A1F5D" w:rsidRPr="003333FE">
        <w:rPr>
          <w:b/>
        </w:rPr>
        <w:lastRenderedPageBreak/>
        <w:t>152 policistů a policistek zastoupeno 16 žen</w:t>
      </w:r>
      <w:r w:rsidR="009A1F5D">
        <w:t xml:space="preserve">. </w:t>
      </w:r>
      <w:r w:rsidR="00816420" w:rsidRPr="00CB370E">
        <w:t xml:space="preserve">V tzv. </w:t>
      </w:r>
      <w:r w:rsidR="00816420">
        <w:t xml:space="preserve">návratovém týmu agentury </w:t>
      </w:r>
      <w:r w:rsidR="00816420" w:rsidRPr="003333FE">
        <w:rPr>
          <w:b/>
        </w:rPr>
        <w:t>FRONTEX je Česká republika zastoupena 3  ženami</w:t>
      </w:r>
      <w:r w:rsidR="00816420" w:rsidRPr="00CB370E">
        <w:t xml:space="preserve"> z Úřadu veřejného ochránce práv v profilu monitor</w:t>
      </w:r>
      <w:r w:rsidR="00816420">
        <w:t>ing</w:t>
      </w:r>
      <w:r w:rsidR="00816420" w:rsidRPr="00CB370E">
        <w:t xml:space="preserve"> nucených návratů.</w:t>
      </w:r>
      <w:r w:rsidR="00BD0D87">
        <w:rPr>
          <w:iCs/>
        </w:rPr>
        <w:t xml:space="preserve"> </w:t>
      </w:r>
      <w:r w:rsidR="009E6C35">
        <w:t>V současnosti je</w:t>
      </w:r>
      <w:r w:rsidRPr="00CB370E">
        <w:t xml:space="preserve"> ke sl</w:t>
      </w:r>
      <w:r w:rsidR="0014082A">
        <w:t>užbě v zahraničních mírových misích</w:t>
      </w:r>
      <w:r w:rsidR="00F843DB">
        <w:t xml:space="preserve"> vysláno 12 </w:t>
      </w:r>
      <w:r>
        <w:t>policistek a policistů – z toho</w:t>
      </w:r>
      <w:r w:rsidR="009E6C35">
        <w:t xml:space="preserve"> 2 ženy.</w:t>
      </w:r>
    </w:p>
    <w:p w:rsidR="00543D16" w:rsidRPr="00344F62" w:rsidRDefault="008401B4" w:rsidP="00344F62">
      <w:pPr>
        <w:jc w:val="both"/>
      </w:pPr>
      <w:r>
        <w:t xml:space="preserve"> </w:t>
      </w:r>
    </w:p>
    <w:p w:rsidR="007C4D98" w:rsidRPr="00854A13" w:rsidRDefault="007C4D98" w:rsidP="00854A13">
      <w:pPr>
        <w:autoSpaceDE w:val="0"/>
        <w:autoSpaceDN w:val="0"/>
        <w:adjustRightInd w:val="0"/>
        <w:jc w:val="both"/>
        <w:rPr>
          <w:rFonts w:eastAsiaTheme="minorHAnsi"/>
          <w:color w:val="000000"/>
          <w:lang w:eastAsia="en-US"/>
        </w:rPr>
      </w:pPr>
      <w:r>
        <w:t xml:space="preserve">Nová </w:t>
      </w:r>
      <w:r w:rsidRPr="009E6C35">
        <w:rPr>
          <w:i/>
        </w:rPr>
        <w:t>Strategie pro uplatňování českých občanů v mezinárodních organizacích</w:t>
      </w:r>
      <w:r>
        <w:rPr>
          <w:rStyle w:val="Znakapoznpodarou"/>
        </w:rPr>
        <w:footnoteReference w:id="3"/>
      </w:r>
      <w:r>
        <w:t xml:space="preserve"> explicitně neobsahuje specifická pozitivní opatření pro zvýšení zastoupení žen v mezinárodních organizacích. </w:t>
      </w:r>
      <w:r w:rsidRPr="003333FE">
        <w:rPr>
          <w:rFonts w:eastAsiaTheme="minorHAnsi"/>
          <w:b/>
          <w:color w:val="000000"/>
          <w:lang w:eastAsia="en-US"/>
        </w:rPr>
        <w:t>V Sekretariátu OSN je ČR zastoupena celkem vyrovnaně. K 30. 11. 2017 tam z ČR působilo 23 žen a 30 mužů.</w:t>
      </w:r>
      <w:r>
        <w:rPr>
          <w:rFonts w:eastAsiaTheme="minorHAnsi"/>
          <w:color w:val="000000"/>
          <w:lang w:eastAsia="en-US"/>
        </w:rPr>
        <w:t xml:space="preserve"> V kategorii "profesionálů"</w:t>
      </w:r>
      <w:r w:rsidRPr="00543D16">
        <w:rPr>
          <w:rFonts w:eastAsiaTheme="minorHAnsi"/>
          <w:color w:val="000000"/>
          <w:lang w:eastAsia="en-US"/>
        </w:rPr>
        <w:t xml:space="preserve"> 14 </w:t>
      </w:r>
      <w:r>
        <w:rPr>
          <w:rFonts w:eastAsiaTheme="minorHAnsi"/>
          <w:color w:val="000000"/>
          <w:lang w:eastAsia="en-US"/>
        </w:rPr>
        <w:t>žen a 11 mužů</w:t>
      </w:r>
      <w:r w:rsidRPr="00543D16">
        <w:rPr>
          <w:rFonts w:eastAsiaTheme="minorHAnsi"/>
          <w:color w:val="000000"/>
          <w:lang w:eastAsia="en-US"/>
        </w:rPr>
        <w:t xml:space="preserve">. Muži </w:t>
      </w:r>
      <w:r>
        <w:rPr>
          <w:rFonts w:eastAsiaTheme="minorHAnsi"/>
          <w:color w:val="000000"/>
          <w:lang w:eastAsia="en-US"/>
        </w:rPr>
        <w:t>však</w:t>
      </w:r>
      <w:r w:rsidRPr="00543D16">
        <w:rPr>
          <w:rFonts w:eastAsiaTheme="minorHAnsi"/>
          <w:color w:val="000000"/>
          <w:lang w:eastAsia="en-US"/>
        </w:rPr>
        <w:t xml:space="preserve"> zastávají vyšší posty (3x D-1).</w:t>
      </w:r>
      <w:r>
        <w:rPr>
          <w:rFonts w:eastAsiaTheme="minorHAnsi"/>
          <w:color w:val="000000"/>
          <w:lang w:eastAsia="en-US"/>
        </w:rPr>
        <w:t xml:space="preserve">  </w:t>
      </w:r>
      <w:r w:rsidR="00D21630">
        <w:rPr>
          <w:rFonts w:eastAsiaTheme="minorHAnsi"/>
          <w:color w:val="000000"/>
          <w:lang w:eastAsia="en-US"/>
        </w:rPr>
        <w:t>Příloha 1 zobrazuje p</w:t>
      </w:r>
      <w:r w:rsidR="003333FE">
        <w:rPr>
          <w:rFonts w:eastAsiaTheme="minorHAnsi"/>
          <w:color w:val="000000"/>
          <w:lang w:eastAsia="en-US"/>
        </w:rPr>
        <w:t>očet vyslaných osob do </w:t>
      </w:r>
      <w:r w:rsidR="00D21630" w:rsidRPr="00D21630">
        <w:rPr>
          <w:rFonts w:eastAsiaTheme="minorHAnsi"/>
          <w:color w:val="000000"/>
          <w:lang w:eastAsia="en-US"/>
        </w:rPr>
        <w:t>mezinárodn</w:t>
      </w:r>
      <w:r w:rsidR="00D21630">
        <w:rPr>
          <w:rFonts w:eastAsiaTheme="minorHAnsi"/>
          <w:color w:val="000000"/>
          <w:lang w:eastAsia="en-US"/>
        </w:rPr>
        <w:t>ích civilních struktur a misí.</w:t>
      </w:r>
    </w:p>
    <w:p w:rsidR="007C4D98" w:rsidRDefault="007C4D98" w:rsidP="00F26120">
      <w:pPr>
        <w:pBdr>
          <w:top w:val="single" w:sz="4" w:space="1" w:color="auto"/>
          <w:left w:val="single" w:sz="4" w:space="4" w:color="auto"/>
          <w:bottom w:val="single" w:sz="4" w:space="1" w:color="auto"/>
          <w:right w:val="single" w:sz="4" w:space="4" w:color="auto"/>
        </w:pBdr>
        <w:spacing w:before="120"/>
        <w:jc w:val="both"/>
      </w:pPr>
      <w:r>
        <w:t xml:space="preserve">Nejvyrovnanější zastoupení mužů a žen vykazuje </w:t>
      </w:r>
      <w:r w:rsidR="003333FE">
        <w:t xml:space="preserve">ČR </w:t>
      </w:r>
      <w:r>
        <w:t xml:space="preserve">v případě volebních pozorovatelských misí. V roce 2017 bylo do volebních pozorovatelských misí OBSE a EU vysláno celkem 75 osob z čehož 36 bylo žen (48%). Tento trend je u volebních pozorovatelských misí dlouhodobý. </w:t>
      </w:r>
      <w:r w:rsidR="00657688">
        <w:t xml:space="preserve"> </w:t>
      </w:r>
    </w:p>
    <w:p w:rsidR="00294A53" w:rsidRDefault="00294A53" w:rsidP="001B0BEF">
      <w:pPr>
        <w:jc w:val="both"/>
        <w:rPr>
          <w:b/>
          <w:u w:val="single"/>
        </w:rPr>
      </w:pPr>
    </w:p>
    <w:p w:rsidR="00074C1A" w:rsidRPr="00292D64" w:rsidRDefault="00074C1A" w:rsidP="001B0BEF">
      <w:pPr>
        <w:pStyle w:val="Nadpis2"/>
        <w:spacing w:before="0"/>
      </w:pPr>
      <w:bookmarkStart w:id="4" w:name="_Toc514782394"/>
      <w:r w:rsidRPr="00541702">
        <w:t>Úkol č. 2</w:t>
      </w:r>
      <w:bookmarkEnd w:id="4"/>
    </w:p>
    <w:p w:rsidR="00074C1A" w:rsidRDefault="009243BB" w:rsidP="00A636C7">
      <w:pPr>
        <w:jc w:val="both"/>
        <w:rPr>
          <w:b/>
          <w:i/>
        </w:rPr>
      </w:pPr>
      <w:r>
        <w:rPr>
          <w:b/>
          <w:i/>
        </w:rPr>
        <w:t xml:space="preserve">Obecný cíl: </w:t>
      </w:r>
      <w:r w:rsidR="00074C1A" w:rsidRPr="009243BB">
        <w:rPr>
          <w:b/>
          <w:i/>
        </w:rPr>
        <w:t>Usilovat o vyrovnané zastoupení žen a mužů na pozicích vedoucích diplomatických misí</w:t>
      </w:r>
      <w:r w:rsidR="009E6C35">
        <w:rPr>
          <w:b/>
          <w:i/>
        </w:rPr>
        <w:t xml:space="preserve"> (MZV)</w:t>
      </w:r>
    </w:p>
    <w:p w:rsidR="009243BB" w:rsidRDefault="009243BB" w:rsidP="00A636C7">
      <w:pPr>
        <w:jc w:val="both"/>
        <w:rPr>
          <w:b/>
          <w:i/>
        </w:rPr>
      </w:pPr>
    </w:p>
    <w:p w:rsidR="009243BB" w:rsidRPr="009243BB" w:rsidRDefault="009243BB" w:rsidP="00A636C7">
      <w:pPr>
        <w:jc w:val="both"/>
        <w:rPr>
          <w:b/>
          <w:i/>
        </w:rPr>
      </w:pPr>
      <w:r>
        <w:rPr>
          <w:i/>
        </w:rPr>
        <w:t xml:space="preserve">Úkol: </w:t>
      </w:r>
      <w:r w:rsidRPr="009243BB">
        <w:rPr>
          <w:i/>
        </w:rPr>
        <w:t>Vedení statistik počtu žen a mužů na pozicích vedoucích a zástupců/zástupkyň diplomatických misí; jejich průběžné vyhodnocování</w:t>
      </w:r>
      <w:r w:rsidR="00183C94">
        <w:rPr>
          <w:i/>
        </w:rPr>
        <w:t>.</w:t>
      </w:r>
    </w:p>
    <w:p w:rsidR="00F11122" w:rsidRDefault="00F11122" w:rsidP="00074C1A">
      <w:pPr>
        <w:jc w:val="both"/>
      </w:pPr>
    </w:p>
    <w:p w:rsidR="008E012A" w:rsidRDefault="00F26120" w:rsidP="008E012A">
      <w:pPr>
        <w:jc w:val="both"/>
      </w:pPr>
      <w:r>
        <w:t>Personální systém Ministerstva zahraničních věcí</w:t>
      </w:r>
      <w:r w:rsidR="008E012A" w:rsidRPr="009243BB">
        <w:t xml:space="preserve"> </w:t>
      </w:r>
      <w:r>
        <w:rPr>
          <w:i/>
        </w:rPr>
        <w:t>OK BASE</w:t>
      </w:r>
      <w:r w:rsidR="008E012A" w:rsidRPr="009243BB">
        <w:t xml:space="preserve"> umožňuje získávat průřezové informace o gende</w:t>
      </w:r>
      <w:r w:rsidR="00370C78">
        <w:t>rovém zastoupení zaměstnanců a zaměstnankyň Ministerstva zahraničních věcí</w:t>
      </w:r>
      <w:r w:rsidR="003333FE">
        <w:t xml:space="preserve"> - </w:t>
      </w:r>
      <w:r w:rsidR="008E012A" w:rsidRPr="009243BB">
        <w:t>počet žen v pracovním a služebním poměru, na místec</w:t>
      </w:r>
      <w:r w:rsidR="00370C78">
        <w:t>h představených, v ústředí a na </w:t>
      </w:r>
      <w:r w:rsidR="008E012A" w:rsidRPr="009243BB">
        <w:t>zastupitelských úřadech.</w:t>
      </w:r>
    </w:p>
    <w:p w:rsidR="008E012A" w:rsidRDefault="008E012A" w:rsidP="008E012A">
      <w:pPr>
        <w:jc w:val="both"/>
      </w:pPr>
    </w:p>
    <w:tbl>
      <w:tblPr>
        <w:tblStyle w:val="Mkatabulky"/>
        <w:tblW w:w="0" w:type="auto"/>
        <w:tblLook w:val="04A0" w:firstRow="1" w:lastRow="0" w:firstColumn="1" w:lastColumn="0" w:noHBand="0" w:noVBand="1"/>
      </w:tblPr>
      <w:tblGrid>
        <w:gridCol w:w="1842"/>
        <w:gridCol w:w="1842"/>
        <w:gridCol w:w="1843"/>
        <w:gridCol w:w="1842"/>
        <w:gridCol w:w="1843"/>
      </w:tblGrid>
      <w:tr w:rsidR="003C137B" w:rsidRPr="00D70D90" w:rsidTr="002E0B0D">
        <w:tc>
          <w:tcPr>
            <w:tcW w:w="9212" w:type="dxa"/>
            <w:gridSpan w:val="5"/>
          </w:tcPr>
          <w:p w:rsidR="003C137B" w:rsidRPr="003C137B" w:rsidRDefault="003C137B" w:rsidP="002E0B0D">
            <w:pPr>
              <w:jc w:val="center"/>
              <w:rPr>
                <w:b/>
              </w:rPr>
            </w:pPr>
            <w:r w:rsidRPr="003C137B">
              <w:rPr>
                <w:b/>
              </w:rPr>
              <w:t>Počty vedoucích zastupitelských úřadů</w:t>
            </w:r>
          </w:p>
        </w:tc>
      </w:tr>
      <w:tr w:rsidR="003C137B" w:rsidRPr="00D70D90" w:rsidTr="002E0B0D">
        <w:tc>
          <w:tcPr>
            <w:tcW w:w="1842" w:type="dxa"/>
            <w:tcBorders>
              <w:bottom w:val="single" w:sz="4" w:space="0" w:color="auto"/>
            </w:tcBorders>
          </w:tcPr>
          <w:p w:rsidR="003C137B" w:rsidRPr="003C137B" w:rsidRDefault="003C137B" w:rsidP="002E0B0D">
            <w:r w:rsidRPr="003C137B">
              <w:t>ke dni</w:t>
            </w:r>
          </w:p>
        </w:tc>
        <w:tc>
          <w:tcPr>
            <w:tcW w:w="1842" w:type="dxa"/>
            <w:tcBorders>
              <w:bottom w:val="single" w:sz="4" w:space="0" w:color="auto"/>
            </w:tcBorders>
          </w:tcPr>
          <w:p w:rsidR="003C137B" w:rsidRPr="003C137B" w:rsidRDefault="003C137B" w:rsidP="002E0B0D">
            <w:r w:rsidRPr="003C137B">
              <w:t>celkový počet ZÚ</w:t>
            </w:r>
          </w:p>
        </w:tc>
        <w:tc>
          <w:tcPr>
            <w:tcW w:w="1843" w:type="dxa"/>
            <w:tcBorders>
              <w:bottom w:val="single" w:sz="4" w:space="0" w:color="auto"/>
            </w:tcBorders>
          </w:tcPr>
          <w:p w:rsidR="003C137B" w:rsidRPr="003C137B" w:rsidRDefault="003C137B" w:rsidP="002E0B0D">
            <w:r w:rsidRPr="003C137B">
              <w:t>počet obsazených ZÚ</w:t>
            </w:r>
          </w:p>
        </w:tc>
        <w:tc>
          <w:tcPr>
            <w:tcW w:w="1842" w:type="dxa"/>
            <w:tcBorders>
              <w:bottom w:val="single" w:sz="4" w:space="0" w:color="auto"/>
            </w:tcBorders>
          </w:tcPr>
          <w:p w:rsidR="003C137B" w:rsidRPr="003C137B" w:rsidRDefault="003C137B" w:rsidP="002E0B0D">
            <w:r w:rsidRPr="003C137B">
              <w:t>z toho ženy na pozici VZÚ</w:t>
            </w:r>
          </w:p>
        </w:tc>
        <w:tc>
          <w:tcPr>
            <w:tcW w:w="1843" w:type="dxa"/>
            <w:tcBorders>
              <w:bottom w:val="single" w:sz="4" w:space="0" w:color="auto"/>
            </w:tcBorders>
          </w:tcPr>
          <w:p w:rsidR="003C137B" w:rsidRPr="003C137B" w:rsidRDefault="003C137B" w:rsidP="002E0B0D">
            <w:r w:rsidRPr="003C137B">
              <w:t>z toho muži na pozici VZÚ</w:t>
            </w:r>
          </w:p>
        </w:tc>
      </w:tr>
      <w:tr w:rsidR="003C137B" w:rsidRPr="00D70D90" w:rsidTr="002E0B0D">
        <w:tc>
          <w:tcPr>
            <w:tcW w:w="1842" w:type="dxa"/>
            <w:tcBorders>
              <w:bottom w:val="dotted" w:sz="4" w:space="0" w:color="auto"/>
            </w:tcBorders>
          </w:tcPr>
          <w:p w:rsidR="003C137B" w:rsidRPr="003C137B" w:rsidRDefault="003C137B" w:rsidP="002E0B0D">
            <w:r w:rsidRPr="003C137B">
              <w:t>3.</w:t>
            </w:r>
            <w:r w:rsidR="00C87A9A">
              <w:t xml:space="preserve"> </w:t>
            </w:r>
            <w:r w:rsidRPr="003C137B">
              <w:t>5.</w:t>
            </w:r>
            <w:r w:rsidR="00C87A9A">
              <w:t xml:space="preserve"> </w:t>
            </w:r>
            <w:r w:rsidRPr="003C137B">
              <w:t>2018</w:t>
            </w:r>
          </w:p>
        </w:tc>
        <w:tc>
          <w:tcPr>
            <w:tcW w:w="1842" w:type="dxa"/>
            <w:tcBorders>
              <w:bottom w:val="dotted" w:sz="4" w:space="0" w:color="auto"/>
              <w:right w:val="dotted" w:sz="4" w:space="0" w:color="auto"/>
            </w:tcBorders>
          </w:tcPr>
          <w:p w:rsidR="003C137B" w:rsidRPr="003C137B" w:rsidRDefault="003C137B" w:rsidP="002E0B0D">
            <w:pPr>
              <w:jc w:val="center"/>
            </w:pPr>
            <w:r w:rsidRPr="003C137B">
              <w:t>118</w:t>
            </w:r>
          </w:p>
        </w:tc>
        <w:tc>
          <w:tcPr>
            <w:tcW w:w="1843" w:type="dxa"/>
            <w:tcBorders>
              <w:left w:val="dotted" w:sz="4" w:space="0" w:color="auto"/>
              <w:bottom w:val="dotted" w:sz="4" w:space="0" w:color="auto"/>
              <w:right w:val="dotted" w:sz="4" w:space="0" w:color="auto"/>
            </w:tcBorders>
          </w:tcPr>
          <w:p w:rsidR="003C137B" w:rsidRPr="003C137B" w:rsidRDefault="003C137B" w:rsidP="002E0B0D">
            <w:pPr>
              <w:jc w:val="center"/>
            </w:pPr>
            <w:r w:rsidRPr="003C137B">
              <w:t>110</w:t>
            </w:r>
          </w:p>
        </w:tc>
        <w:tc>
          <w:tcPr>
            <w:tcW w:w="1842" w:type="dxa"/>
            <w:tcBorders>
              <w:left w:val="dotted" w:sz="4" w:space="0" w:color="auto"/>
              <w:bottom w:val="dotted" w:sz="4" w:space="0" w:color="auto"/>
              <w:right w:val="dotted" w:sz="4" w:space="0" w:color="auto"/>
            </w:tcBorders>
          </w:tcPr>
          <w:p w:rsidR="003C137B" w:rsidRPr="003C137B" w:rsidRDefault="003C137B" w:rsidP="002E0B0D">
            <w:pPr>
              <w:jc w:val="center"/>
            </w:pPr>
            <w:r w:rsidRPr="003C137B">
              <w:t>17</w:t>
            </w:r>
          </w:p>
        </w:tc>
        <w:tc>
          <w:tcPr>
            <w:tcW w:w="1843" w:type="dxa"/>
            <w:tcBorders>
              <w:left w:val="dotted" w:sz="4" w:space="0" w:color="auto"/>
              <w:bottom w:val="dotted" w:sz="4" w:space="0" w:color="auto"/>
            </w:tcBorders>
          </w:tcPr>
          <w:p w:rsidR="003C137B" w:rsidRPr="003C137B" w:rsidRDefault="003C137B" w:rsidP="002E0B0D">
            <w:pPr>
              <w:jc w:val="center"/>
            </w:pPr>
            <w:r w:rsidRPr="003C137B">
              <w:t>93</w:t>
            </w:r>
          </w:p>
        </w:tc>
      </w:tr>
      <w:tr w:rsidR="003C137B" w:rsidRPr="00D70D90" w:rsidTr="002E0B0D">
        <w:tc>
          <w:tcPr>
            <w:tcW w:w="1842" w:type="dxa"/>
            <w:tcBorders>
              <w:top w:val="dotted" w:sz="4" w:space="0" w:color="auto"/>
              <w:bottom w:val="dotted" w:sz="4" w:space="0" w:color="auto"/>
            </w:tcBorders>
          </w:tcPr>
          <w:p w:rsidR="003C137B" w:rsidRPr="003C137B" w:rsidRDefault="003C137B" w:rsidP="002E0B0D">
            <w:r w:rsidRPr="003C137B">
              <w:t>1.</w:t>
            </w:r>
            <w:r w:rsidR="00C87A9A">
              <w:t xml:space="preserve"> </w:t>
            </w:r>
            <w:r w:rsidRPr="003C137B">
              <w:t>1.</w:t>
            </w:r>
            <w:r w:rsidR="00C87A9A">
              <w:t xml:space="preserve"> </w:t>
            </w:r>
            <w:r w:rsidRPr="003C137B">
              <w:t>2017</w:t>
            </w:r>
          </w:p>
        </w:tc>
        <w:tc>
          <w:tcPr>
            <w:tcW w:w="1842" w:type="dxa"/>
            <w:tcBorders>
              <w:top w:val="dotted" w:sz="4" w:space="0" w:color="auto"/>
              <w:bottom w:val="dotted" w:sz="4" w:space="0" w:color="auto"/>
              <w:right w:val="dotted" w:sz="4" w:space="0" w:color="auto"/>
            </w:tcBorders>
          </w:tcPr>
          <w:p w:rsidR="003C137B" w:rsidRPr="003C137B" w:rsidRDefault="003C137B" w:rsidP="002E0B0D">
            <w:pPr>
              <w:jc w:val="center"/>
            </w:pPr>
            <w:r w:rsidRPr="003C137B">
              <w:t>117</w:t>
            </w:r>
          </w:p>
        </w:tc>
        <w:tc>
          <w:tcPr>
            <w:tcW w:w="1843" w:type="dxa"/>
            <w:tcBorders>
              <w:top w:val="dotted" w:sz="4" w:space="0" w:color="auto"/>
              <w:left w:val="dotted" w:sz="4" w:space="0" w:color="auto"/>
              <w:bottom w:val="dotted" w:sz="4" w:space="0" w:color="auto"/>
              <w:right w:val="dotted" w:sz="4" w:space="0" w:color="auto"/>
            </w:tcBorders>
          </w:tcPr>
          <w:p w:rsidR="003C137B" w:rsidRPr="003C137B" w:rsidRDefault="003C137B" w:rsidP="002E0B0D">
            <w:pPr>
              <w:jc w:val="center"/>
            </w:pPr>
            <w:r w:rsidRPr="003C137B">
              <w:t>112</w:t>
            </w:r>
          </w:p>
        </w:tc>
        <w:tc>
          <w:tcPr>
            <w:tcW w:w="1842" w:type="dxa"/>
            <w:tcBorders>
              <w:top w:val="dotted" w:sz="4" w:space="0" w:color="auto"/>
              <w:left w:val="dotted" w:sz="4" w:space="0" w:color="auto"/>
              <w:bottom w:val="dotted" w:sz="4" w:space="0" w:color="auto"/>
              <w:right w:val="dotted" w:sz="4" w:space="0" w:color="auto"/>
            </w:tcBorders>
          </w:tcPr>
          <w:p w:rsidR="003C137B" w:rsidRPr="003C137B" w:rsidRDefault="003C137B" w:rsidP="002E0B0D">
            <w:pPr>
              <w:jc w:val="center"/>
            </w:pPr>
            <w:r w:rsidRPr="003C137B">
              <w:t>22</w:t>
            </w:r>
          </w:p>
        </w:tc>
        <w:tc>
          <w:tcPr>
            <w:tcW w:w="1843" w:type="dxa"/>
            <w:tcBorders>
              <w:top w:val="dotted" w:sz="4" w:space="0" w:color="auto"/>
              <w:left w:val="dotted" w:sz="4" w:space="0" w:color="auto"/>
              <w:bottom w:val="dotted" w:sz="4" w:space="0" w:color="auto"/>
            </w:tcBorders>
          </w:tcPr>
          <w:p w:rsidR="003C137B" w:rsidRPr="003C137B" w:rsidRDefault="003C137B" w:rsidP="002E0B0D">
            <w:pPr>
              <w:jc w:val="center"/>
            </w:pPr>
            <w:r w:rsidRPr="003C137B">
              <w:t>90</w:t>
            </w:r>
          </w:p>
        </w:tc>
      </w:tr>
      <w:tr w:rsidR="003C137B" w:rsidRPr="00D70D90" w:rsidTr="002E0B0D">
        <w:tc>
          <w:tcPr>
            <w:tcW w:w="1842" w:type="dxa"/>
            <w:tcBorders>
              <w:top w:val="dotted" w:sz="4" w:space="0" w:color="auto"/>
              <w:bottom w:val="dotted" w:sz="4" w:space="0" w:color="auto"/>
            </w:tcBorders>
          </w:tcPr>
          <w:p w:rsidR="003C137B" w:rsidRPr="003C137B" w:rsidRDefault="003C137B" w:rsidP="002E0B0D">
            <w:r w:rsidRPr="003C137B">
              <w:t>1.</w:t>
            </w:r>
            <w:r w:rsidR="00C87A9A">
              <w:t xml:space="preserve"> </w:t>
            </w:r>
            <w:r w:rsidRPr="003C137B">
              <w:t>1.</w:t>
            </w:r>
            <w:r w:rsidR="00C87A9A">
              <w:t xml:space="preserve"> </w:t>
            </w:r>
            <w:r w:rsidRPr="003C137B">
              <w:t>2016</w:t>
            </w:r>
          </w:p>
        </w:tc>
        <w:tc>
          <w:tcPr>
            <w:tcW w:w="1842" w:type="dxa"/>
            <w:tcBorders>
              <w:top w:val="dotted" w:sz="4" w:space="0" w:color="auto"/>
              <w:bottom w:val="dotted" w:sz="4" w:space="0" w:color="auto"/>
              <w:right w:val="dotted" w:sz="4" w:space="0" w:color="auto"/>
            </w:tcBorders>
          </w:tcPr>
          <w:p w:rsidR="003C137B" w:rsidRPr="003C137B" w:rsidRDefault="003C137B" w:rsidP="002E0B0D">
            <w:pPr>
              <w:jc w:val="center"/>
            </w:pPr>
            <w:r w:rsidRPr="003C137B">
              <w:t>117</w:t>
            </w:r>
          </w:p>
        </w:tc>
        <w:tc>
          <w:tcPr>
            <w:tcW w:w="1843" w:type="dxa"/>
            <w:tcBorders>
              <w:top w:val="dotted" w:sz="4" w:space="0" w:color="auto"/>
              <w:left w:val="dotted" w:sz="4" w:space="0" w:color="auto"/>
              <w:bottom w:val="dotted" w:sz="4" w:space="0" w:color="auto"/>
              <w:right w:val="dotted" w:sz="4" w:space="0" w:color="auto"/>
            </w:tcBorders>
          </w:tcPr>
          <w:p w:rsidR="003C137B" w:rsidRPr="003C137B" w:rsidRDefault="003C137B" w:rsidP="002E0B0D">
            <w:pPr>
              <w:jc w:val="center"/>
            </w:pPr>
            <w:r w:rsidRPr="003C137B">
              <w:t>108</w:t>
            </w:r>
          </w:p>
        </w:tc>
        <w:tc>
          <w:tcPr>
            <w:tcW w:w="1842" w:type="dxa"/>
            <w:tcBorders>
              <w:top w:val="dotted" w:sz="4" w:space="0" w:color="auto"/>
              <w:left w:val="dotted" w:sz="4" w:space="0" w:color="auto"/>
              <w:bottom w:val="dotted" w:sz="4" w:space="0" w:color="auto"/>
              <w:right w:val="dotted" w:sz="4" w:space="0" w:color="auto"/>
            </w:tcBorders>
          </w:tcPr>
          <w:p w:rsidR="003C137B" w:rsidRPr="003C137B" w:rsidRDefault="003C137B" w:rsidP="002E0B0D">
            <w:pPr>
              <w:jc w:val="center"/>
            </w:pPr>
            <w:r w:rsidRPr="003C137B">
              <w:t>19</w:t>
            </w:r>
          </w:p>
        </w:tc>
        <w:tc>
          <w:tcPr>
            <w:tcW w:w="1843" w:type="dxa"/>
            <w:tcBorders>
              <w:top w:val="dotted" w:sz="4" w:space="0" w:color="auto"/>
              <w:left w:val="dotted" w:sz="4" w:space="0" w:color="auto"/>
              <w:bottom w:val="dotted" w:sz="4" w:space="0" w:color="auto"/>
            </w:tcBorders>
          </w:tcPr>
          <w:p w:rsidR="003C137B" w:rsidRPr="003C137B" w:rsidRDefault="003C137B" w:rsidP="002E0B0D">
            <w:pPr>
              <w:jc w:val="center"/>
            </w:pPr>
            <w:r w:rsidRPr="003C137B">
              <w:t>89</w:t>
            </w:r>
          </w:p>
        </w:tc>
      </w:tr>
      <w:tr w:rsidR="003C137B" w:rsidRPr="00D70D90" w:rsidTr="002E0B0D">
        <w:tc>
          <w:tcPr>
            <w:tcW w:w="1842" w:type="dxa"/>
            <w:tcBorders>
              <w:top w:val="dotted" w:sz="4" w:space="0" w:color="auto"/>
            </w:tcBorders>
          </w:tcPr>
          <w:p w:rsidR="003C137B" w:rsidRPr="003C137B" w:rsidRDefault="003C137B" w:rsidP="00C87A9A">
            <w:pPr>
              <w:pStyle w:val="Odstavecseseznamem"/>
              <w:numPr>
                <w:ilvl w:val="1"/>
                <w:numId w:val="31"/>
              </w:numPr>
            </w:pPr>
            <w:r w:rsidRPr="003C137B">
              <w:t>2015</w:t>
            </w:r>
          </w:p>
        </w:tc>
        <w:tc>
          <w:tcPr>
            <w:tcW w:w="1842" w:type="dxa"/>
            <w:tcBorders>
              <w:top w:val="dotted" w:sz="4" w:space="0" w:color="auto"/>
              <w:right w:val="dotted" w:sz="4" w:space="0" w:color="auto"/>
            </w:tcBorders>
          </w:tcPr>
          <w:p w:rsidR="003C137B" w:rsidRPr="003C137B" w:rsidRDefault="003C137B" w:rsidP="002E0B0D">
            <w:pPr>
              <w:jc w:val="center"/>
            </w:pPr>
            <w:r w:rsidRPr="003C137B">
              <w:t>115</w:t>
            </w:r>
          </w:p>
        </w:tc>
        <w:tc>
          <w:tcPr>
            <w:tcW w:w="1843" w:type="dxa"/>
            <w:tcBorders>
              <w:top w:val="dotted" w:sz="4" w:space="0" w:color="auto"/>
              <w:left w:val="dotted" w:sz="4" w:space="0" w:color="auto"/>
              <w:right w:val="dotted" w:sz="4" w:space="0" w:color="auto"/>
            </w:tcBorders>
          </w:tcPr>
          <w:p w:rsidR="003C137B" w:rsidRPr="003C137B" w:rsidRDefault="003C137B" w:rsidP="002E0B0D">
            <w:pPr>
              <w:jc w:val="center"/>
            </w:pPr>
            <w:r w:rsidRPr="003C137B">
              <w:t>102</w:t>
            </w:r>
          </w:p>
        </w:tc>
        <w:tc>
          <w:tcPr>
            <w:tcW w:w="1842" w:type="dxa"/>
            <w:tcBorders>
              <w:top w:val="dotted" w:sz="4" w:space="0" w:color="auto"/>
              <w:left w:val="dotted" w:sz="4" w:space="0" w:color="auto"/>
              <w:right w:val="dotted" w:sz="4" w:space="0" w:color="auto"/>
            </w:tcBorders>
          </w:tcPr>
          <w:p w:rsidR="003C137B" w:rsidRPr="003C137B" w:rsidRDefault="003C137B" w:rsidP="002E0B0D">
            <w:pPr>
              <w:jc w:val="center"/>
            </w:pPr>
            <w:r w:rsidRPr="003C137B">
              <w:t>17</w:t>
            </w:r>
          </w:p>
        </w:tc>
        <w:tc>
          <w:tcPr>
            <w:tcW w:w="1843" w:type="dxa"/>
            <w:tcBorders>
              <w:top w:val="dotted" w:sz="4" w:space="0" w:color="auto"/>
              <w:left w:val="dotted" w:sz="4" w:space="0" w:color="auto"/>
            </w:tcBorders>
          </w:tcPr>
          <w:p w:rsidR="003C137B" w:rsidRPr="003C137B" w:rsidRDefault="003C137B" w:rsidP="002E0B0D">
            <w:pPr>
              <w:jc w:val="center"/>
            </w:pPr>
            <w:r w:rsidRPr="003C137B">
              <w:t>85</w:t>
            </w:r>
          </w:p>
        </w:tc>
      </w:tr>
    </w:tbl>
    <w:p w:rsidR="003C137B" w:rsidRDefault="003C137B" w:rsidP="008E012A">
      <w:pPr>
        <w:jc w:val="both"/>
      </w:pPr>
    </w:p>
    <w:p w:rsidR="006D656F" w:rsidRDefault="008E012A" w:rsidP="00074C1A">
      <w:pPr>
        <w:jc w:val="both"/>
      </w:pPr>
      <w:r w:rsidRPr="00370C78">
        <w:rPr>
          <w:b/>
        </w:rPr>
        <w:t>K 3. 5. 2018 pracovalo na Ministerstvu zahraničních věcí 843 žen a 958 mužů; podíl žen tedy tvořil 47%.</w:t>
      </w:r>
      <w:r>
        <w:t xml:space="preserve"> Vyrovnané zastoupení žen </w:t>
      </w:r>
      <w:r w:rsidR="00235BF6">
        <w:t xml:space="preserve">v rezortu </w:t>
      </w:r>
      <w:r w:rsidR="009B3848">
        <w:t xml:space="preserve">se </w:t>
      </w:r>
      <w:r>
        <w:t>nepromítá do počtu představených, kdy k 3. 5. 2018 bylo na pozici představených 270 mužů a 112 žen (29</w:t>
      </w:r>
      <w:r w:rsidR="003D4BB5">
        <w:t>%)</w:t>
      </w:r>
      <w:r w:rsidR="00946BF8">
        <w:t>. Na pozicích v</w:t>
      </w:r>
      <w:r w:rsidR="00235BF6">
        <w:t>edoucí</w:t>
      </w:r>
      <w:r w:rsidR="00946BF8">
        <w:t>ch diplomatických misí působí 17 žen a 93 mužů</w:t>
      </w:r>
      <w:r w:rsidR="00235BF6">
        <w:t xml:space="preserve">. </w:t>
      </w:r>
      <w:r w:rsidR="00235BF6" w:rsidRPr="00370C78">
        <w:rPr>
          <w:b/>
        </w:rPr>
        <w:t>15% zastoupení že</w:t>
      </w:r>
      <w:r w:rsidR="00657688">
        <w:rPr>
          <w:b/>
        </w:rPr>
        <w:t>n ve funkci vedoucích diplomatických misí</w:t>
      </w:r>
      <w:r w:rsidR="00235BF6" w:rsidRPr="00370C78">
        <w:rPr>
          <w:b/>
        </w:rPr>
        <w:t xml:space="preserve"> tak znamená pokles oproti</w:t>
      </w:r>
      <w:r w:rsidR="00835C75" w:rsidRPr="00370C78">
        <w:rPr>
          <w:b/>
        </w:rPr>
        <w:t xml:space="preserve"> předchozím rokům</w:t>
      </w:r>
      <w:r w:rsidR="00835C75">
        <w:t xml:space="preserve"> </w:t>
      </w:r>
      <w:r w:rsidR="00946BF8">
        <w:rPr>
          <w:b/>
        </w:rPr>
        <w:t>takřka o </w:t>
      </w:r>
      <w:r w:rsidR="00835C75" w:rsidRPr="00370C78">
        <w:rPr>
          <w:b/>
        </w:rPr>
        <w:t>5%.</w:t>
      </w:r>
      <w:r w:rsidR="00835C75">
        <w:t xml:space="preserve"> V</w:t>
      </w:r>
      <w:r w:rsidR="00235BF6">
        <w:t xml:space="preserve"> roce 2</w:t>
      </w:r>
      <w:r w:rsidR="0074258B">
        <w:t>016 ve funkci působilo 22 žen a</w:t>
      </w:r>
      <w:r w:rsidR="00235BF6">
        <w:t xml:space="preserve"> </w:t>
      </w:r>
      <w:r w:rsidR="0074258B">
        <w:t xml:space="preserve">90 </w:t>
      </w:r>
      <w:r w:rsidR="00514607">
        <w:t>a</w:t>
      </w:r>
      <w:r w:rsidR="00835C75">
        <w:t xml:space="preserve"> </w:t>
      </w:r>
      <w:r w:rsidR="00235BF6">
        <w:t>mužů, což je 19,6%.</w:t>
      </w:r>
    </w:p>
    <w:p w:rsidR="00ED08D8" w:rsidRDefault="00ED08D8" w:rsidP="00074C1A">
      <w:pPr>
        <w:jc w:val="both"/>
      </w:pPr>
    </w:p>
    <w:p w:rsidR="00ED08D8" w:rsidRPr="00946BF8" w:rsidRDefault="00CC10C6" w:rsidP="00835C75">
      <w:pPr>
        <w:pBdr>
          <w:top w:val="single" w:sz="4" w:space="1" w:color="auto"/>
          <w:left w:val="single" w:sz="4" w:space="4" w:color="auto"/>
          <w:bottom w:val="single" w:sz="4" w:space="1" w:color="auto"/>
          <w:right w:val="single" w:sz="4" w:space="4" w:color="auto"/>
        </w:pBdr>
        <w:jc w:val="both"/>
        <w:rPr>
          <w:b/>
        </w:rPr>
      </w:pPr>
      <w:r w:rsidRPr="00835C75">
        <w:t>Počet žen na pozicích vedoucích diplomatických misí je dlouhodobě nízký. Ministerstvo zahraničních věcí nedisponuje statistickými údaji a analýzami, které by nízké zastoupení žen ve vedoucích funkcích Ministerstva zahraničních věcí adresovaly</w:t>
      </w:r>
      <w:r w:rsidR="00835C75">
        <w:t xml:space="preserve">. </w:t>
      </w:r>
      <w:r w:rsidR="00794338" w:rsidRPr="00835C75">
        <w:t>Skutečnost, že ženy jsou schopny dlouhodobě vykonávat vysoké manažerské funkce</w:t>
      </w:r>
      <w:r w:rsidR="00835C75">
        <w:t xml:space="preserve"> za extrémně složitých podmínek,</w:t>
      </w:r>
      <w:r w:rsidR="003E7780" w:rsidRPr="00835C75">
        <w:t xml:space="preserve"> </w:t>
      </w:r>
      <w:r w:rsidR="003D4BB5">
        <w:t xml:space="preserve">dokazují jednotlivé případy žen působících ve funkci vedoucích diplomatických misí </w:t>
      </w:r>
      <w:r w:rsidR="003D4BB5">
        <w:lastRenderedPageBreak/>
        <w:t>v zemích nacházejících se ve válečných konfliktech či v postkonfliktních zemíc</w:t>
      </w:r>
      <w:r w:rsidR="00946BF8">
        <w:t xml:space="preserve">h. Za mnohé lze uvést </w:t>
      </w:r>
      <w:r w:rsidR="003D4BB5">
        <w:t>příklad</w:t>
      </w:r>
      <w:r w:rsidR="003E7780" w:rsidRPr="00835C75">
        <w:t xml:space="preserve"> již sedmým rokem v </w:t>
      </w:r>
      <w:r w:rsidR="00657688">
        <w:t>Sýrii působící velvyslankyně Evy</w:t>
      </w:r>
      <w:r w:rsidR="003E7780" w:rsidRPr="00835C75">
        <w:t xml:space="preserve"> Filipi. Sýrie je jen jednou z řady destinací, kde velvyslankyně působila</w:t>
      </w:r>
      <w:r w:rsidR="00946BF8">
        <w:t>/působí</w:t>
      </w:r>
      <w:r w:rsidR="003E7780" w:rsidRPr="00835C75">
        <w:t xml:space="preserve"> – před </w:t>
      </w:r>
      <w:r w:rsidR="00946BF8">
        <w:t>Sýrií to byl Irák, Libanon a </w:t>
      </w:r>
      <w:r w:rsidR="003E7780" w:rsidRPr="00835C75">
        <w:t>Turecko. Vzhledem k tomu, že česká ambasáda je společně s </w:t>
      </w:r>
      <w:r w:rsidR="003002E8" w:rsidRPr="00835C75">
        <w:t>ambasádami</w:t>
      </w:r>
      <w:r w:rsidR="003E7780" w:rsidRPr="00835C75">
        <w:t xml:space="preserve"> </w:t>
      </w:r>
      <w:r w:rsidR="00946BF8">
        <w:t>Rumunska a </w:t>
      </w:r>
      <w:r w:rsidR="003002E8" w:rsidRPr="00835C75">
        <w:t>Bulharska</w:t>
      </w:r>
      <w:r w:rsidR="003E7780" w:rsidRPr="00835C75">
        <w:t xml:space="preserve"> jedinou </w:t>
      </w:r>
      <w:r w:rsidR="004E67C2" w:rsidRPr="00835C75">
        <w:t>fakticky fungující</w:t>
      </w:r>
      <w:r w:rsidR="003E7780" w:rsidRPr="00835C75">
        <w:t xml:space="preserve"> ambasádou v Damašku, </w:t>
      </w:r>
      <w:r w:rsidR="004E67C2" w:rsidRPr="00946BF8">
        <w:rPr>
          <w:b/>
        </w:rPr>
        <w:t>hraje Eva Filipi klíčovou roli při analýzách situace a identifikaci informací, na kterých závisí nejen ČR, ale celé mezinárodní společenství.</w:t>
      </w:r>
      <w:r w:rsidR="003E7780" w:rsidRPr="00946BF8">
        <w:rPr>
          <w:b/>
        </w:rPr>
        <w:t xml:space="preserve"> </w:t>
      </w:r>
    </w:p>
    <w:p w:rsidR="00074C1A" w:rsidRDefault="00FA7BEE" w:rsidP="00121B33">
      <w:pPr>
        <w:jc w:val="center"/>
        <w:rPr>
          <w:b/>
          <w:u w:val="single"/>
        </w:rPr>
      </w:pPr>
      <w:r>
        <w:rPr>
          <w:noProof/>
        </w:rPr>
        <w:t xml:space="preserve">  </w:t>
      </w:r>
    </w:p>
    <w:p w:rsidR="00121B33" w:rsidRPr="00121B33" w:rsidRDefault="00FA7BEE" w:rsidP="00854A13">
      <w:pPr>
        <w:pStyle w:val="Nadpis2"/>
        <w:spacing w:before="0"/>
        <w:jc w:val="center"/>
        <w:rPr>
          <w:b w:val="0"/>
          <w:i/>
          <w:sz w:val="20"/>
          <w:szCs w:val="20"/>
        </w:rPr>
      </w:pPr>
      <w:r>
        <w:rPr>
          <w:b w:val="0"/>
          <w:i/>
          <w:sz w:val="20"/>
          <w:szCs w:val="20"/>
        </w:rPr>
        <w:t xml:space="preserve"> </w:t>
      </w:r>
    </w:p>
    <w:p w:rsidR="00121B33" w:rsidRDefault="00761160" w:rsidP="00292D64">
      <w:pPr>
        <w:pStyle w:val="Nadpis2"/>
      </w:pPr>
      <w:bookmarkStart w:id="5" w:name="_Toc514782395"/>
      <w:r w:rsidRPr="00DE3806">
        <w:t xml:space="preserve">Úkol č. </w:t>
      </w:r>
      <w:r w:rsidR="00D8637B">
        <w:t>3</w:t>
      </w:r>
      <w:bookmarkEnd w:id="5"/>
    </w:p>
    <w:p w:rsidR="00B22B2C" w:rsidRDefault="00B22B2C" w:rsidP="00DE3806">
      <w:pPr>
        <w:jc w:val="both"/>
        <w:rPr>
          <w:b/>
          <w:i/>
        </w:rPr>
      </w:pPr>
      <w:r>
        <w:rPr>
          <w:b/>
          <w:i/>
        </w:rPr>
        <w:t xml:space="preserve">Obecný cíl: </w:t>
      </w:r>
      <w:r w:rsidR="007953A0" w:rsidRPr="00B22B2C">
        <w:rPr>
          <w:b/>
          <w:i/>
        </w:rPr>
        <w:t>Podporovat zvyšování zastoupení že</w:t>
      </w:r>
      <w:r w:rsidR="00A636C7" w:rsidRPr="00B22B2C">
        <w:rPr>
          <w:b/>
          <w:i/>
        </w:rPr>
        <w:t>n v Armádě České republiky</w:t>
      </w:r>
      <w:r w:rsidR="00183C94">
        <w:rPr>
          <w:b/>
          <w:i/>
        </w:rPr>
        <w:t xml:space="preserve"> </w:t>
      </w:r>
      <w:r w:rsidR="00026623">
        <w:rPr>
          <w:b/>
          <w:i/>
        </w:rPr>
        <w:t xml:space="preserve">a policejních složkách </w:t>
      </w:r>
      <w:r w:rsidR="00183C94">
        <w:rPr>
          <w:b/>
          <w:i/>
        </w:rPr>
        <w:t>(MO</w:t>
      </w:r>
      <w:r w:rsidR="00026623">
        <w:rPr>
          <w:b/>
          <w:i/>
        </w:rPr>
        <w:t>, MV/PP</w:t>
      </w:r>
      <w:r w:rsidR="00183C94">
        <w:rPr>
          <w:b/>
          <w:i/>
        </w:rPr>
        <w:t>)</w:t>
      </w:r>
    </w:p>
    <w:p w:rsidR="00B22B2C" w:rsidRDefault="00B22B2C" w:rsidP="00DE3806">
      <w:pPr>
        <w:jc w:val="both"/>
        <w:rPr>
          <w:b/>
          <w:i/>
        </w:rPr>
      </w:pPr>
    </w:p>
    <w:p w:rsidR="00B22B2C" w:rsidRDefault="00B22B2C" w:rsidP="00B22B2C">
      <w:pPr>
        <w:jc w:val="both"/>
        <w:rPr>
          <w:i/>
        </w:rPr>
      </w:pPr>
      <w:r>
        <w:rPr>
          <w:i/>
        </w:rPr>
        <w:t xml:space="preserve">Úkoly: </w:t>
      </w:r>
    </w:p>
    <w:p w:rsidR="00B22B2C" w:rsidRPr="00B16BC3" w:rsidRDefault="00B22B2C" w:rsidP="00B16BC3">
      <w:pPr>
        <w:pStyle w:val="Odstavecseseznamem"/>
        <w:numPr>
          <w:ilvl w:val="0"/>
          <w:numId w:val="6"/>
        </w:numPr>
        <w:jc w:val="both"/>
        <w:rPr>
          <w:i/>
        </w:rPr>
      </w:pPr>
      <w:r w:rsidRPr="00B16BC3">
        <w:rPr>
          <w:i/>
        </w:rPr>
        <w:t>Vést statistiky počtu žen vstupujících do armády a policejních složek včetně pozic, na kte</w:t>
      </w:r>
      <w:r w:rsidR="00217B34">
        <w:rPr>
          <w:i/>
        </w:rPr>
        <w:t>ré jsou přijímány;</w:t>
      </w:r>
    </w:p>
    <w:p w:rsidR="00E0427E" w:rsidRPr="00B16BC3" w:rsidRDefault="00217B34" w:rsidP="00B16BC3">
      <w:pPr>
        <w:pStyle w:val="Odstavecseseznamem"/>
        <w:numPr>
          <w:ilvl w:val="0"/>
          <w:numId w:val="6"/>
        </w:numPr>
        <w:jc w:val="both"/>
        <w:rPr>
          <w:b/>
          <w:i/>
        </w:rPr>
      </w:pPr>
      <w:r>
        <w:rPr>
          <w:i/>
        </w:rPr>
        <w:t>u</w:t>
      </w:r>
      <w:r w:rsidR="00B22B2C" w:rsidRPr="00B16BC3">
        <w:rPr>
          <w:i/>
        </w:rPr>
        <w:t>silovat o zachování nastoleného trendu dosaženého a zvyšujícího se podílu žen v AČR.</w:t>
      </w:r>
      <w:r w:rsidR="007953A0" w:rsidRPr="00B16BC3">
        <w:rPr>
          <w:b/>
          <w:i/>
        </w:rPr>
        <w:t xml:space="preserve"> </w:t>
      </w:r>
    </w:p>
    <w:p w:rsidR="00185CCD" w:rsidRDefault="00185CCD" w:rsidP="006357CD">
      <w:pPr>
        <w:jc w:val="both"/>
        <w:rPr>
          <w:bCs/>
        </w:rPr>
      </w:pPr>
    </w:p>
    <w:p w:rsidR="00BA7F56" w:rsidRDefault="00185CCD" w:rsidP="00BA7F56">
      <w:pPr>
        <w:jc w:val="both"/>
        <w:rPr>
          <w:bCs/>
        </w:rPr>
      </w:pPr>
      <w:r w:rsidRPr="00547255">
        <w:rPr>
          <w:b/>
          <w:bCs/>
        </w:rPr>
        <w:t>Podíl žen v AČR v roce 2017 činil 13%. ČR se tak nachází na 10. místě v rámci členských států NATO</w:t>
      </w:r>
      <w:r w:rsidR="00547255">
        <w:rPr>
          <w:bCs/>
        </w:rPr>
        <w:t xml:space="preserve"> - </w:t>
      </w:r>
      <w:r>
        <w:rPr>
          <w:bCs/>
        </w:rPr>
        <w:t>podíl žen v ozbro</w:t>
      </w:r>
      <w:r w:rsidR="00547255">
        <w:rPr>
          <w:bCs/>
        </w:rPr>
        <w:t>jených silách států NATO činí 11%</w:t>
      </w:r>
      <w:r>
        <w:rPr>
          <w:bCs/>
        </w:rPr>
        <w:t xml:space="preserve">.  </w:t>
      </w:r>
      <w:r w:rsidR="004679EC">
        <w:rPr>
          <w:bCs/>
        </w:rPr>
        <w:t>Jedná se o</w:t>
      </w:r>
      <w:r w:rsidR="00547255">
        <w:rPr>
          <w:bCs/>
        </w:rPr>
        <w:t> </w:t>
      </w:r>
      <w:r w:rsidR="0062105B">
        <w:rPr>
          <w:bCs/>
        </w:rPr>
        <w:t xml:space="preserve">setrvalý stav od r. 2009. </w:t>
      </w:r>
      <w:r w:rsidR="003C137B">
        <w:rPr>
          <w:bCs/>
        </w:rPr>
        <w:t xml:space="preserve"> </w:t>
      </w:r>
      <w:r w:rsidR="00A7533F">
        <w:rPr>
          <w:bCs/>
        </w:rPr>
        <w:t xml:space="preserve">   </w:t>
      </w:r>
    </w:p>
    <w:p w:rsidR="00547255" w:rsidRPr="00BA7F56" w:rsidRDefault="00547255" w:rsidP="00BA7F56">
      <w:pPr>
        <w:jc w:val="both"/>
        <w:rPr>
          <w:bCs/>
        </w:rPr>
      </w:pPr>
    </w:p>
    <w:p w:rsidR="00BA7F56" w:rsidRDefault="00BA7F56" w:rsidP="00BA7F56">
      <w:pPr>
        <w:jc w:val="both"/>
        <w:rPr>
          <w:bCs/>
        </w:rPr>
      </w:pPr>
      <w:r>
        <w:rPr>
          <w:noProof/>
        </w:rPr>
        <w:drawing>
          <wp:inline distT="0" distB="0" distL="0" distR="0">
            <wp:extent cx="5734050" cy="2238375"/>
            <wp:effectExtent l="0" t="0" r="0" b="0"/>
            <wp:docPr id="11" name="Graf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337C4" w:rsidRPr="00217B34" w:rsidRDefault="00F337C4" w:rsidP="00C257A2">
      <w:pPr>
        <w:jc w:val="both"/>
        <w:rPr>
          <w:bCs/>
          <w:i/>
          <w:sz w:val="20"/>
          <w:szCs w:val="20"/>
        </w:rPr>
      </w:pPr>
      <w:r>
        <w:rPr>
          <w:bCs/>
          <w:i/>
          <w:sz w:val="20"/>
          <w:szCs w:val="20"/>
        </w:rPr>
        <w:t xml:space="preserve"> </w:t>
      </w:r>
    </w:p>
    <w:p w:rsidR="00C257A2" w:rsidRPr="00F337C4" w:rsidRDefault="00F337C4" w:rsidP="00C257A2">
      <w:pPr>
        <w:jc w:val="both"/>
        <w:rPr>
          <w:bCs/>
        </w:rPr>
      </w:pPr>
      <w:r>
        <w:t>V rámci náborových aktivit o</w:t>
      </w:r>
      <w:r w:rsidR="0086778F">
        <w:t xml:space="preserve">dbor doplňování personálu Agentury personalistiky </w:t>
      </w:r>
      <w:r>
        <w:t xml:space="preserve">AČR </w:t>
      </w:r>
      <w:r w:rsidR="0086778F">
        <w:t>trvale zdůrazňuje zájem o vstup žen do AČR. V roce 2017 se jednalo celkem o 896 náborovýc</w:t>
      </w:r>
      <w:r>
        <w:t>h aktivit</w:t>
      </w:r>
      <w:r w:rsidR="0086778F">
        <w:t>. Mezi nejnavštěvovanější akce patřily např. Bahna 2017, Dny NATO v Ostravě, Cihelna 2017, Slavnosti Svobody v Plzni, Army den v Praze, Educa My Job v Liberci, Truck Trial v Mohelnici, Den horníků v Sokolově a Motosalón 2017 – PVA Expo Letňany v Praze.</w:t>
      </w:r>
      <w:r w:rsidR="004679EC">
        <w:t xml:space="preserve"> </w:t>
      </w:r>
      <w:r w:rsidR="00BA7F56">
        <w:t xml:space="preserve"> </w:t>
      </w:r>
    </w:p>
    <w:p w:rsidR="00C257A2" w:rsidRDefault="00C257A2" w:rsidP="00C257A2">
      <w:pPr>
        <w:jc w:val="both"/>
      </w:pPr>
    </w:p>
    <w:p w:rsidR="00C257A2" w:rsidRPr="00C257A2" w:rsidRDefault="0003490B" w:rsidP="00C257A2">
      <w:pPr>
        <w:jc w:val="both"/>
      </w:pPr>
      <w:r>
        <w:rPr>
          <w:i/>
        </w:rPr>
        <w:t>Směrnice</w:t>
      </w:r>
      <w:r w:rsidR="00C257A2" w:rsidRPr="00C257A2">
        <w:rPr>
          <w:i/>
        </w:rPr>
        <w:t xml:space="preserve"> náčelníka Generálního štábu AČR k provádění výběru oso</w:t>
      </w:r>
      <w:r>
        <w:rPr>
          <w:i/>
        </w:rPr>
        <w:t xml:space="preserve">b na služební místa v rámci AČR </w:t>
      </w:r>
      <w:r w:rsidRPr="0003490B">
        <w:t>stanoví</w:t>
      </w:r>
      <w:r w:rsidR="00657688">
        <w:t xml:space="preserve"> úkol:</w:t>
      </w:r>
      <w:r w:rsidR="00C257A2">
        <w:rPr>
          <w:i/>
        </w:rPr>
        <w:t xml:space="preserve"> </w:t>
      </w:r>
      <w:r w:rsidR="00657688">
        <w:rPr>
          <w:i/>
        </w:rPr>
        <w:t>„D</w:t>
      </w:r>
      <w:r w:rsidR="00C257A2" w:rsidRPr="0003490B">
        <w:rPr>
          <w:i/>
        </w:rPr>
        <w:t>ovoluje-li to složení daného hodnostního sboru, zabezpečit v komisi pro výběr vyrovnané zastoupení žen a mužů“</w:t>
      </w:r>
      <w:r w:rsidR="00C257A2">
        <w:t xml:space="preserve">. </w:t>
      </w:r>
      <w:r w:rsidR="00C257A2" w:rsidRPr="0003490B">
        <w:rPr>
          <w:i/>
        </w:rPr>
        <w:t>Kolektivní smlouva Ministerstva obrany na rok 2017</w:t>
      </w:r>
      <w:r w:rsidR="00C257A2">
        <w:t xml:space="preserve"> obsahuje pozitivní opatření: </w:t>
      </w:r>
      <w:r w:rsidR="00C257A2" w:rsidRPr="0003490B">
        <w:rPr>
          <w:i/>
        </w:rPr>
        <w:t>„v přípa</w:t>
      </w:r>
      <w:r w:rsidR="00657688">
        <w:rPr>
          <w:i/>
        </w:rPr>
        <w:t>dě naprosté shody předpokladů a </w:t>
      </w:r>
      <w:r w:rsidR="00C257A2" w:rsidRPr="0003490B">
        <w:rPr>
          <w:i/>
        </w:rPr>
        <w:t>požadavků pro výkon dané činnosti u více kandidátů/kandidátek, může vedoucí organizačního celku upřednostnit osobu méně zastoupeného pohlaví“.</w:t>
      </w:r>
      <w:r>
        <w:t xml:space="preserve"> V souladu s vnitřním předpisem </w:t>
      </w:r>
      <w:r w:rsidR="00C257A2" w:rsidRPr="00C257A2">
        <w:rPr>
          <w:i/>
        </w:rPr>
        <w:t>Prosazování principu rovnosti mužů a ž</w:t>
      </w:r>
      <w:r>
        <w:rPr>
          <w:i/>
        </w:rPr>
        <w:t>en v působnosti Ministerstva obrany</w:t>
      </w:r>
      <w:r>
        <w:t xml:space="preserve"> </w:t>
      </w:r>
      <w:r w:rsidR="00C257A2" w:rsidRPr="00C257A2">
        <w:t>mohou vedoucí zaměstnanci formou dočasných mi</w:t>
      </w:r>
      <w:r w:rsidR="00657688">
        <w:t xml:space="preserve">mořádných opatření stanovovat </w:t>
      </w:r>
      <w:r w:rsidR="00657688">
        <w:lastRenderedPageBreak/>
        <w:t>a </w:t>
      </w:r>
      <w:r w:rsidR="00C257A2" w:rsidRPr="00C257A2">
        <w:t xml:space="preserve">realizovat, v rámci své působnosti, opatření, která směřují k odstranění případného </w:t>
      </w:r>
      <w:r>
        <w:t>znevýhodnění v zastoupení žen a </w:t>
      </w:r>
      <w:r w:rsidR="00C257A2" w:rsidRPr="00C257A2">
        <w:t>mužů.  </w:t>
      </w:r>
    </w:p>
    <w:p w:rsidR="00817C3E" w:rsidRDefault="00817C3E" w:rsidP="004679EC">
      <w:pPr>
        <w:jc w:val="both"/>
      </w:pPr>
    </w:p>
    <w:p w:rsidR="00817C3E" w:rsidRDefault="00817C3E" w:rsidP="004679EC">
      <w:pPr>
        <w:jc w:val="both"/>
      </w:pPr>
      <w:r>
        <w:t>Ministerstvo vnitra ve spolupráci s Policejním prezidiem ČR průběžně sleduje vývoj statistických údajů týkajících se zastoupení žen a mužů v řídí</w:t>
      </w:r>
      <w:r w:rsidR="00995414">
        <w:t>cích funkcích v rámci resortu a </w:t>
      </w:r>
      <w:r w:rsidRPr="006B0D1D">
        <w:t>obsazení řídících funkcí v ozbrojených a bezpečnostních sborech podle pohlaví</w:t>
      </w:r>
      <w:r>
        <w:t>. Každoročně tyto údaje předává Českému statistickému úřadu, který je dále zpracovává a publikuje v r</w:t>
      </w:r>
      <w:r w:rsidR="005C79B6">
        <w:t xml:space="preserve">očence </w:t>
      </w:r>
      <w:r w:rsidR="005C79B6" w:rsidRPr="00BE1B1C">
        <w:rPr>
          <w:i/>
        </w:rPr>
        <w:t>Zaostřeno na ženy a muže</w:t>
      </w:r>
      <w:r w:rsidR="005C79B6">
        <w:t>.</w:t>
      </w:r>
    </w:p>
    <w:p w:rsidR="0086778F" w:rsidRPr="00C57898" w:rsidRDefault="0086778F" w:rsidP="00C94643">
      <w:pPr>
        <w:jc w:val="both"/>
      </w:pPr>
    </w:p>
    <w:p w:rsidR="005C79B6" w:rsidRPr="005C79B6" w:rsidRDefault="005C79B6" w:rsidP="005C79B6">
      <w:pPr>
        <w:spacing w:line="260" w:lineRule="atLeast"/>
        <w:jc w:val="both"/>
        <w:rPr>
          <w:rFonts w:cs="Arial"/>
        </w:rPr>
      </w:pPr>
      <w:r w:rsidRPr="005C79B6">
        <w:rPr>
          <w:rFonts w:cs="Arial"/>
        </w:rPr>
        <w:t xml:space="preserve">Přijetí do služebního poměru i obsazování volného služebního místa včetně služebního místa </w:t>
      </w:r>
    </w:p>
    <w:p w:rsidR="005C79B6" w:rsidRDefault="005C79B6" w:rsidP="005C79B6">
      <w:pPr>
        <w:spacing w:line="260" w:lineRule="atLeast"/>
        <w:jc w:val="both"/>
        <w:rPr>
          <w:rFonts w:cs="Arial"/>
        </w:rPr>
      </w:pPr>
      <w:r w:rsidRPr="005C79B6">
        <w:rPr>
          <w:rFonts w:cs="Arial"/>
        </w:rPr>
        <w:t xml:space="preserve">v rozhodovací pozici v rámci tzv. služebního postupu je striktně vymezeno </w:t>
      </w:r>
      <w:r w:rsidRPr="008302F3">
        <w:rPr>
          <w:rFonts w:cs="Arial"/>
        </w:rPr>
        <w:t xml:space="preserve">zákonem č. 361/2003 Sb. o služebním poměru příslušníků bezpečnostních sborů. </w:t>
      </w:r>
      <w:r w:rsidRPr="005C79B6">
        <w:rPr>
          <w:rFonts w:cs="Arial"/>
        </w:rPr>
        <w:t>Ten v § 16 od</w:t>
      </w:r>
      <w:r>
        <w:rPr>
          <w:rFonts w:cs="Arial"/>
        </w:rPr>
        <w:t xml:space="preserve">st. </w:t>
      </w:r>
      <w:r w:rsidRPr="005C79B6">
        <w:rPr>
          <w:rFonts w:cs="Arial"/>
        </w:rPr>
        <w:t xml:space="preserve">4 stanoví, že </w:t>
      </w:r>
      <w:r w:rsidRPr="005C79B6">
        <w:rPr>
          <w:rFonts w:cs="Arial"/>
          <w:i/>
        </w:rPr>
        <w:t>„Přijetí občana do služebního poměru nelze odepřít z důvodu věku, rasy, barvy pleti, pohlaví, sexuální orientace, víry a náboženství, politického nebo jiného smýšlení, národnosti, etnického nebo sociálního původu, majetku, rodu, manželského a rodinného stavu nebo povinností k rodině, jakož i z důvodu členství v odborových organizací</w:t>
      </w:r>
      <w:r>
        <w:rPr>
          <w:rFonts w:cs="Arial"/>
          <w:i/>
        </w:rPr>
        <w:t>c</w:t>
      </w:r>
      <w:r w:rsidRPr="005C79B6">
        <w:rPr>
          <w:rFonts w:cs="Arial"/>
          <w:i/>
        </w:rPr>
        <w:t>h a jiných sdruženích s výjimkou případů, které stanovuje tento zákon nebo zvláštní právní předpis“.</w:t>
      </w:r>
      <w:r w:rsidRPr="005C79B6">
        <w:rPr>
          <w:rFonts w:cs="Arial"/>
        </w:rPr>
        <w:t xml:space="preserve"> Tyto výjimky se nepovažují za diskriminaci. Zakazuje se i takové jednání bezpečnostního sboru, které diskriminuje občana nikoliv přímo, ale až ve svých důsledcích. Za takové jednání se považuje i navádění k diskriminaci.“ Policejní prezidium ČR se také řídí </w:t>
      </w:r>
      <w:r w:rsidRPr="005C79B6">
        <w:rPr>
          <w:rFonts w:cs="Arial"/>
          <w:i/>
        </w:rPr>
        <w:t>zákonem č. 198/2009 Sb., o rovném zacházení a o právních prostředcíc</w:t>
      </w:r>
      <w:r w:rsidR="00995414">
        <w:rPr>
          <w:rFonts w:cs="Arial"/>
          <w:i/>
        </w:rPr>
        <w:t>h ochrany před diskriminací a o </w:t>
      </w:r>
      <w:r w:rsidRPr="005C79B6">
        <w:rPr>
          <w:rFonts w:cs="Arial"/>
          <w:i/>
        </w:rPr>
        <w:t xml:space="preserve">změně některých zákonů (antidiskriminační zákon). </w:t>
      </w:r>
      <w:r w:rsidRPr="005C79B6">
        <w:rPr>
          <w:rFonts w:cs="Arial"/>
        </w:rPr>
        <w:t xml:space="preserve"> </w:t>
      </w:r>
    </w:p>
    <w:p w:rsidR="00995414" w:rsidRPr="00B06F04" w:rsidRDefault="00995414" w:rsidP="005C79B6">
      <w:pPr>
        <w:spacing w:line="260" w:lineRule="atLeast"/>
        <w:jc w:val="both"/>
        <w:rPr>
          <w:rFonts w:cs="Arial"/>
        </w:rPr>
      </w:pPr>
    </w:p>
    <w:p w:rsidR="00154AF5" w:rsidRDefault="00AA7607" w:rsidP="00946B76">
      <w:pPr>
        <w:pBdr>
          <w:top w:val="single" w:sz="4" w:space="1" w:color="auto"/>
          <w:left w:val="single" w:sz="4" w:space="4" w:color="auto"/>
          <w:bottom w:val="single" w:sz="4" w:space="1" w:color="auto"/>
          <w:right w:val="single" w:sz="4" w:space="4" w:color="auto"/>
        </w:pBdr>
        <w:spacing w:before="120"/>
        <w:jc w:val="both"/>
      </w:pPr>
      <w:r>
        <w:t xml:space="preserve">Brigádní generálka </w:t>
      </w:r>
      <w:r w:rsidR="001D0854">
        <w:t>Lenka Šmerdová působí</w:t>
      </w:r>
      <w:r>
        <w:t xml:space="preserve"> jako poradkyně náčelníka Generálního štábu Armády České republiky pro oblast doplňování AČR personálem a problematiku rovných příležitostí mužů a žen</w:t>
      </w:r>
      <w:r w:rsidR="001D0854">
        <w:t>. Do funkce brigádní generálky byla jmenována dne 8.</w:t>
      </w:r>
      <w:r w:rsidR="00B402A5">
        <w:t xml:space="preserve"> května 2017 a </w:t>
      </w:r>
      <w:r w:rsidR="001D0854">
        <w:t xml:space="preserve">stala se tak </w:t>
      </w:r>
      <w:r w:rsidR="00B16BC3">
        <w:t>první ženou, která v ČR zastává nejvyšší armádní funkci</w:t>
      </w:r>
      <w:r w:rsidR="00067EF1">
        <w:t xml:space="preserve"> a nosí generálkou hvězdu</w:t>
      </w:r>
      <w:r w:rsidR="00B16BC3">
        <w:t xml:space="preserve">. </w:t>
      </w:r>
      <w:r w:rsidR="00326AC8" w:rsidRPr="00D91D50">
        <w:rPr>
          <w:b/>
        </w:rPr>
        <w:t xml:space="preserve">Přesto, že je jedinou ženou mezi třemi desítkami mužů – generálů, </w:t>
      </w:r>
      <w:r w:rsidR="003D48B4">
        <w:rPr>
          <w:b/>
        </w:rPr>
        <w:t xml:space="preserve">jde o prolomení principu, že </w:t>
      </w:r>
      <w:r w:rsidR="00326AC8" w:rsidRPr="00D91D50">
        <w:rPr>
          <w:b/>
        </w:rPr>
        <w:t>vrcholné pozice v AČR mohou vykonávat pouze muži.</w:t>
      </w:r>
      <w:r w:rsidR="00067EF1">
        <w:t xml:space="preserve"> </w:t>
      </w:r>
      <w:r w:rsidR="001D0854">
        <w:t xml:space="preserve">Lenka Šmerdová zastupuje </w:t>
      </w:r>
      <w:r w:rsidR="00B42202">
        <w:t xml:space="preserve">Velení AČR </w:t>
      </w:r>
      <w:r w:rsidR="001D0854">
        <w:t>v Pracovní</w:t>
      </w:r>
      <w:r w:rsidR="001D0854">
        <w:rPr>
          <w:lang w:eastAsia="en-US"/>
        </w:rPr>
        <w:t xml:space="preserve"> skupině</w:t>
      </w:r>
      <w:r w:rsidR="00B42202" w:rsidRPr="00B42202">
        <w:rPr>
          <w:lang w:eastAsia="en-US"/>
        </w:rPr>
        <w:t xml:space="preserve"> k řešení problema</w:t>
      </w:r>
      <w:r w:rsidR="00001713">
        <w:rPr>
          <w:lang w:eastAsia="en-US"/>
        </w:rPr>
        <w:t>tiky rovného zacházení s muži a </w:t>
      </w:r>
      <w:r w:rsidR="00B42202" w:rsidRPr="00B42202">
        <w:rPr>
          <w:lang w:eastAsia="en-US"/>
        </w:rPr>
        <w:t>ženami</w:t>
      </w:r>
      <w:r w:rsidR="00905636">
        <w:rPr>
          <w:lang w:eastAsia="en-US"/>
        </w:rPr>
        <w:t xml:space="preserve">, což je významnou skutečností pro další </w:t>
      </w:r>
      <w:r w:rsidR="00896249">
        <w:rPr>
          <w:lang w:eastAsia="en-US"/>
        </w:rPr>
        <w:t xml:space="preserve">případný </w:t>
      </w:r>
      <w:r w:rsidR="00905636">
        <w:rPr>
          <w:lang w:eastAsia="en-US"/>
        </w:rPr>
        <w:t>rozvoj genderově orientované politiky AČR.</w:t>
      </w:r>
    </w:p>
    <w:p w:rsidR="00946B76" w:rsidRDefault="00946B76" w:rsidP="00946B76">
      <w:pPr>
        <w:pStyle w:val="Nadpis2"/>
        <w:spacing w:before="0"/>
      </w:pPr>
    </w:p>
    <w:p w:rsidR="00DE3806" w:rsidRDefault="00761160" w:rsidP="00946B76">
      <w:pPr>
        <w:pStyle w:val="Nadpis2"/>
        <w:spacing w:before="0"/>
      </w:pPr>
      <w:bookmarkStart w:id="6" w:name="_Toc514782396"/>
      <w:r w:rsidRPr="00DE3806">
        <w:t xml:space="preserve">Úkol č. </w:t>
      </w:r>
      <w:r w:rsidR="00D8637B">
        <w:t>4</w:t>
      </w:r>
      <w:bookmarkEnd w:id="6"/>
    </w:p>
    <w:p w:rsidR="0086778F" w:rsidRDefault="0086778F" w:rsidP="00DE3806">
      <w:pPr>
        <w:jc w:val="both"/>
        <w:rPr>
          <w:b/>
          <w:i/>
        </w:rPr>
      </w:pPr>
      <w:r>
        <w:rPr>
          <w:b/>
          <w:i/>
        </w:rPr>
        <w:t xml:space="preserve">Obecný cíl: </w:t>
      </w:r>
      <w:r w:rsidR="00FE76C5" w:rsidRPr="00FE76C5">
        <w:rPr>
          <w:b/>
          <w:i/>
        </w:rPr>
        <w:t>Podporovat vstup dívek a žen do vojenských a policejních středních, vyšších odborných a vysokých škol</w:t>
      </w:r>
      <w:r w:rsidR="005C4007">
        <w:rPr>
          <w:b/>
          <w:i/>
        </w:rPr>
        <w:t xml:space="preserve"> (MO, MV/PP)</w:t>
      </w:r>
    </w:p>
    <w:p w:rsidR="00217B34" w:rsidRPr="00FE76C5" w:rsidRDefault="00217B34" w:rsidP="00DE3806">
      <w:pPr>
        <w:jc w:val="both"/>
        <w:rPr>
          <w:b/>
          <w:i/>
        </w:rPr>
      </w:pPr>
    </w:p>
    <w:p w:rsidR="00FE76C5" w:rsidRDefault="0086778F" w:rsidP="0086778F">
      <w:pPr>
        <w:pStyle w:val="Textkomente"/>
        <w:spacing w:after="0"/>
        <w:jc w:val="both"/>
        <w:rPr>
          <w:rFonts w:ascii="Times New Roman" w:hAnsi="Times New Roman" w:cs="Times New Roman"/>
          <w:i/>
          <w:sz w:val="24"/>
          <w:szCs w:val="24"/>
        </w:rPr>
      </w:pPr>
      <w:r>
        <w:rPr>
          <w:rFonts w:ascii="Times New Roman" w:hAnsi="Times New Roman" w:cs="Times New Roman"/>
          <w:i/>
          <w:sz w:val="24"/>
          <w:szCs w:val="24"/>
        </w:rPr>
        <w:t xml:space="preserve">Úkoly: </w:t>
      </w:r>
    </w:p>
    <w:p w:rsidR="0086778F" w:rsidRPr="0086778F" w:rsidRDefault="0086778F" w:rsidP="00FE76C5">
      <w:pPr>
        <w:pStyle w:val="Textkomente"/>
        <w:numPr>
          <w:ilvl w:val="0"/>
          <w:numId w:val="7"/>
        </w:numPr>
        <w:spacing w:after="0"/>
        <w:jc w:val="both"/>
        <w:rPr>
          <w:rFonts w:ascii="Times New Roman" w:hAnsi="Times New Roman" w:cs="Times New Roman"/>
          <w:i/>
          <w:sz w:val="24"/>
          <w:szCs w:val="24"/>
        </w:rPr>
      </w:pPr>
      <w:r w:rsidRPr="0086778F">
        <w:rPr>
          <w:rFonts w:ascii="Times New Roman" w:hAnsi="Times New Roman" w:cs="Times New Roman"/>
          <w:i/>
          <w:sz w:val="24"/>
          <w:szCs w:val="24"/>
        </w:rPr>
        <w:t>Informovat veřejnost o možnosti studia žen a dívek na vojenských a policejních středních, vyšších odborných a vysokých školách bez upřednostňování jednoho z</w:t>
      </w:r>
      <w:r>
        <w:rPr>
          <w:rFonts w:ascii="Times New Roman" w:hAnsi="Times New Roman" w:cs="Times New Roman"/>
          <w:i/>
          <w:sz w:val="24"/>
          <w:szCs w:val="24"/>
        </w:rPr>
        <w:t> </w:t>
      </w:r>
      <w:r w:rsidRPr="0086778F">
        <w:rPr>
          <w:rFonts w:ascii="Times New Roman" w:hAnsi="Times New Roman" w:cs="Times New Roman"/>
          <w:i/>
          <w:sz w:val="24"/>
          <w:szCs w:val="24"/>
        </w:rPr>
        <w:t>pohlaví</w:t>
      </w:r>
      <w:r>
        <w:rPr>
          <w:rFonts w:ascii="Times New Roman" w:hAnsi="Times New Roman" w:cs="Times New Roman"/>
          <w:i/>
          <w:sz w:val="24"/>
          <w:szCs w:val="24"/>
        </w:rPr>
        <w:t>;</w:t>
      </w:r>
    </w:p>
    <w:p w:rsidR="0086778F" w:rsidRPr="00FE76C5" w:rsidRDefault="00217B34" w:rsidP="00FE76C5">
      <w:pPr>
        <w:pStyle w:val="Odstavecseseznamem"/>
        <w:numPr>
          <w:ilvl w:val="0"/>
          <w:numId w:val="7"/>
        </w:numPr>
        <w:jc w:val="both"/>
        <w:rPr>
          <w:i/>
        </w:rPr>
      </w:pPr>
      <w:r>
        <w:rPr>
          <w:i/>
        </w:rPr>
        <w:t>t</w:t>
      </w:r>
      <w:r w:rsidR="0086778F" w:rsidRPr="00FE76C5">
        <w:rPr>
          <w:i/>
        </w:rPr>
        <w:t>rvale sledovat podíl studujících žen a mužů, úspěšnost žen a mužů v rámci přijímacího řízení, podíl studujících žen na jednotlivých vojenských fakultách</w:t>
      </w:r>
      <w:r w:rsidR="00067EF1">
        <w:rPr>
          <w:i/>
        </w:rPr>
        <w:t>.</w:t>
      </w:r>
    </w:p>
    <w:p w:rsidR="00F5320E" w:rsidRPr="0086778F" w:rsidRDefault="00F5320E" w:rsidP="0086778F">
      <w:pPr>
        <w:jc w:val="both"/>
        <w:rPr>
          <w:i/>
        </w:rPr>
      </w:pPr>
    </w:p>
    <w:p w:rsidR="008B4BD4" w:rsidRDefault="00C94643" w:rsidP="00CF58FD">
      <w:pPr>
        <w:jc w:val="both"/>
      </w:pPr>
      <w:r>
        <w:t xml:space="preserve">Univerzita obrany v Brně </w:t>
      </w:r>
      <w:r w:rsidR="0086778F">
        <w:t xml:space="preserve">v rámci marketingové politiky trvale podporuje </w:t>
      </w:r>
      <w:r w:rsidR="00DE2DF4">
        <w:t>studium žen ve </w:t>
      </w:r>
      <w:r>
        <w:t>všech studijních oborech</w:t>
      </w:r>
      <w:r w:rsidR="00DF00E2">
        <w:t>, které nabízí. K tomu využívá řadu marketingových aktivit. V</w:t>
      </w:r>
      <w:r w:rsidR="00F5320E">
        <w:t> </w:t>
      </w:r>
      <w:r w:rsidR="00DF00E2">
        <w:t>hodno</w:t>
      </w:r>
      <w:r w:rsidR="00F5320E">
        <w:t>ceném o</w:t>
      </w:r>
      <w:r w:rsidR="00DF00E2">
        <w:t>bdobí se jednalo o 72 aktivit</w:t>
      </w:r>
      <w:r w:rsidR="0007564A">
        <w:t xml:space="preserve">, </w:t>
      </w:r>
      <w:r w:rsidR="007C3888">
        <w:t xml:space="preserve">realizovaných v </w:t>
      </w:r>
      <w:r w:rsidR="00DF00E2">
        <w:t> rámci marketingových prezentací</w:t>
      </w:r>
      <w:r w:rsidR="00F5320E">
        <w:t xml:space="preserve"> přímo</w:t>
      </w:r>
      <w:r w:rsidR="00DF00E2">
        <w:t xml:space="preserve"> na středních školách</w:t>
      </w:r>
      <w:r w:rsidR="007C3888">
        <w:t xml:space="preserve">, </w:t>
      </w:r>
      <w:r w:rsidR="00DF00E2">
        <w:t>prezentací pro student</w:t>
      </w:r>
      <w:r w:rsidR="00DE2DF4">
        <w:t>y středních škol na katedrách Univerzity obrany</w:t>
      </w:r>
      <w:r w:rsidR="00F5320E">
        <w:t xml:space="preserve">, </w:t>
      </w:r>
      <w:r w:rsidR="00DF00E2">
        <w:t>dnů otevřených dveří jednotlivých fakult, prezentací na mezinárodních veletrzích, veletrzích pomaturitního vzdělávání, bu</w:t>
      </w:r>
      <w:r w:rsidR="00DE2DF4">
        <w:t xml:space="preserve">rzách vzdělávání, prezentací </w:t>
      </w:r>
      <w:r w:rsidR="00DE2DF4">
        <w:lastRenderedPageBreak/>
        <w:t>na </w:t>
      </w:r>
      <w:r w:rsidR="00DF00E2">
        <w:t>rekrutačních pracovištích a přípravných kurz</w:t>
      </w:r>
      <w:r w:rsidR="00DE2DF4">
        <w:t>ech pr</w:t>
      </w:r>
      <w:r w:rsidR="00EE0C04">
        <w:t>o uchazeče o studium na Univerzi</w:t>
      </w:r>
      <w:r w:rsidR="00DE2DF4">
        <w:t>tě obrany</w:t>
      </w:r>
      <w:r w:rsidR="009F313D">
        <w:t>.</w:t>
      </w:r>
      <w:r w:rsidR="00DF00E2">
        <w:t xml:space="preserve"> </w:t>
      </w:r>
    </w:p>
    <w:p w:rsidR="00B70A64" w:rsidRDefault="00B70A64" w:rsidP="00CF58FD">
      <w:pPr>
        <w:jc w:val="both"/>
      </w:pPr>
    </w:p>
    <w:p w:rsidR="00B70A64" w:rsidRPr="00EE0C04" w:rsidRDefault="00B70A64" w:rsidP="00EE0C04">
      <w:pPr>
        <w:jc w:val="both"/>
      </w:pPr>
      <w:r w:rsidRPr="00656449">
        <w:t>Obdobný přístup</w:t>
      </w:r>
      <w:r>
        <w:t xml:space="preserve"> v rámci marketingové politiky </w:t>
      </w:r>
      <w:r w:rsidRPr="00656449">
        <w:t>uplatňuje i vedení Vojenské střední škol</w:t>
      </w:r>
      <w:r>
        <w:t>y a </w:t>
      </w:r>
      <w:r w:rsidRPr="00656449">
        <w:t>Vyšší od</w:t>
      </w:r>
      <w:r>
        <w:t>bo</w:t>
      </w:r>
      <w:r w:rsidRPr="00656449">
        <w:t>rné škol</w:t>
      </w:r>
      <w:r>
        <w:t>y</w:t>
      </w:r>
      <w:r w:rsidRPr="00656449">
        <w:t xml:space="preserve"> </w:t>
      </w:r>
      <w:r w:rsidR="00BE2613">
        <w:t>Ministerstva obrany</w:t>
      </w:r>
      <w:r>
        <w:t xml:space="preserve"> </w:t>
      </w:r>
      <w:r w:rsidRPr="00656449">
        <w:t>v </w:t>
      </w:r>
      <w:r>
        <w:t xml:space="preserve"> </w:t>
      </w:r>
      <w:r w:rsidRPr="00656449">
        <w:t>Moravské Třebové</w:t>
      </w:r>
      <w:r>
        <w:t>. K podpoře studia dívek přispěla účast současných studentek na burzách škol, které se konaly ve 13 místech České republiky. Mezi další marketingové akce patřila také účast na dnech AČR, NATO a účast studentů a studentek na vybraných historických akcích.</w:t>
      </w:r>
    </w:p>
    <w:p w:rsidR="00B70A64" w:rsidRDefault="00B70A64" w:rsidP="00CF58FD">
      <w:pPr>
        <w:jc w:val="both"/>
      </w:pPr>
    </w:p>
    <w:p w:rsidR="00CF58FD" w:rsidRDefault="00123835" w:rsidP="00CF58FD">
      <w:pPr>
        <w:jc w:val="both"/>
      </w:pPr>
      <w:r>
        <w:rPr>
          <w:noProof/>
        </w:rPr>
        <w:drawing>
          <wp:inline distT="0" distB="0" distL="0" distR="0">
            <wp:extent cx="5501640" cy="2499360"/>
            <wp:effectExtent l="0" t="0" r="22860" b="1524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23835" w:rsidRDefault="00123835" w:rsidP="00CF58FD">
      <w:pPr>
        <w:jc w:val="both"/>
      </w:pPr>
    </w:p>
    <w:p w:rsidR="007C4858" w:rsidRDefault="007C4858" w:rsidP="007C4858">
      <w:pPr>
        <w:jc w:val="both"/>
      </w:pPr>
      <w:r w:rsidRPr="008729B6">
        <w:t>Při přijímání žáků a studentů ke vzdělávání v policejních škol</w:t>
      </w:r>
      <w:r w:rsidR="00EE0C04">
        <w:t>ách je postupováno v souladu se </w:t>
      </w:r>
      <w:r w:rsidRPr="008302F3">
        <w:t>zákonem č. 561/20014 Sb., o předškolním, základním, středním, vyšším odborném a jiném vzdělávání (školský zákon), ve znění pozdějších  předpisů a vyhláškou č. 2/2006 Sb., kterou se pro školy a školská zařízení zřizované Ministerstvem vnitra provádějí někte</w:t>
      </w:r>
      <w:r w:rsidR="00FE76C5" w:rsidRPr="008302F3">
        <w:t>rá ustanovení školského zákona.</w:t>
      </w:r>
      <w:r w:rsidR="00FE76C5">
        <w:t xml:space="preserve"> </w:t>
      </w:r>
      <w:r w:rsidR="00FE76C5" w:rsidRPr="009F20E6">
        <w:rPr>
          <w:bCs/>
        </w:rPr>
        <w:t>Rovný přístup ke vzdělávání</w:t>
      </w:r>
      <w:r w:rsidR="00FE76C5" w:rsidRPr="008729B6">
        <w:rPr>
          <w:b/>
          <w:bCs/>
        </w:rPr>
        <w:t xml:space="preserve"> </w:t>
      </w:r>
      <w:r w:rsidR="00FE76C5" w:rsidRPr="008729B6">
        <w:t xml:space="preserve">je </w:t>
      </w:r>
      <w:r w:rsidR="00FE76C5">
        <w:t>zákonem</w:t>
      </w:r>
      <w:r w:rsidR="00FE76C5" w:rsidRPr="008729B6">
        <w:t xml:space="preserve"> garantován. </w:t>
      </w:r>
      <w:r w:rsidR="00EE0C04">
        <w:t>Nabídka středního a </w:t>
      </w:r>
      <w:r w:rsidRPr="008729B6">
        <w:t xml:space="preserve">vyššího odborného vzdělávání </w:t>
      </w:r>
      <w:r w:rsidR="00DE2DF4">
        <w:t>je představena a propagována na </w:t>
      </w:r>
      <w:r w:rsidRPr="008729B6">
        <w:t xml:space="preserve">webových stránkách rezortních škol. Mezi významné náborové aktivity středního vzdělávání patří především Dny otevřených dveří (v průběhu školního roku vždy v říjnu a lednu), veletrhy vzdělávání, burzy škol, propagační akce na základních školách. </w:t>
      </w:r>
    </w:p>
    <w:p w:rsidR="00CF58FD" w:rsidRDefault="00CF58FD" w:rsidP="007C4858">
      <w:pPr>
        <w:jc w:val="both"/>
      </w:pPr>
    </w:p>
    <w:p w:rsidR="00FB5F5F" w:rsidRPr="00067EF1" w:rsidRDefault="007C4858" w:rsidP="009A4D5B">
      <w:pPr>
        <w:jc w:val="both"/>
      </w:pPr>
      <w:r>
        <w:t xml:space="preserve">Ministerstvo </w:t>
      </w:r>
      <w:r w:rsidR="00DE2DF4">
        <w:t xml:space="preserve">obrany a vnitra </w:t>
      </w:r>
      <w:r>
        <w:t>vede statistiky zohledňující podíl studujících žen a mužů a jejich úspěš</w:t>
      </w:r>
      <w:r w:rsidR="00B0275C">
        <w:t>nost v rámci přijímacího řízení.</w:t>
      </w:r>
    </w:p>
    <w:p w:rsidR="009A4D5B" w:rsidRPr="009A4D5B" w:rsidRDefault="009A4D5B" w:rsidP="00FD4FB3">
      <w:pPr>
        <w:pStyle w:val="Nadpis1"/>
        <w:numPr>
          <w:ilvl w:val="0"/>
          <w:numId w:val="34"/>
        </w:numPr>
        <w:jc w:val="both"/>
      </w:pPr>
      <w:bookmarkStart w:id="7" w:name="_Toc514782397"/>
      <w:r w:rsidRPr="00FE76C5">
        <w:t>Slaďování pracovního a soukromého života ve vztahu k agendě WPS</w:t>
      </w:r>
      <w:bookmarkEnd w:id="7"/>
      <w:r w:rsidRPr="00FE76C5">
        <w:t xml:space="preserve"> </w:t>
      </w:r>
    </w:p>
    <w:p w:rsidR="00B943C4" w:rsidRDefault="00B943C4" w:rsidP="00BE5F39">
      <w:pPr>
        <w:pStyle w:val="Nadpis2"/>
      </w:pPr>
      <w:bookmarkStart w:id="8" w:name="_Toc514782398"/>
      <w:r w:rsidRPr="00DE3806">
        <w:t xml:space="preserve">Úkol č. </w:t>
      </w:r>
      <w:r w:rsidR="00D8637B">
        <w:t>5</w:t>
      </w:r>
      <w:bookmarkEnd w:id="8"/>
      <w:r w:rsidR="001236A6">
        <w:t xml:space="preserve"> </w:t>
      </w:r>
      <w:r w:rsidRPr="00737BD5">
        <w:t xml:space="preserve"> </w:t>
      </w:r>
    </w:p>
    <w:p w:rsidR="001236A6" w:rsidRPr="00FE76C5" w:rsidRDefault="00FE76C5" w:rsidP="008C5FA5">
      <w:pPr>
        <w:jc w:val="both"/>
        <w:rPr>
          <w:b/>
          <w:i/>
        </w:rPr>
      </w:pPr>
      <w:r w:rsidRPr="00FE76C5">
        <w:rPr>
          <w:b/>
          <w:i/>
        </w:rPr>
        <w:t xml:space="preserve">Obecný cíl: </w:t>
      </w:r>
      <w:r w:rsidR="001236A6" w:rsidRPr="00FE76C5">
        <w:rPr>
          <w:b/>
          <w:i/>
        </w:rPr>
        <w:t>Podporovat sladění pracovního a soukromého života včetně opatření vztahující se k problematice WPS</w:t>
      </w:r>
      <w:r w:rsidR="009374EA">
        <w:rPr>
          <w:b/>
          <w:i/>
        </w:rPr>
        <w:t xml:space="preserve"> (MO, </w:t>
      </w:r>
      <w:r w:rsidR="005C4007">
        <w:rPr>
          <w:b/>
          <w:i/>
        </w:rPr>
        <w:t xml:space="preserve"> MV/PP, MZV)</w:t>
      </w:r>
    </w:p>
    <w:p w:rsidR="001236A6" w:rsidRDefault="001236A6" w:rsidP="008C5FA5">
      <w:pPr>
        <w:jc w:val="both"/>
        <w:rPr>
          <w:sz w:val="20"/>
          <w:szCs w:val="20"/>
        </w:rPr>
      </w:pPr>
    </w:p>
    <w:p w:rsidR="00FE76C5" w:rsidRDefault="00FE76C5" w:rsidP="008C5FA5">
      <w:pPr>
        <w:jc w:val="both"/>
        <w:rPr>
          <w:i/>
        </w:rPr>
      </w:pPr>
      <w:r>
        <w:rPr>
          <w:i/>
        </w:rPr>
        <w:t xml:space="preserve">Úkol: </w:t>
      </w:r>
    </w:p>
    <w:p w:rsidR="00FE76C5" w:rsidRPr="00FE76C5" w:rsidRDefault="00FE76C5" w:rsidP="00FE76C5">
      <w:pPr>
        <w:pStyle w:val="Odstavecseseznamem"/>
        <w:numPr>
          <w:ilvl w:val="0"/>
          <w:numId w:val="8"/>
        </w:numPr>
        <w:jc w:val="both"/>
        <w:rPr>
          <w:i/>
        </w:rPr>
      </w:pPr>
      <w:r w:rsidRPr="00FE76C5">
        <w:rPr>
          <w:i/>
        </w:rPr>
        <w:t>Zavádět opatření za účelem podpory sladění pracovního a soukromého života všech zaměstnanců a zaměstnankyň v rezortu MO, MZV a MV a resortních institucích, především zaváděním flexibilních forem práce, práce z domova a zřízením dětských skupin</w:t>
      </w:r>
      <w:r w:rsidR="009374EA">
        <w:rPr>
          <w:i/>
        </w:rPr>
        <w:t>.</w:t>
      </w:r>
      <w:r w:rsidRPr="00FE76C5">
        <w:rPr>
          <w:i/>
        </w:rPr>
        <w:t xml:space="preserve">    </w:t>
      </w:r>
    </w:p>
    <w:p w:rsidR="00FE76C5" w:rsidRDefault="00FE76C5" w:rsidP="008C5FA5">
      <w:pPr>
        <w:jc w:val="both"/>
        <w:rPr>
          <w:sz w:val="20"/>
          <w:szCs w:val="20"/>
        </w:rPr>
      </w:pPr>
    </w:p>
    <w:p w:rsidR="00404CE1" w:rsidRPr="00404CE1" w:rsidRDefault="007C3888" w:rsidP="00404CE1">
      <w:pPr>
        <w:jc w:val="both"/>
      </w:pPr>
      <w:r>
        <w:lastRenderedPageBreak/>
        <w:t xml:space="preserve">V rámci efektivnějšího </w:t>
      </w:r>
      <w:r w:rsidR="008C5FA5">
        <w:t xml:space="preserve">slaďování pracovního, soukromého a rodinného života je </w:t>
      </w:r>
      <w:r w:rsidR="00FE76C5">
        <w:t>personálu Ministerstva obrany</w:t>
      </w:r>
      <w:r>
        <w:t xml:space="preserve"> </w:t>
      </w:r>
      <w:r w:rsidR="008C5FA5">
        <w:t>umožňována úpra</w:t>
      </w:r>
      <w:r w:rsidR="008C5FA5" w:rsidRPr="00765DEB">
        <w:t>va pracovní/služební doby</w:t>
      </w:r>
      <w:r w:rsidR="00F679FF">
        <w:t>,</w:t>
      </w:r>
      <w:r w:rsidR="008C5FA5">
        <w:t xml:space="preserve"> její pružné rozvržení, </w:t>
      </w:r>
      <w:r w:rsidR="008C5FA5">
        <w:rPr>
          <w:iCs/>
        </w:rPr>
        <w:t xml:space="preserve">včetně možnosti </w:t>
      </w:r>
      <w:r w:rsidR="008C5FA5" w:rsidRPr="00E34850">
        <w:t>zkrácených úvazků</w:t>
      </w:r>
      <w:r w:rsidR="00F679FF">
        <w:t xml:space="preserve"> a</w:t>
      </w:r>
      <w:r w:rsidR="008C5FA5">
        <w:t xml:space="preserve"> </w:t>
      </w:r>
      <w:r w:rsidR="008C5FA5" w:rsidRPr="00E34850">
        <w:t>výkon práce mimo pracoviště</w:t>
      </w:r>
      <w:r w:rsidR="008C5FA5">
        <w:t xml:space="preserve">. </w:t>
      </w:r>
      <w:r w:rsidR="00404CE1">
        <w:t xml:space="preserve">Doba služby </w:t>
      </w:r>
      <w:r w:rsidR="00404CE1" w:rsidRPr="00824901">
        <w:t xml:space="preserve">vojenského personálu se řídí </w:t>
      </w:r>
      <w:r w:rsidR="00404CE1">
        <w:t xml:space="preserve">výhradně </w:t>
      </w:r>
      <w:r w:rsidR="00404CE1" w:rsidRPr="00824901">
        <w:t xml:space="preserve">zákonem </w:t>
      </w:r>
      <w:r w:rsidR="00404CE1">
        <w:t xml:space="preserve">č. 221/1999 Sb., o vojácích z povolání, ve znění pozdějších předpisů. </w:t>
      </w:r>
    </w:p>
    <w:p w:rsidR="00404CE1" w:rsidRDefault="00404CE1" w:rsidP="00404CE1">
      <w:pPr>
        <w:jc w:val="both"/>
      </w:pPr>
    </w:p>
    <w:p w:rsidR="00217B34" w:rsidRDefault="008C5FA5" w:rsidP="00217B34">
      <w:pPr>
        <w:jc w:val="both"/>
      </w:pPr>
      <w:r w:rsidRPr="00765DEB">
        <w:t xml:space="preserve">V současné době </w:t>
      </w:r>
      <w:r w:rsidR="007C3888">
        <w:t xml:space="preserve">jsou </w:t>
      </w:r>
      <w:r>
        <w:t xml:space="preserve">za účelem slaďování pracovního, soukromého a rodinného života všech zaměstnanců </w:t>
      </w:r>
      <w:r w:rsidR="00842874">
        <w:t xml:space="preserve">a zaměstnankyň </w:t>
      </w:r>
      <w:r w:rsidR="00404CE1">
        <w:t xml:space="preserve">Ministerstva obrany </w:t>
      </w:r>
      <w:r>
        <w:t xml:space="preserve">k dispozici </w:t>
      </w:r>
      <w:r w:rsidRPr="00765DEB">
        <w:t>zařízení pro předškolní děti</w:t>
      </w:r>
      <w:r w:rsidR="00EE0C04">
        <w:t xml:space="preserve"> (dětské skupiny), a </w:t>
      </w:r>
      <w:r>
        <w:t>to</w:t>
      </w:r>
      <w:r w:rsidRPr="00765DEB">
        <w:t xml:space="preserve"> v</w:t>
      </w:r>
      <w:r w:rsidR="007C3888">
        <w:t> </w:t>
      </w:r>
      <w:r w:rsidRPr="00765DEB">
        <w:t>posád</w:t>
      </w:r>
      <w:r w:rsidR="007C3888">
        <w:t xml:space="preserve">kách </w:t>
      </w:r>
      <w:r w:rsidRPr="00765DEB">
        <w:t>Praha (24</w:t>
      </w:r>
      <w:r>
        <w:t xml:space="preserve"> </w:t>
      </w:r>
      <w:r w:rsidRPr="00765DEB">
        <w:t>dětí), Čáslav (24 dětí)</w:t>
      </w:r>
      <w:r>
        <w:t xml:space="preserve">, </w:t>
      </w:r>
      <w:r w:rsidRPr="00765DEB">
        <w:t>Bechyně (</w:t>
      </w:r>
      <w:r>
        <w:t>12</w:t>
      </w:r>
      <w:r w:rsidRPr="00765DEB">
        <w:t xml:space="preserve"> dětí)</w:t>
      </w:r>
      <w:r>
        <w:t xml:space="preserve"> a </w:t>
      </w:r>
      <w:r w:rsidR="007C3888">
        <w:t>S</w:t>
      </w:r>
      <w:r>
        <w:t xml:space="preserve">tará Boleslav (24). </w:t>
      </w:r>
      <w:r w:rsidRPr="00765DEB">
        <w:t>K</w:t>
      </w:r>
      <w:r w:rsidR="00EE0C04">
        <w:t>e</w:t>
      </w:r>
      <w:r w:rsidR="007C3888">
        <w:t> </w:t>
      </w:r>
      <w:r w:rsidR="00584554">
        <w:t>dni 1. 5. 2018</w:t>
      </w:r>
      <w:r w:rsidRPr="00765DEB">
        <w:t xml:space="preserve"> j</w:t>
      </w:r>
      <w:r>
        <w:t xml:space="preserve">e </w:t>
      </w:r>
      <w:r w:rsidRPr="00765DEB">
        <w:t>připraven</w:t>
      </w:r>
      <w:r>
        <w:t xml:space="preserve">o </w:t>
      </w:r>
      <w:r w:rsidR="007C3888">
        <w:t xml:space="preserve">k otevření </w:t>
      </w:r>
      <w:r w:rsidRPr="00765DEB">
        <w:t xml:space="preserve">zařízení v posádce </w:t>
      </w:r>
      <w:r w:rsidR="00EE0C04">
        <w:t>Tábor. Své vlastní zařízení pro </w:t>
      </w:r>
      <w:r w:rsidRPr="00765DEB">
        <w:t xml:space="preserve">děti předškolního </w:t>
      </w:r>
      <w:r>
        <w:t>věku provozuje p</w:t>
      </w:r>
      <w:r w:rsidRPr="00765DEB">
        <w:t>říspěvková organizace Ústřední vojenská nemocnice</w:t>
      </w:r>
      <w:r>
        <w:t xml:space="preserve"> - Vojenská fakultní nemocnice Praha</w:t>
      </w:r>
      <w:r w:rsidRPr="00765DEB">
        <w:t>.</w:t>
      </w:r>
      <w:r>
        <w:t xml:space="preserve"> Obdobné zařízení mohou </w:t>
      </w:r>
      <w:r w:rsidR="007C3888">
        <w:t xml:space="preserve">využívat </w:t>
      </w:r>
      <w:r>
        <w:t>také zaměstnanci U</w:t>
      </w:r>
      <w:r w:rsidR="0010240F">
        <w:t>niverzity obrany</w:t>
      </w:r>
      <w:r w:rsidR="007C3888">
        <w:t>.</w:t>
      </w:r>
      <w:r w:rsidR="00404CE1">
        <w:t xml:space="preserve"> </w:t>
      </w:r>
    </w:p>
    <w:p w:rsidR="00217B34" w:rsidRDefault="00217B34" w:rsidP="00217B34">
      <w:pPr>
        <w:jc w:val="both"/>
      </w:pPr>
      <w:r>
        <w:t xml:space="preserve"> </w:t>
      </w:r>
    </w:p>
    <w:p w:rsidR="00217B34" w:rsidRDefault="00217B34" w:rsidP="00217B34">
      <w:pPr>
        <w:spacing w:before="120"/>
        <w:jc w:val="center"/>
      </w:pPr>
      <w:r>
        <w:rPr>
          <w:noProof/>
        </w:rPr>
        <w:drawing>
          <wp:inline distT="0" distB="0" distL="0" distR="0">
            <wp:extent cx="5702300" cy="2114550"/>
            <wp:effectExtent l="19050" t="0" r="12700" b="0"/>
            <wp:docPr id="10"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17B34" w:rsidRDefault="00217B34" w:rsidP="00217B34">
      <w:pPr>
        <w:jc w:val="both"/>
      </w:pPr>
    </w:p>
    <w:p w:rsidR="00404CE1" w:rsidRDefault="001236A6" w:rsidP="001236A6">
      <w:pPr>
        <w:jc w:val="both"/>
      </w:pPr>
      <w:r w:rsidRPr="001236A6">
        <w:t>V rámci realizace postupů směřujících ke slaďování osobního a rodinného života s výkonem státní služby nebo zaměstnání postupuje Ministerstvo v</w:t>
      </w:r>
      <w:r w:rsidR="00EE0C04">
        <w:t>nitra dle § 116 a 117 zákona č. </w:t>
      </w:r>
      <w:r w:rsidRPr="001236A6">
        <w:t>234/2014 Sb.  o státní službě, nařízení vlády č.144/201</w:t>
      </w:r>
      <w:r w:rsidR="00EE0C04">
        <w:t>5 Sb., o výkonu státní služby z </w:t>
      </w:r>
      <w:r w:rsidRPr="001236A6">
        <w:t>jiného místa a pravidlech pro vytvoření předpokladů sladěn</w:t>
      </w:r>
      <w:r w:rsidR="00EE0C04">
        <w:t>í rodinného a osobního života s </w:t>
      </w:r>
      <w:r w:rsidRPr="001236A6">
        <w:t>výkonem státní služby a dle služebního předpisu náměstka ministra vnitra pro státní službu č. 12/2015 k vytváření podmínek pro sladění rodinného a osobního života s výkonem státní služby a podmínek výkon</w:t>
      </w:r>
      <w:r w:rsidR="00FF0B5A">
        <w:t>u státní služby z jiného místa.</w:t>
      </w:r>
      <w:r w:rsidRPr="001236A6">
        <w:t xml:space="preserve"> Ministerstvo vnitra v nejširší možné míře </w:t>
      </w:r>
      <w:r w:rsidR="00842874">
        <w:t>umožňuje</w:t>
      </w:r>
      <w:r w:rsidRPr="001236A6">
        <w:t xml:space="preserve"> využívat flexibilních forem práce v podobě pružné pracovní doby, sdílení pracovního místa, zkráceného pracovního úvazku, práce z domova, práce na DPP/DP</w:t>
      </w:r>
      <w:r>
        <w:t xml:space="preserve">Č či jiné úpravy pracovní doby </w:t>
      </w:r>
      <w:r w:rsidRPr="001236A6">
        <w:t>po dohodě s nadřízeným</w:t>
      </w:r>
      <w:r w:rsidR="00842874">
        <w:t>i</w:t>
      </w:r>
      <w:r w:rsidRPr="001236A6">
        <w:t>. Všem doposud podaným ž</w:t>
      </w:r>
      <w:r w:rsidR="00842874">
        <w:t>ádostem o </w:t>
      </w:r>
      <w:r w:rsidRPr="001236A6">
        <w:t>individuální úpravu pracovní doby bylo vyhověno. V některých případech byl ta</w:t>
      </w:r>
      <w:r w:rsidR="00842874">
        <w:t xml:space="preserve">ké u představených pečujících </w:t>
      </w:r>
      <w:r w:rsidRPr="001236A6">
        <w:t xml:space="preserve">odsouhlasen zkrácený pracovní úvazek či práce z domova. </w:t>
      </w:r>
    </w:p>
    <w:p w:rsidR="00404CE1" w:rsidRDefault="00404CE1" w:rsidP="001236A6">
      <w:pPr>
        <w:jc w:val="both"/>
      </w:pPr>
    </w:p>
    <w:p w:rsidR="001236A6" w:rsidRDefault="00404CE1" w:rsidP="001236A6">
      <w:pPr>
        <w:jc w:val="both"/>
      </w:pPr>
      <w:r>
        <w:t>Ministerstvo vnitra provozuje mateřskou školu</w:t>
      </w:r>
      <w:r w:rsidR="006D485C">
        <w:t xml:space="preserve"> </w:t>
      </w:r>
      <w:r w:rsidR="001236A6">
        <w:t xml:space="preserve">přímo </w:t>
      </w:r>
      <w:r w:rsidR="00DE40C7">
        <w:t>v </w:t>
      </w:r>
      <w:r w:rsidR="001236A6" w:rsidRPr="001236A6">
        <w:t>prosto</w:t>
      </w:r>
      <w:r w:rsidR="00441184">
        <w:t xml:space="preserve">rách budovy Ministerstva vnitra. </w:t>
      </w:r>
      <w:r w:rsidR="001236A6" w:rsidRPr="001236A6">
        <w:t>Školka je určena pro 22 dětí zaměstnankyň a za</w:t>
      </w:r>
      <w:r w:rsidR="006D485C">
        <w:t>městnanců Ministerstva vnitra a </w:t>
      </w:r>
      <w:r w:rsidR="001236A6" w:rsidRPr="001236A6">
        <w:t>příslušnic a příslušníků Policie ČR a Hasičského zá</w:t>
      </w:r>
      <w:r w:rsidR="007C4922">
        <w:t>chranného sboru. Policie ČR taktéž</w:t>
      </w:r>
      <w:r w:rsidR="006D485C">
        <w:t xml:space="preserve"> umožňuje </w:t>
      </w:r>
      <w:r w:rsidR="001236A6" w:rsidRPr="001236A6">
        <w:t>kratší pracovní dobu nebo dobu služby v týdnu. Rovněž je mnohým</w:t>
      </w:r>
      <w:r w:rsidR="001236A6">
        <w:t xml:space="preserve"> zaměstnankyním/zaměstnancům </w:t>
      </w:r>
      <w:r w:rsidR="001236A6" w:rsidRPr="001236A6">
        <w:t>a příslušnicím/příslušníkům zejména z důvodu péče o děti nebo do</w:t>
      </w:r>
      <w:r w:rsidR="001236A6">
        <w:t xml:space="preserve">jíždění do místa výkonu služby </w:t>
      </w:r>
      <w:r w:rsidR="001236A6" w:rsidRPr="001236A6">
        <w:t>na jejich žádost umožněna změna rozvržení p</w:t>
      </w:r>
      <w:r w:rsidR="006D485C">
        <w:t>racovní doby nebo doby služby, p</w:t>
      </w:r>
      <w:r w:rsidR="001236A6" w:rsidRPr="001236A6">
        <w:t>okud to umožňuje charakter jejich služby/práce.</w:t>
      </w:r>
    </w:p>
    <w:p w:rsidR="005549CA" w:rsidRPr="005549CA" w:rsidRDefault="00404CE1" w:rsidP="005549CA">
      <w:pPr>
        <w:jc w:val="both"/>
      </w:pPr>
      <w:r>
        <w:t xml:space="preserve"> </w:t>
      </w:r>
    </w:p>
    <w:p w:rsidR="005549CA" w:rsidRPr="005549CA" w:rsidRDefault="00404CE1" w:rsidP="005549CA">
      <w:pPr>
        <w:jc w:val="both"/>
      </w:pPr>
      <w:r w:rsidRPr="00404CE1">
        <w:t xml:space="preserve">Ministerstvo zahraničních věcí </w:t>
      </w:r>
      <w:r>
        <w:t xml:space="preserve">umožňuje </w:t>
      </w:r>
      <w:r w:rsidR="003A1418">
        <w:t>sjednání kratší pracovní doby, </w:t>
      </w:r>
      <w:r w:rsidR="005549CA" w:rsidRPr="005549CA">
        <w:t>odchylné rozvržení pracovní doby,</w:t>
      </w:r>
      <w:r>
        <w:t xml:space="preserve"> </w:t>
      </w:r>
      <w:r w:rsidR="005549CA" w:rsidRPr="005549CA">
        <w:t>kombinace výkonu služby/práce na pracovišti a na jiném, předem dohodnutém místě (práce doma)</w:t>
      </w:r>
      <w:r>
        <w:t xml:space="preserve"> a </w:t>
      </w:r>
      <w:r w:rsidR="005549CA" w:rsidRPr="005549CA">
        <w:t>stanovení odchylného začátku a konce pracovní doby.</w:t>
      </w:r>
      <w:r w:rsidR="00A0593B">
        <w:t xml:space="preserve"> </w:t>
      </w:r>
      <w:r>
        <w:t xml:space="preserve">Ministerstvo </w:t>
      </w:r>
      <w:r>
        <w:lastRenderedPageBreak/>
        <w:t xml:space="preserve">zahraničních věcí </w:t>
      </w:r>
      <w:r w:rsidR="005549CA" w:rsidRPr="005549CA">
        <w:t xml:space="preserve">dne 26. září 2016 </w:t>
      </w:r>
      <w:r>
        <w:t>zřídilo dětskou</w:t>
      </w:r>
      <w:r w:rsidR="005549CA" w:rsidRPr="005549CA">
        <w:t xml:space="preserve"> skupina Zamiňáček</w:t>
      </w:r>
      <w:r>
        <w:t xml:space="preserve">. </w:t>
      </w:r>
      <w:r w:rsidR="005549CA" w:rsidRPr="005549CA">
        <w:t>Dětská skupina</w:t>
      </w:r>
      <w:r>
        <w:t xml:space="preserve"> je provozována v prostorách Ministerstva zahraničních věcí</w:t>
      </w:r>
      <w:r w:rsidR="005549CA" w:rsidRPr="005549CA">
        <w:t xml:space="preserve">. </w:t>
      </w:r>
      <w:r w:rsidR="0091161F">
        <w:t>Pro velký zájem byla</w:t>
      </w:r>
      <w:r w:rsidR="007C4922">
        <w:t xml:space="preserve"> </w:t>
      </w:r>
      <w:r w:rsidR="0091161F">
        <w:t xml:space="preserve">v </w:t>
      </w:r>
      <w:r>
        <w:t xml:space="preserve"> září 2017 </w:t>
      </w:r>
      <w:r w:rsidR="0091161F">
        <w:t xml:space="preserve">navýšena </w:t>
      </w:r>
      <w:r w:rsidR="00A0593B">
        <w:t>celková kapacita</w:t>
      </w:r>
      <w:r>
        <w:t xml:space="preserve"> </w:t>
      </w:r>
      <w:r w:rsidR="0091161F">
        <w:t>na 30</w:t>
      </w:r>
      <w:r w:rsidR="00A0593B">
        <w:t xml:space="preserve"> dětí</w:t>
      </w:r>
      <w:r w:rsidR="005549CA" w:rsidRPr="005549CA">
        <w:t>.</w:t>
      </w:r>
      <w:r w:rsidR="00A0593B">
        <w:t xml:space="preserve"> </w:t>
      </w:r>
      <w:r w:rsidR="00A0593B" w:rsidRPr="00404CE1">
        <w:t>Ministerstvo zahraničních věcí</w:t>
      </w:r>
      <w:r w:rsidR="005549CA" w:rsidRPr="005549CA">
        <w:t xml:space="preserve"> zaměstnává psycholožku, která nabízí odborné poradenství mj. v oblasti slaďování profesního života s výkonem služby/práce.</w:t>
      </w:r>
      <w:r w:rsidR="00A0593B">
        <w:t xml:space="preserve"> Na </w:t>
      </w:r>
      <w:r w:rsidR="00A0593B" w:rsidRPr="00404CE1">
        <w:t>Ministerstv</w:t>
      </w:r>
      <w:r w:rsidR="00A0593B">
        <w:t>u</w:t>
      </w:r>
      <w:r w:rsidR="00A0593B" w:rsidRPr="00404CE1">
        <w:t xml:space="preserve"> zahraničních věcí</w:t>
      </w:r>
      <w:r w:rsidR="005549CA" w:rsidRPr="005549CA">
        <w:t xml:space="preserve"> je ustaveno Sdružení rodinn</w:t>
      </w:r>
      <w:r w:rsidR="00A0593B">
        <w:t>ýc</w:t>
      </w:r>
      <w:r w:rsidR="00441184">
        <w:t xml:space="preserve">h příslušníků zaměstnanců, které je </w:t>
      </w:r>
      <w:r w:rsidR="003A1418">
        <w:t xml:space="preserve">mj. </w:t>
      </w:r>
      <w:r w:rsidR="005549CA" w:rsidRPr="005549CA">
        <w:t xml:space="preserve">aktivním členem European Union Foreign Spouses Assocation (EUFASA). </w:t>
      </w:r>
    </w:p>
    <w:p w:rsidR="005549CA" w:rsidRPr="005549CA" w:rsidRDefault="005549CA" w:rsidP="001243AF">
      <w:pPr>
        <w:jc w:val="both"/>
      </w:pPr>
    </w:p>
    <w:p w:rsidR="001236A6" w:rsidRDefault="001236A6" w:rsidP="001243AF">
      <w:pPr>
        <w:pStyle w:val="Nadpis2"/>
        <w:spacing w:before="0"/>
      </w:pPr>
      <w:bookmarkStart w:id="9" w:name="_Toc514782399"/>
      <w:r w:rsidRPr="00DE3806">
        <w:t xml:space="preserve">Úkol č. </w:t>
      </w:r>
      <w:r>
        <w:t>6</w:t>
      </w:r>
      <w:bookmarkEnd w:id="9"/>
      <w:r>
        <w:t xml:space="preserve"> </w:t>
      </w:r>
      <w:r w:rsidRPr="00737BD5">
        <w:t xml:space="preserve"> </w:t>
      </w:r>
    </w:p>
    <w:p w:rsidR="00F54822" w:rsidRDefault="00F54822" w:rsidP="001236A6">
      <w:pPr>
        <w:jc w:val="both"/>
      </w:pPr>
      <w:r>
        <w:rPr>
          <w:b/>
          <w:i/>
        </w:rPr>
        <w:t xml:space="preserve">Obecný cíl: </w:t>
      </w:r>
      <w:r w:rsidRPr="00F54822">
        <w:rPr>
          <w:b/>
          <w:i/>
        </w:rPr>
        <w:t>Vytvořit podmínky pro sladění pracovního a soukromého života při vysílání do zahraniční</w:t>
      </w:r>
      <w:r w:rsidR="009374EA">
        <w:rPr>
          <w:b/>
          <w:i/>
        </w:rPr>
        <w:t xml:space="preserve"> (MO,  MV/PP, MZV)</w:t>
      </w:r>
    </w:p>
    <w:p w:rsidR="001236A6" w:rsidRDefault="001236A6" w:rsidP="001236A6">
      <w:pPr>
        <w:jc w:val="both"/>
      </w:pPr>
    </w:p>
    <w:p w:rsidR="00F54822" w:rsidRDefault="00F54822" w:rsidP="001236A6">
      <w:pPr>
        <w:jc w:val="both"/>
      </w:pPr>
      <w:r w:rsidRPr="00F54822">
        <w:rPr>
          <w:i/>
        </w:rPr>
        <w:t>Úkol:</w:t>
      </w:r>
      <w:r>
        <w:t xml:space="preserve"> </w:t>
      </w:r>
    </w:p>
    <w:p w:rsidR="00F54822" w:rsidRPr="00F54822" w:rsidRDefault="00F54822" w:rsidP="00F54822">
      <w:pPr>
        <w:pStyle w:val="Odstavecseseznamem"/>
        <w:numPr>
          <w:ilvl w:val="0"/>
          <w:numId w:val="8"/>
        </w:numPr>
        <w:jc w:val="both"/>
        <w:rPr>
          <w:i/>
        </w:rPr>
      </w:pPr>
      <w:r w:rsidRPr="00F54822">
        <w:rPr>
          <w:i/>
        </w:rPr>
        <w:t>V rámci platných právních předpisů v gesci ministerstev upravit opatření, která usnadní sladění pracovního a soukromého života vyslaných státních zaměstnanců/kyň</w:t>
      </w:r>
      <w:r w:rsidR="009374EA">
        <w:rPr>
          <w:i/>
        </w:rPr>
        <w:t>.</w:t>
      </w:r>
    </w:p>
    <w:p w:rsidR="00F54822" w:rsidRPr="001236A6" w:rsidRDefault="00F54822" w:rsidP="001236A6">
      <w:pPr>
        <w:jc w:val="both"/>
      </w:pPr>
    </w:p>
    <w:p w:rsidR="005549CA" w:rsidRDefault="005549CA" w:rsidP="005549CA">
      <w:pPr>
        <w:jc w:val="both"/>
      </w:pPr>
      <w:r w:rsidRPr="005549CA">
        <w:t>Vytváření podmínek pro sladění pracovního a osobního ž</w:t>
      </w:r>
      <w:r w:rsidR="00EB10EE">
        <w:t>ivota s výkonem státní služby u </w:t>
      </w:r>
      <w:r w:rsidRPr="005549CA">
        <w:t>státních zaměstnanců, kteří jsou vysíláni k výkonu zahraniční služby podl</w:t>
      </w:r>
      <w:r>
        <w:t xml:space="preserve">e § 67 zákona č. 234/2014 Sb., </w:t>
      </w:r>
      <w:r w:rsidRPr="005549CA">
        <w:t>o státní službě, se řídí ustanoveními § 116, § 117 a § 178 odst. 3 tohot</w:t>
      </w:r>
      <w:r>
        <w:t xml:space="preserve">o zákona. Na oblast slaďování </w:t>
      </w:r>
      <w:r w:rsidRPr="005549CA">
        <w:t>u těchto státních zaměstnanců reagovala novela zákona o státní službě zákonem č. 190/2016 Sb. K provedení zmíněných ustanoven</w:t>
      </w:r>
      <w:r w:rsidR="00EB10EE">
        <w:t>í bylo vydáno nařízení vlády č. </w:t>
      </w:r>
      <w:r w:rsidRPr="005549CA">
        <w:t>144/2015 Sb., o výkonu státní služby z jiného místa a o pravidlech pro vytvoření předpokladů sladě</w:t>
      </w:r>
      <w:r>
        <w:t xml:space="preserve">ní rodinného a osobního života </w:t>
      </w:r>
      <w:r w:rsidRPr="005549CA">
        <w:t>s výkonem státní služby. Jak ustanovení zákona o státní službě, tak</w:t>
      </w:r>
      <w:r>
        <w:t xml:space="preserve"> prováděcího právního předpisu</w:t>
      </w:r>
      <w:r w:rsidR="00C84DAB">
        <w:t>,</w:t>
      </w:r>
      <w:r>
        <w:t xml:space="preserve"> </w:t>
      </w:r>
      <w:r w:rsidRPr="005549CA">
        <w:t>se aplikují za rovných podmínek na všechny státní zaměstna</w:t>
      </w:r>
      <w:r>
        <w:t xml:space="preserve">nce a zaměstnankyně bez ohledu </w:t>
      </w:r>
      <w:r w:rsidRPr="005549CA">
        <w:t>na skutečnost, zda jsou zařazeni k výkonu státní služby v ústředí nebo vysláni k výkonu zahraniční služby podl</w:t>
      </w:r>
      <w:r w:rsidR="00EB10EE">
        <w:t>e § 67 zákona o </w:t>
      </w:r>
      <w:r w:rsidRPr="005549CA">
        <w:t>státní službě.</w:t>
      </w:r>
    </w:p>
    <w:p w:rsidR="00C84DAB" w:rsidRPr="005549CA" w:rsidRDefault="00C84DAB" w:rsidP="005549CA">
      <w:pPr>
        <w:jc w:val="both"/>
      </w:pPr>
    </w:p>
    <w:p w:rsidR="005549CA" w:rsidRDefault="005549CA" w:rsidP="005549CA">
      <w:pPr>
        <w:jc w:val="both"/>
      </w:pPr>
      <w:r w:rsidRPr="005549CA">
        <w:t xml:space="preserve">Oblast sladění rodinného a osobního života s výkonem státní služby služebními úřady je dále upravena služebním předpisem náměstka ministra vnitra </w:t>
      </w:r>
      <w:r w:rsidR="00067E15">
        <w:t>pro státní službu č. 12/2015, k </w:t>
      </w:r>
      <w:r w:rsidRPr="005549CA">
        <w:t>vytváření podmínek pro sladění rodinného a osobního života s výkonem státní služby a podmínek výkonu státní služby z jiného místa. I tento služební předpis je aplik</w:t>
      </w:r>
      <w:r>
        <w:t xml:space="preserve">ovatelný na státní zaměstnance </w:t>
      </w:r>
      <w:r w:rsidRPr="005549CA">
        <w:t>a zaměstnankyně, kteří jsou vysláni k výkonu zahraniční služby. Služební předpis podrobněji upravuje vybrané nástroje slaďování jako např. úpravu služební doby, sjednání výkonu státní služby z</w:t>
      </w:r>
      <w:r w:rsidR="00067E15">
        <w:t xml:space="preserve"> jiného místa</w:t>
      </w:r>
      <w:r w:rsidRPr="005549CA">
        <w:t xml:space="preserve">, účast na </w:t>
      </w:r>
      <w:r w:rsidR="00067E15">
        <w:t>vzdělávacích akcích a přístup k </w:t>
      </w:r>
      <w:r w:rsidRPr="005549CA">
        <w:t>informacím o služebním úřadu, včetně přístupu na místo výkonu státní služby státním zaměstnancům a zaměstnankyním, kteří jsou dočasně zař</w:t>
      </w:r>
      <w:r w:rsidR="00067E15">
        <w:t>azeni mimo výkon státní služby z </w:t>
      </w:r>
      <w:r w:rsidRPr="005549CA">
        <w:t>důvodu čerpání mate</w:t>
      </w:r>
      <w:r>
        <w:t>řské n</w:t>
      </w:r>
      <w:r w:rsidR="00067E15">
        <w:t>ebo rodičovské dovolené</w:t>
      </w:r>
      <w:r>
        <w:t xml:space="preserve">. </w:t>
      </w:r>
    </w:p>
    <w:p w:rsidR="005549CA" w:rsidRDefault="005549CA" w:rsidP="005549CA">
      <w:pPr>
        <w:jc w:val="both"/>
      </w:pPr>
    </w:p>
    <w:p w:rsidR="001236A6" w:rsidRDefault="005549CA" w:rsidP="005549CA">
      <w:pPr>
        <w:jc w:val="both"/>
      </w:pPr>
      <w:r w:rsidRPr="005549CA">
        <w:t xml:space="preserve">Podmínky pro sladění pracovního a osobního života s výkonem státní služby státních zaměstnanců </w:t>
      </w:r>
      <w:r w:rsidR="00AE7ED9">
        <w:t xml:space="preserve">a zaměstnankyň </w:t>
      </w:r>
      <w:r w:rsidRPr="005549CA">
        <w:t>Ministe</w:t>
      </w:r>
      <w:r w:rsidR="00C92DA3">
        <w:t>rstva zahraničních věcí se řídí zákonem</w:t>
      </w:r>
      <w:r w:rsidR="009431B5">
        <w:t xml:space="preserve"> č. </w:t>
      </w:r>
      <w:r w:rsidRPr="005549CA">
        <w:t>150/2017 Sb., o zahraniční službě a o změně některých zákonů, se subsidiárním použitím zákona o státní službě.</w:t>
      </w:r>
    </w:p>
    <w:p w:rsidR="00907E15" w:rsidRDefault="00907E15" w:rsidP="005549CA">
      <w:pPr>
        <w:jc w:val="both"/>
      </w:pPr>
    </w:p>
    <w:p w:rsidR="005549CA" w:rsidRDefault="00907E15" w:rsidP="00872DB5">
      <w:pPr>
        <w:jc w:val="both"/>
      </w:pPr>
      <w:r>
        <w:t>Zákon o zahraniční službě, který vstoupil v platnost dne 1. 7. 2017, znamenal zásadní průlom v oblasti slaďování profesního a soukromého života</w:t>
      </w:r>
      <w:r w:rsidR="00C92DA3">
        <w:t xml:space="preserve"> při výkonu služby v zahraničí.</w:t>
      </w:r>
      <w:r w:rsidR="00700051">
        <w:t xml:space="preserve"> </w:t>
      </w:r>
      <w:r>
        <w:t>§ 41 odst. 1 stanoví, že s</w:t>
      </w:r>
      <w:r w:rsidRPr="00901089">
        <w:t>tátní tajemník ministerstva může za účelem sladění rodinného a osobního života s výkonem služby nebo práce v zahraničí obsadit služební nebo pracovní místo</w:t>
      </w:r>
      <w:r w:rsidR="00C92DA3">
        <w:t xml:space="preserve"> na Zastupitelském úřadě</w:t>
      </w:r>
      <w:r w:rsidRPr="00901089">
        <w:t xml:space="preserve"> označené ve služebním předpise státního tajemníka </w:t>
      </w:r>
      <w:r w:rsidR="00C92DA3">
        <w:t>Ministerstva zahraničních věcí</w:t>
      </w:r>
      <w:r w:rsidRPr="00901089">
        <w:t xml:space="preserve"> jako administrativní nebo technické místo, osobou, která je manželem</w:t>
      </w:r>
      <w:r>
        <w:t>/</w:t>
      </w:r>
      <w:r w:rsidR="00700051">
        <w:t xml:space="preserve">manželkou či </w:t>
      </w:r>
      <w:r w:rsidRPr="00901089">
        <w:t>partnerem</w:t>
      </w:r>
      <w:r w:rsidR="00700051">
        <w:t xml:space="preserve">/partnerkou </w:t>
      </w:r>
      <w:r w:rsidRPr="00901089">
        <w:t>státního zaměstnanc</w:t>
      </w:r>
      <w:r w:rsidR="00700051">
        <w:t>e</w:t>
      </w:r>
      <w:r>
        <w:t>/</w:t>
      </w:r>
      <w:r w:rsidRPr="00901089">
        <w:t>zaměstnan</w:t>
      </w:r>
      <w:r w:rsidR="00C84DAB">
        <w:t>kyně</w:t>
      </w:r>
      <w:r w:rsidR="00700051">
        <w:t xml:space="preserve"> vyslaných</w:t>
      </w:r>
      <w:r w:rsidRPr="00901089">
        <w:t xml:space="preserve"> k výkon</w:t>
      </w:r>
      <w:r>
        <w:t>u služby nebo práce v zahraničí</w:t>
      </w:r>
      <w:r w:rsidRPr="00901089">
        <w:t xml:space="preserve"> </w:t>
      </w:r>
      <w:r>
        <w:t>(</w:t>
      </w:r>
      <w:r w:rsidRPr="00901089">
        <w:t>v pracovním poměru na dobu určitou</w:t>
      </w:r>
      <w:r>
        <w:t>)</w:t>
      </w:r>
      <w:r w:rsidRPr="00901089">
        <w:t xml:space="preserve">. </w:t>
      </w:r>
      <w:r w:rsidR="00C92DA3">
        <w:lastRenderedPageBreak/>
        <w:t>§ </w:t>
      </w:r>
      <w:r>
        <w:t xml:space="preserve">53 odst. 1 – 3 </w:t>
      </w:r>
      <w:r w:rsidR="00700051">
        <w:t xml:space="preserve">pak </w:t>
      </w:r>
      <w:r>
        <w:t>stanoví, že M</w:t>
      </w:r>
      <w:r w:rsidR="00C92DA3">
        <w:t>inisterstvo zahraničních věcí</w:t>
      </w:r>
      <w:r>
        <w:t xml:space="preserve"> může ve prospěch zaměstnance uzavřít pojistnou smlouvu za účel</w:t>
      </w:r>
      <w:r w:rsidR="00492989">
        <w:t>em krytí výdajů spojených mj. s </w:t>
      </w:r>
      <w:r>
        <w:t>těhotenstvím nebo porodem v zahraničí. Toto</w:t>
      </w:r>
      <w:r w:rsidR="00C92DA3">
        <w:t xml:space="preserve"> pojištění zahrnuje rovněž členy</w:t>
      </w:r>
      <w:r>
        <w:t xml:space="preserve"> rodiny vyslaného diplomatického pracovníka</w:t>
      </w:r>
      <w:r w:rsidR="00C92DA3">
        <w:t>/pracovnice.</w:t>
      </w:r>
      <w:r>
        <w:t xml:space="preserve"> § 51 odst. 2 </w:t>
      </w:r>
      <w:r w:rsidR="00700051">
        <w:t xml:space="preserve">pak </w:t>
      </w:r>
      <w:r>
        <w:t>zakotvuje nárok zaměstnankyně čerpající v průběhu vyslání k výkonu slu</w:t>
      </w:r>
      <w:r w:rsidR="00C92DA3">
        <w:t xml:space="preserve">žby/práce v zahraničí mateřskou </w:t>
      </w:r>
      <w:r>
        <w:t xml:space="preserve">dovolenou </w:t>
      </w:r>
      <w:r w:rsidR="00C92DA3">
        <w:t>na úhradu</w:t>
      </w:r>
      <w:r>
        <w:t xml:space="preserve"> nákladů spojených s ubytováním po dobu 14 týdnů a to ve stejné výši, jako před nástupem na mateřskou/rodičovskou dovolenou. Takové zaměstnankyni náleží náhrady stanovené v prováděcím předpisu vydaném v souladu s § 189 odst. 6 zákoníku práce</w:t>
      </w:r>
      <w:r w:rsidR="00492989">
        <w:t>.</w:t>
      </w:r>
    </w:p>
    <w:p w:rsidR="00217B34" w:rsidRPr="007A1B9C" w:rsidRDefault="00217B34" w:rsidP="001243AF">
      <w:pPr>
        <w:jc w:val="both"/>
      </w:pPr>
    </w:p>
    <w:p w:rsidR="005914B9" w:rsidRPr="00D92932" w:rsidRDefault="00BC3A29" w:rsidP="001243AF">
      <w:pPr>
        <w:pStyle w:val="Nadpis2"/>
        <w:spacing w:before="0"/>
      </w:pPr>
      <w:bookmarkStart w:id="10" w:name="_Toc514782400"/>
      <w:r w:rsidRPr="004A1243">
        <w:t>Úkol č. 7</w:t>
      </w:r>
      <w:bookmarkEnd w:id="10"/>
      <w:r>
        <w:t xml:space="preserve"> </w:t>
      </w:r>
      <w:r w:rsidRPr="00737BD5">
        <w:t xml:space="preserve"> </w:t>
      </w:r>
    </w:p>
    <w:p w:rsidR="00F54822" w:rsidRDefault="00F54822" w:rsidP="00872DB5">
      <w:pPr>
        <w:jc w:val="both"/>
        <w:rPr>
          <w:b/>
          <w:i/>
        </w:rPr>
      </w:pPr>
      <w:r w:rsidRPr="00F54822">
        <w:rPr>
          <w:b/>
          <w:i/>
        </w:rPr>
        <w:t>Obecný cíl: Platová rovnost</w:t>
      </w:r>
      <w:r w:rsidR="009374EA">
        <w:rPr>
          <w:b/>
          <w:i/>
        </w:rPr>
        <w:t xml:space="preserve"> (MO,  MV/PP, MZV)</w:t>
      </w:r>
    </w:p>
    <w:p w:rsidR="00F54822" w:rsidRPr="00F54822" w:rsidRDefault="00F54822" w:rsidP="00872DB5">
      <w:pPr>
        <w:jc w:val="both"/>
        <w:rPr>
          <w:b/>
          <w:i/>
        </w:rPr>
      </w:pPr>
    </w:p>
    <w:p w:rsidR="00F54822" w:rsidRDefault="00F54822" w:rsidP="00F54822">
      <w:pPr>
        <w:jc w:val="both"/>
        <w:rPr>
          <w:bCs/>
          <w:i/>
        </w:rPr>
      </w:pPr>
      <w:r>
        <w:rPr>
          <w:bCs/>
          <w:i/>
        </w:rPr>
        <w:t xml:space="preserve">Úkoly: </w:t>
      </w:r>
    </w:p>
    <w:p w:rsidR="00F54822" w:rsidRPr="00F54822" w:rsidRDefault="00F54822" w:rsidP="00F54822">
      <w:pPr>
        <w:pStyle w:val="Odstavecseseznamem"/>
        <w:numPr>
          <w:ilvl w:val="0"/>
          <w:numId w:val="8"/>
        </w:numPr>
        <w:jc w:val="both"/>
        <w:rPr>
          <w:bCs/>
          <w:i/>
        </w:rPr>
      </w:pPr>
      <w:r w:rsidRPr="00F54822">
        <w:rPr>
          <w:bCs/>
          <w:i/>
        </w:rPr>
        <w:t>Vést a zveřejňovat vnitrorezortní a mezirezortní statistiky o odměňování mužů a žen</w:t>
      </w:r>
      <w:r w:rsidR="009374EA">
        <w:rPr>
          <w:bCs/>
          <w:i/>
        </w:rPr>
        <w:t>;</w:t>
      </w:r>
    </w:p>
    <w:p w:rsidR="00F54822" w:rsidRDefault="00217B34" w:rsidP="00F54822">
      <w:pPr>
        <w:pStyle w:val="Odstavecseseznamem"/>
        <w:numPr>
          <w:ilvl w:val="0"/>
          <w:numId w:val="8"/>
        </w:numPr>
        <w:jc w:val="both"/>
        <w:rPr>
          <w:bCs/>
          <w:i/>
        </w:rPr>
      </w:pPr>
      <w:r>
        <w:rPr>
          <w:bCs/>
          <w:i/>
        </w:rPr>
        <w:t>v</w:t>
      </w:r>
      <w:r w:rsidR="00F54822" w:rsidRPr="00F54822">
        <w:rPr>
          <w:bCs/>
          <w:i/>
        </w:rPr>
        <w:t>yhodnocovat výsledky statistického šetření a přijímat opatření pro platovou rovnost</w:t>
      </w:r>
      <w:r w:rsidR="009374EA">
        <w:rPr>
          <w:bCs/>
          <w:i/>
        </w:rPr>
        <w:t>.</w:t>
      </w:r>
    </w:p>
    <w:p w:rsidR="00816E6E" w:rsidRPr="00F54822" w:rsidRDefault="00816E6E" w:rsidP="00816E6E">
      <w:pPr>
        <w:pStyle w:val="Odstavecseseznamem"/>
        <w:jc w:val="both"/>
        <w:rPr>
          <w:bCs/>
          <w:i/>
        </w:rPr>
      </w:pPr>
    </w:p>
    <w:p w:rsidR="0048202D" w:rsidRDefault="0048202D" w:rsidP="00D92932">
      <w:pPr>
        <w:jc w:val="both"/>
      </w:pPr>
      <w:r w:rsidRPr="0048202D">
        <w:t>Rozdíl v odměňování žen a mužů činí</w:t>
      </w:r>
      <w:r w:rsidR="00816E6E">
        <w:t xml:space="preserve"> v České republice 22,5%</w:t>
      </w:r>
      <w:r w:rsidR="00380910">
        <w:rPr>
          <w:rStyle w:val="Znakapoznpodarou"/>
        </w:rPr>
        <w:footnoteReference w:id="4"/>
      </w:r>
      <w:r w:rsidRPr="0048202D">
        <w:t xml:space="preserve">. V otázkách rovného odměňování </w:t>
      </w:r>
      <w:r w:rsidR="00816E6E">
        <w:t>se</w:t>
      </w:r>
      <w:r w:rsidRPr="0048202D">
        <w:t xml:space="preserve"> Česká republika </w:t>
      </w:r>
      <w:r w:rsidR="00816E6E">
        <w:t>v rámci EU nachází na předposledním místě</w:t>
      </w:r>
      <w:r w:rsidRPr="0048202D">
        <w:t xml:space="preserve">, evropský průměr totiž činí 16,7 </w:t>
      </w:r>
      <w:r w:rsidR="00816E6E">
        <w:t>%</w:t>
      </w:r>
      <w:r w:rsidRPr="0048202D">
        <w:t xml:space="preserve">. </w:t>
      </w:r>
      <w:r>
        <w:t>Dle údajů Českého statistického úřadu za rok 2016 nejmenší rozdíl v odměňování mužů a žen eviduje Ministerstvo obrany</w:t>
      </w:r>
      <w:r w:rsidR="00816E6E">
        <w:t xml:space="preserve"> (0,4%), Rozdíl v odměňování na </w:t>
      </w:r>
      <w:r>
        <w:t xml:space="preserve">Ministerstvu zahraničních věcí činí 17,2% a Ministerstvu vnitra 20,7%. </w:t>
      </w:r>
    </w:p>
    <w:p w:rsidR="00D77365" w:rsidRDefault="00852A0C" w:rsidP="0075463F">
      <w:pPr>
        <w:spacing w:before="120"/>
        <w:jc w:val="both"/>
      </w:pPr>
      <w:r w:rsidRPr="00B87141">
        <w:t>V rámci zpracovávání genderových kvantitativních analýz (ust</w:t>
      </w:r>
      <w:r>
        <w:t>anovení</w:t>
      </w:r>
      <w:r w:rsidRPr="00B87141">
        <w:t xml:space="preserve"> čl. </w:t>
      </w:r>
      <w:r>
        <w:t xml:space="preserve">4 vnitřního předpisu </w:t>
      </w:r>
      <w:r w:rsidRPr="00B87141">
        <w:t>k</w:t>
      </w:r>
      <w:r>
        <w:t xml:space="preserve"> </w:t>
      </w:r>
      <w:r w:rsidRPr="00B87141">
        <w:t xml:space="preserve">prosazování principu rovnosti žen a mužů) jsou </w:t>
      </w:r>
      <w:r w:rsidRPr="006873A3">
        <w:t>již od roku 2002</w:t>
      </w:r>
      <w:r w:rsidRPr="00B87141">
        <w:t xml:space="preserve"> </w:t>
      </w:r>
      <w:r w:rsidR="006873A3">
        <w:t xml:space="preserve">na Ministerstvu obrany </w:t>
      </w:r>
      <w:r w:rsidRPr="00266156">
        <w:t>sledovány</w:t>
      </w:r>
      <w:r w:rsidR="007C3888">
        <w:t xml:space="preserve"> </w:t>
      </w:r>
      <w:r w:rsidRPr="00266156">
        <w:t>počty žen a mužů v pracovním a služebním poměru v platových stupních</w:t>
      </w:r>
      <w:r w:rsidR="007C3888">
        <w:t xml:space="preserve">, </w:t>
      </w:r>
      <w:r>
        <w:t>počty žen a mužů v pracovním a </w:t>
      </w:r>
      <w:r w:rsidRPr="00266156">
        <w:t>služebním poměru zařazených do platových tříd (dle náročnosti vykonávané práce a plnění kvalifikačních předpokladů, případně požadavků)</w:t>
      </w:r>
      <w:r w:rsidR="00C526B8">
        <w:t xml:space="preserve"> a </w:t>
      </w:r>
      <w:r w:rsidRPr="00266156">
        <w:t>dále je srovnávána výdělková úroveň mužů a žen</w:t>
      </w:r>
      <w:r w:rsidR="007C3888">
        <w:rPr>
          <w:rStyle w:val="Znakapoznpodarou"/>
        </w:rPr>
        <w:footnoteReference w:id="5"/>
      </w:r>
      <w:r w:rsidR="008561E6">
        <w:t xml:space="preserve">. </w:t>
      </w:r>
      <w:r w:rsidR="0075463F">
        <w:t xml:space="preserve"> </w:t>
      </w:r>
    </w:p>
    <w:p w:rsidR="00F160F1" w:rsidRPr="00AC733F" w:rsidRDefault="00F160F1" w:rsidP="0075463F">
      <w:pPr>
        <w:spacing w:before="120"/>
        <w:jc w:val="both"/>
      </w:pPr>
      <w:r w:rsidRPr="00AC733F">
        <w:t>Vojáci a vojákyně jsou odměňování dle nařízení vlády č. 60/2015 Sb., o stanovení seznamu činností pro jednotlivé vojenské hodnosti, v závislosti na je</w:t>
      </w:r>
      <w:r w:rsidR="00D77365" w:rsidRPr="00AC733F">
        <w:t>jich složitosti, odpovědnosti a </w:t>
      </w:r>
      <w:r w:rsidRPr="00AC733F">
        <w:t>namáhavosti. Tento systém odměňování vojenského personálu je historicky zásadní změnou průběhu služby a je tak z pohledu rovného odměňování žen a mužů transparentní</w:t>
      </w:r>
      <w:r w:rsidRPr="00AC733F">
        <w:rPr>
          <w:rStyle w:val="Znakapoznpodarou"/>
        </w:rPr>
        <w:footnoteReference w:id="6"/>
      </w:r>
      <w:r w:rsidRPr="00AC733F">
        <w:t xml:space="preserve">.   </w:t>
      </w:r>
    </w:p>
    <w:p w:rsidR="00D92932" w:rsidRPr="00D92932" w:rsidRDefault="005F74FA" w:rsidP="00D92932">
      <w:pPr>
        <w:spacing w:before="120"/>
        <w:jc w:val="both"/>
      </w:pPr>
      <w:r w:rsidRPr="00AC733F">
        <w:t>Průměrná vyplacená složka platu na 1 osobu/měsíc v rezortu M</w:t>
      </w:r>
      <w:r w:rsidR="00D92932">
        <w:t>inisterstva obrany</w:t>
      </w:r>
      <w:r w:rsidR="0036436C" w:rsidRPr="00AC733F">
        <w:t xml:space="preserve"> </w:t>
      </w:r>
      <w:r w:rsidR="00D92932">
        <w:t xml:space="preserve">za období leden-prosinec 2017 činila pro muže 33873,- Kč a pro ženu 32894,- Kč. </w:t>
      </w:r>
      <w:r w:rsidR="0036436C" w:rsidRPr="00AC733F">
        <w:t xml:space="preserve"> Rozdíl mezi průměrným platem zaměstnance a zaměstnankyně Ministerstva obrany činil 979,- Kč. </w:t>
      </w:r>
      <w:r w:rsidR="00D92932">
        <w:t xml:space="preserve"> </w:t>
      </w:r>
    </w:p>
    <w:p w:rsidR="0038376C" w:rsidRDefault="00670BC8" w:rsidP="0038376C">
      <w:pPr>
        <w:spacing w:before="120"/>
        <w:rPr>
          <w:bCs/>
          <w:iCs/>
          <w:color w:val="000000"/>
        </w:rPr>
      </w:pPr>
      <w:r>
        <w:rPr>
          <w:noProof/>
        </w:rPr>
        <w:lastRenderedPageBreak/>
        <w:drawing>
          <wp:inline distT="0" distB="0" distL="0" distR="0">
            <wp:extent cx="5629275" cy="2219325"/>
            <wp:effectExtent l="0" t="0" r="0" b="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8376C" w:rsidRDefault="00D92932" w:rsidP="0038376C">
      <w:pPr>
        <w:spacing w:before="120"/>
        <w:rPr>
          <w:bCs/>
          <w:iCs/>
          <w:color w:val="000000"/>
        </w:rPr>
      </w:pPr>
      <w:r>
        <w:rPr>
          <w:sz w:val="22"/>
          <w:szCs w:val="22"/>
        </w:rPr>
        <w:t xml:space="preserve"> </w:t>
      </w:r>
    </w:p>
    <w:p w:rsidR="002B6E00" w:rsidRDefault="002B6E00" w:rsidP="002B6E00">
      <w:pPr>
        <w:jc w:val="both"/>
      </w:pPr>
      <w:r>
        <w:rPr>
          <w:rFonts w:eastAsia="MS Mincho"/>
        </w:rPr>
        <w:t>Ministerstvo vnitra i Ministerstvo zahraničních věcí se v otázce platových poměrů řídí   zákonem</w:t>
      </w:r>
      <w:r w:rsidR="00356C09" w:rsidRPr="00E06AE7">
        <w:rPr>
          <w:rFonts w:eastAsia="MS Mincho"/>
        </w:rPr>
        <w:t xml:space="preserve"> č. 262/2006 Sb., zákoník prác</w:t>
      </w:r>
      <w:r>
        <w:rPr>
          <w:rFonts w:eastAsia="MS Mincho"/>
        </w:rPr>
        <w:t>e, ve znění pozdějších předpisů.</w:t>
      </w:r>
      <w:r w:rsidR="00356C09" w:rsidRPr="00E06AE7">
        <w:rPr>
          <w:rFonts w:eastAsia="MS Mincho"/>
        </w:rPr>
        <w:t xml:space="preserve"> </w:t>
      </w:r>
      <w:r>
        <w:rPr>
          <w:rFonts w:eastAsia="MS Mincho"/>
        </w:rPr>
        <w:t xml:space="preserve">Úprava platových tarifů zaměstnanců a zaměstnankyň Ministerstva zahraničních věcí se </w:t>
      </w:r>
      <w:r w:rsidR="001B27C6">
        <w:rPr>
          <w:rFonts w:eastAsia="MS Mincho"/>
        </w:rPr>
        <w:t>odvíjí od zmocnění v § </w:t>
      </w:r>
      <w:r w:rsidR="00670BC8">
        <w:rPr>
          <w:rFonts w:eastAsia="MS Mincho"/>
        </w:rPr>
        <w:t>123 ZP.</w:t>
      </w:r>
      <w:r w:rsidR="00356C09" w:rsidRPr="00E06AE7">
        <w:rPr>
          <w:rFonts w:eastAsia="MS Mincho"/>
        </w:rPr>
        <w:t xml:space="preserve"> </w:t>
      </w:r>
      <w:r w:rsidR="00670BC8">
        <w:rPr>
          <w:rFonts w:eastAsia="MS Mincho"/>
        </w:rPr>
        <w:t xml:space="preserve"> </w:t>
      </w:r>
      <w:r>
        <w:rPr>
          <w:rFonts w:eastAsia="MS Mincho"/>
        </w:rPr>
        <w:t xml:space="preserve">Ministerstvo vnitra se dále řídí zákonem </w:t>
      </w:r>
      <w:r w:rsidRPr="008B13FE">
        <w:t>č. 234/2014 Sb.</w:t>
      </w:r>
      <w:r w:rsidR="001B27C6">
        <w:t>, o státní službě a </w:t>
      </w:r>
      <w:r>
        <w:t>č. </w:t>
      </w:r>
      <w:r w:rsidRPr="008B13FE">
        <w:t>361/2003 Sb.,</w:t>
      </w:r>
      <w:r>
        <w:t xml:space="preserve"> o služebním poměru příslušníků bezpečnostních sborů. </w:t>
      </w:r>
    </w:p>
    <w:p w:rsidR="002B6E00" w:rsidRDefault="002B6E00" w:rsidP="002B6E00">
      <w:pPr>
        <w:jc w:val="both"/>
      </w:pPr>
    </w:p>
    <w:p w:rsidR="002B6E00" w:rsidRPr="002B6E00" w:rsidRDefault="001B6169" w:rsidP="002B6E00">
      <w:pPr>
        <w:jc w:val="both"/>
        <w:rPr>
          <w:b/>
        </w:rPr>
      </w:pPr>
      <w:r>
        <w:t xml:space="preserve">Povinnost vést </w:t>
      </w:r>
      <w:r w:rsidR="002B6E00" w:rsidRPr="00C257A2">
        <w:t>genderové statistiky ohledně odměňování mužů a žen a každoročně</w:t>
      </w:r>
      <w:r>
        <w:t xml:space="preserve"> je poskytovat</w:t>
      </w:r>
      <w:r w:rsidR="002B6E00">
        <w:t xml:space="preserve"> Úřadu vlády</w:t>
      </w:r>
      <w:r w:rsidR="002B6E00" w:rsidRPr="00C257A2">
        <w:t xml:space="preserve"> p</w:t>
      </w:r>
      <w:r>
        <w:t>ro Zprávu o rovnosti mužů a žen je dána Aktualizovanými</w:t>
      </w:r>
      <w:r w:rsidRPr="001B6169">
        <w:t xml:space="preserve"> opatření</w:t>
      </w:r>
      <w:r>
        <w:t>mi</w:t>
      </w:r>
      <w:r w:rsidRPr="001B6169">
        <w:t xml:space="preserve"> Priorit a postupů vlády při prosazování rovnosti žen a mužů</w:t>
      </w:r>
      <w:r>
        <w:t>.</w:t>
      </w:r>
    </w:p>
    <w:p w:rsidR="00BE5F39" w:rsidRPr="00CD53EB" w:rsidRDefault="00344C97" w:rsidP="00B5212F">
      <w:pPr>
        <w:pStyle w:val="Nadpis1"/>
        <w:numPr>
          <w:ilvl w:val="0"/>
          <w:numId w:val="34"/>
        </w:numPr>
      </w:pPr>
      <w:bookmarkStart w:id="11" w:name="_Toc514782401"/>
      <w:r w:rsidRPr="00BE5F39">
        <w:t>Vzdělávání a školení ve vztahu k agendě WPS</w:t>
      </w:r>
      <w:bookmarkEnd w:id="11"/>
      <w:r w:rsidRPr="00BE5F39">
        <w:t xml:space="preserve"> </w:t>
      </w:r>
    </w:p>
    <w:p w:rsidR="00872DB5" w:rsidRDefault="00872DB5" w:rsidP="00BE5F39">
      <w:pPr>
        <w:pStyle w:val="Nadpis2"/>
      </w:pPr>
      <w:bookmarkStart w:id="12" w:name="_Toc514782402"/>
      <w:r>
        <w:t>Úkol č. 8</w:t>
      </w:r>
      <w:bookmarkEnd w:id="12"/>
      <w:r w:rsidR="00087B9B">
        <w:t xml:space="preserve"> </w:t>
      </w:r>
      <w:r w:rsidR="00FF2B6F">
        <w:t xml:space="preserve"> </w:t>
      </w:r>
    </w:p>
    <w:p w:rsidR="00344C97" w:rsidRDefault="00D74B8C" w:rsidP="00D74B8C">
      <w:pPr>
        <w:jc w:val="both"/>
        <w:rPr>
          <w:b/>
          <w:i/>
        </w:rPr>
      </w:pPr>
      <w:r w:rsidRPr="00D74B8C">
        <w:rPr>
          <w:b/>
          <w:i/>
        </w:rPr>
        <w:t xml:space="preserve">Obecný cíl: Podporovat vzdělávání </w:t>
      </w:r>
      <w:r w:rsidR="0038376C">
        <w:rPr>
          <w:b/>
          <w:i/>
        </w:rPr>
        <w:t>a školení v tématu agendy WPS; n</w:t>
      </w:r>
      <w:r w:rsidRPr="00D74B8C">
        <w:rPr>
          <w:b/>
          <w:i/>
        </w:rPr>
        <w:t>aplňování Akčního plánu rezortu MO k implementaci rezoluce RB OSN 1325</w:t>
      </w:r>
      <w:r w:rsidR="0038376C">
        <w:rPr>
          <w:b/>
          <w:i/>
        </w:rPr>
        <w:t xml:space="preserve"> </w:t>
      </w:r>
      <w:r w:rsidR="000B65F5">
        <w:rPr>
          <w:b/>
          <w:i/>
        </w:rPr>
        <w:t>(MO, MV/PP)</w:t>
      </w:r>
    </w:p>
    <w:p w:rsidR="00D74B8C" w:rsidRDefault="00D74B8C" w:rsidP="00D74B8C">
      <w:pPr>
        <w:jc w:val="both"/>
        <w:rPr>
          <w:b/>
          <w:i/>
        </w:rPr>
      </w:pPr>
    </w:p>
    <w:p w:rsidR="00D74B8C" w:rsidRDefault="00D74B8C" w:rsidP="00D74B8C">
      <w:pPr>
        <w:jc w:val="both"/>
        <w:rPr>
          <w:i/>
        </w:rPr>
      </w:pPr>
      <w:r>
        <w:rPr>
          <w:i/>
        </w:rPr>
        <w:t xml:space="preserve">Úkoly: </w:t>
      </w:r>
    </w:p>
    <w:p w:rsidR="00D74B8C" w:rsidRPr="00D74B8C" w:rsidRDefault="00D74B8C" w:rsidP="00D74B8C">
      <w:pPr>
        <w:pStyle w:val="Odstavecseseznamem"/>
        <w:numPr>
          <w:ilvl w:val="0"/>
          <w:numId w:val="9"/>
        </w:numPr>
        <w:jc w:val="both"/>
        <w:rPr>
          <w:i/>
        </w:rPr>
      </w:pPr>
      <w:r w:rsidRPr="00D74B8C">
        <w:rPr>
          <w:i/>
        </w:rPr>
        <w:t>Zajistit pravidelné proškolování personálu MO, MV v oblasti agendy WPS včetně kontextu lidských práv, zařazovat agendu WPS do velitelské a operační přípravy velitelů/velitelek a na velitelské shromáždění</w:t>
      </w:r>
      <w:r w:rsidR="00AA7B9F">
        <w:rPr>
          <w:i/>
        </w:rPr>
        <w:t>;</w:t>
      </w:r>
      <w:r w:rsidRPr="00D74B8C">
        <w:rPr>
          <w:i/>
        </w:rPr>
        <w:t xml:space="preserve"> </w:t>
      </w:r>
    </w:p>
    <w:p w:rsidR="00D74B8C" w:rsidRPr="00D74B8C" w:rsidRDefault="001E6792" w:rsidP="00D74B8C">
      <w:pPr>
        <w:pStyle w:val="Odstavecseseznamem"/>
        <w:numPr>
          <w:ilvl w:val="0"/>
          <w:numId w:val="9"/>
        </w:numPr>
        <w:jc w:val="both"/>
        <w:rPr>
          <w:i/>
        </w:rPr>
      </w:pPr>
      <w:r>
        <w:rPr>
          <w:i/>
        </w:rPr>
        <w:t>v</w:t>
      </w:r>
      <w:r w:rsidR="00D74B8C" w:rsidRPr="00D74B8C">
        <w:rPr>
          <w:i/>
        </w:rPr>
        <w:t>yhodnocovat a aktualizovat obsah dokumentů pro přípravu vojenského a civilního personálu z hlediska agendy WPS a aktualizovat současné předpisy dle aktuálního vývoje, do vzdělávacích programů začlenit informace o sociálních a kulturních specifikách regionu, do kterého budou školené osoby vyslány</w:t>
      </w:r>
      <w:r w:rsidR="00AA7B9F">
        <w:rPr>
          <w:i/>
        </w:rPr>
        <w:t>;</w:t>
      </w:r>
    </w:p>
    <w:p w:rsidR="00D74B8C" w:rsidRPr="0095399B" w:rsidRDefault="001E6792" w:rsidP="00D74B8C">
      <w:pPr>
        <w:pStyle w:val="Odstavecseseznamem"/>
        <w:numPr>
          <w:ilvl w:val="0"/>
          <w:numId w:val="9"/>
        </w:numPr>
        <w:jc w:val="both"/>
        <w:rPr>
          <w:b/>
          <w:i/>
        </w:rPr>
      </w:pPr>
      <w:r>
        <w:rPr>
          <w:bCs/>
          <w:i/>
        </w:rPr>
        <w:t>z</w:t>
      </w:r>
      <w:r w:rsidR="00D74B8C" w:rsidRPr="00D74B8C">
        <w:rPr>
          <w:bCs/>
          <w:i/>
        </w:rPr>
        <w:t>ačlenit agendu WPS do přípravy pro civilní zaměstnance agentur v organizační struktuře NATO vysílaných do zahraničních operací</w:t>
      </w:r>
      <w:r w:rsidR="00AA7B9F">
        <w:rPr>
          <w:bCs/>
          <w:i/>
        </w:rPr>
        <w:t>.</w:t>
      </w:r>
    </w:p>
    <w:p w:rsidR="0095399B" w:rsidRPr="00D74B8C" w:rsidRDefault="0095399B" w:rsidP="00A70866">
      <w:pPr>
        <w:pStyle w:val="Odstavecseseznamem"/>
        <w:jc w:val="both"/>
        <w:rPr>
          <w:b/>
          <w:i/>
        </w:rPr>
      </w:pPr>
    </w:p>
    <w:p w:rsidR="00872DB5" w:rsidRPr="00632D20" w:rsidRDefault="00872DB5" w:rsidP="00A70866">
      <w:pPr>
        <w:pStyle w:val="Zkladntext"/>
        <w:tabs>
          <w:tab w:val="left" w:pos="0"/>
        </w:tabs>
        <w:spacing w:after="0"/>
        <w:jc w:val="both"/>
      </w:pPr>
      <w:r w:rsidRPr="00B87141">
        <w:rPr>
          <w:iCs/>
        </w:rPr>
        <w:t xml:space="preserve">Vzdělávání </w:t>
      </w:r>
      <w:r w:rsidR="009F313D">
        <w:rPr>
          <w:iCs/>
        </w:rPr>
        <w:t>personálu M</w:t>
      </w:r>
      <w:r w:rsidR="00544258">
        <w:t>inisterstva obrany</w:t>
      </w:r>
      <w:r w:rsidR="0038376C">
        <w:t xml:space="preserve"> probíhá</w:t>
      </w:r>
      <w:r>
        <w:t xml:space="preserve"> v souladu s vnitřním předpisem </w:t>
      </w:r>
      <w:r w:rsidR="0038376C" w:rsidRPr="00C257A2">
        <w:rPr>
          <w:i/>
        </w:rPr>
        <w:t>Prosazování principu rov</w:t>
      </w:r>
      <w:r w:rsidR="00BE2613">
        <w:rPr>
          <w:i/>
        </w:rPr>
        <w:t>nosti mužů a žen v působnosti Ministerstva obrany</w:t>
      </w:r>
      <w:r>
        <w:t xml:space="preserve"> a v souladu s </w:t>
      </w:r>
      <w:r w:rsidR="008A26BF">
        <w:rPr>
          <w:i/>
        </w:rPr>
        <w:t>Akčním plánem rezortu Ministerstva obrany</w:t>
      </w:r>
      <w:r w:rsidRPr="0038376C">
        <w:rPr>
          <w:i/>
        </w:rPr>
        <w:t xml:space="preserve"> k implementaci rezoluc</w:t>
      </w:r>
      <w:r w:rsidR="008A26BF">
        <w:rPr>
          <w:i/>
        </w:rPr>
        <w:t>e RB OSN 1325, o </w:t>
      </w:r>
      <w:r w:rsidR="00207319">
        <w:rPr>
          <w:i/>
        </w:rPr>
        <w:t>ženách, míru a </w:t>
      </w:r>
      <w:r w:rsidRPr="0038376C">
        <w:rPr>
          <w:i/>
        </w:rPr>
        <w:t>bezpečnosti</w:t>
      </w:r>
      <w:r w:rsidR="00BE2613">
        <w:t xml:space="preserve">. </w:t>
      </w:r>
      <w:r>
        <w:t>U </w:t>
      </w:r>
      <w:r w:rsidRPr="00B87141">
        <w:t>vojensk</w:t>
      </w:r>
      <w:r>
        <w:t xml:space="preserve">ých </w:t>
      </w:r>
      <w:r w:rsidRPr="00B87141">
        <w:t>útvar</w:t>
      </w:r>
      <w:r>
        <w:t>ů</w:t>
      </w:r>
      <w:r w:rsidR="008561E6">
        <w:t>/zařízení</w:t>
      </w:r>
      <w:r w:rsidRPr="00B87141">
        <w:t xml:space="preserve"> byl</w:t>
      </w:r>
      <w:r w:rsidR="00D77365">
        <w:t>y</w:t>
      </w:r>
      <w:r>
        <w:t xml:space="preserve"> </w:t>
      </w:r>
      <w:r w:rsidR="00D77365">
        <w:t>přednášky</w:t>
      </w:r>
      <w:r w:rsidR="00A848BB" w:rsidRPr="00A848BB">
        <w:t xml:space="preserve"> </w:t>
      </w:r>
      <w:r w:rsidR="00A848BB" w:rsidRPr="00B87141">
        <w:t>zaměřen</w:t>
      </w:r>
      <w:r w:rsidR="00A848BB">
        <w:t xml:space="preserve">é </w:t>
      </w:r>
      <w:r w:rsidR="00A848BB" w:rsidRPr="00B87141">
        <w:t>na</w:t>
      </w:r>
      <w:r w:rsidR="008A26BF">
        <w:t> </w:t>
      </w:r>
      <w:r w:rsidR="0038376C">
        <w:t>agendu WPS</w:t>
      </w:r>
      <w:r w:rsidR="00A848BB">
        <w:t xml:space="preserve"> zař</w:t>
      </w:r>
      <w:r w:rsidR="00887448">
        <w:t>a</w:t>
      </w:r>
      <w:r w:rsidR="0038376C">
        <w:t xml:space="preserve">zeny do programu přípravy </w:t>
      </w:r>
      <w:r w:rsidR="00A848BB">
        <w:t xml:space="preserve">minimálně </w:t>
      </w:r>
      <w:r w:rsidR="00A848BB" w:rsidRPr="00B87141">
        <w:t>jedenk</w:t>
      </w:r>
      <w:r w:rsidR="00A848BB">
        <w:t>rát v</w:t>
      </w:r>
      <w:r w:rsidR="0038376C">
        <w:t xml:space="preserve"> rozsahu </w:t>
      </w:r>
      <w:r w:rsidR="00A848BB" w:rsidRPr="00B87141">
        <w:t>1 hodiny</w:t>
      </w:r>
      <w:r w:rsidR="00A848BB">
        <w:t>. P</w:t>
      </w:r>
      <w:r>
        <w:t xml:space="preserve">ro nové </w:t>
      </w:r>
      <w:r w:rsidRPr="00AD5DAA">
        <w:t>zaměstnance</w:t>
      </w:r>
      <w:r>
        <w:t xml:space="preserve"> </w:t>
      </w:r>
      <w:r w:rsidR="008A26BF">
        <w:t xml:space="preserve">a zaměstnankyně </w:t>
      </w:r>
      <w:r>
        <w:t>byl uspořádán celodenní seminář</w:t>
      </w:r>
      <w:r w:rsidR="00E50114">
        <w:t xml:space="preserve">, </w:t>
      </w:r>
      <w:r>
        <w:t>jehož souč</w:t>
      </w:r>
      <w:r w:rsidR="00BE2613">
        <w:t>ástí byla přednáška zaměřená na </w:t>
      </w:r>
      <w:r>
        <w:t>prosazování principu rovnosti že</w:t>
      </w:r>
      <w:r w:rsidR="00544258">
        <w:t xml:space="preserve">n a mužů v působnosti rezortu </w:t>
      </w:r>
      <w:r w:rsidR="00544258">
        <w:rPr>
          <w:iCs/>
        </w:rPr>
        <w:t>M</w:t>
      </w:r>
      <w:r w:rsidR="00544258">
        <w:t>inisterstva obrany</w:t>
      </w:r>
      <w:r w:rsidR="00D77365">
        <w:t>. A</w:t>
      </w:r>
      <w:r>
        <w:t xml:space="preserve">ktuální informace týkající se </w:t>
      </w:r>
      <w:r w:rsidR="0038376C">
        <w:t>agendy</w:t>
      </w:r>
      <w:r w:rsidR="00E50114">
        <w:t xml:space="preserve"> WPS</w:t>
      </w:r>
      <w:r w:rsidR="00A94099">
        <w:t>,</w:t>
      </w:r>
      <w:r w:rsidR="00E50114">
        <w:t xml:space="preserve"> včetně kontextu lidských práv</w:t>
      </w:r>
      <w:r w:rsidR="00A848BB">
        <w:t>,</w:t>
      </w:r>
      <w:r w:rsidR="00E50114">
        <w:t xml:space="preserve"> </w:t>
      </w:r>
      <w:r w:rsidR="00A94099">
        <w:t>byly prezentován</w:t>
      </w:r>
      <w:r w:rsidR="00D77365">
        <w:t>y</w:t>
      </w:r>
      <w:r w:rsidR="00A94099">
        <w:t xml:space="preserve"> </w:t>
      </w:r>
      <w:r w:rsidR="00D77365">
        <w:t>i v </w:t>
      </w:r>
      <w:r>
        <w:t xml:space="preserve">rámci </w:t>
      </w:r>
      <w:r w:rsidRPr="00737BD5">
        <w:t>Metodického dne hlavní inspektorky ochrany lidských práv v</w:t>
      </w:r>
      <w:r>
        <w:t xml:space="preserve"> </w:t>
      </w:r>
      <w:r w:rsidRPr="00737BD5">
        <w:t xml:space="preserve">rezortu </w:t>
      </w:r>
      <w:r w:rsidR="00544258">
        <w:rPr>
          <w:iCs/>
        </w:rPr>
        <w:t>M</w:t>
      </w:r>
      <w:r w:rsidR="00544258">
        <w:t>inisterstva obrany</w:t>
      </w:r>
      <w:r>
        <w:rPr>
          <w:i/>
        </w:rPr>
        <w:t xml:space="preserve">. </w:t>
      </w:r>
      <w:r>
        <w:t>V</w:t>
      </w:r>
      <w:r w:rsidRPr="000D2658">
        <w:t>e</w:t>
      </w:r>
      <w:r w:rsidR="00D77365">
        <w:t> </w:t>
      </w:r>
      <w:r w:rsidRPr="000D2658">
        <w:t>spolupráci s</w:t>
      </w:r>
      <w:r>
        <w:t xml:space="preserve"> Kanceláří veřejného ochránce práv </w:t>
      </w:r>
      <w:r w:rsidR="00E50114">
        <w:t xml:space="preserve">byl </w:t>
      </w:r>
      <w:r w:rsidR="00A94099">
        <w:lastRenderedPageBreak/>
        <w:t>realizován šestnáctý p</w:t>
      </w:r>
      <w:r w:rsidRPr="00AA7BDC">
        <w:t>řednáškový cyklus</w:t>
      </w:r>
      <w:r w:rsidRPr="00AA7BDC">
        <w:rPr>
          <w:i/>
        </w:rPr>
        <w:t xml:space="preserve"> </w:t>
      </w:r>
      <w:r w:rsidRPr="00AA7BDC">
        <w:t xml:space="preserve">na téma </w:t>
      </w:r>
      <w:r w:rsidRPr="0082771D">
        <w:t>„Společně proti di</w:t>
      </w:r>
      <w:r>
        <w:t>s</w:t>
      </w:r>
      <w:r w:rsidR="008A26BF">
        <w:t>kriminaci: obtěžování na </w:t>
      </w:r>
      <w:r w:rsidRPr="0082771D">
        <w:t>pracovišti</w:t>
      </w:r>
      <w:r>
        <w:t>“. Přednáškový cyklus byl určen především před</w:t>
      </w:r>
      <w:r w:rsidR="008A26BF">
        <w:t xml:space="preserve">staveným, vedoucím </w:t>
      </w:r>
      <w:r>
        <w:t>a státním zaměstnancům</w:t>
      </w:r>
      <w:r w:rsidR="008A26BF">
        <w:t xml:space="preserve"> a zaměstnankyním</w:t>
      </w:r>
      <w:r w:rsidR="00D77365">
        <w:t>.</w:t>
      </w:r>
      <w:r w:rsidRPr="00434EEE">
        <w:t xml:space="preserve"> </w:t>
      </w:r>
      <w:r>
        <w:t>Problematika je také součástí úvodního vstupního vzd</w:t>
      </w:r>
      <w:r w:rsidR="008A26BF">
        <w:t xml:space="preserve">ělávání státních zaměstnanců a zaměstnankyň </w:t>
      </w:r>
      <w:r>
        <w:t xml:space="preserve">ve služebním poměru dle zákona č. 234/2014 Sb., o státní službě, ve znění pozdějších předpisů. </w:t>
      </w:r>
    </w:p>
    <w:p w:rsidR="00872DB5" w:rsidRPr="002953B7" w:rsidRDefault="009A0DEE" w:rsidP="00872DB5">
      <w:pPr>
        <w:pStyle w:val="Zkladntext"/>
        <w:tabs>
          <w:tab w:val="left" w:pos="180"/>
        </w:tabs>
        <w:spacing w:before="120" w:after="0"/>
        <w:jc w:val="both"/>
      </w:pPr>
      <w:r>
        <w:rPr>
          <w:bCs/>
          <w:iCs/>
        </w:rPr>
        <w:t>Témata rovnosti</w:t>
      </w:r>
      <w:r w:rsidR="00E50114">
        <w:rPr>
          <w:bCs/>
          <w:iCs/>
        </w:rPr>
        <w:t xml:space="preserve"> žen a mužů, </w:t>
      </w:r>
      <w:r>
        <w:rPr>
          <w:bCs/>
          <w:iCs/>
        </w:rPr>
        <w:t>nediskriminace a agendy</w:t>
      </w:r>
      <w:r w:rsidR="00E50114">
        <w:rPr>
          <w:bCs/>
          <w:iCs/>
        </w:rPr>
        <w:t xml:space="preserve"> WPS</w:t>
      </w:r>
      <w:r w:rsidR="00A848BB">
        <w:rPr>
          <w:bCs/>
          <w:iCs/>
        </w:rPr>
        <w:t>,</w:t>
      </w:r>
      <w:r w:rsidR="00E50114">
        <w:rPr>
          <w:bCs/>
          <w:iCs/>
        </w:rPr>
        <w:t xml:space="preserve"> </w:t>
      </w:r>
      <w:r>
        <w:rPr>
          <w:bCs/>
          <w:iCs/>
        </w:rPr>
        <w:t>jsou</w:t>
      </w:r>
      <w:r w:rsidR="00872DB5" w:rsidRPr="00B87141">
        <w:rPr>
          <w:bCs/>
          <w:iCs/>
        </w:rPr>
        <w:t xml:space="preserve"> trval</w:t>
      </w:r>
      <w:r>
        <w:rPr>
          <w:bCs/>
          <w:iCs/>
        </w:rPr>
        <w:t>e začleněna</w:t>
      </w:r>
      <w:r w:rsidR="00872DB5">
        <w:rPr>
          <w:bCs/>
          <w:iCs/>
        </w:rPr>
        <w:t xml:space="preserve"> do výuky studentů a </w:t>
      </w:r>
      <w:r w:rsidR="00872DB5" w:rsidRPr="00E93AF8">
        <w:rPr>
          <w:bCs/>
          <w:iCs/>
        </w:rPr>
        <w:t xml:space="preserve">studentek </w:t>
      </w:r>
      <w:r w:rsidR="00872DB5" w:rsidRPr="00AA7B9F">
        <w:rPr>
          <w:bCs/>
          <w:iCs/>
        </w:rPr>
        <w:t>U</w:t>
      </w:r>
      <w:r w:rsidR="00BE2613">
        <w:rPr>
          <w:bCs/>
          <w:iCs/>
        </w:rPr>
        <w:t>niverzity obrany</w:t>
      </w:r>
      <w:r w:rsidR="00A848BB" w:rsidRPr="00AA7B9F">
        <w:rPr>
          <w:bCs/>
          <w:iCs/>
        </w:rPr>
        <w:t xml:space="preserve"> </w:t>
      </w:r>
      <w:r w:rsidR="00E50114" w:rsidRPr="00AA7B9F">
        <w:rPr>
          <w:bCs/>
          <w:iCs/>
        </w:rPr>
        <w:t xml:space="preserve">a </w:t>
      </w:r>
      <w:r w:rsidR="00A34DAF">
        <w:rPr>
          <w:bCs/>
          <w:iCs/>
        </w:rPr>
        <w:t xml:space="preserve">Vojenská střední škola a </w:t>
      </w:r>
      <w:r w:rsidR="00BE2613" w:rsidRPr="00656449">
        <w:t>Vyšší od</w:t>
      </w:r>
      <w:r w:rsidR="00BE2613">
        <w:t>bo</w:t>
      </w:r>
      <w:r w:rsidR="00BE2613" w:rsidRPr="00656449">
        <w:t>rné škol</w:t>
      </w:r>
      <w:r w:rsidR="00BE2613">
        <w:t>y</w:t>
      </w:r>
      <w:r w:rsidR="00BE2613" w:rsidRPr="00656449">
        <w:t xml:space="preserve"> </w:t>
      </w:r>
      <w:r w:rsidR="00BE2613">
        <w:t xml:space="preserve">Ministerstva obrany </w:t>
      </w:r>
      <w:r w:rsidR="00BE2613" w:rsidRPr="00656449">
        <w:t>v </w:t>
      </w:r>
      <w:r w:rsidR="00BE2613">
        <w:t> </w:t>
      </w:r>
      <w:r w:rsidR="00BE2613" w:rsidRPr="00656449">
        <w:t>Moravské Třebové</w:t>
      </w:r>
      <w:r w:rsidR="00A34DAF">
        <w:t xml:space="preserve">. </w:t>
      </w:r>
      <w:r w:rsidR="00872DB5">
        <w:rPr>
          <w:bCs/>
          <w:iCs/>
        </w:rPr>
        <w:t>Obdobně je tomu i v případě učebních osnov pro posluchače a posluchačky základních důstojnických kurzů a</w:t>
      </w:r>
      <w:r w:rsidR="0038376C">
        <w:rPr>
          <w:bCs/>
          <w:iCs/>
        </w:rPr>
        <w:t xml:space="preserve"> kurzů pro nižší důstojníky </w:t>
      </w:r>
      <w:r>
        <w:rPr>
          <w:bCs/>
          <w:iCs/>
        </w:rPr>
        <w:t xml:space="preserve">s důstojnice </w:t>
      </w:r>
      <w:r w:rsidR="0038376C">
        <w:rPr>
          <w:bCs/>
          <w:iCs/>
        </w:rPr>
        <w:t>při </w:t>
      </w:r>
      <w:r w:rsidR="00872DB5">
        <w:rPr>
          <w:bCs/>
          <w:iCs/>
        </w:rPr>
        <w:t>U</w:t>
      </w:r>
      <w:r w:rsidR="00110493">
        <w:rPr>
          <w:bCs/>
          <w:iCs/>
        </w:rPr>
        <w:t>niverzitě obrany</w:t>
      </w:r>
      <w:r w:rsidR="00697B6A">
        <w:rPr>
          <w:bCs/>
          <w:iCs/>
        </w:rPr>
        <w:t xml:space="preserve">. </w:t>
      </w:r>
      <w:r w:rsidR="00872DB5">
        <w:rPr>
          <w:bCs/>
          <w:iCs/>
        </w:rPr>
        <w:t>V kurzu Generálního štábu AČR a kurzu vyšších důstojníků</w:t>
      </w:r>
      <w:r>
        <w:rPr>
          <w:bCs/>
          <w:iCs/>
        </w:rPr>
        <w:t xml:space="preserve"> a důstojnic</w:t>
      </w:r>
      <w:r w:rsidR="00C74D48">
        <w:rPr>
          <w:bCs/>
          <w:iCs/>
        </w:rPr>
        <w:t xml:space="preserve"> je prezentována tématika</w:t>
      </w:r>
      <w:r w:rsidR="00872DB5">
        <w:rPr>
          <w:bCs/>
          <w:iCs/>
        </w:rPr>
        <w:t xml:space="preserve"> „Gender a ozbrojené síly“</w:t>
      </w:r>
      <w:r w:rsidR="00A94099">
        <w:rPr>
          <w:bCs/>
          <w:iCs/>
        </w:rPr>
        <w:t xml:space="preserve"> rozsahu 2 hodin</w:t>
      </w:r>
      <w:r w:rsidR="00872DB5">
        <w:rPr>
          <w:bCs/>
          <w:iCs/>
        </w:rPr>
        <w:t xml:space="preserve">. </w:t>
      </w:r>
      <w:r w:rsidR="00A94099">
        <w:rPr>
          <w:bCs/>
          <w:iCs/>
        </w:rPr>
        <w:t xml:space="preserve">Totéž platí i pro kurz pro vyšší důstojníky </w:t>
      </w:r>
      <w:r w:rsidR="00C74D48">
        <w:rPr>
          <w:bCs/>
          <w:iCs/>
        </w:rPr>
        <w:t xml:space="preserve">a důstojnice </w:t>
      </w:r>
      <w:r w:rsidR="00A94099">
        <w:rPr>
          <w:bCs/>
          <w:iCs/>
        </w:rPr>
        <w:t xml:space="preserve">Vojenského zpravodajství. </w:t>
      </w:r>
    </w:p>
    <w:p w:rsidR="00872DB5" w:rsidRDefault="00872DB5" w:rsidP="00A94099">
      <w:pPr>
        <w:pStyle w:val="Zkladntext"/>
        <w:tabs>
          <w:tab w:val="left" w:pos="0"/>
        </w:tabs>
        <w:spacing w:before="120" w:after="0"/>
        <w:jc w:val="both"/>
        <w:rPr>
          <w:color w:val="000000"/>
        </w:rPr>
      </w:pPr>
      <w:r>
        <w:rPr>
          <w:bCs/>
          <w:iCs/>
        </w:rPr>
        <w:t xml:space="preserve">U </w:t>
      </w:r>
      <w:r>
        <w:rPr>
          <w:color w:val="000000"/>
        </w:rPr>
        <w:t>V</w:t>
      </w:r>
      <w:r w:rsidR="00110493">
        <w:rPr>
          <w:color w:val="000000"/>
        </w:rPr>
        <w:t>elitelství výcviku</w:t>
      </w:r>
      <w:r w:rsidR="00A34DAF">
        <w:rPr>
          <w:color w:val="000000"/>
        </w:rPr>
        <w:t>-</w:t>
      </w:r>
      <w:r w:rsidR="00EE79D9">
        <w:rPr>
          <w:color w:val="000000"/>
        </w:rPr>
        <w:t>Vojenské akademie ve Vyškově</w:t>
      </w:r>
      <w:r w:rsidR="00110493">
        <w:rPr>
          <w:color w:val="000000"/>
        </w:rPr>
        <w:t xml:space="preserve"> </w:t>
      </w:r>
      <w:r>
        <w:rPr>
          <w:color w:val="000000"/>
        </w:rPr>
        <w:t>je p</w:t>
      </w:r>
      <w:r w:rsidRPr="00A35700">
        <w:rPr>
          <w:color w:val="000000"/>
        </w:rPr>
        <w:t xml:space="preserve">roblematika </w:t>
      </w:r>
      <w:r>
        <w:rPr>
          <w:color w:val="000000"/>
        </w:rPr>
        <w:t xml:space="preserve">vzdělávání v oblasti </w:t>
      </w:r>
      <w:r w:rsidRPr="00A35700">
        <w:rPr>
          <w:color w:val="000000"/>
        </w:rPr>
        <w:t>lidských práv</w:t>
      </w:r>
      <w:r>
        <w:rPr>
          <w:color w:val="000000"/>
        </w:rPr>
        <w:t>, včetně nediskriminace n</w:t>
      </w:r>
      <w:r w:rsidR="0038376C">
        <w:rPr>
          <w:color w:val="000000"/>
        </w:rPr>
        <w:t>a základě pohlaví, začleněna do </w:t>
      </w:r>
      <w:r>
        <w:rPr>
          <w:color w:val="000000"/>
        </w:rPr>
        <w:t>kariérových kurzů (poddůstojnický kurz, základní praporčický kurz, vyšší praporčický kurz, základní důstojnický kurz, kurz nižších důstojníků</w:t>
      </w:r>
      <w:r w:rsidR="003B6C6E">
        <w:rPr>
          <w:color w:val="000000"/>
        </w:rPr>
        <w:t xml:space="preserve"> a důstojnic</w:t>
      </w:r>
      <w:r>
        <w:rPr>
          <w:color w:val="000000"/>
        </w:rPr>
        <w:t xml:space="preserve">). Další vzdělávací aktivity jsou u všech typů příprav vojáků a vojákyň součástí </w:t>
      </w:r>
      <w:r w:rsidRPr="006D6E0F">
        <w:rPr>
          <w:color w:val="000000"/>
        </w:rPr>
        <w:t>etických seminářů</w:t>
      </w:r>
      <w:r>
        <w:rPr>
          <w:color w:val="000000"/>
        </w:rPr>
        <w:t xml:space="preserve"> vedených příslušníky duchovní, psychologické a právní služby AČR. </w:t>
      </w:r>
    </w:p>
    <w:p w:rsidR="00872DB5" w:rsidRDefault="00872DB5" w:rsidP="00EF3309">
      <w:pPr>
        <w:pStyle w:val="Zkladntext"/>
        <w:tabs>
          <w:tab w:val="left" w:pos="0"/>
        </w:tabs>
        <w:spacing w:before="120" w:after="0"/>
        <w:jc w:val="both"/>
        <w:rPr>
          <w:color w:val="000000"/>
        </w:rPr>
      </w:pPr>
      <w:r>
        <w:rPr>
          <w:color w:val="000000"/>
        </w:rPr>
        <w:t>Vzdělávání v</w:t>
      </w:r>
      <w:r w:rsidR="00EF3309">
        <w:rPr>
          <w:color w:val="000000"/>
        </w:rPr>
        <w:t> genderové problematice s</w:t>
      </w:r>
      <w:r>
        <w:rPr>
          <w:color w:val="000000"/>
        </w:rPr>
        <w:t xml:space="preserve">tálého stavu </w:t>
      </w:r>
      <w:r w:rsidR="00D27133">
        <w:rPr>
          <w:color w:val="000000"/>
        </w:rPr>
        <w:t>Velitelství výcviku-</w:t>
      </w:r>
      <w:r w:rsidR="00110493">
        <w:rPr>
          <w:color w:val="000000"/>
        </w:rPr>
        <w:t xml:space="preserve">Vojenské akademie ve Vyškově </w:t>
      </w:r>
      <w:r>
        <w:rPr>
          <w:color w:val="000000"/>
        </w:rPr>
        <w:t xml:space="preserve">probíhalo formou povinného ročního školení (elektronická varianta), které bylo ukončeno závěrečným testem. Takto proškoleno a přezkoušeno bylo více než 91 % příslušníků </w:t>
      </w:r>
      <w:r w:rsidR="006D6E0F">
        <w:rPr>
          <w:color w:val="000000"/>
        </w:rPr>
        <w:t xml:space="preserve">a příslušnic </w:t>
      </w:r>
      <w:r w:rsidR="00D27133">
        <w:rPr>
          <w:color w:val="000000"/>
        </w:rPr>
        <w:t>Velitelství výcviku-</w:t>
      </w:r>
      <w:r w:rsidR="00110493">
        <w:rPr>
          <w:color w:val="000000"/>
        </w:rPr>
        <w:t xml:space="preserve">Vojenské akademie ve Vyškově </w:t>
      </w:r>
      <w:r>
        <w:rPr>
          <w:color w:val="000000"/>
        </w:rPr>
        <w:t xml:space="preserve">a jeho podřízených útvarů. </w:t>
      </w:r>
    </w:p>
    <w:p w:rsidR="00872DB5" w:rsidRDefault="00872DB5" w:rsidP="00697B6A">
      <w:pPr>
        <w:pStyle w:val="Odstavecseseznamem"/>
        <w:spacing w:before="120"/>
        <w:ind w:left="0"/>
        <w:jc w:val="both"/>
      </w:pPr>
      <w:r w:rsidRPr="00ED3363">
        <w:t>V rámci soustředěné přípravy personálu vysílaného do zahraničních misí je</w:t>
      </w:r>
      <w:r w:rsidR="00EF3309">
        <w:t xml:space="preserve"> agenda WPS</w:t>
      </w:r>
      <w:r w:rsidRPr="00ED3363">
        <w:t xml:space="preserve"> jednou z mnoha oblastí odborné přípravy a je </w:t>
      </w:r>
      <w:r>
        <w:t>za</w:t>
      </w:r>
      <w:r w:rsidRPr="00ED3363">
        <w:t>komponována do plánu výcviku každého vysílaného kontingentu. Současně s tím je vždy zohledněno především místo působení jednotky v operaci, a to z hlediska zvyků v místních komunitách obyvatelstva</w:t>
      </w:r>
      <w:r>
        <w:t xml:space="preserve"> a </w:t>
      </w:r>
      <w:r w:rsidRPr="00ED3363">
        <w:t xml:space="preserve">jejich náboženského vyznání. </w:t>
      </w:r>
    </w:p>
    <w:p w:rsidR="0038376C" w:rsidRDefault="00D27133" w:rsidP="002E4A2B">
      <w:pPr>
        <w:spacing w:before="120"/>
        <w:jc w:val="both"/>
      </w:pPr>
      <w:r>
        <w:rPr>
          <w:color w:val="000000"/>
        </w:rPr>
        <w:t>Velitelství výcviku-</w:t>
      </w:r>
      <w:r w:rsidR="00132310">
        <w:rPr>
          <w:color w:val="000000"/>
        </w:rPr>
        <w:t xml:space="preserve">Vojenské akademie ve Vyškově </w:t>
      </w:r>
      <w:r w:rsidR="00872DB5">
        <w:t xml:space="preserve">připravovalo </w:t>
      </w:r>
      <w:r w:rsidR="00872DB5" w:rsidRPr="005B3732">
        <w:t>také civilní zaměstnance</w:t>
      </w:r>
      <w:r>
        <w:t xml:space="preserve"> a </w:t>
      </w:r>
      <w:r w:rsidR="00E301ED">
        <w:t>zaměstnankyně</w:t>
      </w:r>
      <w:r w:rsidR="00872DB5" w:rsidRPr="005B3732">
        <w:t xml:space="preserve"> agentur v</w:t>
      </w:r>
      <w:r w:rsidR="00872DB5">
        <w:t xml:space="preserve"> </w:t>
      </w:r>
      <w:r w:rsidR="00872DB5" w:rsidRPr="005B3732">
        <w:t>organizační struktuře NATO</w:t>
      </w:r>
      <w:r w:rsidR="00872DB5" w:rsidRPr="00E3142B">
        <w:t xml:space="preserve"> </w:t>
      </w:r>
      <w:r w:rsidR="00872DB5" w:rsidRPr="00737BD5">
        <w:t>před vysláním do</w:t>
      </w:r>
      <w:r w:rsidR="00872DB5">
        <w:t xml:space="preserve"> zahraničních</w:t>
      </w:r>
      <w:r w:rsidR="00872DB5" w:rsidRPr="00737BD5">
        <w:t xml:space="preserve"> misí</w:t>
      </w:r>
      <w:r w:rsidR="00872DB5" w:rsidRPr="005B3732">
        <w:t>. Přípravný modul</w:t>
      </w:r>
      <w:r w:rsidR="00872DB5">
        <w:t xml:space="preserve"> </w:t>
      </w:r>
      <w:r w:rsidR="00872DB5" w:rsidRPr="005B3732">
        <w:t>obsah</w:t>
      </w:r>
      <w:r w:rsidR="00E301ED">
        <w:t>oval implementaci agendy WPS</w:t>
      </w:r>
      <w:r w:rsidR="00872DB5">
        <w:t>. Kurz proběhl ve 4 termínech. P</w:t>
      </w:r>
      <w:r w:rsidR="00872DB5" w:rsidRPr="005B3732">
        <w:t xml:space="preserve">rincipy rovnosti </w:t>
      </w:r>
      <w:r w:rsidR="00872DB5">
        <w:t>žen a </w:t>
      </w:r>
      <w:r w:rsidR="00872DB5" w:rsidRPr="005B3732">
        <w:t>mužů jsou v</w:t>
      </w:r>
      <w:r w:rsidR="00872DB5">
        <w:t xml:space="preserve"> tomto </w:t>
      </w:r>
      <w:r w:rsidR="00872DB5" w:rsidRPr="005B3732">
        <w:t>kurzu obsaženy i v</w:t>
      </w:r>
      <w:r w:rsidR="00872DB5">
        <w:t xml:space="preserve"> </w:t>
      </w:r>
      <w:r w:rsidR="00872DB5" w:rsidRPr="005B3732">
        <w:t>modulech kulturního povědomí, zdravotnické přípravy, jednání a vyjednávání a krizového m</w:t>
      </w:r>
      <w:r w:rsidR="00872DB5">
        <w:t xml:space="preserve">anagementu. Získané informace a </w:t>
      </w:r>
      <w:r w:rsidR="00872DB5" w:rsidRPr="005B3732">
        <w:t xml:space="preserve">nabyté znalosti </w:t>
      </w:r>
      <w:r w:rsidR="00872DB5">
        <w:t xml:space="preserve">jsou procvičeny a </w:t>
      </w:r>
      <w:r w:rsidR="00872DB5" w:rsidRPr="005B3732">
        <w:t>prohloubeny v</w:t>
      </w:r>
      <w:r w:rsidR="00132310">
        <w:t> </w:t>
      </w:r>
      <w:r w:rsidR="00872DB5" w:rsidRPr="005B3732">
        <w:t>praktických zaměstnáních</w:t>
      </w:r>
      <w:r w:rsidR="00872DB5">
        <w:t xml:space="preserve">. </w:t>
      </w:r>
      <w:r w:rsidR="00872DB5" w:rsidRPr="005B3732">
        <w:t>Problematik</w:t>
      </w:r>
      <w:r w:rsidR="00872DB5">
        <w:t>a</w:t>
      </w:r>
      <w:r w:rsidR="00872DB5" w:rsidRPr="005B3732">
        <w:t xml:space="preserve"> </w:t>
      </w:r>
      <w:r w:rsidR="00872DB5">
        <w:t xml:space="preserve">je vyučována v </w:t>
      </w:r>
      <w:r w:rsidR="00872DB5" w:rsidRPr="005B3732">
        <w:t>anglickém jazyce</w:t>
      </w:r>
      <w:r w:rsidR="00872DB5">
        <w:t>.</w:t>
      </w:r>
    </w:p>
    <w:p w:rsidR="0095399B" w:rsidRDefault="0095399B" w:rsidP="001F4DBA">
      <w:pPr>
        <w:jc w:val="both"/>
      </w:pPr>
    </w:p>
    <w:p w:rsidR="00FF2B6F" w:rsidRPr="003C6173" w:rsidRDefault="00FF2B6F" w:rsidP="001F4DBA">
      <w:pPr>
        <w:jc w:val="both"/>
      </w:pPr>
      <w:r>
        <w:t xml:space="preserve">Ve vztahu k agendě WPS </w:t>
      </w:r>
      <w:r w:rsidRPr="003C6173">
        <w:t>proběhla 4 školení konzulárních pracovníků</w:t>
      </w:r>
      <w:r>
        <w:t xml:space="preserve"> </w:t>
      </w:r>
      <w:r w:rsidR="008B5FDE">
        <w:t>a pracovnic k problematice</w:t>
      </w:r>
      <w:r>
        <w:t xml:space="preserve"> obchodu s lidmi</w:t>
      </w:r>
      <w:r w:rsidRPr="003C6173">
        <w:t xml:space="preserve">. Odbor bezpečnostní politiky a prevence kriminality </w:t>
      </w:r>
      <w:r>
        <w:t>Ministerstva vnitra dá</w:t>
      </w:r>
      <w:r w:rsidR="008B5FDE">
        <w:t>le ve spolupráci s EASO</w:t>
      </w:r>
      <w:r w:rsidR="0038376C">
        <w:t xml:space="preserve"> a </w:t>
      </w:r>
      <w:r>
        <w:t>Policií ČR realizoval </w:t>
      </w:r>
      <w:r w:rsidR="008B5FDE">
        <w:t xml:space="preserve">školení pro budoucí </w:t>
      </w:r>
      <w:r>
        <w:t>expertky a exper</w:t>
      </w:r>
      <w:r w:rsidR="008B5FDE">
        <w:t>tky</w:t>
      </w:r>
      <w:r>
        <w:t xml:space="preserve"> EASO, styčné pracovnice a pracovníky </w:t>
      </w:r>
      <w:r w:rsidRPr="003C6173">
        <w:t xml:space="preserve">vysílané do zemí zasažených migrační krizí a </w:t>
      </w:r>
      <w:r>
        <w:t xml:space="preserve">zaměstnankyně a </w:t>
      </w:r>
      <w:r w:rsidRPr="003C6173">
        <w:t>zaměstnance oddělení mezinárodní ochrany M</w:t>
      </w:r>
      <w:r>
        <w:t>inisterstva vnitra</w:t>
      </w:r>
      <w:r w:rsidRPr="003C6173">
        <w:t xml:space="preserve"> ČR.  Proběhlo také školení </w:t>
      </w:r>
      <w:r>
        <w:t xml:space="preserve">zaměstnankyň a </w:t>
      </w:r>
      <w:r w:rsidRPr="003C6173">
        <w:t>zaměstnanců Správy uprchlických zaříze</w:t>
      </w:r>
      <w:r w:rsidR="00B26E2A">
        <w:t>ní. Další školení a semináře na </w:t>
      </w:r>
      <w:r w:rsidRPr="003C6173">
        <w:t>národní i mezináro</w:t>
      </w:r>
      <w:r>
        <w:t>dní úrovni pořádala Národní centrála proti organizovanému zločinu</w:t>
      </w:r>
      <w:r w:rsidRPr="003C6173">
        <w:t>.</w:t>
      </w:r>
      <w:r>
        <w:t xml:space="preserve"> Genderová problematiky </w:t>
      </w:r>
      <w:r w:rsidRPr="008F70CF">
        <w:t>je</w:t>
      </w:r>
      <w:r>
        <w:t xml:space="preserve"> také</w:t>
      </w:r>
      <w:r w:rsidRPr="008F70CF">
        <w:t xml:space="preserve"> nedílnou součástí předvýjezdové pří</w:t>
      </w:r>
      <w:r>
        <w:t>pravy polici</w:t>
      </w:r>
      <w:r w:rsidR="00B26E2A">
        <w:t>stek a </w:t>
      </w:r>
      <w:r>
        <w:t>policistů pře</w:t>
      </w:r>
      <w:r w:rsidR="00B26E2A">
        <w:t>d vysláním na zahraniční mírové operace</w:t>
      </w:r>
      <w:r w:rsidRPr="008F70CF">
        <w:t xml:space="preserve"> a je plně v souladu s</w:t>
      </w:r>
      <w:r>
        <w:t xml:space="preserve"> koncepcemi </w:t>
      </w:r>
      <w:r w:rsidRPr="008F70CF">
        <w:t xml:space="preserve">EU a </w:t>
      </w:r>
      <w:r>
        <w:t>OSN.</w:t>
      </w:r>
    </w:p>
    <w:p w:rsidR="0038376C" w:rsidRPr="0038376C" w:rsidRDefault="00FF2B6F" w:rsidP="007E57A9">
      <w:pPr>
        <w:spacing w:before="120"/>
        <w:jc w:val="both"/>
        <w:rPr>
          <w:highlight w:val="yellow"/>
        </w:rPr>
      </w:pPr>
      <w:r>
        <w:t>V rámci diplomatické akademie Ministerstva zahraničních věcí proběhla v dubnu 2017 přednáška k agendě WPS za účasti genderové poradk</w:t>
      </w:r>
      <w:r w:rsidR="00033D69">
        <w:t>yně NATO paní Magdy Dvořákové a </w:t>
      </w:r>
      <w:r>
        <w:t xml:space="preserve">ředitele Informační kanceláře OSN pana Michala Broži. </w:t>
      </w:r>
    </w:p>
    <w:p w:rsidR="00A93D41" w:rsidRPr="00161C49" w:rsidRDefault="0038376C" w:rsidP="00A93D41">
      <w:pPr>
        <w:pBdr>
          <w:top w:val="single" w:sz="4" w:space="1" w:color="auto"/>
          <w:left w:val="single" w:sz="4" w:space="4" w:color="auto"/>
          <w:bottom w:val="single" w:sz="4" w:space="1" w:color="auto"/>
          <w:right w:val="single" w:sz="4" w:space="4" w:color="auto"/>
        </w:pBdr>
        <w:spacing w:before="120"/>
        <w:jc w:val="both"/>
      </w:pPr>
      <w:r>
        <w:lastRenderedPageBreak/>
        <w:t xml:space="preserve">Zastupitelské úřady hrají </w:t>
      </w:r>
      <w:r w:rsidR="00F7150F">
        <w:t xml:space="preserve">významnou roli při implementaci agendy WPS. Ve spolupráci s místními organizacemi identifikují okruhy možné spolupráce při řešení situace v konfliktních a postkonfliktních zemích. Systematické proškolování diplomatů a diplomatek vyjíždějících do těchto zemí v agendě WPS by napomohlo ke zkvalitnění analýz místní situace se zahrnutím genderového aspektu pro její řešení. </w:t>
      </w:r>
    </w:p>
    <w:p w:rsidR="00131B11" w:rsidRDefault="00131B11" w:rsidP="00CE49BE">
      <w:pPr>
        <w:pStyle w:val="Nadpis2"/>
        <w:spacing w:before="0"/>
      </w:pPr>
    </w:p>
    <w:p w:rsidR="007E57A9" w:rsidRDefault="007E57A9" w:rsidP="00CE49BE">
      <w:pPr>
        <w:pStyle w:val="Nadpis2"/>
        <w:spacing w:before="0"/>
      </w:pPr>
      <w:bookmarkStart w:id="13" w:name="_Toc514782403"/>
      <w:r>
        <w:t>Úkol č. 9</w:t>
      </w:r>
      <w:bookmarkEnd w:id="13"/>
      <w:r>
        <w:t xml:space="preserve">  </w:t>
      </w:r>
    </w:p>
    <w:p w:rsidR="002A2A72" w:rsidRPr="00D74B8C" w:rsidRDefault="00D74B8C" w:rsidP="00131B11">
      <w:pPr>
        <w:jc w:val="both"/>
        <w:rPr>
          <w:b/>
          <w:bCs/>
          <w:i/>
        </w:rPr>
      </w:pPr>
      <w:r>
        <w:rPr>
          <w:b/>
          <w:bCs/>
          <w:i/>
        </w:rPr>
        <w:t xml:space="preserve">Obecný cíl: </w:t>
      </w:r>
      <w:r w:rsidR="007E57A9" w:rsidRPr="00D74B8C">
        <w:rPr>
          <w:b/>
          <w:bCs/>
          <w:i/>
        </w:rPr>
        <w:t xml:space="preserve">Aktivní účast odborných zástupců a </w:t>
      </w:r>
      <w:r w:rsidR="0026277A">
        <w:rPr>
          <w:b/>
          <w:bCs/>
          <w:i/>
        </w:rPr>
        <w:t>zástupkyň MZV, MO, MV, vojáků a </w:t>
      </w:r>
      <w:r w:rsidR="007E57A9" w:rsidRPr="00D74B8C">
        <w:rPr>
          <w:b/>
          <w:bCs/>
          <w:i/>
        </w:rPr>
        <w:t>vojákyň na mezinárodních vzdělávacích akcích a konferencích k problematice WPS</w:t>
      </w:r>
      <w:r w:rsidR="00161C49">
        <w:rPr>
          <w:b/>
          <w:bCs/>
          <w:i/>
        </w:rPr>
        <w:t xml:space="preserve"> </w:t>
      </w:r>
      <w:r w:rsidR="00161C49">
        <w:rPr>
          <w:b/>
          <w:i/>
        </w:rPr>
        <w:t>(MO, MV/PP)</w:t>
      </w:r>
    </w:p>
    <w:p w:rsidR="00D74B8C" w:rsidRPr="00D74B8C" w:rsidRDefault="00D74B8C" w:rsidP="007E57A9">
      <w:pPr>
        <w:spacing w:before="120"/>
        <w:jc w:val="both"/>
        <w:rPr>
          <w:i/>
        </w:rPr>
      </w:pPr>
      <w:r w:rsidRPr="00D74B8C">
        <w:rPr>
          <w:i/>
        </w:rPr>
        <w:t>Úkol:</w:t>
      </w:r>
      <w:r w:rsidR="0095399B">
        <w:rPr>
          <w:i/>
        </w:rPr>
        <w:t xml:space="preserve"> </w:t>
      </w:r>
      <w:r w:rsidRPr="00D74B8C">
        <w:rPr>
          <w:bCs/>
          <w:i/>
        </w:rPr>
        <w:t>Podporovat účast odborných zástupců a zástupkyň MZV, MO, MV, vojáků a vojákyň AČR na mezinárodních vzdělávacích akcích a konferencích k problematice WPS</w:t>
      </w:r>
      <w:r w:rsidR="00FC6312">
        <w:rPr>
          <w:bCs/>
          <w:i/>
        </w:rPr>
        <w:t>.</w:t>
      </w:r>
    </w:p>
    <w:p w:rsidR="00D74B8C" w:rsidRPr="00D74B8C" w:rsidRDefault="00D74B8C" w:rsidP="00F34EDD">
      <w:pPr>
        <w:jc w:val="both"/>
        <w:rPr>
          <w:i/>
        </w:rPr>
      </w:pPr>
    </w:p>
    <w:p w:rsidR="00FF2B6F" w:rsidRPr="007414A9" w:rsidRDefault="00FF2B6F" w:rsidP="00F34EDD">
      <w:pPr>
        <w:jc w:val="both"/>
      </w:pPr>
      <w:r w:rsidRPr="006319A1">
        <w:t xml:space="preserve">Vzdělávací kurikulum úřadu EASO, jehož právním základem je článek 6 nařízení o úřadu EASO (nařízení č. 439/2010), je podpůrný nástroj, který členským státům umožňuje zvýšit kapacitu a kvalitu vnitrostátních azylových služeb a přispívá k implementaci společného evropského azylového systému. Portfolio vzdělávacího kurikula </w:t>
      </w:r>
      <w:r w:rsidR="002A2A72">
        <w:t>obsahuje celkem 21 vzdělávacích modulů </w:t>
      </w:r>
      <w:r w:rsidRPr="006319A1">
        <w:t>zaměřujících se na problematiku m</w:t>
      </w:r>
      <w:r w:rsidR="00742A96">
        <w:t>ezinárodní ochrany, mimo jiné i </w:t>
      </w:r>
      <w:r w:rsidRPr="006319A1">
        <w:t>školení zaměřené na gender</w:t>
      </w:r>
      <w:r w:rsidR="00F548B5">
        <w:t>ovou problematiku</w:t>
      </w:r>
      <w:r w:rsidRPr="006319A1">
        <w:t>, ob</w:t>
      </w:r>
      <w:r w:rsidR="00742A96">
        <w:t>chodování s lidmi, lidská práva a </w:t>
      </w:r>
      <w:r w:rsidR="00F548B5">
        <w:t>genderově podmíněné násilí</w:t>
      </w:r>
      <w:r w:rsidRPr="006319A1">
        <w:t xml:space="preserve">. V roce 2017 se školících modulů zúčastnilo celkem 17 </w:t>
      </w:r>
      <w:r>
        <w:t xml:space="preserve">odborných </w:t>
      </w:r>
      <w:r w:rsidR="00F548B5">
        <w:t xml:space="preserve">pracovníků </w:t>
      </w:r>
      <w:r w:rsidR="00742A96">
        <w:t xml:space="preserve">a pracovnic </w:t>
      </w:r>
      <w:r w:rsidR="00F548B5">
        <w:t>Ministerstva vnitra,</w:t>
      </w:r>
      <w:r>
        <w:t xml:space="preserve"> z toho 8 žen a 9 mužů.</w:t>
      </w:r>
      <w:r w:rsidR="002A2A72">
        <w:t> </w:t>
      </w:r>
      <w:r w:rsidRPr="007414A9">
        <w:t>Členové</w:t>
      </w:r>
      <w:r w:rsidR="00101BF7">
        <w:t xml:space="preserve"> a členky</w:t>
      </w:r>
      <w:r w:rsidRPr="007414A9">
        <w:t xml:space="preserve"> národního týmu E</w:t>
      </w:r>
      <w:r>
        <w:t>vropské pohr</w:t>
      </w:r>
      <w:r w:rsidR="00101BF7">
        <w:t xml:space="preserve">aniční a pobřežní stráže </w:t>
      </w:r>
      <w:r w:rsidRPr="007414A9">
        <w:t>se pravid</w:t>
      </w:r>
      <w:r w:rsidR="00101BF7">
        <w:t xml:space="preserve">elně účastní profilových kurzů, které </w:t>
      </w:r>
      <w:r w:rsidRPr="007414A9">
        <w:t>poskytuje agentura</w:t>
      </w:r>
      <w:r>
        <w:t xml:space="preserve"> F</w:t>
      </w:r>
      <w:r w:rsidR="00887FF0">
        <w:t>RONTEX</w:t>
      </w:r>
      <w:r>
        <w:t xml:space="preserve"> často ve spolupráci s p</w:t>
      </w:r>
      <w:r w:rsidRPr="007414A9">
        <w:t>a</w:t>
      </w:r>
      <w:r w:rsidR="00101BF7">
        <w:t>rtnerskými akademiemi. Z</w:t>
      </w:r>
      <w:r w:rsidRPr="007414A9">
        <w:t xml:space="preserve">ástupci a zástupkyně Police ČR pravidelně </w:t>
      </w:r>
      <w:r w:rsidR="00101BF7">
        <w:t xml:space="preserve">taktéž </w:t>
      </w:r>
      <w:r w:rsidRPr="007414A9">
        <w:t>účastní vzděl</w:t>
      </w:r>
      <w:r w:rsidR="00F548B5">
        <w:t>ávacích aktivit agentury FRONTEX</w:t>
      </w:r>
      <w:r w:rsidRPr="007414A9">
        <w:t>, které js</w:t>
      </w:r>
      <w:r>
        <w:t>ou tematicky zaměřené na ochran</w:t>
      </w:r>
      <w:r w:rsidRPr="007414A9">
        <w:t>u vnější hranice EU.</w:t>
      </w:r>
      <w:r w:rsidR="00101BF7">
        <w:t xml:space="preserve"> </w:t>
      </w:r>
    </w:p>
    <w:p w:rsidR="00544258" w:rsidRPr="002E4A2B" w:rsidRDefault="00C17212" w:rsidP="00EB3F5C">
      <w:pPr>
        <w:spacing w:before="120"/>
        <w:jc w:val="both"/>
      </w:pPr>
      <w:r>
        <w:t>V listopadu 2016 se zástupkyně Ministerstva zahraničních věcí zúčastnila konference k </w:t>
      </w:r>
      <w:r w:rsidRPr="009564EE">
        <w:t>agendě WPS v</w:t>
      </w:r>
      <w:r w:rsidR="00930FFB">
        <w:t> </w:t>
      </w:r>
      <w:r w:rsidRPr="009564EE">
        <w:t>Berlíně</w:t>
      </w:r>
      <w:r w:rsidR="00930FFB">
        <w:t xml:space="preserve"> </w:t>
      </w:r>
      <w:r w:rsidR="00101BF7">
        <w:t>na téma „</w:t>
      </w:r>
      <w:r w:rsidR="00930FFB" w:rsidRPr="00FD4FB3">
        <w:rPr>
          <w:i/>
          <w:lang w:val="en-AU"/>
        </w:rPr>
        <w:t>How to Accelerate an Implementation of the Women, Peace and Security Agenda</w:t>
      </w:r>
      <w:r w:rsidR="00930FFB" w:rsidRPr="00FD4FB3">
        <w:rPr>
          <w:i/>
        </w:rPr>
        <w:t>“</w:t>
      </w:r>
      <w:r w:rsidR="00930FFB">
        <w:t>, pořádanou německým předsednictvím v OBSE.</w:t>
      </w:r>
      <w:r w:rsidR="00F548B5">
        <w:t xml:space="preserve"> V list</w:t>
      </w:r>
      <w:r w:rsidR="00101BF7">
        <w:t>opadu 2017 se zástupce Ministerstva zahraničních věcí</w:t>
      </w:r>
      <w:r w:rsidR="00F548B5">
        <w:t xml:space="preserve"> zúčastnil v Bruselu dvoudenního semináře pořádaného ESVA k problematice agendy WPS.</w:t>
      </w:r>
    </w:p>
    <w:p w:rsidR="00D4453B" w:rsidRPr="00BE5F39" w:rsidRDefault="00D4453B" w:rsidP="00FB442B">
      <w:pPr>
        <w:pStyle w:val="Nadpis1"/>
        <w:numPr>
          <w:ilvl w:val="0"/>
          <w:numId w:val="34"/>
        </w:numPr>
      </w:pPr>
      <w:bookmarkStart w:id="14" w:name="_Toc514782404"/>
      <w:r w:rsidRPr="00BE5F39">
        <w:t>Mezinárodní spolupráce a prosazování problematiky WPS</w:t>
      </w:r>
      <w:bookmarkEnd w:id="14"/>
    </w:p>
    <w:p w:rsidR="0054599C" w:rsidRDefault="0054599C" w:rsidP="0054599C">
      <w:pPr>
        <w:jc w:val="both"/>
        <w:rPr>
          <w:b/>
        </w:rPr>
      </w:pPr>
    </w:p>
    <w:p w:rsidR="0054599C" w:rsidRDefault="0054599C" w:rsidP="00367D81">
      <w:pPr>
        <w:pStyle w:val="Nadpis2"/>
        <w:spacing w:before="0"/>
        <w:jc w:val="both"/>
      </w:pPr>
      <w:bookmarkStart w:id="15" w:name="_Toc514782405"/>
      <w:r>
        <w:t>Úkol č. 10</w:t>
      </w:r>
      <w:bookmarkEnd w:id="15"/>
      <w:r>
        <w:t xml:space="preserve"> </w:t>
      </w:r>
    </w:p>
    <w:p w:rsidR="0095399B" w:rsidRPr="00026490" w:rsidRDefault="00026490" w:rsidP="00367D81">
      <w:pPr>
        <w:jc w:val="both"/>
        <w:rPr>
          <w:b/>
          <w:i/>
        </w:rPr>
      </w:pPr>
      <w:r w:rsidRPr="00026490">
        <w:rPr>
          <w:b/>
          <w:i/>
        </w:rPr>
        <w:t xml:space="preserve">Obecný cíl: </w:t>
      </w:r>
      <w:r w:rsidR="0054599C" w:rsidRPr="00026490">
        <w:rPr>
          <w:b/>
          <w:i/>
        </w:rPr>
        <w:t>I nadále integrovat genderovou dimenzi</w:t>
      </w:r>
      <w:r w:rsidR="0054599C" w:rsidRPr="00026490">
        <w:rPr>
          <w:b/>
          <w:i/>
          <w:color w:val="C00000"/>
        </w:rPr>
        <w:t xml:space="preserve"> </w:t>
      </w:r>
      <w:r w:rsidR="0054599C" w:rsidRPr="00026490">
        <w:rPr>
          <w:b/>
          <w:i/>
        </w:rPr>
        <w:t>do zahraniční politiky ČR</w:t>
      </w:r>
      <w:r w:rsidR="00FB442B">
        <w:rPr>
          <w:b/>
          <w:i/>
        </w:rPr>
        <w:t xml:space="preserve"> (MZV)</w:t>
      </w:r>
    </w:p>
    <w:p w:rsidR="00844376" w:rsidRDefault="00026490" w:rsidP="0021237C">
      <w:pPr>
        <w:jc w:val="both"/>
        <w:rPr>
          <w:i/>
        </w:rPr>
      </w:pPr>
      <w:r>
        <w:rPr>
          <w:i/>
        </w:rPr>
        <w:t xml:space="preserve">Úkol: </w:t>
      </w:r>
      <w:r w:rsidR="00844376" w:rsidRPr="00844376">
        <w:rPr>
          <w:i/>
        </w:rPr>
        <w:t>Při formulování zahraniční politiky ČR zohledňovat genderovou dimenzi včetně problematiky WPS</w:t>
      </w:r>
      <w:r w:rsidR="00DD320A">
        <w:rPr>
          <w:i/>
        </w:rPr>
        <w:t>.</w:t>
      </w:r>
    </w:p>
    <w:p w:rsidR="0021237C" w:rsidRPr="00844376" w:rsidRDefault="0021237C" w:rsidP="0021237C">
      <w:pPr>
        <w:jc w:val="both"/>
        <w:rPr>
          <w:i/>
        </w:rPr>
      </w:pPr>
    </w:p>
    <w:p w:rsidR="003A1C37" w:rsidRDefault="00362CA2" w:rsidP="00437599">
      <w:pPr>
        <w:jc w:val="both"/>
        <w:rPr>
          <w:i/>
        </w:rPr>
      </w:pPr>
      <w:r w:rsidRPr="001D3279">
        <w:t>Ochrana lidských práv a základních svobod spolu s pod</w:t>
      </w:r>
      <w:r>
        <w:t>porou demokracie patří ke stěžejním</w:t>
      </w:r>
      <w:r w:rsidRPr="001D3279">
        <w:t xml:space="preserve"> </w:t>
      </w:r>
      <w:r>
        <w:t>cílům zahran</w:t>
      </w:r>
      <w:r w:rsidR="00367D81">
        <w:t xml:space="preserve">iční politiky České republiky. </w:t>
      </w:r>
      <w:r w:rsidRPr="009B496A">
        <w:rPr>
          <w:i/>
        </w:rPr>
        <w:t>Koncepce zahraniční politiky</w:t>
      </w:r>
      <w:r w:rsidRPr="009B496A">
        <w:rPr>
          <w:b/>
        </w:rPr>
        <w:t xml:space="preserve"> </w:t>
      </w:r>
      <w:r w:rsidRPr="009B496A">
        <w:rPr>
          <w:i/>
        </w:rPr>
        <w:t>České republiky</w:t>
      </w:r>
      <w:r w:rsidRPr="009B496A">
        <w:t xml:space="preserve"> schválená vládou dne 13. července 2015</w:t>
      </w:r>
      <w:r w:rsidR="00367D81">
        <w:t xml:space="preserve">, v sekci 4.3 </w:t>
      </w:r>
      <w:r>
        <w:t>Li</w:t>
      </w:r>
      <w:r w:rsidR="00367D81">
        <w:t xml:space="preserve">dská důstojnost a lidská práva </w:t>
      </w:r>
      <w:r>
        <w:t>stanoví:</w:t>
      </w:r>
      <w:r w:rsidRPr="009B496A">
        <w:t xml:space="preserve"> </w:t>
      </w:r>
      <w:r>
        <w:t>„</w:t>
      </w:r>
      <w:r w:rsidRPr="009B496A">
        <w:rPr>
          <w:i/>
        </w:rPr>
        <w:t>Česká republika bude rovněž usilovat o celosv</w:t>
      </w:r>
      <w:r>
        <w:rPr>
          <w:i/>
        </w:rPr>
        <w:t>ětové posílení postavení žen ve </w:t>
      </w:r>
      <w:r w:rsidRPr="009B496A">
        <w:rPr>
          <w:i/>
        </w:rPr>
        <w:t>společnosti. Ačkoli tato podpora bude zpravidla součástí obecné podpory lidských práv, bude se ČR touto agendou aktivněji profilovat v rámci OSN, neboť ji pokládá za závažný celosvětový problém, který nelze redukovat na otázky lidskoprávní či rozvojové. ČR se zvláště zaměří na otázky spojené s účastí žen na veřejném životě.</w:t>
      </w:r>
      <w:r>
        <w:rPr>
          <w:i/>
        </w:rPr>
        <w:t>“</w:t>
      </w:r>
    </w:p>
    <w:p w:rsidR="00437599" w:rsidRDefault="00437599" w:rsidP="00437599">
      <w:pPr>
        <w:jc w:val="both"/>
        <w:rPr>
          <w:i/>
        </w:rPr>
      </w:pPr>
    </w:p>
    <w:p w:rsidR="00362CA2" w:rsidRDefault="00362CA2" w:rsidP="00437599">
      <w:pPr>
        <w:jc w:val="both"/>
      </w:pPr>
      <w:r w:rsidRPr="00EB74EC">
        <w:rPr>
          <w:i/>
        </w:rPr>
        <w:t>Koncepce podpory lidských práv a transformační spolupráce</w:t>
      </w:r>
      <w:r>
        <w:rPr>
          <w:b/>
        </w:rPr>
        <w:t xml:space="preserve"> </w:t>
      </w:r>
      <w:r w:rsidRPr="001D3279">
        <w:t>uvádí jako jednu z tematických priorit rovnost a nediskriminaci, ve které je explicitně zahrnuta i ro</w:t>
      </w:r>
      <w:r>
        <w:t xml:space="preserve">vnost žen a mužů. Koncepce mj. stanoví, že </w:t>
      </w:r>
      <w:r w:rsidRPr="00437599">
        <w:rPr>
          <w:b/>
        </w:rPr>
        <w:t xml:space="preserve">Česká republika bude v mezinárodních organizacích </w:t>
      </w:r>
      <w:r w:rsidRPr="00437599">
        <w:rPr>
          <w:b/>
        </w:rPr>
        <w:lastRenderedPageBreak/>
        <w:t>podporovat rovné příležitosti mužů a žen, ekonomickou samostatn</w:t>
      </w:r>
      <w:r w:rsidR="00A049F2" w:rsidRPr="00437599">
        <w:rPr>
          <w:b/>
        </w:rPr>
        <w:t>ost žen a jejich participaci na </w:t>
      </w:r>
      <w:r w:rsidRPr="00437599">
        <w:rPr>
          <w:b/>
        </w:rPr>
        <w:t>politickém a veřejném životě</w:t>
      </w:r>
      <w:r w:rsidRPr="001D3279">
        <w:t>; na jednáních OSN bude akt</w:t>
      </w:r>
      <w:r w:rsidR="00A049F2">
        <w:t>ivně vystupovat proti násilí na </w:t>
      </w:r>
      <w:r w:rsidRPr="001D3279">
        <w:t>ženách a</w:t>
      </w:r>
      <w:r>
        <w:t> </w:t>
      </w:r>
      <w:r w:rsidR="00A049F2">
        <w:t xml:space="preserve">dívkách, včetně </w:t>
      </w:r>
      <w:r w:rsidRPr="001D3279">
        <w:t>sexuálního násilí v ozbrojených konfliktech. V rámci politiky podpory lidských práv a transformač</w:t>
      </w:r>
      <w:r w:rsidR="00FF5F80">
        <w:t>ní spolupráce ČR podpoří zvyšování zapojení žen do z</w:t>
      </w:r>
      <w:r w:rsidRPr="001D3279">
        <w:t>veřejného rozhodování na všech úr</w:t>
      </w:r>
      <w:r>
        <w:t>ovních, což je potvrzeno v prioritě</w:t>
      </w:r>
      <w:r w:rsidRPr="001D3279">
        <w:t xml:space="preserve"> č. 4 „podpora rovné p</w:t>
      </w:r>
      <w:r>
        <w:t>olitické a veřejné participace“</w:t>
      </w:r>
      <w:r w:rsidRPr="001D3279">
        <w:t xml:space="preserve">. </w:t>
      </w:r>
    </w:p>
    <w:p w:rsidR="00362CA2" w:rsidRDefault="00362CA2" w:rsidP="00362CA2">
      <w:pPr>
        <w:jc w:val="both"/>
      </w:pPr>
    </w:p>
    <w:p w:rsidR="0098365D" w:rsidRDefault="00FF5F80" w:rsidP="0054599C">
      <w:pPr>
        <w:jc w:val="both"/>
      </w:pPr>
      <w:r>
        <w:t>Posílení postavení žen, g</w:t>
      </w:r>
      <w:r w:rsidR="0098365D">
        <w:t>enderová</w:t>
      </w:r>
      <w:r>
        <w:t xml:space="preserve"> rovnost</w:t>
      </w:r>
      <w:r w:rsidR="0098365D">
        <w:t xml:space="preserve"> a problematika WPS je součástí r</w:t>
      </w:r>
      <w:r w:rsidR="0098365D" w:rsidRPr="00527CE5">
        <w:t>elevantní</w:t>
      </w:r>
      <w:r w:rsidR="0098365D">
        <w:t>ch</w:t>
      </w:r>
      <w:r w:rsidR="0098365D" w:rsidRPr="00527CE5">
        <w:t xml:space="preserve"> strategick</w:t>
      </w:r>
      <w:r w:rsidR="0098365D">
        <w:t>ých</w:t>
      </w:r>
      <w:r w:rsidR="0098365D" w:rsidRPr="00527CE5">
        <w:t xml:space="preserve"> a koncepční</w:t>
      </w:r>
      <w:r w:rsidR="0098365D">
        <w:t>ch</w:t>
      </w:r>
      <w:r w:rsidR="0098365D" w:rsidRPr="00527CE5">
        <w:t xml:space="preserve"> dokument</w:t>
      </w:r>
      <w:r w:rsidR="0098365D">
        <w:t>ů</w:t>
      </w:r>
      <w:r w:rsidR="00DC5852">
        <w:t xml:space="preserve"> v gesci odboru rozvojové spolupráce Ministerstva zahraničních věcí</w:t>
      </w:r>
      <w:r w:rsidR="0098365D" w:rsidRPr="00527CE5">
        <w:t>.</w:t>
      </w:r>
      <w:r w:rsidR="0098365D">
        <w:t xml:space="preserve"> V případě </w:t>
      </w:r>
      <w:r w:rsidR="0098365D" w:rsidRPr="00527CE5">
        <w:rPr>
          <w:i/>
        </w:rPr>
        <w:t>Strategie zahraniční rozvojové spolupráce České republiky 2018-2030</w:t>
      </w:r>
      <w:r w:rsidR="0098365D" w:rsidRPr="002C6137">
        <w:t>,</w:t>
      </w:r>
      <w:r w:rsidR="0098365D">
        <w:t xml:space="preserve"> kterou vláda schválila usnesením č. 591 z 21. srpna 2017, byla tato dimenze zohledněna jak v části zabývající se rozv</w:t>
      </w:r>
      <w:r w:rsidR="00A049F2">
        <w:t>ojovou spoluprací,</w:t>
      </w:r>
      <w:r w:rsidR="0098365D">
        <w:t xml:space="preserve"> tak v části dokumentu pojednávající o humanitární pomoci.</w:t>
      </w:r>
      <w:r w:rsidR="003A1C37">
        <w:rPr>
          <w:b/>
        </w:rPr>
        <w:t xml:space="preserve"> </w:t>
      </w:r>
      <w:r w:rsidR="0098365D">
        <w:t>V oblasti zahraniční rozvojové spolupr</w:t>
      </w:r>
      <w:r w:rsidR="00437599">
        <w:t>áce představuje gen</w:t>
      </w:r>
      <w:r w:rsidR="00CC2B2E">
        <w:t>d</w:t>
      </w:r>
      <w:r w:rsidR="00437599">
        <w:t xml:space="preserve">erová rovnost </w:t>
      </w:r>
      <w:r w:rsidR="0098365D">
        <w:t>jedno z průřezových témat. Strategie proto uvádí odhodlání ČR „</w:t>
      </w:r>
      <w:r w:rsidR="0098365D" w:rsidRPr="00112BB6">
        <w:rPr>
          <w:i/>
        </w:rPr>
        <w:t>klást důraz na rozvoj (…) genderové rovnosti a posílení postavení žen a dívek</w:t>
      </w:r>
      <w:r w:rsidR="0098365D">
        <w:t>“, a to „</w:t>
      </w:r>
      <w:r w:rsidR="0098365D" w:rsidRPr="00112BB6">
        <w:rPr>
          <w:i/>
        </w:rPr>
        <w:t>v partnerských zemích i v mezinárodních organizacích</w:t>
      </w:r>
      <w:r w:rsidR="0098365D">
        <w:t>“.</w:t>
      </w:r>
      <w:r w:rsidR="003A1C37">
        <w:rPr>
          <w:b/>
        </w:rPr>
        <w:t xml:space="preserve"> </w:t>
      </w:r>
      <w:r w:rsidR="0098365D">
        <w:t>Pokud jde o poskytování humanitární pomoci, která zejména souvisí s agendou WPS, Strategie uvádí vedle j</w:t>
      </w:r>
      <w:r w:rsidR="00387CCB">
        <w:t xml:space="preserve">iných priorit také zaměření na </w:t>
      </w:r>
      <w:r w:rsidR="0098365D" w:rsidRPr="00387CCB">
        <w:t>ochranu žen a dětí proti násilí i podvýživě v krizových situacích.</w:t>
      </w:r>
      <w:r w:rsidR="003A1C37">
        <w:rPr>
          <w:b/>
        </w:rPr>
        <w:t> </w:t>
      </w:r>
      <w:r w:rsidR="00387CCB">
        <w:t xml:space="preserve"> </w:t>
      </w:r>
    </w:p>
    <w:p w:rsidR="00026490" w:rsidRDefault="00026490" w:rsidP="0054599C">
      <w:pPr>
        <w:jc w:val="both"/>
        <w:rPr>
          <w:b/>
        </w:rPr>
      </w:pPr>
    </w:p>
    <w:p w:rsidR="009A639F" w:rsidRDefault="009A639F" w:rsidP="00CC4879">
      <w:pPr>
        <w:pStyle w:val="Nadpis2"/>
        <w:spacing w:before="0"/>
      </w:pPr>
      <w:bookmarkStart w:id="16" w:name="_Toc514782406"/>
      <w:r w:rsidRPr="005E561B">
        <w:t>Úkol č. 11</w:t>
      </w:r>
      <w:bookmarkEnd w:id="16"/>
    </w:p>
    <w:p w:rsidR="009A639F" w:rsidRPr="00026490" w:rsidRDefault="00026490" w:rsidP="00CC4879">
      <w:pPr>
        <w:jc w:val="both"/>
        <w:rPr>
          <w:b/>
          <w:i/>
        </w:rPr>
      </w:pPr>
      <w:r>
        <w:rPr>
          <w:b/>
          <w:i/>
        </w:rPr>
        <w:t xml:space="preserve">Obecný cíl: </w:t>
      </w:r>
      <w:r w:rsidR="009A639F" w:rsidRPr="00026490">
        <w:rPr>
          <w:b/>
          <w:i/>
        </w:rPr>
        <w:t>Podpora agencií OSN v implementaci problematiky WPS</w:t>
      </w:r>
      <w:r w:rsidR="00DD320A">
        <w:rPr>
          <w:b/>
          <w:i/>
        </w:rPr>
        <w:t xml:space="preserve"> (MZV)</w:t>
      </w:r>
    </w:p>
    <w:p w:rsidR="00CE30CF" w:rsidRDefault="00CE30CF" w:rsidP="00CC4879">
      <w:pPr>
        <w:jc w:val="both"/>
      </w:pPr>
    </w:p>
    <w:p w:rsidR="00AE12D1" w:rsidRPr="00873546" w:rsidRDefault="00873546" w:rsidP="00CE30CF">
      <w:pPr>
        <w:jc w:val="both"/>
        <w:rPr>
          <w:i/>
        </w:rPr>
      </w:pPr>
      <w:r>
        <w:rPr>
          <w:i/>
        </w:rPr>
        <w:t xml:space="preserve">Úkol: </w:t>
      </w:r>
      <w:r w:rsidRPr="00873546">
        <w:rPr>
          <w:i/>
        </w:rPr>
        <w:t>Podpora činnosti OSN, zejména UN WOMEN mj. pr</w:t>
      </w:r>
      <w:r w:rsidR="00CC4879">
        <w:rPr>
          <w:i/>
        </w:rPr>
        <w:t>avidelným hrazením příspěvku na </w:t>
      </w:r>
      <w:r w:rsidRPr="00873546">
        <w:rPr>
          <w:i/>
        </w:rPr>
        <w:t>činnos</w:t>
      </w:r>
      <w:r w:rsidR="00DD320A">
        <w:rPr>
          <w:i/>
        </w:rPr>
        <w:t>t organizace.</w:t>
      </w:r>
      <w:r w:rsidRPr="00873546">
        <w:rPr>
          <w:i/>
        </w:rPr>
        <w:t xml:space="preserve"> </w:t>
      </w:r>
    </w:p>
    <w:p w:rsidR="00026490" w:rsidRDefault="00026490" w:rsidP="00CE30CF">
      <w:pPr>
        <w:jc w:val="both"/>
      </w:pPr>
      <w:r w:rsidRPr="00101F28">
        <w:rPr>
          <w:sz w:val="20"/>
          <w:szCs w:val="20"/>
        </w:rPr>
        <w:t xml:space="preserve"> </w:t>
      </w:r>
      <w:r>
        <w:rPr>
          <w:sz w:val="20"/>
          <w:szCs w:val="20"/>
        </w:rPr>
        <w:t xml:space="preserve"> </w:t>
      </w:r>
    </w:p>
    <w:p w:rsidR="00CE30CF" w:rsidRPr="007E4CFC" w:rsidRDefault="00914FDD" w:rsidP="00CE30CF">
      <w:pPr>
        <w:jc w:val="both"/>
      </w:pPr>
      <w:r>
        <w:t>ČR v roce 2017</w:t>
      </w:r>
      <w:r w:rsidR="00CE30CF" w:rsidRPr="007E4CFC">
        <w:t xml:space="preserve"> finančně podpořila </w:t>
      </w:r>
      <w:r w:rsidR="00873546" w:rsidRPr="00A049F2">
        <w:rPr>
          <w:b/>
        </w:rPr>
        <w:t>United Nations Entity for Gender Equality and the Empowerment of Women (UN WOMEN)</w:t>
      </w:r>
      <w:r w:rsidRPr="00A049F2">
        <w:rPr>
          <w:b/>
        </w:rPr>
        <w:t xml:space="preserve"> příspěvkem 400 tis</w:t>
      </w:r>
      <w:r w:rsidRPr="00CC4879">
        <w:rPr>
          <w:b/>
        </w:rPr>
        <w:t>. Kč</w:t>
      </w:r>
      <w:r>
        <w:t xml:space="preserve">. </w:t>
      </w:r>
      <w:r w:rsidR="00D953FD">
        <w:t xml:space="preserve">Pravidelný příspěvek UN WOMEN poskytuje ČR od roku </w:t>
      </w:r>
      <w:r w:rsidR="00873546" w:rsidRPr="00BD28C4">
        <w:t>2014</w:t>
      </w:r>
      <w:r w:rsidR="00D953FD" w:rsidRPr="00BD28C4">
        <w:t>.</w:t>
      </w:r>
      <w:r w:rsidR="00D953FD">
        <w:t xml:space="preserve"> Rozhodnutím ministra zahraničních věcí bylo stanoveno, že ČR bude poskytovat dobrovolný příspěvek UN WOMEN v min. výši 30</w:t>
      </w:r>
      <w:r w:rsidR="00CC4879">
        <w:t xml:space="preserve">0 tis. </w:t>
      </w:r>
      <w:r w:rsidR="00D953FD">
        <w:t xml:space="preserve">do roku 2023, kdy ČR hodlá kandidovat do Komise OSN pro postavení žen. </w:t>
      </w:r>
    </w:p>
    <w:p w:rsidR="001C2532" w:rsidRPr="00E06B8D" w:rsidRDefault="00AF05FE" w:rsidP="00B7771E">
      <w:pPr>
        <w:spacing w:before="120"/>
        <w:jc w:val="both"/>
        <w:rPr>
          <w:b/>
        </w:rPr>
      </w:pPr>
      <w:r w:rsidRPr="00A049F2">
        <w:rPr>
          <w:b/>
        </w:rPr>
        <w:t>ČR je členem organizačního výboru Komise OSN pro budování</w:t>
      </w:r>
      <w:r>
        <w:t xml:space="preserve"> </w:t>
      </w:r>
      <w:r w:rsidRPr="00A049F2">
        <w:rPr>
          <w:b/>
        </w:rPr>
        <w:t>míru</w:t>
      </w:r>
      <w:r>
        <w:t>, čímž se v</w:t>
      </w:r>
      <w:r w:rsidR="00BC7A33">
        <w:t>ýznamně podílí na její činnosti.</w:t>
      </w:r>
      <w:r>
        <w:t xml:space="preserve"> </w:t>
      </w:r>
      <w:r w:rsidR="00BC7A33">
        <w:t>Z</w:t>
      </w:r>
      <w:r w:rsidR="00201A6E">
        <w:t xml:space="preserve"> </w:t>
      </w:r>
      <w:r w:rsidR="00201A6E" w:rsidRPr="001F4681">
        <w:t>Fondu pro budování míru</w:t>
      </w:r>
      <w:r w:rsidR="00201A6E">
        <w:t xml:space="preserve">, do kterého ČR od r. 2005 poskytla </w:t>
      </w:r>
      <w:r w:rsidR="00BC7A33">
        <w:t>příspěvky v celkové výši 356</w:t>
      </w:r>
      <w:r w:rsidR="00BC7A33" w:rsidRPr="001F4681">
        <w:t xml:space="preserve"> tis. USD</w:t>
      </w:r>
      <w:r w:rsidR="00BC7A33">
        <w:t>, jsou financovány mj. projekty na posílen</w:t>
      </w:r>
      <w:r w:rsidR="00873546">
        <w:t>í postavení žen při budování míru</w:t>
      </w:r>
      <w:r w:rsidR="00BC7A33">
        <w:t xml:space="preserve"> v šesti </w:t>
      </w:r>
      <w:r w:rsidR="00873546">
        <w:t xml:space="preserve">vybraných </w:t>
      </w:r>
      <w:r w:rsidR="00BC7A33">
        <w:t>zemíc</w:t>
      </w:r>
      <w:r w:rsidR="00914FDD">
        <w:t xml:space="preserve">h: </w:t>
      </w:r>
      <w:r w:rsidR="00BC7A33" w:rsidRPr="001F4681">
        <w:t>Burundi, Sierra Leone, Guinea-Bissau, Středoafri</w:t>
      </w:r>
      <w:r w:rsidR="00914FDD">
        <w:t>cká republika, Libérie a Guinea</w:t>
      </w:r>
      <w:r w:rsidR="00BC7A33" w:rsidRPr="001F4681">
        <w:t xml:space="preserve">. </w:t>
      </w:r>
      <w:r w:rsidR="00BC7A33">
        <w:t>V roce 2017 byla ukončena činnost konfigurace PBC pro Guineu.</w:t>
      </w:r>
    </w:p>
    <w:p w:rsidR="008C7410" w:rsidRDefault="00D17F5A" w:rsidP="008C7410">
      <w:pPr>
        <w:spacing w:before="120"/>
        <w:jc w:val="both"/>
      </w:pPr>
      <w:r w:rsidRPr="00A049F2">
        <w:rPr>
          <w:b/>
        </w:rPr>
        <w:t xml:space="preserve">ČR v roce 2017 </w:t>
      </w:r>
      <w:r w:rsidR="000050A5" w:rsidRPr="00A049F2">
        <w:rPr>
          <w:b/>
        </w:rPr>
        <w:t>podpořila finančním příspěvkem ve výši 1300 tis. Kč Úřad</w:t>
      </w:r>
      <w:r w:rsidR="00E06B8D" w:rsidRPr="00A049F2">
        <w:rPr>
          <w:b/>
        </w:rPr>
        <w:t xml:space="preserve"> vysoké</w:t>
      </w:r>
      <w:r w:rsidR="000050A5" w:rsidRPr="00A049F2">
        <w:rPr>
          <w:b/>
        </w:rPr>
        <w:t>ho komisaře</w:t>
      </w:r>
      <w:r w:rsidR="00E06B8D" w:rsidRPr="00A049F2">
        <w:rPr>
          <w:b/>
        </w:rPr>
        <w:t xml:space="preserve"> pro lidská práva</w:t>
      </w:r>
      <w:r w:rsidR="00C137E2" w:rsidRPr="00A049F2">
        <w:rPr>
          <w:b/>
        </w:rPr>
        <w:t>.</w:t>
      </w:r>
      <w:r w:rsidR="00C137E2">
        <w:t xml:space="preserve"> </w:t>
      </w:r>
      <w:r w:rsidR="0047311C">
        <w:t xml:space="preserve">ČR taktéž přispěla částkou 1400 tis. Kč do Třetího svěřeneckého fondu pro Jordánsko. </w:t>
      </w:r>
      <w:r w:rsidR="0047311C" w:rsidRPr="0047311C">
        <w:t>Česko-norský svěřenecký fond představuje vlajkovou loď NATO při impl</w:t>
      </w:r>
      <w:r w:rsidR="008C7410">
        <w:t>ementaci agendy WPS</w:t>
      </w:r>
      <w:r w:rsidR="0047311C">
        <w:t>.</w:t>
      </w:r>
    </w:p>
    <w:p w:rsidR="008C7410" w:rsidRDefault="008C7410" w:rsidP="00D04A50">
      <w:pPr>
        <w:jc w:val="both"/>
      </w:pPr>
    </w:p>
    <w:p w:rsidR="00D4453B" w:rsidRDefault="00D4453B" w:rsidP="00D04A50">
      <w:pPr>
        <w:pStyle w:val="Nadpis2"/>
        <w:spacing w:before="0"/>
      </w:pPr>
      <w:bookmarkStart w:id="17" w:name="_Toc514782407"/>
      <w:r w:rsidRPr="00A93D41">
        <w:t>Úkol č. 12</w:t>
      </w:r>
      <w:bookmarkEnd w:id="17"/>
    </w:p>
    <w:p w:rsidR="007612DE" w:rsidRDefault="007612DE" w:rsidP="00D04A50">
      <w:pPr>
        <w:jc w:val="both"/>
        <w:rPr>
          <w:b/>
          <w:i/>
        </w:rPr>
      </w:pPr>
      <w:r w:rsidRPr="007612DE">
        <w:rPr>
          <w:b/>
          <w:i/>
        </w:rPr>
        <w:t xml:space="preserve">Obecný cíl: </w:t>
      </w:r>
      <w:r w:rsidR="00D4453B" w:rsidRPr="007612DE">
        <w:rPr>
          <w:b/>
          <w:i/>
        </w:rPr>
        <w:t>Spolupráce a předávání informací mezi partnerskými zeměmi o problematice WPS</w:t>
      </w:r>
      <w:r w:rsidR="00DD320A">
        <w:rPr>
          <w:b/>
          <w:i/>
        </w:rPr>
        <w:t xml:space="preserve"> (MO, MV/PP, MZV)</w:t>
      </w:r>
    </w:p>
    <w:p w:rsidR="002E0B0D" w:rsidRDefault="002E0B0D" w:rsidP="00D4453B">
      <w:pPr>
        <w:jc w:val="both"/>
        <w:rPr>
          <w:b/>
          <w:i/>
        </w:rPr>
      </w:pPr>
    </w:p>
    <w:p w:rsidR="007612DE" w:rsidRPr="00D17F5A" w:rsidRDefault="007612DE" w:rsidP="007612DE">
      <w:pPr>
        <w:jc w:val="both"/>
        <w:rPr>
          <w:i/>
        </w:rPr>
      </w:pPr>
      <w:r w:rsidRPr="00D17F5A">
        <w:rPr>
          <w:i/>
        </w:rPr>
        <w:t xml:space="preserve">Úkoly: </w:t>
      </w:r>
    </w:p>
    <w:p w:rsidR="007612DE" w:rsidRPr="007612DE" w:rsidRDefault="007612DE" w:rsidP="007612DE">
      <w:pPr>
        <w:pStyle w:val="Odstavecseseznamem"/>
        <w:numPr>
          <w:ilvl w:val="0"/>
          <w:numId w:val="10"/>
        </w:numPr>
        <w:jc w:val="both"/>
        <w:rPr>
          <w:i/>
        </w:rPr>
      </w:pPr>
      <w:r w:rsidRPr="007612DE">
        <w:rPr>
          <w:i/>
        </w:rPr>
        <w:t>Předávání informací o agendě WPS mezi partnery v rámci EU, NATO, OBSE a OSN</w:t>
      </w:r>
      <w:r w:rsidR="00A049F2">
        <w:rPr>
          <w:i/>
        </w:rPr>
        <w:t>;</w:t>
      </w:r>
      <w:r w:rsidRPr="007612DE">
        <w:rPr>
          <w:i/>
        </w:rPr>
        <w:t xml:space="preserve">  </w:t>
      </w:r>
    </w:p>
    <w:p w:rsidR="007612DE" w:rsidRPr="007612DE" w:rsidRDefault="00A049F2" w:rsidP="007612DE">
      <w:pPr>
        <w:pStyle w:val="Odstavecseseznamem"/>
        <w:numPr>
          <w:ilvl w:val="0"/>
          <w:numId w:val="10"/>
        </w:numPr>
        <w:jc w:val="both"/>
        <w:rPr>
          <w:i/>
        </w:rPr>
      </w:pPr>
      <w:r>
        <w:rPr>
          <w:i/>
        </w:rPr>
        <w:t>v</w:t>
      </w:r>
      <w:r w:rsidR="007612DE" w:rsidRPr="007612DE">
        <w:rPr>
          <w:i/>
        </w:rPr>
        <w:t>ěnovat pozornost a včasně implementovat závazky vzešlé z dokumentů</w:t>
      </w:r>
      <w:r w:rsidR="0034727A">
        <w:rPr>
          <w:i/>
        </w:rPr>
        <w:t xml:space="preserve"> přijímaných k problematice WPS;</w:t>
      </w:r>
    </w:p>
    <w:p w:rsidR="007612DE" w:rsidRPr="007612DE" w:rsidRDefault="0034727A" w:rsidP="007612DE">
      <w:pPr>
        <w:pStyle w:val="Odstavecseseznamem"/>
        <w:numPr>
          <w:ilvl w:val="0"/>
          <w:numId w:val="10"/>
        </w:numPr>
        <w:jc w:val="both"/>
        <w:rPr>
          <w:i/>
        </w:rPr>
      </w:pPr>
      <w:r>
        <w:rPr>
          <w:i/>
        </w:rPr>
        <w:t>a</w:t>
      </w:r>
      <w:r w:rsidR="007612DE" w:rsidRPr="007612DE">
        <w:rPr>
          <w:i/>
        </w:rPr>
        <w:t>ktivní účast při tvorbě koncepčních materiálů k problematice WPS na úrovni EU, účast na jednáních EU Task Force UNSCR 1325</w:t>
      </w:r>
      <w:r>
        <w:rPr>
          <w:i/>
        </w:rPr>
        <w:t>;</w:t>
      </w:r>
    </w:p>
    <w:p w:rsidR="007612DE" w:rsidRPr="007612DE" w:rsidRDefault="00A049F2" w:rsidP="007612DE">
      <w:pPr>
        <w:pStyle w:val="Odstavecseseznamem"/>
        <w:numPr>
          <w:ilvl w:val="0"/>
          <w:numId w:val="10"/>
        </w:numPr>
        <w:jc w:val="both"/>
        <w:rPr>
          <w:i/>
        </w:rPr>
      </w:pPr>
      <w:r>
        <w:rPr>
          <w:i/>
        </w:rPr>
        <w:lastRenderedPageBreak/>
        <w:t>a</w:t>
      </w:r>
      <w:r w:rsidR="007612DE" w:rsidRPr="007612DE">
        <w:rPr>
          <w:i/>
        </w:rPr>
        <w:t>ktivní spolupráce s Výborem NATO pro genderové perspektivy (NCGP) a armádami ostatních ČS NATO</w:t>
      </w:r>
      <w:r w:rsidR="0034727A">
        <w:rPr>
          <w:i/>
        </w:rPr>
        <w:t>.</w:t>
      </w:r>
    </w:p>
    <w:p w:rsidR="00E06B8D" w:rsidRDefault="00E06B8D" w:rsidP="00D4453B">
      <w:pPr>
        <w:jc w:val="both"/>
        <w:rPr>
          <w:i/>
        </w:rPr>
      </w:pPr>
    </w:p>
    <w:p w:rsidR="00E06B8D" w:rsidRDefault="00E06B8D" w:rsidP="00E06B8D">
      <w:pPr>
        <w:jc w:val="both"/>
        <w:rPr>
          <w:bCs/>
        </w:rPr>
      </w:pPr>
      <w:r>
        <w:rPr>
          <w:bCs/>
        </w:rPr>
        <w:t>Platformou pro koordinaci agendy WPS mezi EU, členský</w:t>
      </w:r>
      <w:r w:rsidR="004564A4">
        <w:rPr>
          <w:bCs/>
        </w:rPr>
        <w:t xml:space="preserve">mi státy EU, NATO, OBSE, </w:t>
      </w:r>
      <w:r>
        <w:rPr>
          <w:bCs/>
        </w:rPr>
        <w:t>UN W</w:t>
      </w:r>
      <w:r w:rsidR="005D24FF">
        <w:rPr>
          <w:bCs/>
        </w:rPr>
        <w:t>OMEN</w:t>
      </w:r>
      <w:r>
        <w:rPr>
          <w:bCs/>
        </w:rPr>
        <w:t xml:space="preserve"> a nevládním sektorem je </w:t>
      </w:r>
      <w:r w:rsidRPr="005D24FF">
        <w:rPr>
          <w:b/>
          <w:bCs/>
        </w:rPr>
        <w:t>Task Force EU k r</w:t>
      </w:r>
      <w:r w:rsidR="004A3C4A">
        <w:rPr>
          <w:b/>
          <w:bCs/>
        </w:rPr>
        <w:t>ezoluci Rady bezpečnosti OSN č. </w:t>
      </w:r>
      <w:r w:rsidRPr="005D24FF">
        <w:rPr>
          <w:b/>
          <w:bCs/>
        </w:rPr>
        <w:t>1325</w:t>
      </w:r>
      <w:r>
        <w:rPr>
          <w:bCs/>
        </w:rPr>
        <w:t xml:space="preserve">  - </w:t>
      </w:r>
      <w:r w:rsidRPr="00D17F5A">
        <w:rPr>
          <w:bCs/>
          <w:i/>
        </w:rPr>
        <w:t>The EU Informal Task Force on UNSCR 1325</w:t>
      </w:r>
      <w:r w:rsidRPr="00D17F5A">
        <w:rPr>
          <w:bCs/>
        </w:rPr>
        <w:t>,</w:t>
      </w:r>
      <w:r>
        <w:rPr>
          <w:bCs/>
        </w:rPr>
        <w:t xml:space="preserve"> který se pod vedením hlavní poradkyně EU pro gender a rezoluci 1325 Mary Marinaki schází </w:t>
      </w:r>
      <w:r w:rsidR="002E0B0D">
        <w:rPr>
          <w:bCs/>
        </w:rPr>
        <w:t>třikrát</w:t>
      </w:r>
      <w:r>
        <w:rPr>
          <w:bCs/>
        </w:rPr>
        <w:t xml:space="preserve"> ročně. Předmětem jednání je výměna zkušeností při implementaci agendy WPS a podpora při přijímání národních akčních plánů jednotlivými čle</w:t>
      </w:r>
      <w:r w:rsidR="004A3C4A">
        <w:rPr>
          <w:bCs/>
        </w:rPr>
        <w:t>nskými státy EU. ČR</w:t>
      </w:r>
      <w:r>
        <w:rPr>
          <w:bCs/>
        </w:rPr>
        <w:t xml:space="preserve"> je členem Ta</w:t>
      </w:r>
      <w:r w:rsidR="004A3C4A">
        <w:rPr>
          <w:bCs/>
        </w:rPr>
        <w:t>sk Force a </w:t>
      </w:r>
      <w:r w:rsidR="002E0B0D">
        <w:rPr>
          <w:bCs/>
        </w:rPr>
        <w:t>aktivně se podílí na </w:t>
      </w:r>
      <w:r>
        <w:rPr>
          <w:bCs/>
        </w:rPr>
        <w:t xml:space="preserve">jeho činnosti. </w:t>
      </w:r>
      <w:r w:rsidR="00A818C3">
        <w:rPr>
          <w:bCs/>
        </w:rPr>
        <w:t>V rámci jednání Task Force ČR prezentovala přijetí AP k agendě WPS.</w:t>
      </w:r>
      <w:r w:rsidR="00CB2ADE">
        <w:rPr>
          <w:bCs/>
        </w:rPr>
        <w:t xml:space="preserve"> </w:t>
      </w:r>
    </w:p>
    <w:p w:rsidR="00CB2ADE" w:rsidRDefault="00CB2ADE" w:rsidP="00E06B8D">
      <w:pPr>
        <w:jc w:val="both"/>
        <w:rPr>
          <w:bCs/>
        </w:rPr>
      </w:pPr>
    </w:p>
    <w:p w:rsidR="00CB2ADE" w:rsidRPr="00CB2ADE" w:rsidRDefault="00CB2ADE" w:rsidP="00E06B8D">
      <w:pPr>
        <w:jc w:val="both"/>
        <w:rPr>
          <w:bCs/>
        </w:rPr>
      </w:pPr>
      <w:r>
        <w:rPr>
          <w:bCs/>
        </w:rPr>
        <w:t xml:space="preserve">Na úrovni EU se </w:t>
      </w:r>
      <w:r w:rsidR="005D24FF">
        <w:rPr>
          <w:bCs/>
        </w:rPr>
        <w:t>ČR</w:t>
      </w:r>
      <w:r>
        <w:rPr>
          <w:bCs/>
        </w:rPr>
        <w:t xml:space="preserve"> podílela na revizi dokumentu </w:t>
      </w:r>
      <w:r w:rsidRPr="004A02BC">
        <w:rPr>
          <w:bCs/>
          <w:i/>
          <w:lang w:val="en-US"/>
        </w:rPr>
        <w:t>„Comprehensive approach to the EU implementation of the United Nations Security Council Resolutions 1325 and 1820 on women, peace and security“</w:t>
      </w:r>
      <w:r>
        <w:rPr>
          <w:bCs/>
          <w:i/>
          <w:lang w:val="en-US"/>
        </w:rPr>
        <w:t xml:space="preserve">. </w:t>
      </w:r>
      <w:r w:rsidRPr="009A6EC9">
        <w:rPr>
          <w:bCs/>
        </w:rPr>
        <w:t>Nadále pokračují snahy o uchopení gend</w:t>
      </w:r>
      <w:r w:rsidR="005D24FF">
        <w:rPr>
          <w:bCs/>
        </w:rPr>
        <w:t>erově problematiky jako celku, což by mělo znamenat i konsolidaci dokumentů upravujících gen</w:t>
      </w:r>
      <w:r w:rsidR="00077263">
        <w:rPr>
          <w:bCs/>
        </w:rPr>
        <w:t>d</w:t>
      </w:r>
      <w:r w:rsidR="005D24FF">
        <w:rPr>
          <w:bCs/>
        </w:rPr>
        <w:t>erovou problematiku (</w:t>
      </w:r>
      <w:r w:rsidR="00834386" w:rsidRPr="00747CBB">
        <w:rPr>
          <w:bCs/>
          <w:i/>
        </w:rPr>
        <w:t>Gender Action Plan</w:t>
      </w:r>
      <w:r w:rsidR="00834386" w:rsidRPr="009A6EC9">
        <w:rPr>
          <w:bCs/>
        </w:rPr>
        <w:t xml:space="preserve"> </w:t>
      </w:r>
      <w:r w:rsidR="005D24FF">
        <w:rPr>
          <w:bCs/>
        </w:rPr>
        <w:t xml:space="preserve">a </w:t>
      </w:r>
      <w:r w:rsidR="005D24FF" w:rsidRPr="005D24FF">
        <w:rPr>
          <w:bCs/>
          <w:i/>
        </w:rPr>
        <w:t>Comprehensive approach</w:t>
      </w:r>
      <w:r w:rsidR="005D24FF">
        <w:rPr>
          <w:bCs/>
        </w:rPr>
        <w:t>)</w:t>
      </w:r>
      <w:r w:rsidR="00834386" w:rsidRPr="009A6EC9">
        <w:rPr>
          <w:bCs/>
        </w:rPr>
        <w:t xml:space="preserve"> do jednoho </w:t>
      </w:r>
      <w:r w:rsidR="005D24FF">
        <w:rPr>
          <w:bCs/>
        </w:rPr>
        <w:t xml:space="preserve">uceleného </w:t>
      </w:r>
      <w:r w:rsidR="00834386" w:rsidRPr="009A6EC9">
        <w:rPr>
          <w:bCs/>
        </w:rPr>
        <w:t>dokumentu pokrývajícího genderovou agendu</w:t>
      </w:r>
      <w:r w:rsidR="004A3C4A">
        <w:rPr>
          <w:bCs/>
        </w:rPr>
        <w:t xml:space="preserve"> v celém jejím rozsahu</w:t>
      </w:r>
      <w:r w:rsidR="00834386">
        <w:rPr>
          <w:bCs/>
          <w:lang w:val="en-US"/>
        </w:rPr>
        <w:t>.</w:t>
      </w:r>
    </w:p>
    <w:p w:rsidR="00A11D5D" w:rsidRDefault="00A11D5D" w:rsidP="00E06B8D">
      <w:pPr>
        <w:jc w:val="both"/>
        <w:rPr>
          <w:bCs/>
        </w:rPr>
      </w:pPr>
    </w:p>
    <w:p w:rsidR="00A93D41" w:rsidRPr="00A93D41" w:rsidRDefault="002E0B0D" w:rsidP="00D4453B">
      <w:pPr>
        <w:jc w:val="both"/>
        <w:rPr>
          <w:bCs/>
          <w:kern w:val="32"/>
        </w:rPr>
      </w:pPr>
      <w:r w:rsidRPr="005D24FF">
        <w:rPr>
          <w:b/>
          <w:bCs/>
          <w:kern w:val="32"/>
        </w:rPr>
        <w:t xml:space="preserve">ČR je </w:t>
      </w:r>
      <w:r w:rsidR="00A11D5D" w:rsidRPr="005D24FF">
        <w:rPr>
          <w:b/>
          <w:bCs/>
          <w:kern w:val="32"/>
        </w:rPr>
        <w:t>členem celosvětové sítě kontaktních míst k agendě WPS</w:t>
      </w:r>
      <w:r w:rsidR="00A11D5D">
        <w:rPr>
          <w:bCs/>
          <w:kern w:val="32"/>
        </w:rPr>
        <w:t xml:space="preserve">, která vznikla z iniciativy Španělska na 71. zasedání Valného shromáždění OSN v září 2016. Zástupkyně ČR se zúčastnila </w:t>
      </w:r>
      <w:r w:rsidR="009A6EC9">
        <w:rPr>
          <w:bCs/>
          <w:kern w:val="32"/>
        </w:rPr>
        <w:t xml:space="preserve">1. </w:t>
      </w:r>
      <w:r w:rsidR="00A11D5D">
        <w:rPr>
          <w:bCs/>
          <w:kern w:val="32"/>
        </w:rPr>
        <w:t xml:space="preserve">zasedání </w:t>
      </w:r>
      <w:r w:rsidR="009A6EC9">
        <w:rPr>
          <w:bCs/>
          <w:kern w:val="32"/>
        </w:rPr>
        <w:t xml:space="preserve">celosvětové sítě kontaktních míst k agendě WPS </w:t>
      </w:r>
      <w:r w:rsidR="00A11D5D">
        <w:rPr>
          <w:bCs/>
          <w:kern w:val="32"/>
        </w:rPr>
        <w:t>v Alicante</w:t>
      </w:r>
      <w:r w:rsidR="00A93D41">
        <w:rPr>
          <w:bCs/>
          <w:kern w:val="32"/>
        </w:rPr>
        <w:t xml:space="preserve">, které proběhlo v dubnu 2017. </w:t>
      </w:r>
    </w:p>
    <w:p w:rsidR="00271D8A" w:rsidRDefault="003933AD" w:rsidP="00461734">
      <w:pPr>
        <w:spacing w:before="120"/>
        <w:jc w:val="both"/>
        <w:rPr>
          <w:b/>
        </w:rPr>
      </w:pPr>
      <w:r>
        <w:rPr>
          <w:bCs/>
        </w:rPr>
        <w:t>Rezort Ministerstva obrany</w:t>
      </w:r>
      <w:r w:rsidR="00461734" w:rsidRPr="00322682">
        <w:rPr>
          <w:bCs/>
        </w:rPr>
        <w:t xml:space="preserve"> byl v listopadu 2017 zastoupen na </w:t>
      </w:r>
      <w:r w:rsidR="00461734">
        <w:rPr>
          <w:bCs/>
        </w:rPr>
        <w:t xml:space="preserve">zasedání </w:t>
      </w:r>
      <w:r w:rsidR="00461734" w:rsidRPr="00322682">
        <w:rPr>
          <w:bCs/>
        </w:rPr>
        <w:t xml:space="preserve">OSN ve Vancouveru. Na </w:t>
      </w:r>
      <w:r w:rsidR="00461734">
        <w:rPr>
          <w:bCs/>
        </w:rPr>
        <w:t xml:space="preserve">tomto </w:t>
      </w:r>
      <w:r w:rsidR="00461734" w:rsidRPr="00322682">
        <w:rPr>
          <w:bCs/>
        </w:rPr>
        <w:t xml:space="preserve">jednání </w:t>
      </w:r>
      <w:r w:rsidR="00461734" w:rsidRPr="00322682">
        <w:t>byly</w:t>
      </w:r>
      <w:r w:rsidR="002E0B0D">
        <w:t xml:space="preserve"> průřezově diskutovány mj.</w:t>
      </w:r>
      <w:r w:rsidR="00461734" w:rsidRPr="00322682">
        <w:t xml:space="preserve"> iniciativy na zvýšení počtu žen v misích OSN, posílení role žen v mírotvorných procesech, boj proti s</w:t>
      </w:r>
      <w:r w:rsidR="003B0C57">
        <w:t>exuálnímu zneužívání a </w:t>
      </w:r>
      <w:r w:rsidR="00461734" w:rsidRPr="00322682">
        <w:t>vykořisťování ze strany příslušníků OSN a boj pro</w:t>
      </w:r>
      <w:r w:rsidR="003B0C57">
        <w:t>ti sexuálnímu násilí páchaném v </w:t>
      </w:r>
      <w:r w:rsidR="00461734" w:rsidRPr="00322682">
        <w:t>souvislosti s ozbrojeným ko</w:t>
      </w:r>
      <w:r w:rsidR="003B0C57">
        <w:t xml:space="preserve">nfliktem. Během zasedání </w:t>
      </w:r>
      <w:r w:rsidR="00461734" w:rsidRPr="00207319">
        <w:t xml:space="preserve">oznámilo </w:t>
      </w:r>
      <w:r w:rsidR="003B0C57" w:rsidRPr="00207319">
        <w:t>26 zemí</w:t>
      </w:r>
      <w:r w:rsidR="003B0C57" w:rsidRPr="00322682">
        <w:t xml:space="preserve"> </w:t>
      </w:r>
      <w:r w:rsidR="00461734" w:rsidRPr="00322682">
        <w:t>záměr integrovat více žen d</w:t>
      </w:r>
      <w:r w:rsidR="004A3C4A">
        <w:t>o misí OSN. B</w:t>
      </w:r>
      <w:r w:rsidR="00461734" w:rsidRPr="00322682">
        <w:t xml:space="preserve">yla vytvořena tzv. </w:t>
      </w:r>
      <w:r w:rsidR="00461734" w:rsidRPr="004A3C4A">
        <w:rPr>
          <w:b/>
        </w:rPr>
        <w:t>Women, Peace and Security Chiefs of Defence Network s cílem mezinárodně prosazovat navýšení počtu žen v misích OSN.</w:t>
      </w:r>
    </w:p>
    <w:p w:rsidR="009A1F5D" w:rsidRPr="00271D8A" w:rsidRDefault="009A1F5D" w:rsidP="00271D8A">
      <w:pPr>
        <w:jc w:val="both"/>
        <w:rPr>
          <w:b/>
        </w:rPr>
      </w:pPr>
      <w:r w:rsidRPr="009A1F5D">
        <w:t xml:space="preserve">  </w:t>
      </w:r>
      <w:r w:rsidR="0015078F">
        <w:t xml:space="preserve"> </w:t>
      </w:r>
    </w:p>
    <w:p w:rsidR="00271D8A" w:rsidRPr="000B1781" w:rsidRDefault="000B1781" w:rsidP="00271D8A">
      <w:pPr>
        <w:jc w:val="both"/>
        <w:rPr>
          <w:color w:val="000000" w:themeColor="text1"/>
        </w:rPr>
      </w:pPr>
      <w:r>
        <w:t xml:space="preserve">Přijetím </w:t>
      </w:r>
      <w:r>
        <w:rPr>
          <w:i/>
        </w:rPr>
        <w:t>Systémového</w:t>
      </w:r>
      <w:r w:rsidR="00271D8A" w:rsidRPr="00D4453B">
        <w:rPr>
          <w:i/>
        </w:rPr>
        <w:t xml:space="preserve"> rám</w:t>
      </w:r>
      <w:r>
        <w:rPr>
          <w:i/>
        </w:rPr>
        <w:t>ce</w:t>
      </w:r>
      <w:r w:rsidR="00271D8A" w:rsidRPr="00D4453B">
        <w:rPr>
          <w:i/>
        </w:rPr>
        <w:t xml:space="preserve"> pro zapojo</w:t>
      </w:r>
      <w:r w:rsidR="00A91EC4">
        <w:rPr>
          <w:i/>
        </w:rPr>
        <w:t>vání sil a prostředků rezortu Ministerstva obrany</w:t>
      </w:r>
      <w:r w:rsidR="00271D8A" w:rsidRPr="00D4453B">
        <w:rPr>
          <w:i/>
        </w:rPr>
        <w:t xml:space="preserve"> do misí OSN</w:t>
      </w:r>
      <w:r>
        <w:rPr>
          <w:i/>
        </w:rPr>
        <w:t xml:space="preserve"> </w:t>
      </w:r>
      <w:r w:rsidRPr="000B1781">
        <w:t xml:space="preserve">se </w:t>
      </w:r>
      <w:r>
        <w:t>Ministerstvo obrany zavázalo podp</w:t>
      </w:r>
      <w:r w:rsidR="0097696F">
        <w:t>orovat účast žen v misích OSN a </w:t>
      </w:r>
      <w:r>
        <w:t>implementovat genderovou politiku OSN v misích OSN. I přesto, že stále důsledněji uplatňovaná genderová politika OSN je velkou výzvou, z hlediska zapojování do misí OSN je ambicí Ministerstva obrany</w:t>
      </w:r>
      <w:r w:rsidR="00A91EC4">
        <w:t xml:space="preserve"> dosáhnout v období 2020-2025 schopnosti zajistit odpovídající účast žen v kurzech, přípravě a v rámci působení v OSN.</w:t>
      </w:r>
    </w:p>
    <w:p w:rsidR="002E0B0D" w:rsidRDefault="00B62C20" w:rsidP="00461734">
      <w:pPr>
        <w:spacing w:before="120"/>
        <w:jc w:val="both"/>
      </w:pPr>
      <w:r w:rsidRPr="000B1781">
        <w:t xml:space="preserve">V rámci </w:t>
      </w:r>
      <w:r w:rsidR="00461387" w:rsidRPr="000B1781">
        <w:t xml:space="preserve">bilaterální agendy proběhlo dne 15. 3. </w:t>
      </w:r>
      <w:r w:rsidR="002E0B0D" w:rsidRPr="000B1781">
        <w:t>2017 jednání zástupců rezortu Minis</w:t>
      </w:r>
      <w:r w:rsidR="002E0B0D">
        <w:t>terstva obrany</w:t>
      </w:r>
      <w:r w:rsidR="00461387">
        <w:t xml:space="preserve"> se zástupci izraelského parlamentu, přičemž o</w:t>
      </w:r>
      <w:r w:rsidR="00E33B82">
        <w:t xml:space="preserve">ficiálním tématem jednání bylo </w:t>
      </w:r>
      <w:r w:rsidR="00461387">
        <w:t>postavení žen v mezinárodních organizacích</w:t>
      </w:r>
      <w:r w:rsidR="00E33B82">
        <w:t>.</w:t>
      </w:r>
    </w:p>
    <w:p w:rsidR="00A93D41" w:rsidRDefault="006C1EA2" w:rsidP="00A93D41">
      <w:pPr>
        <w:spacing w:before="120"/>
        <w:jc w:val="both"/>
      </w:pPr>
      <w:r w:rsidRPr="008723AB">
        <w:t xml:space="preserve">Pokračovala </w:t>
      </w:r>
      <w:r w:rsidR="003B0C57">
        <w:t>činnost</w:t>
      </w:r>
      <w:r w:rsidRPr="008723AB">
        <w:t xml:space="preserve"> stálé delegátky </w:t>
      </w:r>
      <w:r w:rsidR="00887448">
        <w:t>AČR v</w:t>
      </w:r>
      <w:r w:rsidRPr="008723AB">
        <w:t>e Výboru NATO p</w:t>
      </w:r>
      <w:r w:rsidR="003B0C57">
        <w:t>ro genderové perspektivy</w:t>
      </w:r>
      <w:r w:rsidRPr="008723AB">
        <w:t>.</w:t>
      </w:r>
      <w:r w:rsidRPr="008723AB">
        <w:rPr>
          <w:color w:val="FF0000"/>
        </w:rPr>
        <w:t xml:space="preserve"> </w:t>
      </w:r>
      <w:r w:rsidRPr="008723AB">
        <w:t xml:space="preserve">Obsahem této spolupráce byla především participace </w:t>
      </w:r>
      <w:r w:rsidR="003B0C57">
        <w:t>na tvorbě odborných dokumentů a </w:t>
      </w:r>
      <w:r w:rsidRPr="008723AB">
        <w:t xml:space="preserve">sdílení zkušeností v dané problematice. V hodnoceném období se </w:t>
      </w:r>
      <w:r>
        <w:t xml:space="preserve">delegátka </w:t>
      </w:r>
      <w:r w:rsidRPr="008723AB">
        <w:t xml:space="preserve">zúčastnila konference Výboru </w:t>
      </w:r>
      <w:r w:rsidR="00E33B82">
        <w:t xml:space="preserve">s názvem </w:t>
      </w:r>
      <w:r w:rsidRPr="00E33B82">
        <w:rPr>
          <w:i/>
        </w:rPr>
        <w:t>„Bez stereotypů – integrace gen</w:t>
      </w:r>
      <w:r w:rsidR="0042504D">
        <w:rPr>
          <w:i/>
        </w:rPr>
        <w:t>d</w:t>
      </w:r>
      <w:r w:rsidRPr="00E33B82">
        <w:rPr>
          <w:i/>
        </w:rPr>
        <w:t>erových hledisek do projektování stability“</w:t>
      </w:r>
      <w:r w:rsidRPr="006541A3">
        <w:t xml:space="preserve">. </w:t>
      </w:r>
    </w:p>
    <w:p w:rsidR="00B458B5" w:rsidRDefault="00B458B5" w:rsidP="00A93D41">
      <w:pPr>
        <w:spacing w:before="120"/>
        <w:jc w:val="both"/>
      </w:pPr>
      <w:r w:rsidRPr="008023F9">
        <w:t>Každoročně jsou zpracovávány podklady do výměnné informa</w:t>
      </w:r>
      <w:r w:rsidR="003B0C57">
        <w:t xml:space="preserve">ce OBSE ke Kodexu chování </w:t>
      </w:r>
      <w:r w:rsidRPr="008023F9">
        <w:t>v politicko-vojenských aspektech bezpečnosti. Její součástí je i problematika rovnosti žen a mužů.</w:t>
      </w:r>
      <w:r>
        <w:t xml:space="preserve"> </w:t>
      </w:r>
    </w:p>
    <w:p w:rsidR="00A93D41" w:rsidRDefault="00D953FD" w:rsidP="006C1EA2">
      <w:pPr>
        <w:spacing w:before="120"/>
        <w:jc w:val="both"/>
      </w:pPr>
      <w:r w:rsidRPr="00A93D41">
        <w:t>Odbor bezpečnostní politiky a prevence kriminality Ministerstva vnitra spolupracoval s Evrop</w:t>
      </w:r>
      <w:r w:rsidR="00FE2EE9">
        <w:t>ským azylovým podpůrným úřadem EASO</w:t>
      </w:r>
      <w:r w:rsidRPr="00A93D41">
        <w:t xml:space="preserve"> na realizaci šk</w:t>
      </w:r>
      <w:r w:rsidR="0015078F">
        <w:t xml:space="preserve">olení týkajících se agendy </w:t>
      </w:r>
      <w:r w:rsidR="0015078F">
        <w:lastRenderedPageBreak/>
        <w:t xml:space="preserve">WPS. </w:t>
      </w:r>
      <w:r w:rsidRPr="00A93D41">
        <w:t>Výměna předmětných informací mezi zaintere</w:t>
      </w:r>
      <w:r w:rsidR="00FE2EE9">
        <w:t>sovanými zeměmi dále probíhá po </w:t>
      </w:r>
      <w:r w:rsidRPr="00A93D41">
        <w:t>pracovní úrovni v rámci vysílán</w:t>
      </w:r>
      <w:r w:rsidR="003B0C57">
        <w:t>í expertů a </w:t>
      </w:r>
      <w:r w:rsidRPr="00A93D41">
        <w:t>expertek do služeb agen</w:t>
      </w:r>
      <w:r w:rsidR="00574432">
        <w:t>tury EASO, agentury FRONTEX a do</w:t>
      </w:r>
      <w:r w:rsidRPr="00A93D41">
        <w:t xml:space="preserve"> zahraniční</w:t>
      </w:r>
      <w:r w:rsidR="00574432">
        <w:t>ch mírových operací</w:t>
      </w:r>
      <w:r w:rsidRPr="00A93D41">
        <w:t>. V rámci Regionálních programů rozvoje je udržován aktivní kontakt se všemi zainteresovanými stranami – státy, mezinárodními institucemi a neziskovými organizacemi.</w:t>
      </w:r>
      <w:r>
        <w:t> </w:t>
      </w:r>
      <w:r w:rsidR="003933AD">
        <w:t xml:space="preserve"> </w:t>
      </w:r>
    </w:p>
    <w:p w:rsidR="00FE2EE9" w:rsidRDefault="00925595" w:rsidP="008406F6">
      <w:pPr>
        <w:spacing w:before="120"/>
        <w:jc w:val="both"/>
      </w:pPr>
      <w:r>
        <w:t>Uspořádáním společného semi</w:t>
      </w:r>
      <w:r w:rsidR="00FE2EE9">
        <w:t xml:space="preserve">náře </w:t>
      </w:r>
      <w:r w:rsidR="00F33F3F">
        <w:t xml:space="preserve">Ministerstva zahraničních věcí a Ústavu mezinárodních vztahů </w:t>
      </w:r>
      <w:r w:rsidR="00FE2EE9">
        <w:t xml:space="preserve">k implementaci agendy WPS v </w:t>
      </w:r>
      <w:r>
        <w:t>únor</w:t>
      </w:r>
      <w:r w:rsidR="00FE2EE9">
        <w:t>u 2018</w:t>
      </w:r>
      <w:r>
        <w:t xml:space="preserve"> pokračovala spolupráce se Švédskem.  Švédští a rakouští experti a expertky se na pozvání ČR v roce 2016 zúčastnili semináře k přípravě českého AP k agendě WPS.</w:t>
      </w:r>
    </w:p>
    <w:p w:rsidR="00925595" w:rsidRDefault="0015078F" w:rsidP="00925595">
      <w:pPr>
        <w:spacing w:before="120"/>
        <w:jc w:val="center"/>
      </w:pPr>
      <w:r w:rsidRPr="0015078F">
        <w:rPr>
          <w:noProof/>
        </w:rPr>
        <w:drawing>
          <wp:inline distT="0" distB="0" distL="0" distR="0">
            <wp:extent cx="4197350" cy="2798233"/>
            <wp:effectExtent l="19050" t="0" r="0" b="0"/>
            <wp:docPr id="23" name="obrázek 1" descr="ÄernÃ­nskÃ½ palÃ¡c hostil Äesko-Å¡vÃ©dskÃ½ workshop k agendÄ âÅ½eny, mÃ­r a bezpeÄnost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ernÃ­nskÃ½ palÃ¡c hostil Äesko-Å¡vÃ©dskÃ½ workshop k agendÄ âÅ½eny, mÃ­r a bezpeÄnostâ"/>
                    <pic:cNvPicPr>
                      <a:picLocks noChangeAspect="1" noChangeArrowheads="1"/>
                    </pic:cNvPicPr>
                  </pic:nvPicPr>
                  <pic:blipFill>
                    <a:blip r:embed="rId17" cstate="print"/>
                    <a:srcRect/>
                    <a:stretch>
                      <a:fillRect/>
                    </a:stretch>
                  </pic:blipFill>
                  <pic:spPr bwMode="auto">
                    <a:xfrm>
                      <a:off x="0" y="0"/>
                      <a:ext cx="4200295" cy="2800196"/>
                    </a:xfrm>
                    <a:prstGeom prst="rect">
                      <a:avLst/>
                    </a:prstGeom>
                    <a:noFill/>
                    <a:ln w="9525">
                      <a:noFill/>
                      <a:miter lim="800000"/>
                      <a:headEnd/>
                      <a:tailEnd/>
                    </a:ln>
                  </pic:spPr>
                </pic:pic>
              </a:graphicData>
            </a:graphic>
          </wp:inline>
        </w:drawing>
      </w:r>
    </w:p>
    <w:p w:rsidR="00263510" w:rsidRDefault="00263510" w:rsidP="00263510">
      <w:pPr>
        <w:rPr>
          <w:i/>
        </w:rPr>
      </w:pPr>
      <w:r>
        <w:rPr>
          <w:i/>
        </w:rPr>
        <w:t xml:space="preserve">             </w:t>
      </w:r>
      <w:r w:rsidR="002762AF">
        <w:rPr>
          <w:i/>
        </w:rPr>
        <w:t xml:space="preserve">         Švédská velvyslankyně Viktoria</w:t>
      </w:r>
      <w:r>
        <w:rPr>
          <w:i/>
        </w:rPr>
        <w:t xml:space="preserve"> Li a ředitel OSN P. Gajdušek při úvodním </w:t>
      </w:r>
    </w:p>
    <w:p w:rsidR="00925595" w:rsidRPr="0015078F" w:rsidRDefault="00263510" w:rsidP="00263510">
      <w:pPr>
        <w:rPr>
          <w:i/>
        </w:rPr>
      </w:pPr>
      <w:r>
        <w:rPr>
          <w:i/>
        </w:rPr>
        <w:t xml:space="preserve">                            vystoupení CZ-SE semináře k agendě WPS (Archiv MZV)</w:t>
      </w:r>
    </w:p>
    <w:p w:rsidR="00D103B4" w:rsidRDefault="00D103B4" w:rsidP="00BE5F39">
      <w:pPr>
        <w:pStyle w:val="Nadpis2"/>
      </w:pPr>
      <w:bookmarkStart w:id="18" w:name="_Toc514782408"/>
      <w:r w:rsidRPr="00863314">
        <w:t>Úkol č. 13</w:t>
      </w:r>
      <w:bookmarkEnd w:id="18"/>
    </w:p>
    <w:p w:rsidR="00D103B4" w:rsidRDefault="00747CBB" w:rsidP="00054A72">
      <w:pPr>
        <w:jc w:val="both"/>
        <w:rPr>
          <w:b/>
          <w:i/>
        </w:rPr>
      </w:pPr>
      <w:r w:rsidRPr="00747CBB">
        <w:rPr>
          <w:b/>
          <w:i/>
        </w:rPr>
        <w:t xml:space="preserve">Obecný cíl: </w:t>
      </w:r>
      <w:r w:rsidR="00D103B4" w:rsidRPr="00747CBB">
        <w:rPr>
          <w:b/>
          <w:i/>
        </w:rPr>
        <w:t xml:space="preserve">Aktivní role ČR při podpoře a šíření agendy WPS na mezinárodních fórech </w:t>
      </w:r>
      <w:r w:rsidR="00DD320A">
        <w:rPr>
          <w:b/>
          <w:i/>
        </w:rPr>
        <w:t>(MZV)</w:t>
      </w:r>
    </w:p>
    <w:p w:rsidR="00747CBB" w:rsidRPr="00747CBB" w:rsidRDefault="00747CBB" w:rsidP="00D103B4">
      <w:pPr>
        <w:rPr>
          <w:i/>
        </w:rPr>
      </w:pPr>
    </w:p>
    <w:p w:rsidR="00747CBB" w:rsidRPr="00747CBB" w:rsidRDefault="00747CBB" w:rsidP="00747CBB">
      <w:pPr>
        <w:jc w:val="both"/>
        <w:rPr>
          <w:sz w:val="20"/>
          <w:szCs w:val="20"/>
        </w:rPr>
      </w:pPr>
      <w:r w:rsidRPr="00747CBB">
        <w:rPr>
          <w:i/>
        </w:rPr>
        <w:t>Úkoly:</w:t>
      </w:r>
      <w:r w:rsidRPr="00747CBB">
        <w:rPr>
          <w:sz w:val="20"/>
          <w:szCs w:val="20"/>
        </w:rPr>
        <w:t xml:space="preserve"> </w:t>
      </w:r>
    </w:p>
    <w:p w:rsidR="00747CBB" w:rsidRPr="00747CBB" w:rsidRDefault="00747CBB" w:rsidP="00747CBB">
      <w:pPr>
        <w:pStyle w:val="Odstavecseseznamem"/>
        <w:numPr>
          <w:ilvl w:val="0"/>
          <w:numId w:val="11"/>
        </w:numPr>
        <w:jc w:val="both"/>
        <w:rPr>
          <w:i/>
        </w:rPr>
      </w:pPr>
      <w:r w:rsidRPr="00747CBB">
        <w:rPr>
          <w:i/>
        </w:rPr>
        <w:t>Podpora agendy WPS prostřednictvím předkládání rezoluce k rovné politické participaci v Radě OSN pro lidská práva či při formulování doporučení v rámci Univ</w:t>
      </w:r>
      <w:r w:rsidR="00DD320A">
        <w:rPr>
          <w:i/>
        </w:rPr>
        <w:t>erzálního periodického přezkumu;</w:t>
      </w:r>
    </w:p>
    <w:p w:rsidR="00C96FBB" w:rsidRPr="00C96FBB" w:rsidRDefault="00747CBB" w:rsidP="00747CBB">
      <w:pPr>
        <w:pStyle w:val="Odstavecseseznamem"/>
        <w:numPr>
          <w:ilvl w:val="0"/>
          <w:numId w:val="11"/>
        </w:numPr>
        <w:jc w:val="both"/>
        <w:rPr>
          <w:b/>
          <w:i/>
        </w:rPr>
      </w:pPr>
      <w:r w:rsidRPr="00747CBB">
        <w:rPr>
          <w:i/>
        </w:rPr>
        <w:t>P</w:t>
      </w:r>
    </w:p>
    <w:p w:rsidR="00747CBB" w:rsidRPr="00747CBB" w:rsidRDefault="00C96FBB" w:rsidP="00747CBB">
      <w:pPr>
        <w:pStyle w:val="Odstavecseseznamem"/>
        <w:numPr>
          <w:ilvl w:val="0"/>
          <w:numId w:val="11"/>
        </w:numPr>
        <w:jc w:val="both"/>
        <w:rPr>
          <w:b/>
          <w:i/>
        </w:rPr>
      </w:pPr>
      <w:r>
        <w:rPr>
          <w:i/>
        </w:rPr>
        <w:t>p</w:t>
      </w:r>
      <w:r w:rsidR="00747CBB" w:rsidRPr="00747CBB">
        <w:rPr>
          <w:i/>
        </w:rPr>
        <w:t>odpora implementace doporučení č. 30 Úmluvy o odstranění všech forem diskriminace žen - Ženy a prevence konfliktů, konfliktní a post-konfliktní situace (GR30)</w:t>
      </w:r>
      <w:r w:rsidR="00DD320A">
        <w:rPr>
          <w:i/>
        </w:rPr>
        <w:t>.</w:t>
      </w:r>
    </w:p>
    <w:p w:rsidR="00B03B4D" w:rsidRDefault="00B03B4D" w:rsidP="00D103B4">
      <w:pPr>
        <w:rPr>
          <w:b/>
        </w:rPr>
      </w:pPr>
    </w:p>
    <w:p w:rsidR="00D103B4" w:rsidRDefault="00B03B4D" w:rsidP="00D103B4">
      <w:pPr>
        <w:jc w:val="both"/>
      </w:pPr>
      <w:r>
        <w:t>Na multilaterální úrovni se Ministerstvo zahraničních věcí i</w:t>
      </w:r>
      <w:r w:rsidR="00D103B4" w:rsidRPr="007E4CFC">
        <w:t xml:space="preserve"> </w:t>
      </w:r>
      <w:r w:rsidR="00D103B4">
        <w:t>v roce 2017 aktivně zapojilo do </w:t>
      </w:r>
      <w:r w:rsidR="00D103B4" w:rsidRPr="007E4CFC">
        <w:t>klíčových vyjednávání v rámci OSN rele</w:t>
      </w:r>
      <w:r w:rsidR="00054A72">
        <w:t>vantních pro agendu WPS</w:t>
      </w:r>
      <w:r>
        <w:t>. Jednalo se zejména</w:t>
      </w:r>
      <w:r w:rsidR="00054A72">
        <w:t xml:space="preserve"> </w:t>
      </w:r>
      <w:r w:rsidR="00054A72" w:rsidRPr="008F191E">
        <w:t>o </w:t>
      </w:r>
      <w:r w:rsidR="00D103B4" w:rsidRPr="008F191E">
        <w:t>35. zasedání Rady OSN pro lidská práva v červnu</w:t>
      </w:r>
      <w:r w:rsidR="00054A72" w:rsidRPr="008F191E">
        <w:t xml:space="preserve"> 2017 a 61. zasedání Komise pro </w:t>
      </w:r>
      <w:r w:rsidR="00D103B4" w:rsidRPr="008F191E">
        <w:t xml:space="preserve">postavení </w:t>
      </w:r>
      <w:r w:rsidRPr="008F191E">
        <w:t>žen v březnu 2017</w:t>
      </w:r>
      <w:r>
        <w:t xml:space="preserve">. </w:t>
      </w:r>
      <w:r w:rsidRPr="00054A72">
        <w:rPr>
          <w:b/>
        </w:rPr>
        <w:t>P</w:t>
      </w:r>
      <w:r w:rsidR="00D103B4" w:rsidRPr="00054A72">
        <w:rPr>
          <w:b/>
        </w:rPr>
        <w:t>roblematik</w:t>
      </w:r>
      <w:r w:rsidR="00054A72" w:rsidRPr="00054A72">
        <w:rPr>
          <w:b/>
        </w:rPr>
        <w:t xml:space="preserve">a rovnosti mužů a žen byla </w:t>
      </w:r>
      <w:r w:rsidR="00D103B4" w:rsidRPr="00054A72">
        <w:rPr>
          <w:b/>
        </w:rPr>
        <w:t>jednou z hlavních priorit českého předsednictví Výboru ministrů Rady Evropy</w:t>
      </w:r>
      <w:r w:rsidR="008F191E">
        <w:t xml:space="preserve">, které proběhlo od </w:t>
      </w:r>
      <w:r w:rsidR="00D103B4" w:rsidRPr="007E4CFC">
        <w:t>19.</w:t>
      </w:r>
      <w:r w:rsidR="00A122C1">
        <w:t xml:space="preserve"> </w:t>
      </w:r>
      <w:r w:rsidR="008F191E">
        <w:t>května</w:t>
      </w:r>
      <w:r w:rsidR="00A122C1">
        <w:t xml:space="preserve"> </w:t>
      </w:r>
      <w:r w:rsidR="008F191E">
        <w:t>do 15. listopadu</w:t>
      </w:r>
      <w:r w:rsidR="008C7855">
        <w:t xml:space="preserve"> </w:t>
      </w:r>
      <w:r w:rsidR="008F191E">
        <w:t>2017</w:t>
      </w:r>
      <w:r w:rsidR="00054A72">
        <w:t>. Ministerstvo zahraničních věcí průběžně</w:t>
      </w:r>
      <w:r w:rsidR="00D103B4" w:rsidRPr="007E4CFC">
        <w:t xml:space="preserve"> prosazovalo vodítka EU k násilí na ženách a dívkách a boji proti </w:t>
      </w:r>
      <w:r w:rsidR="00D103B4">
        <w:t>všem formám jejich diskriminace.</w:t>
      </w:r>
    </w:p>
    <w:p w:rsidR="0092561C" w:rsidRDefault="0092561C" w:rsidP="00D103B4">
      <w:pPr>
        <w:jc w:val="both"/>
      </w:pPr>
    </w:p>
    <w:p w:rsidR="00FD4DDD" w:rsidRDefault="0092561C" w:rsidP="00FD4DDD">
      <w:pPr>
        <w:jc w:val="both"/>
      </w:pPr>
      <w:r w:rsidRPr="0098004E">
        <w:rPr>
          <w:b/>
        </w:rPr>
        <w:t>V rámci 3. cyklu Univerzálního periodického přezkumu</w:t>
      </w:r>
      <w:r w:rsidRPr="00DD320A">
        <w:t xml:space="preserve"> </w:t>
      </w:r>
      <w:r w:rsidR="004401FC">
        <w:t>během</w:t>
      </w:r>
      <w:r w:rsidRPr="00DD320A">
        <w:t xml:space="preserve"> 2</w:t>
      </w:r>
      <w:r w:rsidR="0045520C" w:rsidRPr="00DD320A">
        <w:t>7</w:t>
      </w:r>
      <w:r w:rsidR="004401FC">
        <w:t>. a</w:t>
      </w:r>
      <w:r w:rsidRPr="00DD320A">
        <w:t xml:space="preserve"> 2</w:t>
      </w:r>
      <w:r w:rsidR="0045520C" w:rsidRPr="00DD320A">
        <w:t>8.</w:t>
      </w:r>
      <w:r w:rsidRPr="00DD320A">
        <w:t xml:space="preserve"> zasedání </w:t>
      </w:r>
      <w:r w:rsidRPr="0098004E">
        <w:rPr>
          <w:b/>
        </w:rPr>
        <w:t xml:space="preserve">ČR učinila </w:t>
      </w:r>
      <w:r w:rsidR="00FD4DDD" w:rsidRPr="0098004E">
        <w:rPr>
          <w:b/>
        </w:rPr>
        <w:t>doporučení</w:t>
      </w:r>
      <w:r w:rsidR="00FD4DDD" w:rsidRPr="00DD320A">
        <w:t xml:space="preserve"> vyzývající přezkoumávané s</w:t>
      </w:r>
      <w:r w:rsidR="004401FC">
        <w:t>táty k rovnosti a nediskriminaci</w:t>
      </w:r>
      <w:r w:rsidR="00FD4DDD" w:rsidRPr="00DD320A">
        <w:t xml:space="preserve">, ukončení </w:t>
      </w:r>
      <w:r w:rsidR="00FD4DDD" w:rsidRPr="00DD320A">
        <w:lastRenderedPageBreak/>
        <w:t>sexuálního a gen</w:t>
      </w:r>
      <w:r w:rsidR="00DC09A6">
        <w:t>d</w:t>
      </w:r>
      <w:r w:rsidR="00FD4DDD" w:rsidRPr="00DD320A">
        <w:t xml:space="preserve">erově orientovaného násilí či praktik poškozujících zdraví žen a dívek. Doporučení byla učiněna </w:t>
      </w:r>
      <w:r w:rsidR="00FD4DDD" w:rsidRPr="0098004E">
        <w:rPr>
          <w:b/>
        </w:rPr>
        <w:t xml:space="preserve">v případě </w:t>
      </w:r>
      <w:r w:rsidR="004401FC" w:rsidRPr="0098004E">
        <w:rPr>
          <w:b/>
        </w:rPr>
        <w:t>Bahrajnu</w:t>
      </w:r>
      <w:r w:rsidR="00FD4DDD" w:rsidRPr="0098004E">
        <w:rPr>
          <w:b/>
        </w:rPr>
        <w:t>, Brazílie, Indie, Polska, Jihoafrické republiky, Argentiny, Ghany, Ukrajiny a Pákistánu</w:t>
      </w:r>
      <w:r w:rsidR="00B03B4D" w:rsidRPr="00DD320A">
        <w:t>.</w:t>
      </w:r>
    </w:p>
    <w:p w:rsidR="00FD4DDD" w:rsidRDefault="00FD4DDD" w:rsidP="00FD4DDD">
      <w:pPr>
        <w:jc w:val="both"/>
      </w:pPr>
    </w:p>
    <w:p w:rsidR="00FD4DDD" w:rsidRDefault="00FD4DDD" w:rsidP="00FD4DDD">
      <w:pPr>
        <w:jc w:val="both"/>
      </w:pPr>
      <w:r w:rsidRPr="0098004E">
        <w:rPr>
          <w:b/>
        </w:rPr>
        <w:t xml:space="preserve">Na podporu implementace doporučení č. 30 Úmluvy o odstranění </w:t>
      </w:r>
      <w:r w:rsidR="004401FC" w:rsidRPr="0098004E">
        <w:rPr>
          <w:b/>
        </w:rPr>
        <w:t>všech forem diskriminace žen</w:t>
      </w:r>
      <w:r w:rsidR="004401FC">
        <w:t xml:space="preserve"> (ž</w:t>
      </w:r>
      <w:r w:rsidRPr="00FD4DDD">
        <w:t>eny a prevence konfliktů, konfliktní a post-konfliktní situace</w:t>
      </w:r>
      <w:r w:rsidR="004401FC">
        <w:t>)</w:t>
      </w:r>
      <w:r w:rsidRPr="00FD4DDD">
        <w:t xml:space="preserve"> </w:t>
      </w:r>
      <w:r w:rsidRPr="0098004E">
        <w:rPr>
          <w:b/>
        </w:rPr>
        <w:t xml:space="preserve">vystoupila </w:t>
      </w:r>
      <w:r w:rsidR="004401FC" w:rsidRPr="0098004E">
        <w:rPr>
          <w:b/>
        </w:rPr>
        <w:t xml:space="preserve">ČR </w:t>
      </w:r>
      <w:r w:rsidRPr="0098004E">
        <w:rPr>
          <w:b/>
        </w:rPr>
        <w:t>v Radě bezpečnosti</w:t>
      </w:r>
      <w:r w:rsidR="00A658C7" w:rsidRPr="0098004E">
        <w:rPr>
          <w:b/>
        </w:rPr>
        <w:t xml:space="preserve"> v r</w:t>
      </w:r>
      <w:r w:rsidR="004401FC" w:rsidRPr="0098004E">
        <w:rPr>
          <w:b/>
        </w:rPr>
        <w:t>oce 2017 hned dvakrát</w:t>
      </w:r>
      <w:r w:rsidR="004401FC">
        <w:t>; dne 15. k</w:t>
      </w:r>
      <w:r w:rsidR="00A658C7">
        <w:t xml:space="preserve">větna 2017 u příležitosti představení každoroční zprávy Generálního tajemníka OSN k sexuálnímu násilí během konfliktu a dne 27. října 2017 v otevřené debatě Rady bezpečnosti na téma </w:t>
      </w:r>
      <w:r w:rsidR="00A658C7" w:rsidRPr="00974083">
        <w:rPr>
          <w:i/>
        </w:rPr>
        <w:t xml:space="preserve">“Realizing the Promise of the Women, Peace and Security Agenda: </w:t>
      </w:r>
      <w:r w:rsidR="00131028" w:rsidRPr="00974083">
        <w:rPr>
          <w:i/>
        </w:rPr>
        <w:t>Ensuring Its Full Implementation Including the Participation of Women</w:t>
      </w:r>
      <w:r w:rsidR="00A658C7" w:rsidRPr="00974083">
        <w:rPr>
          <w:i/>
        </w:rPr>
        <w:t>”</w:t>
      </w:r>
      <w:r w:rsidR="00922A68">
        <w:t>. K posílení postavení žen, genderové rovnosti a agendě WPS vystoupila ČR v roce 2017 na půd</w:t>
      </w:r>
      <w:r w:rsidR="004401FC">
        <w:t xml:space="preserve">ě OSN </w:t>
      </w:r>
      <w:r w:rsidR="00974083">
        <w:t xml:space="preserve">celkem </w:t>
      </w:r>
      <w:r w:rsidR="004401FC">
        <w:t>s 11 projevy</w:t>
      </w:r>
      <w:r w:rsidR="00922A68">
        <w:t>.</w:t>
      </w:r>
    </w:p>
    <w:p w:rsidR="002E0B0D" w:rsidRDefault="002E0B0D" w:rsidP="00FD4DDD">
      <w:pPr>
        <w:jc w:val="both"/>
      </w:pPr>
    </w:p>
    <w:p w:rsidR="002E0B0D" w:rsidRDefault="00B405FD" w:rsidP="002E0B0D">
      <w:pPr>
        <w:jc w:val="both"/>
      </w:pPr>
      <w:r>
        <w:t>Od července 2017 po</w:t>
      </w:r>
      <w:r w:rsidR="002E0B0D" w:rsidRPr="002E0B0D">
        <w:t xml:space="preserve"> období jednoho roku </w:t>
      </w:r>
      <w:r w:rsidR="002E0B0D" w:rsidRPr="005D003E">
        <w:rPr>
          <w:b/>
        </w:rPr>
        <w:t>Česká republi</w:t>
      </w:r>
      <w:r w:rsidRPr="005D003E">
        <w:rPr>
          <w:b/>
        </w:rPr>
        <w:t>ka</w:t>
      </w:r>
      <w:r>
        <w:t xml:space="preserve"> prostřednictvím stálé představitelky ČR při OSN</w:t>
      </w:r>
      <w:r w:rsidR="002E0B0D" w:rsidRPr="002E0B0D">
        <w:t xml:space="preserve"> Marie Chatardové  </w:t>
      </w:r>
      <w:r w:rsidR="002E0B0D" w:rsidRPr="005D003E">
        <w:rPr>
          <w:b/>
        </w:rPr>
        <w:t>předsedá Hospodářské a sociální radě OSN</w:t>
      </w:r>
      <w:r w:rsidR="002E0B0D" w:rsidRPr="002E0B0D">
        <w:t xml:space="preserve"> (ECOSOC). Česko se tak po dvaceti letech vrátilo do vedení jednoho ze tří nejdůležitějších org</w:t>
      </w:r>
      <w:r w:rsidR="005D003E">
        <w:t>ánů OSN</w:t>
      </w:r>
      <w:r w:rsidR="002E0B0D">
        <w:t>, což je velkým úspěchem české diplomacie.</w:t>
      </w:r>
      <w:r w:rsidR="002E0B0D" w:rsidRPr="002E0B0D">
        <w:t xml:space="preserve"> </w:t>
      </w:r>
      <w:r w:rsidR="002E0B0D" w:rsidRPr="005D003E">
        <w:rPr>
          <w:b/>
        </w:rPr>
        <w:t>Tématem českého předsednictví je</w:t>
      </w:r>
      <w:r w:rsidR="002E0B0D">
        <w:t xml:space="preserve"> </w:t>
      </w:r>
      <w:r w:rsidR="002E0B0D" w:rsidRPr="005D003E">
        <w:rPr>
          <w:b/>
        </w:rPr>
        <w:t xml:space="preserve">budování a posilování </w:t>
      </w:r>
      <w:r w:rsidR="00590E8D" w:rsidRPr="005D003E">
        <w:rPr>
          <w:b/>
        </w:rPr>
        <w:t xml:space="preserve">udržitelné, odolné a inkluzívní společnosti prostřednictvím </w:t>
      </w:r>
      <w:r w:rsidR="002E0B0D" w:rsidRPr="005D003E">
        <w:rPr>
          <w:b/>
        </w:rPr>
        <w:t>účast</w:t>
      </w:r>
      <w:r w:rsidR="00590E8D" w:rsidRPr="005D003E">
        <w:rPr>
          <w:b/>
        </w:rPr>
        <w:t>i</w:t>
      </w:r>
      <w:r w:rsidR="002E0B0D" w:rsidRPr="005D003E">
        <w:rPr>
          <w:b/>
        </w:rPr>
        <w:t xml:space="preserve"> na</w:t>
      </w:r>
      <w:r w:rsidR="00590E8D" w:rsidRPr="005D003E">
        <w:rPr>
          <w:b/>
        </w:rPr>
        <w:t xml:space="preserve"> veřejném životě</w:t>
      </w:r>
      <w:r w:rsidR="00C4160D">
        <w:t xml:space="preserve"> </w:t>
      </w:r>
      <w:r w:rsidR="00C4160D" w:rsidRPr="005D003E">
        <w:rPr>
          <w:i/>
        </w:rPr>
        <w:t>„</w:t>
      </w:r>
      <w:r w:rsidR="002E0B0D" w:rsidRPr="005D003E">
        <w:rPr>
          <w:i/>
        </w:rPr>
        <w:t>Towards sustainable, resilient and inclusive societie</w:t>
      </w:r>
      <w:r w:rsidR="00590E8D" w:rsidRPr="005D003E">
        <w:rPr>
          <w:i/>
        </w:rPr>
        <w:t>s through participation of all</w:t>
      </w:r>
      <w:r w:rsidR="00C4160D" w:rsidRPr="005D003E">
        <w:rPr>
          <w:i/>
        </w:rPr>
        <w:t>“</w:t>
      </w:r>
      <w:r w:rsidR="00590E8D">
        <w:t xml:space="preserve">. </w:t>
      </w:r>
      <w:r w:rsidR="00AA412D">
        <w:t xml:space="preserve">V rámci předsednictví v ECOSOC ČR uspořádala několik doprovodných akcí na téma posílení postavení žen, genderové rovnosti a agendy WPS: </w:t>
      </w:r>
      <w:r w:rsidR="002E60B4">
        <w:t xml:space="preserve">v červenci 2017 to byla akce na okraj Politického fóra na vysoké úrovni k udržitelnému rozvoji </w:t>
      </w:r>
      <w:r w:rsidR="00FB37AD">
        <w:t>k participaci žen na veřejném životě, březnu 2018 d</w:t>
      </w:r>
      <w:r w:rsidR="00C4160D">
        <w:t>vě akce na okraj Komise OSN pro </w:t>
      </w:r>
      <w:r w:rsidR="00FB37AD">
        <w:t>postavení žen, z čehož jedna byla věnována přímo problematice implementaci agendy WPS. Všechny doprovodné akce byly pořádány ve spolupráci</w:t>
      </w:r>
      <w:r w:rsidR="005D003E">
        <w:t xml:space="preserve"> a za účasti nevládního a </w:t>
      </w:r>
      <w:r w:rsidR="00FB37AD">
        <w:t>akademického sektoru.</w:t>
      </w:r>
      <w:r w:rsidR="005D003E">
        <w:t xml:space="preserve"> Zástupci a zástupkyně nevládního a akademického sektoru společně s mládežnickými delegáty a delegátkami ČR byli taktéž součástí delegací, což plně odpovídá principu participace, který ČR prosazuje. </w:t>
      </w:r>
    </w:p>
    <w:p w:rsidR="00FB37AD" w:rsidRDefault="00FB37AD" w:rsidP="002E0B0D">
      <w:pPr>
        <w:jc w:val="both"/>
      </w:pPr>
    </w:p>
    <w:p w:rsidR="00421A19" w:rsidRPr="0078738D" w:rsidRDefault="00FB37AD" w:rsidP="0078738D">
      <w:pPr>
        <w:pBdr>
          <w:top w:val="single" w:sz="4" w:space="1" w:color="auto"/>
          <w:left w:val="single" w:sz="4" w:space="4" w:color="auto"/>
          <w:bottom w:val="single" w:sz="4" w:space="1" w:color="auto"/>
          <w:right w:val="single" w:sz="4" w:space="4" w:color="auto"/>
        </w:pBdr>
        <w:jc w:val="both"/>
      </w:pPr>
      <w:r>
        <w:t xml:space="preserve">V rámci agendy 2030 ČR podstoupila v červenci 2017 dobrovolný přezkum plnění agendy 2030, která pod č. 5 obsahuje cíl udržitelného rozvoje </w:t>
      </w:r>
      <w:r w:rsidR="00DD010B">
        <w:t>„dosáhnout gend</w:t>
      </w:r>
      <w:r w:rsidR="00DC09A6">
        <w:t>e</w:t>
      </w:r>
      <w:r w:rsidR="00DD010B">
        <w:t xml:space="preserve">rové rovnosti a posílit postavení žen a dívek“. </w:t>
      </w:r>
      <w:r w:rsidR="00430400">
        <w:t>ČR ve zprávě o plnění agendy 2030 přiznává, že</w:t>
      </w:r>
      <w:r w:rsidR="00DD010B">
        <w:t xml:space="preserve"> </w:t>
      </w:r>
      <w:r w:rsidR="00430400">
        <w:t>implementace</w:t>
      </w:r>
      <w:r w:rsidR="00DD010B">
        <w:t xml:space="preserve"> tohoto cíle udržitelného rozvoje nadále zůstává pro ČR</w:t>
      </w:r>
      <w:r w:rsidR="00524DED">
        <w:t>, především co se týče vyrovnaného zastoupení mužů a žen v rozhodovacích pozicích, velkou</w:t>
      </w:r>
      <w:r w:rsidR="00DD010B">
        <w:t xml:space="preserve"> výzvou.</w:t>
      </w:r>
    </w:p>
    <w:p w:rsidR="0078738D" w:rsidRDefault="0078738D" w:rsidP="005110A1">
      <w:pPr>
        <w:pStyle w:val="Nadpis2"/>
        <w:spacing w:before="0"/>
      </w:pPr>
    </w:p>
    <w:p w:rsidR="00D103B4" w:rsidRDefault="00D103B4" w:rsidP="005110A1">
      <w:pPr>
        <w:pStyle w:val="Nadpis2"/>
        <w:spacing w:before="0"/>
      </w:pPr>
      <w:bookmarkStart w:id="19" w:name="_Toc514782409"/>
      <w:r w:rsidRPr="00F42C53">
        <w:t>Úkol č. 14</w:t>
      </w:r>
      <w:bookmarkEnd w:id="19"/>
    </w:p>
    <w:p w:rsidR="00D33F7B" w:rsidRDefault="00D33F7B" w:rsidP="00D103B4">
      <w:pPr>
        <w:spacing w:before="120"/>
        <w:jc w:val="both"/>
        <w:rPr>
          <w:b/>
          <w:i/>
        </w:rPr>
      </w:pPr>
      <w:r w:rsidRPr="00D33F7B">
        <w:rPr>
          <w:b/>
          <w:i/>
        </w:rPr>
        <w:t xml:space="preserve">Obecný cíl: </w:t>
      </w:r>
      <w:r w:rsidR="00DD3271" w:rsidRPr="00D33F7B">
        <w:rPr>
          <w:b/>
          <w:i/>
        </w:rPr>
        <w:t>Nadále zohledňovat princip genderové rovno</w:t>
      </w:r>
      <w:r w:rsidR="00E96DFF">
        <w:rPr>
          <w:b/>
          <w:i/>
        </w:rPr>
        <w:t>sti včetně problematiky WPS při </w:t>
      </w:r>
      <w:r w:rsidR="00DD3271" w:rsidRPr="00D33F7B">
        <w:rPr>
          <w:b/>
          <w:i/>
        </w:rPr>
        <w:t>realizaci Programu zahraniční rozvojové spolupráce, humanitární pomoci a Programu transformační spolupráce</w:t>
      </w:r>
      <w:r w:rsidR="00DD320A">
        <w:rPr>
          <w:b/>
          <w:i/>
        </w:rPr>
        <w:t xml:space="preserve"> (MZV)</w:t>
      </w:r>
    </w:p>
    <w:p w:rsidR="00E96DFF" w:rsidRDefault="00E96DFF" w:rsidP="00D33F7B">
      <w:pPr>
        <w:jc w:val="both"/>
        <w:rPr>
          <w:i/>
        </w:rPr>
      </w:pPr>
    </w:p>
    <w:p w:rsidR="00D33F7B" w:rsidRDefault="00D33F7B" w:rsidP="00D33F7B">
      <w:pPr>
        <w:jc w:val="both"/>
        <w:rPr>
          <w:i/>
        </w:rPr>
      </w:pPr>
      <w:r w:rsidRPr="00D33F7B">
        <w:rPr>
          <w:i/>
        </w:rPr>
        <w:t xml:space="preserve">Úkoly: </w:t>
      </w:r>
    </w:p>
    <w:p w:rsidR="00D33F7B" w:rsidRPr="00D33F7B" w:rsidRDefault="00D33F7B" w:rsidP="00D33F7B">
      <w:pPr>
        <w:pStyle w:val="Odstavecseseznamem"/>
        <w:numPr>
          <w:ilvl w:val="0"/>
          <w:numId w:val="20"/>
        </w:numPr>
        <w:jc w:val="both"/>
        <w:rPr>
          <w:i/>
        </w:rPr>
      </w:pPr>
      <w:r w:rsidRPr="00D33F7B">
        <w:rPr>
          <w:i/>
        </w:rPr>
        <w:t>V rámci Programu zahraniční rozvojové spolupráce, humanitární pomoci a Programu transformační spolupráce podporovat projekty zaměřené na posílení postavení žen včetně agendy WPS</w:t>
      </w:r>
      <w:r w:rsidR="00DD320A">
        <w:rPr>
          <w:i/>
        </w:rPr>
        <w:t>;</w:t>
      </w:r>
    </w:p>
    <w:p w:rsidR="00D33F7B" w:rsidRPr="00D33F7B" w:rsidRDefault="001F0EB8" w:rsidP="00D33F7B">
      <w:pPr>
        <w:pStyle w:val="Odstavecseseznamem"/>
        <w:numPr>
          <w:ilvl w:val="0"/>
          <w:numId w:val="20"/>
        </w:numPr>
        <w:jc w:val="both"/>
        <w:rPr>
          <w:i/>
        </w:rPr>
      </w:pPr>
      <w:r>
        <w:rPr>
          <w:i/>
        </w:rPr>
        <w:t>n</w:t>
      </w:r>
      <w:r w:rsidR="00D33F7B" w:rsidRPr="00D33F7B">
        <w:rPr>
          <w:i/>
        </w:rPr>
        <w:t>adále uplatňovat princip genderové rovnosti jako nedílnou součást identifikace a závěrečného hodnocení projektů zahraniční rozvojové spolupráce, humanitární pomoci a transformační spolupráce</w:t>
      </w:r>
      <w:r w:rsidR="00DD320A">
        <w:rPr>
          <w:i/>
        </w:rPr>
        <w:t>;</w:t>
      </w:r>
    </w:p>
    <w:p w:rsidR="00D33F7B" w:rsidRDefault="001F0EB8" w:rsidP="00D33F7B">
      <w:pPr>
        <w:pStyle w:val="Odstavecseseznamem"/>
        <w:numPr>
          <w:ilvl w:val="0"/>
          <w:numId w:val="20"/>
        </w:numPr>
        <w:jc w:val="both"/>
        <w:rPr>
          <w:i/>
        </w:rPr>
      </w:pPr>
      <w:r>
        <w:rPr>
          <w:i/>
        </w:rPr>
        <w:t>s</w:t>
      </w:r>
      <w:r w:rsidR="00D33F7B" w:rsidRPr="00D33F7B">
        <w:rPr>
          <w:i/>
        </w:rPr>
        <w:t>polupráce s místními organizacemi žen na identifikaci a řešení problematiky WPS</w:t>
      </w:r>
      <w:r w:rsidR="00DD320A">
        <w:rPr>
          <w:i/>
        </w:rPr>
        <w:t>.</w:t>
      </w:r>
    </w:p>
    <w:p w:rsidR="004D15A6" w:rsidRDefault="004D15A6" w:rsidP="004D15A6">
      <w:pPr>
        <w:pStyle w:val="Zhlav"/>
        <w:tabs>
          <w:tab w:val="clear" w:pos="4536"/>
          <w:tab w:val="clear" w:pos="9072"/>
        </w:tabs>
        <w:jc w:val="both"/>
        <w:rPr>
          <w:b/>
        </w:rPr>
      </w:pPr>
    </w:p>
    <w:p w:rsidR="004D15A6" w:rsidRDefault="00E96DFF" w:rsidP="004D15A6">
      <w:pPr>
        <w:jc w:val="both"/>
      </w:pPr>
      <w:r>
        <w:t xml:space="preserve">Česká rozvojová agentura </w:t>
      </w:r>
      <w:r w:rsidR="004D15A6">
        <w:t>v roce 2017 realizovala ce</w:t>
      </w:r>
      <w:r>
        <w:t>lkem 59 projektů zaměřených na </w:t>
      </w:r>
      <w:r w:rsidR="004D15A6">
        <w:t xml:space="preserve">problematiku WPS či s výrazným přesahem do této oblasti. Genderově zaměřených </w:t>
      </w:r>
      <w:r w:rsidR="004D15A6">
        <w:lastRenderedPageBreak/>
        <w:t xml:space="preserve">rozvojových </w:t>
      </w:r>
      <w:r w:rsidR="00D33F7B">
        <w:t>projektů realizovaných přímo Ministerstvem zahraničních věcí</w:t>
      </w:r>
      <w:r w:rsidR="004D15A6">
        <w:t xml:space="preserve"> bylo celkem 21, jednalo se o tzv. malé lokální projekty, tedy projekty menšího rozsahu, které byly formulovány a n</w:t>
      </w:r>
      <w:r w:rsidR="00D33F7B">
        <w:t>ásledně i provedeny místními nevládními organizacemi</w:t>
      </w:r>
      <w:r w:rsidR="004D15A6">
        <w:t xml:space="preserve">. </w:t>
      </w:r>
      <w:r w:rsidR="00421A19">
        <w:t xml:space="preserve"> </w:t>
      </w:r>
    </w:p>
    <w:p w:rsidR="004D15A6" w:rsidRPr="00977874" w:rsidRDefault="004D15A6" w:rsidP="004D15A6">
      <w:pPr>
        <w:jc w:val="both"/>
      </w:pPr>
      <w:r>
        <w:rPr>
          <w:i/>
        </w:rPr>
        <w:t xml:space="preserve"> </w:t>
      </w:r>
    </w:p>
    <w:p w:rsidR="004D15A6" w:rsidRDefault="004D15A6" w:rsidP="004D15A6">
      <w:pPr>
        <w:jc w:val="both"/>
      </w:pPr>
      <w:r>
        <w:t xml:space="preserve">U dotačních projektů </w:t>
      </w:r>
      <w:r w:rsidRPr="0093596A">
        <w:t>je hledisko rovného postavení žen a mužů sou</w:t>
      </w:r>
      <w:r w:rsidR="00E96DFF">
        <w:t xml:space="preserve">částí projektové osnovy </w:t>
      </w:r>
      <w:r>
        <w:t>v </w:t>
      </w:r>
      <w:r w:rsidRPr="0093596A">
        <w:t>rá</w:t>
      </w:r>
      <w:r>
        <w:t>mci průřezových priorit Z</w:t>
      </w:r>
      <w:r w:rsidR="00D33F7B">
        <w:t>ahraniční rozvojové spolupráce</w:t>
      </w:r>
      <w:r w:rsidR="00E96DFF">
        <w:t xml:space="preserve"> ČR</w:t>
      </w:r>
      <w:r>
        <w:t xml:space="preserve">. Dále je </w:t>
      </w:r>
      <w:r w:rsidR="00E96DFF">
        <w:t xml:space="preserve">genderové hledisko </w:t>
      </w:r>
      <w:r>
        <w:t>zohledněno v projektových dokumentech</w:t>
      </w:r>
      <w:r w:rsidR="00E96DFF">
        <w:t>,</w:t>
      </w:r>
      <w:r w:rsidRPr="0093596A">
        <w:t xml:space="preserve"> </w:t>
      </w:r>
      <w:r w:rsidR="00E96DFF">
        <w:t xml:space="preserve">a tudíž </w:t>
      </w:r>
      <w:r>
        <w:t>je jedním z ho</w:t>
      </w:r>
      <w:r w:rsidR="00E96DFF">
        <w:t>dnotících kritérií při výběru i </w:t>
      </w:r>
      <w:r>
        <w:t>sledován</w:t>
      </w:r>
      <w:r w:rsidR="00E96DFF">
        <w:t xml:space="preserve">í realizace dotačních projektů. </w:t>
      </w:r>
      <w:r>
        <w:t xml:space="preserve">Obdobně je tomu také u formulací projektů, které jsou realizovány nejčastěji formou veřejných zakázek. </w:t>
      </w:r>
    </w:p>
    <w:p w:rsidR="00D33F7B" w:rsidRDefault="00D33F7B" w:rsidP="004D15A6">
      <w:pPr>
        <w:jc w:val="both"/>
      </w:pPr>
    </w:p>
    <w:p w:rsidR="004D15A6" w:rsidRPr="00643AA6" w:rsidRDefault="004D15A6" w:rsidP="00DC4E2C">
      <w:pPr>
        <w:autoSpaceDE w:val="0"/>
        <w:autoSpaceDN w:val="0"/>
        <w:adjustRightInd w:val="0"/>
        <w:jc w:val="both"/>
        <w:rPr>
          <w:color w:val="000000"/>
        </w:rPr>
      </w:pPr>
      <w:r>
        <w:rPr>
          <w:color w:val="000000"/>
        </w:rPr>
        <w:t xml:space="preserve">Výrazným posunem v oblasti hodnocení genderových aspektů u projektů a programů </w:t>
      </w:r>
      <w:r w:rsidR="00E96DFF">
        <w:rPr>
          <w:color w:val="000000"/>
        </w:rPr>
        <w:t>Z</w:t>
      </w:r>
      <w:r w:rsidRPr="00D1658F">
        <w:rPr>
          <w:color w:val="000000"/>
        </w:rPr>
        <w:t>ahraniční</w:t>
      </w:r>
      <w:r>
        <w:rPr>
          <w:color w:val="000000"/>
        </w:rPr>
        <w:t xml:space="preserve"> rozvojové spolupráce bylo vytvoření</w:t>
      </w:r>
      <w:r w:rsidRPr="00643AA6">
        <w:rPr>
          <w:color w:val="000000"/>
        </w:rPr>
        <w:t xml:space="preserve"> </w:t>
      </w:r>
      <w:r w:rsidR="00E96DFF" w:rsidRPr="00E96DFF">
        <w:rPr>
          <w:bCs/>
          <w:i/>
          <w:color w:val="000000"/>
        </w:rPr>
        <w:t>M</w:t>
      </w:r>
      <w:r w:rsidRPr="00E96DFF">
        <w:rPr>
          <w:bCs/>
          <w:i/>
          <w:color w:val="000000"/>
        </w:rPr>
        <w:t>etodiky evaluace průřezovýc</w:t>
      </w:r>
      <w:r w:rsidR="00F318DA" w:rsidRPr="00E96DFF">
        <w:rPr>
          <w:bCs/>
          <w:i/>
          <w:color w:val="000000"/>
        </w:rPr>
        <w:t>h principů Zahraniční rozvojové spolupráce</w:t>
      </w:r>
      <w:r w:rsidRPr="00E96DFF">
        <w:rPr>
          <w:bCs/>
          <w:i/>
          <w:color w:val="000000"/>
        </w:rPr>
        <w:t xml:space="preserve"> ČR</w:t>
      </w:r>
      <w:r>
        <w:rPr>
          <w:color w:val="000000"/>
        </w:rPr>
        <w:t>. Tu vypracoval</w:t>
      </w:r>
      <w:r w:rsidRPr="00643AA6">
        <w:rPr>
          <w:color w:val="000000"/>
        </w:rPr>
        <w:t xml:space="preserve"> Instit</w:t>
      </w:r>
      <w:r>
        <w:rPr>
          <w:color w:val="000000"/>
        </w:rPr>
        <w:t>ut evaluací a sociálních analýz</w:t>
      </w:r>
      <w:r w:rsidR="00F318DA">
        <w:rPr>
          <w:color w:val="000000"/>
        </w:rPr>
        <w:t xml:space="preserve"> v </w:t>
      </w:r>
      <w:r w:rsidRPr="00643AA6">
        <w:rPr>
          <w:color w:val="000000"/>
        </w:rPr>
        <w:t xml:space="preserve">rámci programu </w:t>
      </w:r>
      <w:r w:rsidRPr="00E96DFF">
        <w:rPr>
          <w:i/>
          <w:color w:val="000000"/>
        </w:rPr>
        <w:t>Omega</w:t>
      </w:r>
      <w:r w:rsidRPr="00643AA6">
        <w:rPr>
          <w:color w:val="000000"/>
        </w:rPr>
        <w:t xml:space="preserve"> Technologické agentury ČR</w:t>
      </w:r>
      <w:r>
        <w:rPr>
          <w:color w:val="000000"/>
        </w:rPr>
        <w:t>.</w:t>
      </w:r>
      <w:r w:rsidR="00F318DA">
        <w:rPr>
          <w:color w:val="000000"/>
        </w:rPr>
        <w:t xml:space="preserve"> Cílem metodiky, </w:t>
      </w:r>
      <w:r w:rsidRPr="00643AA6">
        <w:rPr>
          <w:color w:val="000000"/>
        </w:rPr>
        <w:t>která byla v lednu 2018 se s</w:t>
      </w:r>
      <w:r w:rsidR="00E96DFF">
        <w:rPr>
          <w:color w:val="000000"/>
        </w:rPr>
        <w:t>ouhlasem Ministerstva zahraničních věcí</w:t>
      </w:r>
      <w:r w:rsidR="00F318DA">
        <w:rPr>
          <w:color w:val="000000"/>
        </w:rPr>
        <w:t xml:space="preserve"> plně certifikována,</w:t>
      </w:r>
      <w:r w:rsidRPr="00643AA6">
        <w:rPr>
          <w:color w:val="000000"/>
        </w:rPr>
        <w:t xml:space="preserve"> bylo sjednocení </w:t>
      </w:r>
      <w:r w:rsidR="00F318DA">
        <w:rPr>
          <w:color w:val="000000"/>
        </w:rPr>
        <w:t>aktuálně používaných přístupů a </w:t>
      </w:r>
      <w:r w:rsidRPr="00643AA6">
        <w:rPr>
          <w:color w:val="000000"/>
        </w:rPr>
        <w:t>stanovení vhodných evaluačních postupů pro získání relevantních a objektivních indikátorů tak, aby uplatňování průřezových principů</w:t>
      </w:r>
      <w:r w:rsidR="00E96DFF">
        <w:rPr>
          <w:color w:val="000000"/>
        </w:rPr>
        <w:t xml:space="preserve">, </w:t>
      </w:r>
      <w:r>
        <w:rPr>
          <w:color w:val="000000"/>
        </w:rPr>
        <w:t>včet</w:t>
      </w:r>
      <w:r w:rsidR="00E96DFF">
        <w:rPr>
          <w:color w:val="000000"/>
        </w:rPr>
        <w:t>ně principu rovnosti mužů a žen,</w:t>
      </w:r>
      <w:r w:rsidRPr="00643AA6">
        <w:rPr>
          <w:color w:val="000000"/>
        </w:rPr>
        <w:t xml:space="preserve"> v</w:t>
      </w:r>
      <w:r>
        <w:rPr>
          <w:color w:val="000000"/>
        </w:rPr>
        <w:t> </w:t>
      </w:r>
      <w:r w:rsidRPr="00643AA6">
        <w:rPr>
          <w:color w:val="000000"/>
        </w:rPr>
        <w:t>rozvojových projektech a</w:t>
      </w:r>
      <w:r>
        <w:rPr>
          <w:color w:val="000000"/>
        </w:rPr>
        <w:t> </w:t>
      </w:r>
      <w:r w:rsidRPr="00643AA6">
        <w:rPr>
          <w:color w:val="000000"/>
        </w:rPr>
        <w:t>programech bylo hodnoceno jednotně a komplexně.</w:t>
      </w:r>
    </w:p>
    <w:p w:rsidR="004D15A6" w:rsidRPr="00977874" w:rsidRDefault="004D15A6" w:rsidP="00DC4E2C">
      <w:pPr>
        <w:jc w:val="both"/>
      </w:pPr>
      <w:r>
        <w:rPr>
          <w:i/>
        </w:rPr>
        <w:t xml:space="preserve"> </w:t>
      </w:r>
    </w:p>
    <w:p w:rsidR="004D15A6" w:rsidRDefault="004D15A6" w:rsidP="00DC4E2C">
      <w:pPr>
        <w:jc w:val="both"/>
      </w:pPr>
      <w:r>
        <w:t>Při spolupráci s  n</w:t>
      </w:r>
      <w:r w:rsidR="00F318DA">
        <w:t xml:space="preserve">eziskovým sektorem dbá Ministerstvo zahraničních věcí i Česká rozvojová agentura </w:t>
      </w:r>
      <w:r>
        <w:t xml:space="preserve">na důvěryhodnost partnerských organizací, a to včetně zohlednění jejich </w:t>
      </w:r>
      <w:r w:rsidR="00F318DA">
        <w:t>genderového přístupu. Hlavní partnerské nevládní organizace</w:t>
      </w:r>
      <w:r>
        <w:t xml:space="preserve"> mají rovný přístup žen a mužů většinou již ve svých principech či vizích.</w:t>
      </w:r>
    </w:p>
    <w:p w:rsidR="002E6AC3" w:rsidRDefault="002E6AC3" w:rsidP="00DC4E2C">
      <w:pPr>
        <w:jc w:val="both"/>
      </w:pPr>
    </w:p>
    <w:p w:rsidR="004D15A6" w:rsidRDefault="004D15A6" w:rsidP="00DC4E2C">
      <w:pPr>
        <w:jc w:val="both"/>
      </w:pPr>
      <w:r>
        <w:t>V případě ma</w:t>
      </w:r>
      <w:r w:rsidR="002E6AC3">
        <w:t xml:space="preserve">lých lokálních projektů </w:t>
      </w:r>
      <w:r>
        <w:t>se jedná přede</w:t>
      </w:r>
      <w:r w:rsidR="002E6AC3">
        <w:t>vším o spolupráci s místními nevládními organizacemi</w:t>
      </w:r>
      <w:r>
        <w:t xml:space="preserve"> na projektech, které byly </w:t>
      </w:r>
      <w:r w:rsidR="002E6AC3">
        <w:t>jimi přímo formulovány</w:t>
      </w:r>
      <w:r>
        <w:t xml:space="preserve">. </w:t>
      </w:r>
      <w:r w:rsidR="002E6AC3">
        <w:t>Všech</w:t>
      </w:r>
      <w:r>
        <w:t xml:space="preserve"> 21 malých lokálních projektů </w:t>
      </w:r>
      <w:r w:rsidR="002E6AC3">
        <w:t xml:space="preserve">realizovaných v roce 2017 </w:t>
      </w:r>
      <w:r>
        <w:t xml:space="preserve">s výrazným přesahem do agendy WPS, </w:t>
      </w:r>
      <w:r w:rsidR="002E6AC3">
        <w:t>bylo implementováno místními nevládními organizacemi.</w:t>
      </w:r>
    </w:p>
    <w:p w:rsidR="00D33F7B" w:rsidRDefault="00D33F7B" w:rsidP="00DC4E2C">
      <w:pPr>
        <w:jc w:val="both"/>
      </w:pPr>
    </w:p>
    <w:p w:rsidR="0082006B" w:rsidRDefault="00D33F7B" w:rsidP="00DC4E2C">
      <w:pPr>
        <w:jc w:val="both"/>
      </w:pPr>
      <w:r w:rsidRPr="006B76B1">
        <w:t xml:space="preserve">Odbor lidských práv a transformační politiky </w:t>
      </w:r>
      <w:r>
        <w:t xml:space="preserve">Ministerstva zahraničních věcí </w:t>
      </w:r>
      <w:r w:rsidRPr="006B76B1">
        <w:t xml:space="preserve">má v gesci </w:t>
      </w:r>
      <w:r>
        <w:rPr>
          <w:i/>
        </w:rPr>
        <w:t>D</w:t>
      </w:r>
      <w:r w:rsidRPr="00EB74EC">
        <w:rPr>
          <w:i/>
        </w:rPr>
        <w:t>otační Program transformační spolupráce</w:t>
      </w:r>
      <w:r>
        <w:t>, v jehož rámci</w:t>
      </w:r>
      <w:r w:rsidRPr="006B76B1">
        <w:t xml:space="preserve"> jsou realizovány projekty, které </w:t>
      </w:r>
      <w:r w:rsidRPr="006B76B1">
        <w:rPr>
          <w:spacing w:val="-4"/>
        </w:rPr>
        <w:t>slouží ke vzdělávání a šíření povědomí o lidských právech a k podpoře demokratizačních procesů a občanské společnosti ve světě.</w:t>
      </w:r>
      <w:r w:rsidRPr="006B76B1">
        <w:t xml:space="preserve"> P</w:t>
      </w:r>
      <w:r w:rsidRPr="006B76B1">
        <w:rPr>
          <w:color w:val="000000"/>
        </w:rPr>
        <w:t>rincip genderové rovnosti je zohledňován jako horizontální priorita ve všech realizo</w:t>
      </w:r>
      <w:r w:rsidR="00F64411">
        <w:rPr>
          <w:color w:val="000000"/>
        </w:rPr>
        <w:t xml:space="preserve">vaných projektech </w:t>
      </w:r>
      <w:r>
        <w:rPr>
          <w:color w:val="000000"/>
        </w:rPr>
        <w:t>ve fázi identifikace a hodnocení/výběru projektů. Z</w:t>
      </w:r>
      <w:r w:rsidRPr="006B76B1">
        <w:rPr>
          <w:color w:val="000000"/>
        </w:rPr>
        <w:t xml:space="preserve">ohlednění dopadů na rovné příležitosti žen a mužů je od roku 2015 součástí kolonky </w:t>
      </w:r>
      <w:r w:rsidRPr="0080722E">
        <w:rPr>
          <w:i/>
          <w:color w:val="000000"/>
        </w:rPr>
        <w:t>Faktory udržitelnosti výstupů projektu</w:t>
      </w:r>
      <w:r w:rsidRPr="006B76B1">
        <w:rPr>
          <w:color w:val="000000"/>
        </w:rPr>
        <w:t xml:space="preserve"> na id</w:t>
      </w:r>
      <w:r>
        <w:rPr>
          <w:color w:val="000000"/>
        </w:rPr>
        <w:t>entifikačním formuláři projektu</w:t>
      </w:r>
      <w:r w:rsidRPr="006B76B1">
        <w:rPr>
          <w:color w:val="000000"/>
        </w:rPr>
        <w:t>.</w:t>
      </w:r>
      <w:r w:rsidR="00C4698C">
        <w:t xml:space="preserve"> </w:t>
      </w:r>
      <w:r w:rsidR="00F64411">
        <w:t>V roce 2017 byly</w:t>
      </w:r>
      <w:r w:rsidRPr="001F0BEE">
        <w:t xml:space="preserve"> v rámci tran</w:t>
      </w:r>
      <w:r w:rsidR="001F0BEE" w:rsidRPr="001F0BEE">
        <w:t xml:space="preserve">sformační spolupráce realizovány </w:t>
      </w:r>
      <w:r w:rsidRPr="001F0BEE">
        <w:t>p</w:t>
      </w:r>
      <w:r w:rsidR="001F0BEE" w:rsidRPr="001F0BEE">
        <w:t xml:space="preserve">rojekty s genderovou </w:t>
      </w:r>
      <w:r w:rsidR="001F0BEE">
        <w:t>tématikou v Palestině, Zimbabwe, Peru, Vietnamu, Gruzii a Pákistánu.</w:t>
      </w:r>
    </w:p>
    <w:p w:rsidR="00DC4E2C" w:rsidRDefault="00DC4E2C" w:rsidP="00DC4E2C">
      <w:pPr>
        <w:jc w:val="both"/>
      </w:pPr>
    </w:p>
    <w:p w:rsidR="0082006B" w:rsidRDefault="00D103B4" w:rsidP="00DC4E2C">
      <w:pPr>
        <w:pStyle w:val="Nadpis2"/>
        <w:spacing w:before="0"/>
      </w:pPr>
      <w:bookmarkStart w:id="20" w:name="_Toc514782410"/>
      <w:r w:rsidRPr="00DD3271">
        <w:t>Úkol č. 15</w:t>
      </w:r>
      <w:bookmarkEnd w:id="20"/>
      <w:r w:rsidR="008665FD">
        <w:t xml:space="preserve"> </w:t>
      </w:r>
    </w:p>
    <w:p w:rsidR="008665FD" w:rsidRDefault="00D33F7B" w:rsidP="008665FD">
      <w:pPr>
        <w:jc w:val="both"/>
        <w:rPr>
          <w:b/>
          <w:i/>
        </w:rPr>
      </w:pPr>
      <w:r w:rsidRPr="00D33F7B">
        <w:rPr>
          <w:b/>
          <w:i/>
        </w:rPr>
        <w:t xml:space="preserve">Obecný cíl: </w:t>
      </w:r>
      <w:r w:rsidR="008665FD" w:rsidRPr="00D33F7B">
        <w:rPr>
          <w:b/>
          <w:i/>
        </w:rPr>
        <w:t>Permanentní a kontinuální zohledňování tíživé situace žen a dívek, monitoring a identifikace klíčových problémů nejvíce zranitelných skupin, včetně žen a d</w:t>
      </w:r>
      <w:r w:rsidR="00624BA2">
        <w:rPr>
          <w:b/>
          <w:i/>
        </w:rPr>
        <w:t xml:space="preserve">ívek a následné </w:t>
      </w:r>
      <w:r w:rsidR="008665FD" w:rsidRPr="00D33F7B">
        <w:rPr>
          <w:b/>
          <w:i/>
        </w:rPr>
        <w:t>paralelní vytváření kritérií a kvót jakožto podpůrných instrumentů ochrany nejvíce zranitelných skupin, včetně žen a dívek – v kontextu plánování a implementace zahraničních humanitárních programů a Regionálních programů rozvoje a ochrany (RDPP) vedených MV</w:t>
      </w:r>
      <w:r w:rsidR="00DD320A">
        <w:rPr>
          <w:b/>
          <w:i/>
        </w:rPr>
        <w:t xml:space="preserve"> (MV)</w:t>
      </w:r>
    </w:p>
    <w:p w:rsidR="00D33F7B" w:rsidRDefault="00D33F7B" w:rsidP="008665FD">
      <w:pPr>
        <w:jc w:val="both"/>
        <w:rPr>
          <w:b/>
          <w:i/>
        </w:rPr>
      </w:pPr>
    </w:p>
    <w:p w:rsidR="00D33F7B" w:rsidRDefault="00D33F7B" w:rsidP="008665FD">
      <w:pPr>
        <w:jc w:val="both"/>
        <w:rPr>
          <w:b/>
          <w:i/>
        </w:rPr>
      </w:pPr>
      <w:r>
        <w:rPr>
          <w:b/>
          <w:i/>
        </w:rPr>
        <w:t xml:space="preserve">Úkoly: </w:t>
      </w:r>
    </w:p>
    <w:p w:rsidR="00146BFA" w:rsidRPr="00146BFA" w:rsidRDefault="00146BFA" w:rsidP="00146BFA">
      <w:pPr>
        <w:pStyle w:val="Odstavecseseznamem"/>
        <w:numPr>
          <w:ilvl w:val="0"/>
          <w:numId w:val="21"/>
        </w:numPr>
        <w:jc w:val="both"/>
        <w:rPr>
          <w:i/>
        </w:rPr>
      </w:pPr>
      <w:r w:rsidRPr="00146BFA">
        <w:rPr>
          <w:i/>
        </w:rPr>
        <w:t>Podpora přesídlovacích programů a humanitárního přijetí žen a dívek v ohrožení (women at risk) a nejvíce zranitelných skupin s akutní potřebou mezinárodní ochrany</w:t>
      </w:r>
      <w:r w:rsidR="00F7499D">
        <w:rPr>
          <w:i/>
        </w:rPr>
        <w:t>;</w:t>
      </w:r>
    </w:p>
    <w:p w:rsidR="00146BFA" w:rsidRPr="00146BFA" w:rsidRDefault="004140A3" w:rsidP="00146BFA">
      <w:pPr>
        <w:pStyle w:val="Odstavecseseznamem"/>
        <w:numPr>
          <w:ilvl w:val="0"/>
          <w:numId w:val="21"/>
        </w:numPr>
        <w:jc w:val="both"/>
        <w:rPr>
          <w:i/>
        </w:rPr>
      </w:pPr>
      <w:r>
        <w:rPr>
          <w:i/>
        </w:rPr>
        <w:lastRenderedPageBreak/>
        <w:t>v</w:t>
      </w:r>
      <w:r w:rsidR="00146BFA" w:rsidRPr="00146BFA">
        <w:rPr>
          <w:i/>
        </w:rPr>
        <w:t>ýčet počtu přesídlených/ humanitárně přijatých žen a dívek – migrantek za účelem poskytnutí akutní mezinárodní ochrany</w:t>
      </w:r>
      <w:r w:rsidR="00F7499D">
        <w:rPr>
          <w:i/>
        </w:rPr>
        <w:t>;</w:t>
      </w:r>
    </w:p>
    <w:p w:rsidR="00146BFA" w:rsidRPr="00146BFA" w:rsidRDefault="004140A3" w:rsidP="00146BFA">
      <w:pPr>
        <w:pStyle w:val="Odstavecseseznamem"/>
        <w:numPr>
          <w:ilvl w:val="0"/>
          <w:numId w:val="21"/>
        </w:numPr>
        <w:jc w:val="both"/>
        <w:rPr>
          <w:b/>
          <w:i/>
        </w:rPr>
      </w:pPr>
      <w:r>
        <w:rPr>
          <w:i/>
        </w:rPr>
        <w:t>v</w:t>
      </w:r>
      <w:r w:rsidR="00146BFA" w:rsidRPr="00146BFA">
        <w:rPr>
          <w:i/>
        </w:rPr>
        <w:t>ymezení a monitoring souboru služeb a integračních opatření poskytnutých migrantům resp. ženám – migrantkám s udělenou mezinárodní ochranou</w:t>
      </w:r>
      <w:r w:rsidR="00F7499D">
        <w:rPr>
          <w:i/>
        </w:rPr>
        <w:t>.</w:t>
      </w:r>
    </w:p>
    <w:p w:rsidR="00ED08D8" w:rsidRPr="00146BFA" w:rsidRDefault="00ED08D8" w:rsidP="00146BFA">
      <w:pPr>
        <w:jc w:val="both"/>
        <w:rPr>
          <w:bCs/>
          <w:i/>
        </w:rPr>
      </w:pPr>
    </w:p>
    <w:p w:rsidR="00ED08D8" w:rsidRDefault="00ED08D8" w:rsidP="000A23FB">
      <w:pPr>
        <w:jc w:val="both"/>
        <w:rPr>
          <w:bCs/>
        </w:rPr>
      </w:pPr>
      <w:r w:rsidRPr="009E1ECB">
        <w:rPr>
          <w:bCs/>
        </w:rPr>
        <w:t>Ministerstvo vn</w:t>
      </w:r>
      <w:r w:rsidR="00F7499D">
        <w:rPr>
          <w:bCs/>
        </w:rPr>
        <w:t>itra</w:t>
      </w:r>
      <w:r w:rsidRPr="009E1ECB">
        <w:rPr>
          <w:bCs/>
        </w:rPr>
        <w:t xml:space="preserve"> </w:t>
      </w:r>
      <w:r w:rsidR="00F7499D">
        <w:rPr>
          <w:bCs/>
        </w:rPr>
        <w:t>r</w:t>
      </w:r>
      <w:r w:rsidRPr="009E1ECB">
        <w:rPr>
          <w:bCs/>
        </w:rPr>
        <w:t xml:space="preserve">ealizuje </w:t>
      </w:r>
      <w:r w:rsidR="00F7499D" w:rsidRPr="00624BA2">
        <w:rPr>
          <w:b/>
          <w:bCs/>
        </w:rPr>
        <w:t>dotační</w:t>
      </w:r>
      <w:r w:rsidRPr="00624BA2">
        <w:rPr>
          <w:b/>
          <w:bCs/>
        </w:rPr>
        <w:t xml:space="preserve"> program </w:t>
      </w:r>
      <w:r w:rsidRPr="00624BA2">
        <w:rPr>
          <w:b/>
          <w:bCs/>
          <w:i/>
        </w:rPr>
        <w:t>Integrace cizinců</w:t>
      </w:r>
      <w:r>
        <w:rPr>
          <w:bCs/>
        </w:rPr>
        <w:t>,</w:t>
      </w:r>
      <w:r w:rsidRPr="00DF1AC7">
        <w:rPr>
          <w:rFonts w:ascii="Arial" w:hAnsi="Arial" w:cs="Arial"/>
          <w:b/>
          <w:iCs/>
        </w:rPr>
        <w:t xml:space="preserve"> </w:t>
      </w:r>
      <w:r>
        <w:rPr>
          <w:bCs/>
        </w:rPr>
        <w:t>v jehož</w:t>
      </w:r>
      <w:r w:rsidRPr="00DF1AC7">
        <w:rPr>
          <w:bCs/>
        </w:rPr>
        <w:t xml:space="preserve"> rámci byly </w:t>
      </w:r>
      <w:r>
        <w:rPr>
          <w:bCs/>
        </w:rPr>
        <w:t xml:space="preserve">v roce 2017 </w:t>
      </w:r>
      <w:r w:rsidRPr="00DF1AC7">
        <w:rPr>
          <w:bCs/>
        </w:rPr>
        <w:t>poskytnuty dotace na realizaci nebo spolufinancová</w:t>
      </w:r>
      <w:r w:rsidR="00F7499D">
        <w:rPr>
          <w:bCs/>
        </w:rPr>
        <w:t>ní projektů k </w:t>
      </w:r>
      <w:r w:rsidRPr="00DF1AC7">
        <w:rPr>
          <w:bCs/>
        </w:rPr>
        <w:t>naplnění cílů státní politiky v oblasti integrace cizinců, se zřetelem na téma rovn</w:t>
      </w:r>
      <w:r w:rsidR="00F7499D">
        <w:rPr>
          <w:bCs/>
        </w:rPr>
        <w:t xml:space="preserve">ých příležitostí žen a mužů. Mezi tématy </w:t>
      </w:r>
      <w:r w:rsidRPr="00DF1AC7">
        <w:rPr>
          <w:bCs/>
        </w:rPr>
        <w:t xml:space="preserve">dotačního programu byl i </w:t>
      </w:r>
      <w:r w:rsidRPr="00ED08D8">
        <w:rPr>
          <w:b/>
          <w:bCs/>
          <w:iCs/>
        </w:rPr>
        <w:t>výzkum postavení žen-migrantek ve společnosti</w:t>
      </w:r>
      <w:r>
        <w:rPr>
          <w:bCs/>
        </w:rPr>
        <w:t xml:space="preserve"> zaměřený na proces integrace rodin z třetích zemí </w:t>
      </w:r>
      <w:r w:rsidR="00F7499D">
        <w:rPr>
          <w:bCs/>
        </w:rPr>
        <w:t xml:space="preserve">a </w:t>
      </w:r>
      <w:r>
        <w:rPr>
          <w:bCs/>
        </w:rPr>
        <w:t>roli žen v tomto procesu. Výzkum byl realizován Výzkumným ústavem práce a sociálních věcí.</w:t>
      </w:r>
      <w:r w:rsidR="00B00A0B">
        <w:rPr>
          <w:bCs/>
        </w:rPr>
        <w:t xml:space="preserve"> Ministerstvo vnitra taktéž </w:t>
      </w:r>
      <w:r w:rsidR="000A23FB">
        <w:rPr>
          <w:bCs/>
        </w:rPr>
        <w:t>pořádá</w:t>
      </w:r>
      <w:r w:rsidR="000A23FB" w:rsidRPr="009E1ECB">
        <w:rPr>
          <w:bCs/>
        </w:rPr>
        <w:t xml:space="preserve"> adaptačně-integrační kurzy pro nově příchozí ci</w:t>
      </w:r>
      <w:r w:rsidR="000A23FB">
        <w:rPr>
          <w:bCs/>
        </w:rPr>
        <w:t>zince</w:t>
      </w:r>
      <w:r w:rsidR="00D5360A">
        <w:rPr>
          <w:bCs/>
        </w:rPr>
        <w:t xml:space="preserve"> a cizinky</w:t>
      </w:r>
      <w:r w:rsidR="000A23FB">
        <w:rPr>
          <w:bCs/>
        </w:rPr>
        <w:t xml:space="preserve">, v jejichž rámci </w:t>
      </w:r>
      <w:r w:rsidR="000A23FB" w:rsidRPr="009E1ECB">
        <w:rPr>
          <w:bCs/>
        </w:rPr>
        <w:t>získají ženy- cizinky kontakty na organizace, zaměřené na prevenci obchodování s lidmi, domácího násilí a pomoc obětem vyko</w:t>
      </w:r>
      <w:r w:rsidR="00912FD4">
        <w:rPr>
          <w:bCs/>
        </w:rPr>
        <w:t>řisťování či kriminality. P</w:t>
      </w:r>
      <w:r w:rsidR="000A23FB" w:rsidRPr="009E1ECB">
        <w:rPr>
          <w:bCs/>
        </w:rPr>
        <w:t>rostřednictvím dotací na projekty obcí jsou podporovány aktivity zaměřené na zranitelné skupiny cizinců, zejména na ženy,  s cílem jejich aktivizace, zvýšení účasti na integračních aktivitách a prevence sociální izolace.</w:t>
      </w:r>
    </w:p>
    <w:p w:rsidR="000A23FB" w:rsidRPr="009E1ECB" w:rsidRDefault="000A23FB" w:rsidP="000A23FB">
      <w:pPr>
        <w:jc w:val="both"/>
        <w:rPr>
          <w:bCs/>
        </w:rPr>
      </w:pPr>
    </w:p>
    <w:p w:rsidR="00751BEE" w:rsidRDefault="00ED08D8" w:rsidP="00ED08D8">
      <w:pPr>
        <w:jc w:val="both"/>
      </w:pPr>
      <w:r w:rsidRPr="009E1ECB">
        <w:t xml:space="preserve">Prostřednictvím </w:t>
      </w:r>
      <w:r w:rsidRPr="00DE4BBE">
        <w:t xml:space="preserve">Programu Ministerstva vnitra na asistenci </w:t>
      </w:r>
      <w:r w:rsidR="00B00A0B">
        <w:t>uprchlíkům v regionech původu a </w:t>
      </w:r>
      <w:r w:rsidRPr="00DE4BBE">
        <w:t>prevenci velkých migračních pohybů</w:t>
      </w:r>
      <w:r w:rsidRPr="009E1ECB">
        <w:t xml:space="preserve"> </w:t>
      </w:r>
      <w:r w:rsidRPr="00D5360A">
        <w:rPr>
          <w:b/>
        </w:rPr>
        <w:t>uděluje Ministerstvo vnitra</w:t>
      </w:r>
      <w:r w:rsidR="00B00A0B" w:rsidRPr="00D5360A">
        <w:rPr>
          <w:b/>
        </w:rPr>
        <w:t xml:space="preserve"> finanční dary určené na </w:t>
      </w:r>
      <w:r w:rsidRPr="00D5360A">
        <w:rPr>
          <w:b/>
        </w:rPr>
        <w:t>asis</w:t>
      </w:r>
      <w:r w:rsidR="00751BEE" w:rsidRPr="00D5360A">
        <w:rPr>
          <w:b/>
        </w:rPr>
        <w:t xml:space="preserve">tenci uprchlíkům </w:t>
      </w:r>
      <w:r w:rsidRPr="00D5360A">
        <w:rPr>
          <w:b/>
        </w:rPr>
        <w:t>v místě jejich prvního vysídlení</w:t>
      </w:r>
      <w:r>
        <w:t xml:space="preserve"> a podporu azylové </w:t>
      </w:r>
      <w:r w:rsidRPr="009E1ECB">
        <w:t>a migrační infrastruktury států, které velké uprchlické populace hostí, nebo se s nimi jako tranzitní země potýkají. V rámci ře</w:t>
      </w:r>
      <w:r>
        <w:t xml:space="preserve">šení migrační krize </w:t>
      </w:r>
      <w:r w:rsidRPr="009E1ECB">
        <w:t>zohledňuje</w:t>
      </w:r>
      <w:r>
        <w:t xml:space="preserve"> Ministerstvo vnitra</w:t>
      </w:r>
      <w:r w:rsidRPr="009E1ECB">
        <w:t xml:space="preserve"> i potřeby nejzranitelnějších skupin uprchlíků a místních obyvatel, včetně genderově specifických potřeb žen a dívek.</w:t>
      </w:r>
    </w:p>
    <w:p w:rsidR="00751BEE" w:rsidRPr="00751BEE" w:rsidRDefault="001B596F" w:rsidP="00751BEE">
      <w:pPr>
        <w:spacing w:before="120"/>
        <w:jc w:val="both"/>
      </w:pPr>
      <w:r w:rsidRPr="00B00A0B">
        <w:t xml:space="preserve">Ministerstvo vnitra </w:t>
      </w:r>
      <w:r w:rsidR="00751BEE" w:rsidRPr="00B00A0B">
        <w:t>finančně podpořilo všechny tři evropské Regionální programy rozvoje a ochrany (RDDP) – RDPP pro Blízký východ, RDPP pro Africký roh a RDPP pro severní Afriku</w:t>
      </w:r>
      <w:r w:rsidR="00DB377B">
        <w:t xml:space="preserve"> </w:t>
      </w:r>
    </w:p>
    <w:p w:rsidR="00751BEE" w:rsidRPr="00751BEE" w:rsidRDefault="00751BEE" w:rsidP="00751BEE">
      <w:pPr>
        <w:spacing w:before="120"/>
        <w:jc w:val="both"/>
      </w:pPr>
      <w:r w:rsidRPr="00D5360A">
        <w:rPr>
          <w:b/>
        </w:rPr>
        <w:t xml:space="preserve">Ministerstvo vnitra v roce 2017 pokračovalo v realizaci </w:t>
      </w:r>
      <w:r w:rsidRPr="00D5360A">
        <w:rPr>
          <w:b/>
          <w:i/>
        </w:rPr>
        <w:t>Programu podpory a ochrany obětí obchodování s lidmi.</w:t>
      </w:r>
      <w:r w:rsidRPr="00751BEE">
        <w:t xml:space="preserve"> Program je určen obětem trestného činu obchodování s lidmi, kterým nabízí ubytování, psychosociální a zdravotní pomoc, služby tlumočení, právní asistenci, služby advokáta, asistenci při vyhledávání zaměstná</w:t>
      </w:r>
      <w:r w:rsidR="00D5360A">
        <w:t>ní, možnost legalizace pobytu a </w:t>
      </w:r>
      <w:r w:rsidRPr="00751BEE">
        <w:t>důstojný návrat do země původu. Klíčovým cílem Programu je humanitár</w:t>
      </w:r>
      <w:r w:rsidR="00D5360A">
        <w:t>ní rozměr pomoci a ochrany obětem</w:t>
      </w:r>
      <w:r w:rsidRPr="00751BEE">
        <w:t xml:space="preserve"> této závažné trestné činnosti. V roce 2017 bylo do P</w:t>
      </w:r>
      <w:r w:rsidR="00D5360A">
        <w:t>rogramu zařazeno celkem 24 osob, které se staly oběťmi</w:t>
      </w:r>
      <w:r w:rsidRPr="00751BEE">
        <w:t xml:space="preserve"> obchodování s lidmi. V sedmnácti případech se jednalo o vykořisťování pracovní a v sedmi případech o obchodování s lidmi za účelem sexuálního vykořisťování. Významnou součástí je také podpora prev</w:t>
      </w:r>
      <w:r>
        <w:t xml:space="preserve">entivních aktivit vykonávaných </w:t>
      </w:r>
      <w:r w:rsidR="00D5360A">
        <w:t>ve </w:t>
      </w:r>
      <w:r w:rsidRPr="00751BEE">
        <w:t>spolupráci s nestátními neziskovými organizacemi.</w:t>
      </w:r>
    </w:p>
    <w:p w:rsidR="00E43F3A" w:rsidRDefault="00E43F3A" w:rsidP="007B4FBB">
      <w:pPr>
        <w:pStyle w:val="Nadpis2"/>
        <w:spacing w:before="0"/>
      </w:pPr>
    </w:p>
    <w:p w:rsidR="00D103B4" w:rsidRDefault="00D103B4" w:rsidP="007B4FBB">
      <w:pPr>
        <w:pStyle w:val="Nadpis2"/>
        <w:spacing w:before="0"/>
      </w:pPr>
      <w:bookmarkStart w:id="21" w:name="_Toc514782411"/>
      <w:r w:rsidRPr="00B00A0B">
        <w:t>Úkol č. 16</w:t>
      </w:r>
      <w:bookmarkEnd w:id="21"/>
    </w:p>
    <w:p w:rsidR="00C03628" w:rsidRPr="00146BFA" w:rsidRDefault="00146BFA" w:rsidP="007B4FBB">
      <w:pPr>
        <w:jc w:val="both"/>
        <w:rPr>
          <w:b/>
          <w:i/>
        </w:rPr>
      </w:pPr>
      <w:r w:rsidRPr="00146BFA">
        <w:rPr>
          <w:b/>
          <w:i/>
        </w:rPr>
        <w:t xml:space="preserve">Obecný cíl: </w:t>
      </w:r>
      <w:r w:rsidR="00C03628" w:rsidRPr="00146BFA">
        <w:rPr>
          <w:b/>
          <w:i/>
        </w:rPr>
        <w:t>Podporovat vzdělávání dívek v konfliktních a post-konfliktních oblastech jako nezbytný předpoklad pro budoucí začlenění žen do rozhodovacích procesů</w:t>
      </w:r>
      <w:r w:rsidR="002E5A87">
        <w:rPr>
          <w:b/>
          <w:i/>
        </w:rPr>
        <w:t xml:space="preserve"> (MZV)</w:t>
      </w:r>
    </w:p>
    <w:p w:rsidR="009B501B" w:rsidRDefault="00146BFA" w:rsidP="00D103B4">
      <w:pPr>
        <w:spacing w:before="120"/>
        <w:jc w:val="both"/>
        <w:rPr>
          <w:i/>
        </w:rPr>
      </w:pPr>
      <w:r>
        <w:rPr>
          <w:i/>
        </w:rPr>
        <w:t xml:space="preserve">Úkol: </w:t>
      </w:r>
      <w:r w:rsidRPr="00146BFA">
        <w:rPr>
          <w:i/>
        </w:rPr>
        <w:t>Realizace projektů na podporu vzdělávání dívek a žen v konfliktních a post-konfliktních oblastech</w:t>
      </w:r>
      <w:r w:rsidR="009C44FC">
        <w:rPr>
          <w:i/>
        </w:rPr>
        <w:t>.</w:t>
      </w:r>
    </w:p>
    <w:p w:rsidR="00BC536E" w:rsidRDefault="003C2B67" w:rsidP="003C2B67">
      <w:pPr>
        <w:spacing w:before="120"/>
        <w:jc w:val="both"/>
      </w:pPr>
      <w:r>
        <w:t xml:space="preserve">V rámci rozvojové, humanitární a </w:t>
      </w:r>
      <w:r w:rsidR="00146BFA" w:rsidRPr="00146BFA">
        <w:t xml:space="preserve">transformační spolupráce </w:t>
      </w:r>
      <w:r>
        <w:t xml:space="preserve">v gesci Ministerstva zahraničních věcí </w:t>
      </w:r>
      <w:r w:rsidR="00146BFA" w:rsidRPr="00146BFA">
        <w:t xml:space="preserve">byly v roce 2017 realizovány projekty </w:t>
      </w:r>
      <w:r w:rsidR="00F42C53">
        <w:t>na podporu vzdělání dívek a žen</w:t>
      </w:r>
      <w:r>
        <w:t xml:space="preserve"> mj. v konfliktních a postkonfliktních zemích</w:t>
      </w:r>
      <w:r w:rsidR="00F42C53">
        <w:t>. N</w:t>
      </w:r>
      <w:r w:rsidR="00F42C53" w:rsidRPr="003F7BAD">
        <w:t>a absolventk</w:t>
      </w:r>
      <w:r w:rsidR="00190CFA">
        <w:t xml:space="preserve">y univerzit v Gaze v oboru IT </w:t>
      </w:r>
      <w:r w:rsidR="00F42C53" w:rsidRPr="003F7BAD">
        <w:t>techniky</w:t>
      </w:r>
      <w:r w:rsidR="00F42C53">
        <w:t xml:space="preserve"> se zaměřuje projekt </w:t>
      </w:r>
      <w:r w:rsidR="00BC536E">
        <w:t xml:space="preserve">transformační spolupráce </w:t>
      </w:r>
      <w:r w:rsidR="00F42C53">
        <w:t xml:space="preserve">realizovaný v Palestině. </w:t>
      </w:r>
      <w:r w:rsidR="00EA65E5">
        <w:t>Kampaň proti sexuálnímu obtěžování a dom</w:t>
      </w:r>
      <w:r>
        <w:t>ácímu násilí mezi studentkami a </w:t>
      </w:r>
      <w:r w:rsidR="00EA65E5">
        <w:t>studenty univerzit byla podpořena v Zimbabwe. Cílem projektu realizovaného v P</w:t>
      </w:r>
      <w:r w:rsidR="00D41FB6">
        <w:t>ákistánu</w:t>
      </w:r>
      <w:r w:rsidR="00EA65E5">
        <w:t xml:space="preserve"> je </w:t>
      </w:r>
      <w:r w:rsidR="00EA65E5" w:rsidRPr="003F7BAD">
        <w:rPr>
          <w:iCs/>
        </w:rPr>
        <w:t>posílit schopnosti pákistánských žen na jejich větší prosazení v o</w:t>
      </w:r>
      <w:r>
        <w:rPr>
          <w:iCs/>
        </w:rPr>
        <w:t>blastech, ve kterých již působí;</w:t>
      </w:r>
      <w:r w:rsidR="00EA65E5" w:rsidRPr="003F7BAD">
        <w:rPr>
          <w:iCs/>
        </w:rPr>
        <w:t xml:space="preserve"> police, </w:t>
      </w:r>
      <w:r w:rsidR="00EA65E5" w:rsidRPr="003F7BAD">
        <w:rPr>
          <w:iCs/>
        </w:rPr>
        <w:lastRenderedPageBreak/>
        <w:t>soudnictví, vzdělání a zdravotnictví.</w:t>
      </w:r>
      <w:r w:rsidR="00D41FB6">
        <w:rPr>
          <w:iCs/>
        </w:rPr>
        <w:t xml:space="preserve"> V Peru </w:t>
      </w:r>
      <w:r w:rsidR="00D41FB6">
        <w:t>byl realizován v</w:t>
      </w:r>
      <w:r w:rsidR="00D41FB6" w:rsidRPr="00575270">
        <w:t>zdělávací program o rovnosti žen a mužů a o ženských právech ve venkovských oblastech regionu Huanuco</w:t>
      </w:r>
      <w:r w:rsidR="00B00A0B">
        <w:t>. P</w:t>
      </w:r>
      <w:r w:rsidR="00D41FB6">
        <w:t xml:space="preserve">rojekt na posílení povědomí o rovnosti mužů a žen </w:t>
      </w:r>
      <w:r w:rsidR="00B00A0B">
        <w:t>Ministerstvo zahraničních věcí</w:t>
      </w:r>
      <w:r>
        <w:t xml:space="preserve"> podpořilo ve Vietnamu a Gruzii.</w:t>
      </w:r>
      <w:r w:rsidR="00D41FB6">
        <w:t xml:space="preserve"> </w:t>
      </w:r>
    </w:p>
    <w:p w:rsidR="008315DF" w:rsidRDefault="003C2B67" w:rsidP="003C2B67">
      <w:pPr>
        <w:spacing w:before="120"/>
        <w:jc w:val="both"/>
      </w:pPr>
      <w:r>
        <w:t xml:space="preserve">Humanitární </w:t>
      </w:r>
      <w:r w:rsidR="008315DF" w:rsidRPr="00633138">
        <w:t xml:space="preserve">projekty na podporu vzdělávání dívek a žen </w:t>
      </w:r>
      <w:r w:rsidRPr="00633138">
        <w:t xml:space="preserve">byly realizovány </w:t>
      </w:r>
      <w:r w:rsidR="008315DF" w:rsidRPr="00633138">
        <w:t>v</w:t>
      </w:r>
      <w:r w:rsidR="008F3F6A">
        <w:t xml:space="preserve"> Sýrii a Iráku. Rozvojové projekty pak v </w:t>
      </w:r>
      <w:r w:rsidR="008F3F6A" w:rsidRPr="008F3F6A">
        <w:t>Etiopii (zvyšování finanční gramotnost</w:t>
      </w:r>
      <w:r w:rsidR="008F3F6A">
        <w:t>i</w:t>
      </w:r>
      <w:r w:rsidR="008F3F6A" w:rsidRPr="008F3F6A">
        <w:t xml:space="preserve"> žen a dívek), Sýrii uplatnění na trhu práce prostřednictvím podpory vzdělávání), Írán</w:t>
      </w:r>
      <w:r w:rsidR="008F3F6A">
        <w:t>u (zvy</w:t>
      </w:r>
      <w:r w:rsidR="008F3F6A" w:rsidRPr="008F3F6A">
        <w:t>šování kvality služeb poskytovaných uprchlíkům ve vzdělávacích a sociálních centrech HAMI), Alžírsku (výchova a vzdělávání v neúplných a sociál</w:t>
      </w:r>
      <w:r w:rsidR="008F3F6A">
        <w:t>ně znevýhodněných rodinách), Srí</w:t>
      </w:r>
      <w:r w:rsidR="008F3F6A" w:rsidRPr="008F3F6A">
        <w:t xml:space="preserve"> Lance (nové školící centrum pro ženy), Afghánistán</w:t>
      </w:r>
      <w:r w:rsidR="008F3F6A">
        <w:t xml:space="preserve">u </w:t>
      </w:r>
      <w:r w:rsidR="008F3F6A" w:rsidRPr="008F3F6A">
        <w:t>(zlepšení kvality výuk</w:t>
      </w:r>
      <w:r w:rsidR="008F3F6A">
        <w:t xml:space="preserve">y na PC a kurzy šití pro ženy) a </w:t>
      </w:r>
      <w:r w:rsidR="008F3F6A" w:rsidRPr="008F3F6A">
        <w:t>Pákistánu (počítačová gramotnost a kurzy šití)</w:t>
      </w:r>
      <w:r w:rsidR="00B663E6">
        <w:t>.</w:t>
      </w:r>
    </w:p>
    <w:p w:rsidR="00190CFA" w:rsidRDefault="00190CFA" w:rsidP="009E4062">
      <w:pPr>
        <w:jc w:val="both"/>
      </w:pPr>
    </w:p>
    <w:p w:rsidR="004F3AF4" w:rsidRDefault="00633138" w:rsidP="009E4062">
      <w:pPr>
        <w:jc w:val="both"/>
      </w:pPr>
      <w:r>
        <w:rPr>
          <w:noProof/>
        </w:rPr>
        <w:drawing>
          <wp:inline distT="0" distB="0" distL="0" distR="0">
            <wp:extent cx="5759450" cy="2396674"/>
            <wp:effectExtent l="19050" t="0" r="0" b="0"/>
            <wp:docPr id="28" name="obrázek 28" descr="http://www.czechaid.cz/wp-content/uploads/2018/04/A_2018-04-25_Vysilani-ucitelu-620x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czechaid.cz/wp-content/uploads/2018/04/A_2018-04-25_Vysilani-ucitelu-620x258.jpg"/>
                    <pic:cNvPicPr>
                      <a:picLocks noChangeAspect="1" noChangeArrowheads="1"/>
                    </pic:cNvPicPr>
                  </pic:nvPicPr>
                  <pic:blipFill>
                    <a:blip r:embed="rId18" cstate="print"/>
                    <a:srcRect/>
                    <a:stretch>
                      <a:fillRect/>
                    </a:stretch>
                  </pic:blipFill>
                  <pic:spPr bwMode="auto">
                    <a:xfrm>
                      <a:off x="0" y="0"/>
                      <a:ext cx="5759450" cy="2396674"/>
                    </a:xfrm>
                    <a:prstGeom prst="rect">
                      <a:avLst/>
                    </a:prstGeom>
                    <a:noFill/>
                    <a:ln w="9525">
                      <a:noFill/>
                      <a:miter lim="800000"/>
                      <a:headEnd/>
                      <a:tailEnd/>
                    </a:ln>
                  </pic:spPr>
                </pic:pic>
              </a:graphicData>
            </a:graphic>
          </wp:inline>
        </w:drawing>
      </w:r>
    </w:p>
    <w:p w:rsidR="00633138" w:rsidRPr="00633138" w:rsidRDefault="00633138" w:rsidP="00633138">
      <w:pPr>
        <w:jc w:val="right"/>
        <w:rPr>
          <w:i/>
        </w:rPr>
      </w:pPr>
      <w:r w:rsidRPr="00633138">
        <w:rPr>
          <w:i/>
        </w:rPr>
        <w:t>Archiv ČRA</w:t>
      </w:r>
    </w:p>
    <w:p w:rsidR="00CC0111" w:rsidRPr="009E4062" w:rsidRDefault="00FC48F5" w:rsidP="00190CFA">
      <w:pPr>
        <w:pBdr>
          <w:top w:val="single" w:sz="4" w:space="1" w:color="auto"/>
          <w:left w:val="single" w:sz="4" w:space="4" w:color="auto"/>
          <w:bottom w:val="single" w:sz="4" w:space="1" w:color="auto"/>
          <w:right w:val="single" w:sz="4" w:space="4" w:color="auto"/>
        </w:pBdr>
        <w:spacing w:before="100" w:beforeAutospacing="1" w:after="100" w:afterAutospacing="1"/>
        <w:jc w:val="both"/>
        <w:rPr>
          <w:rStyle w:val="ListLabel2"/>
          <w:rFonts w:ascii="Times New Roman" w:hAnsi="Times New Roman"/>
          <w:b w:val="0"/>
          <w:color w:val="auto"/>
          <w:sz w:val="24"/>
        </w:rPr>
      </w:pPr>
      <w:r>
        <w:t>České f</w:t>
      </w:r>
      <w:r w:rsidR="00190CFA">
        <w:t xml:space="preserve">órum pro rozvojovou spolupráci je aktivním členem </w:t>
      </w:r>
      <w:r w:rsidR="00DD1470">
        <w:t>mezirezortní pracovní skupiny a </w:t>
      </w:r>
      <w:r w:rsidR="00190CFA">
        <w:t>důležitým partnerem pro implementaci agendy W</w:t>
      </w:r>
      <w:r w:rsidR="00DD1470">
        <w:t>PS. Na základě zkušeností z imp</w:t>
      </w:r>
      <w:r w:rsidR="00190CFA">
        <w:t>lem</w:t>
      </w:r>
      <w:r w:rsidR="00DD1470">
        <w:t>e</w:t>
      </w:r>
      <w:r w:rsidR="00190CFA">
        <w:t>ntace agendy WPS</w:t>
      </w:r>
      <w:r w:rsidR="00CC0111" w:rsidRPr="00CC0111">
        <w:t xml:space="preserve"> doporučuje věnovat zvýšenou pozornost také dalším genderovým perspektivám, které ma</w:t>
      </w:r>
      <w:r w:rsidR="00A51BFB">
        <w:t>jí potenciál vést k udržitelnému</w:t>
      </w:r>
      <w:r w:rsidR="00DD1470">
        <w:t xml:space="preserve"> míru</w:t>
      </w:r>
      <w:r w:rsidR="00CC0111" w:rsidRPr="00CC0111">
        <w:t xml:space="preserve"> </w:t>
      </w:r>
      <w:r w:rsidR="00DD1470">
        <w:t>prostřednictvím vzdělávání zaměřeného na </w:t>
      </w:r>
      <w:r w:rsidR="00CC0111" w:rsidRPr="00CC0111">
        <w:t>pre</w:t>
      </w:r>
      <w:r w:rsidR="00DD1470">
        <w:t xml:space="preserve">venci a řešení konfliktů, </w:t>
      </w:r>
      <w:r w:rsidR="00CC0111" w:rsidRPr="00CC0111">
        <w:t>posilování</w:t>
      </w:r>
      <w:r w:rsidR="00DD1470">
        <w:t>m</w:t>
      </w:r>
      <w:r w:rsidR="00CC0111" w:rsidRPr="00CC0111">
        <w:t xml:space="preserve"> občanské společnosti, a to především mírových iniciativ jak v místech probíhajících konfliktů, tak v postkonfliktních regionech, ale i v rámci ČR.</w:t>
      </w:r>
    </w:p>
    <w:p w:rsidR="00D103B4" w:rsidRPr="003D1770" w:rsidRDefault="00D103B4" w:rsidP="003D1770">
      <w:pPr>
        <w:pStyle w:val="Nadpis2"/>
        <w:rPr>
          <w:rStyle w:val="ListLabel2"/>
          <w:rFonts w:ascii="Times New Roman" w:hAnsi="Times New Roman"/>
          <w:b/>
          <w:color w:val="auto"/>
        </w:rPr>
      </w:pPr>
      <w:bookmarkStart w:id="22" w:name="_Toc514782412"/>
      <w:r w:rsidRPr="003D1770">
        <w:rPr>
          <w:rStyle w:val="ListLabel2"/>
          <w:rFonts w:ascii="Times New Roman" w:hAnsi="Times New Roman"/>
          <w:b/>
          <w:color w:val="auto"/>
        </w:rPr>
        <w:t>Úkol č. 17</w:t>
      </w:r>
      <w:bookmarkEnd w:id="22"/>
    </w:p>
    <w:p w:rsidR="00D762AD" w:rsidRDefault="002D4D66" w:rsidP="00D103B4">
      <w:pPr>
        <w:spacing w:before="120"/>
        <w:jc w:val="both"/>
        <w:rPr>
          <w:rFonts w:eastAsia="Calibri"/>
          <w:b/>
          <w:i/>
          <w:lang w:eastAsia="en-US"/>
        </w:rPr>
      </w:pPr>
      <w:r w:rsidRPr="002D4D66">
        <w:rPr>
          <w:rFonts w:eastAsia="Calibri"/>
          <w:b/>
          <w:i/>
          <w:lang w:eastAsia="en-US"/>
        </w:rPr>
        <w:t xml:space="preserve">Obecný cíl: </w:t>
      </w:r>
      <w:r w:rsidR="00D762AD" w:rsidRPr="002D4D66">
        <w:rPr>
          <w:rFonts w:eastAsia="Calibri"/>
          <w:b/>
          <w:i/>
          <w:lang w:eastAsia="en-US"/>
        </w:rPr>
        <w:t>Nadále se zaměřovat na léčbu zranitelných sku</w:t>
      </w:r>
      <w:r w:rsidR="008120C8">
        <w:rPr>
          <w:rFonts w:eastAsia="Calibri"/>
          <w:b/>
          <w:i/>
          <w:lang w:eastAsia="en-US"/>
        </w:rPr>
        <w:t>pin obyvatelstva (zejména žen a </w:t>
      </w:r>
      <w:r w:rsidR="00D762AD" w:rsidRPr="002D4D66">
        <w:rPr>
          <w:rFonts w:eastAsia="Calibri"/>
          <w:b/>
          <w:i/>
          <w:lang w:eastAsia="en-US"/>
        </w:rPr>
        <w:t>dětí) v rámci realizace aktivit programu MEDEVAC</w:t>
      </w:r>
      <w:r w:rsidR="002E5A87">
        <w:rPr>
          <w:rFonts w:eastAsia="Calibri"/>
          <w:b/>
          <w:i/>
          <w:lang w:eastAsia="en-US"/>
        </w:rPr>
        <w:t xml:space="preserve"> (MV)</w:t>
      </w:r>
    </w:p>
    <w:p w:rsidR="002D4D66" w:rsidRPr="00413F17" w:rsidRDefault="002D4D66" w:rsidP="00D103B4">
      <w:pPr>
        <w:spacing w:before="120"/>
        <w:jc w:val="both"/>
        <w:rPr>
          <w:rFonts w:eastAsia="Calibri"/>
          <w:b/>
          <w:i/>
          <w:lang w:eastAsia="en-US"/>
        </w:rPr>
      </w:pPr>
      <w:r w:rsidRPr="00413F17">
        <w:rPr>
          <w:rFonts w:eastAsia="Calibri"/>
          <w:i/>
          <w:lang w:eastAsia="en-US"/>
        </w:rPr>
        <w:t>Úkol</w:t>
      </w:r>
      <w:r w:rsidR="00413F17" w:rsidRPr="00413F17">
        <w:rPr>
          <w:rFonts w:eastAsia="Calibri"/>
          <w:i/>
          <w:lang w:eastAsia="en-US"/>
        </w:rPr>
        <w:t xml:space="preserve">: </w:t>
      </w:r>
      <w:r w:rsidRPr="00413F17">
        <w:rPr>
          <w:i/>
        </w:rPr>
        <w:t>Realizace</w:t>
      </w:r>
      <w:r w:rsidRPr="002D4D66">
        <w:rPr>
          <w:i/>
        </w:rPr>
        <w:t xml:space="preserve"> programu MEDEVAC – vysílání českých lékařských týmů </w:t>
      </w:r>
      <w:r>
        <w:rPr>
          <w:i/>
        </w:rPr>
        <w:t xml:space="preserve">do </w:t>
      </w:r>
      <w:r w:rsidRPr="002D4D66">
        <w:rPr>
          <w:i/>
        </w:rPr>
        <w:t>post-konfliktních oblastí se zaměřením na poskytování lékař</w:t>
      </w:r>
      <w:r w:rsidR="008120C8">
        <w:rPr>
          <w:i/>
        </w:rPr>
        <w:t>ské péče ženám a dětem; léčba a </w:t>
      </w:r>
      <w:r w:rsidRPr="002D4D66">
        <w:rPr>
          <w:i/>
        </w:rPr>
        <w:t>operace zahraničních pacientů a pacientek z oblastí stižených uprchlickou krizí v ČR;  školení zahraničních lékařek a zdravotních sester v ČR</w:t>
      </w:r>
      <w:r w:rsidR="008120C8">
        <w:rPr>
          <w:i/>
        </w:rPr>
        <w:t>; poskytování peněžních darů na </w:t>
      </w:r>
      <w:r w:rsidRPr="002D4D66">
        <w:rPr>
          <w:i/>
        </w:rPr>
        <w:t>projekty zaměřené na podporu zdraví žen</w:t>
      </w:r>
      <w:r w:rsidR="00B00A0B">
        <w:rPr>
          <w:i/>
        </w:rPr>
        <w:t>.</w:t>
      </w:r>
    </w:p>
    <w:p w:rsidR="00751BEE" w:rsidRPr="00751BEE" w:rsidRDefault="00751BEE" w:rsidP="00751BEE">
      <w:pPr>
        <w:spacing w:before="120"/>
        <w:jc w:val="both"/>
      </w:pPr>
      <w:r w:rsidRPr="00751BEE">
        <w:t>Stálý zdravotní humanitární program MEDEVAC se zaměřuje na poskytování lékařské péče zranitelným skupinám obyvatelstva v regionech zasažených humanitární</w:t>
      </w:r>
      <w:r w:rsidR="00D878B6">
        <w:t xml:space="preserve"> krizí nebo přírodní katastrofou či</w:t>
      </w:r>
      <w:r w:rsidRPr="00751BEE">
        <w:t xml:space="preserve"> v místech, kde není dostupná specializovaná odborná péč</w:t>
      </w:r>
      <w:r>
        <w:t xml:space="preserve">e. Léčba je poskytována zdarma </w:t>
      </w:r>
      <w:r w:rsidR="00D878B6">
        <w:t xml:space="preserve">a výhradně civilistům, </w:t>
      </w:r>
      <w:r w:rsidRPr="00751BEE">
        <w:t>převážn</w:t>
      </w:r>
      <w:r w:rsidR="00D878B6">
        <w:t xml:space="preserve">ě ženám, dětem a starším osobám. </w:t>
      </w:r>
      <w:r w:rsidRPr="00751BEE">
        <w:t xml:space="preserve">Program </w:t>
      </w:r>
      <w:r w:rsidR="003E3685">
        <w:t>MEDEVAC se zaměřuje na pacienty,</w:t>
      </w:r>
      <w:r w:rsidRPr="00751BEE">
        <w:t xml:space="preserve"> pro které léčení v ČR nebo operace v zahraničí </w:t>
      </w:r>
      <w:r w:rsidRPr="00751BEE">
        <w:lastRenderedPageBreak/>
        <w:t>znamená podstatnou změnu jejich zdravotního stavu (záchranu života anebo zásadní zvýšení kvality života).</w:t>
      </w:r>
    </w:p>
    <w:p w:rsidR="00A92AF0" w:rsidRPr="00751BEE" w:rsidRDefault="00751BEE" w:rsidP="00A92AF0">
      <w:pPr>
        <w:spacing w:before="120"/>
        <w:jc w:val="both"/>
      </w:pPr>
      <w:r w:rsidRPr="00751BEE">
        <w:t>V roce 2017 se program soustředil zejména na vysílání českých lékařských týmů do zahraničí, školení zahraničních lékařů a zdravotnického personálu, posilování kapacit ve zdravotnickém sektoru zahraničních p</w:t>
      </w:r>
      <w:r w:rsidR="00E819A5">
        <w:t xml:space="preserve">artnerů programu MEDEVAC a </w:t>
      </w:r>
      <w:r w:rsidRPr="00751BEE">
        <w:t>na poskytová</w:t>
      </w:r>
      <w:r w:rsidR="00B00A0B">
        <w:t>ní peněžních darů do </w:t>
      </w:r>
      <w:r>
        <w:t xml:space="preserve">zahraničí </w:t>
      </w:r>
      <w:r w:rsidRPr="00751BEE">
        <w:t xml:space="preserve">na podporu a rozvoj zdravotnické infrastruktury. </w:t>
      </w:r>
      <w:r w:rsidR="00540295">
        <w:t xml:space="preserve">V rámci programu MEDEVAC </w:t>
      </w:r>
      <w:r w:rsidR="00D878B6">
        <w:t xml:space="preserve">v roce 2017 </w:t>
      </w:r>
      <w:r w:rsidR="00540295">
        <w:t>ČR působila v Jordánsku, Iráku, Ukraji</w:t>
      </w:r>
      <w:r w:rsidR="00B00A0B">
        <w:t>ně, Maroku, Senegalu a Kambodže.</w:t>
      </w:r>
      <w:r w:rsidR="00E819A5">
        <w:t xml:space="preserve"> </w:t>
      </w:r>
      <w:r w:rsidR="00A92AF0" w:rsidRPr="00751BEE">
        <w:t>Další pokračování programu</w:t>
      </w:r>
      <w:r w:rsidR="00E819A5">
        <w:t xml:space="preserve"> MEDEVAC je plánováno v Jordánsku</w:t>
      </w:r>
      <w:r w:rsidR="00A92AF0" w:rsidRPr="00751BEE">
        <w:t>, Irák</w:t>
      </w:r>
      <w:r w:rsidR="00E819A5">
        <w:t>u</w:t>
      </w:r>
      <w:r w:rsidR="00A92AF0" w:rsidRPr="00751BEE">
        <w:t>, Libanon</w:t>
      </w:r>
      <w:r w:rsidR="00E819A5">
        <w:t>u, Maroku</w:t>
      </w:r>
      <w:r w:rsidR="00A92AF0" w:rsidRPr="00751BEE">
        <w:t>, Senegal</w:t>
      </w:r>
      <w:r w:rsidR="00E819A5">
        <w:t>u, Etiopii a Ukrajině</w:t>
      </w:r>
      <w:r w:rsidR="00D878B6">
        <w:t xml:space="preserve"> v podobném rozsahu</w:t>
      </w:r>
      <w:r w:rsidR="00A92AF0" w:rsidRPr="00751BEE">
        <w:t xml:space="preserve"> jako v roce 2017. Celkový rozpočet programu M</w:t>
      </w:r>
      <w:r w:rsidR="00E819A5">
        <w:t>EDEVAC na rok 2018 je 60 mil.</w:t>
      </w:r>
      <w:r w:rsidR="00A92AF0" w:rsidRPr="00751BEE">
        <w:t xml:space="preserve"> Kč.</w:t>
      </w:r>
    </w:p>
    <w:p w:rsidR="00C02648" w:rsidRPr="00A92AF0" w:rsidRDefault="00A92AF0" w:rsidP="00A92AF0">
      <w:pPr>
        <w:pBdr>
          <w:top w:val="single" w:sz="4" w:space="1" w:color="auto"/>
          <w:left w:val="single" w:sz="4" w:space="4" w:color="auto"/>
          <w:bottom w:val="single" w:sz="4" w:space="1" w:color="auto"/>
          <w:right w:val="single" w:sz="4" w:space="4" w:color="auto"/>
        </w:pBdr>
        <w:spacing w:before="120"/>
        <w:jc w:val="both"/>
      </w:pPr>
      <w:r>
        <w:t>Léčbou</w:t>
      </w:r>
      <w:r w:rsidRPr="00751BEE">
        <w:t xml:space="preserve"> syrských uprchlíků a jordánských sociálně slabých občanů</w:t>
      </w:r>
      <w:r>
        <w:t xml:space="preserve"> se zabývalo </w:t>
      </w:r>
      <w:r w:rsidRPr="00751BEE">
        <w:t xml:space="preserve">14 lékařských týmů vyslaných do Jordánska za účasti 5 českých nemocnic </w:t>
      </w:r>
      <w:r>
        <w:t>(</w:t>
      </w:r>
      <w:r w:rsidRPr="00751BEE">
        <w:t xml:space="preserve">876 </w:t>
      </w:r>
      <w:r w:rsidR="000D0E61">
        <w:t>provedených operačních zákroků/</w:t>
      </w:r>
      <w:r w:rsidRPr="00751BEE">
        <w:t>858 odoperovaných pacientů</w:t>
      </w:r>
      <w:r>
        <w:t>). V iráckém</w:t>
      </w:r>
      <w:r w:rsidRPr="00751BEE">
        <w:t xml:space="preserve"> Kurdistánu</w:t>
      </w:r>
      <w:r>
        <w:t xml:space="preserve"> působily </w:t>
      </w:r>
      <w:r w:rsidRPr="00751BEE">
        <w:t xml:space="preserve">2 lékařské týmy </w:t>
      </w:r>
      <w:r>
        <w:t>poskytující traumatologickou pomoc pacientům</w:t>
      </w:r>
      <w:r w:rsidRPr="00751BEE">
        <w:t xml:space="preserve"> z oblasti Mosul</w:t>
      </w:r>
      <w:r w:rsidR="000D0E61">
        <w:t>u a systémovou pomoc v </w:t>
      </w:r>
      <w:r>
        <w:t>podobě</w:t>
      </w:r>
      <w:r w:rsidRPr="00751BEE">
        <w:t xml:space="preserve"> prevence a léčb</w:t>
      </w:r>
      <w:r>
        <w:t>y</w:t>
      </w:r>
      <w:r w:rsidRPr="00751BEE">
        <w:t xml:space="preserve"> infe</w:t>
      </w:r>
      <w:r>
        <w:t>kčních komplikací po oper</w:t>
      </w:r>
      <w:r w:rsidR="000D0E61">
        <w:t xml:space="preserve">acích. Iráku byly poskytnuty 2 peněžní dary v hodnotě </w:t>
      </w:r>
      <w:r w:rsidRPr="00751BEE">
        <w:t>9 mil</w:t>
      </w:r>
      <w:r w:rsidR="000D0E61">
        <w:t>.</w:t>
      </w:r>
      <w:r w:rsidRPr="00751BEE">
        <w:t xml:space="preserve"> Kč. na materiálové a přístrojové vybavení zdravotnických center v uprchlickém táboře pro </w:t>
      </w:r>
      <w:r>
        <w:t>vnitřně vysídlené osoby</w:t>
      </w:r>
      <w:r w:rsidRPr="00751BEE">
        <w:t xml:space="preserve"> v blízkos</w:t>
      </w:r>
      <w:r>
        <w:t xml:space="preserve">ti Mosulu a ve východním Mosulu. Proběhlo </w:t>
      </w:r>
      <w:r w:rsidRPr="00751BEE">
        <w:t>školení zahraničních lékařů a zdravo</w:t>
      </w:r>
      <w:r>
        <w:t>tnického personálu na Ukrajině a</w:t>
      </w:r>
      <w:r w:rsidR="000D0E61">
        <w:t> </w:t>
      </w:r>
      <w:r w:rsidRPr="00751BEE">
        <w:t>vyslání lékařskéh</w:t>
      </w:r>
      <w:r w:rsidR="00D9446C">
        <w:t xml:space="preserve">o týmu – 15 účastníků školení, </w:t>
      </w:r>
      <w:r w:rsidRPr="00751BEE">
        <w:t>zaměřen</w:t>
      </w:r>
      <w:r w:rsidR="000D0E61">
        <w:t>áh</w:t>
      </w:r>
      <w:r w:rsidRPr="00751BEE">
        <w:t>o na fyzioterapii a ergoterapii pacientů po ortopedickém či neurochirurgickém zákroku</w:t>
      </w:r>
      <w:r w:rsidR="00D9446C">
        <w:t>. Zároveň byla provedena</w:t>
      </w:r>
      <w:r w:rsidR="00AE32D0">
        <w:t>v</w:t>
      </w:r>
      <w:r w:rsidRPr="00751BEE">
        <w:t xml:space="preserve"> zdravotně humanitární evakua</w:t>
      </w:r>
      <w:r>
        <w:t>ce ukrajinské pacientky do ČR. Dv</w:t>
      </w:r>
      <w:r w:rsidR="000D0E61">
        <w:t>a lékařské týmy se zaměřením na </w:t>
      </w:r>
      <w:r>
        <w:t xml:space="preserve">gynekologii působily v Senegalu </w:t>
      </w:r>
      <w:r w:rsidR="000D0E61">
        <w:t>(celkem operováno 35 pacientek</w:t>
      </w:r>
      <w:r w:rsidRPr="00751BEE">
        <w:t>)</w:t>
      </w:r>
      <w:r>
        <w:t xml:space="preserve"> a l</w:t>
      </w:r>
      <w:r w:rsidR="000D0E61">
        <w:t>ékařský tým dětské</w:t>
      </w:r>
      <w:r w:rsidRPr="00751BEE">
        <w:t xml:space="preserve"> kardiochirurgie </w:t>
      </w:r>
      <w:r w:rsidR="000D0E61">
        <w:t xml:space="preserve">FN Motol </w:t>
      </w:r>
      <w:r>
        <w:t>odoperoval 13 dětí v</w:t>
      </w:r>
      <w:r w:rsidRPr="00751BEE">
        <w:t xml:space="preserve"> Kambodži </w:t>
      </w:r>
      <w:r>
        <w:t xml:space="preserve">a 10 dětí v Maroku. Pro marocké </w:t>
      </w:r>
      <w:r w:rsidR="000D0E61">
        <w:t xml:space="preserve">lékaře proběhly </w:t>
      </w:r>
      <w:r>
        <w:t>v</w:t>
      </w:r>
      <w:r w:rsidR="000D0E61">
        <w:t>e</w:t>
      </w:r>
      <w:r>
        <w:t> FN Motol 2 školení.</w:t>
      </w:r>
    </w:p>
    <w:p w:rsidR="009E0C3D" w:rsidRPr="00A92AF0" w:rsidRDefault="009E0C3D" w:rsidP="00A92AF0">
      <w:pPr>
        <w:pStyle w:val="Nadpis1"/>
        <w:numPr>
          <w:ilvl w:val="0"/>
          <w:numId w:val="34"/>
        </w:numPr>
      </w:pPr>
      <w:bookmarkStart w:id="23" w:name="_Toc514782413"/>
      <w:r w:rsidRPr="008C0044">
        <w:t>Důstojnost a integrita žen ve vztahu k problematice WPS</w:t>
      </w:r>
      <w:bookmarkEnd w:id="23"/>
    </w:p>
    <w:p w:rsidR="00DD3271" w:rsidRDefault="00D103B4" w:rsidP="00165536">
      <w:pPr>
        <w:pStyle w:val="Nadpis2"/>
      </w:pPr>
      <w:bookmarkStart w:id="24" w:name="_Toc514782414"/>
      <w:r w:rsidRPr="0006433D">
        <w:t>Úkol č. 18</w:t>
      </w:r>
      <w:bookmarkEnd w:id="24"/>
    </w:p>
    <w:p w:rsidR="0006433D" w:rsidRPr="003E3338" w:rsidRDefault="003E3338" w:rsidP="0006433D">
      <w:pPr>
        <w:jc w:val="both"/>
        <w:rPr>
          <w:b/>
          <w:i/>
        </w:rPr>
      </w:pPr>
      <w:r w:rsidRPr="003E3338">
        <w:rPr>
          <w:b/>
          <w:i/>
        </w:rPr>
        <w:t xml:space="preserve">Obecný cíl: </w:t>
      </w:r>
      <w:r w:rsidR="0006433D" w:rsidRPr="003E3338">
        <w:rPr>
          <w:b/>
          <w:i/>
        </w:rPr>
        <w:t>Podílet se na potírání sexuálního násilí, znásilnění a dalších forem genderově podmíněného násilí a obchodování s lidmi ve všech jeho formách; ostře se vyhrazovat proti užívání genderově podmíněného násilí jako taktiky boje; vyvíjet tlak na důsledné vyšetření skutků a odsouzení pachatelů; prosazovat důsledně potírání všech forem beztrestnosti pachatelů genderově podmíněného násilí</w:t>
      </w:r>
      <w:r w:rsidR="002E5A87">
        <w:rPr>
          <w:b/>
          <w:i/>
        </w:rPr>
        <w:t xml:space="preserve"> (MZV)</w:t>
      </w:r>
    </w:p>
    <w:p w:rsidR="0006433D" w:rsidRDefault="0006433D" w:rsidP="00DD3271">
      <w:pPr>
        <w:jc w:val="both"/>
      </w:pPr>
    </w:p>
    <w:p w:rsidR="0006433D" w:rsidRPr="00253EC8" w:rsidRDefault="0006433D" w:rsidP="00253EC8">
      <w:pPr>
        <w:pStyle w:val="Odstavecseseznamem"/>
        <w:numPr>
          <w:ilvl w:val="0"/>
          <w:numId w:val="22"/>
        </w:numPr>
        <w:jc w:val="both"/>
        <w:rPr>
          <w:i/>
        </w:rPr>
      </w:pPr>
      <w:r w:rsidRPr="00253EC8">
        <w:rPr>
          <w:i/>
        </w:rPr>
        <w:t>V bilaterálních stycích a na půdě mezinárodních organizací nadále podporovat naplňování ustanovení Úmluvy o odstranění všech forem diskriminace žen</w:t>
      </w:r>
      <w:r w:rsidR="00755695" w:rsidRPr="00253EC8">
        <w:rPr>
          <w:i/>
        </w:rPr>
        <w:t xml:space="preserve"> týkající se ochrany práv žen a </w:t>
      </w:r>
      <w:r w:rsidRPr="00253EC8">
        <w:rPr>
          <w:i/>
        </w:rPr>
        <w:t>ochrany žen před genderově podmíněným násilím, sexuálním vykořisťováním a obchodováním, ochrany vysídlenýc</w:t>
      </w:r>
      <w:r w:rsidR="001C775B">
        <w:rPr>
          <w:i/>
        </w:rPr>
        <w:t>h žen a zajišťování přístupu ke </w:t>
      </w:r>
      <w:r w:rsidRPr="00253EC8">
        <w:rPr>
          <w:i/>
        </w:rPr>
        <w:t>spravedlnosti</w:t>
      </w:r>
      <w:r w:rsidR="003D1770">
        <w:rPr>
          <w:i/>
        </w:rPr>
        <w:t>;</w:t>
      </w:r>
    </w:p>
    <w:p w:rsidR="00253EC8" w:rsidRPr="00253EC8" w:rsidRDefault="009C44FC" w:rsidP="00253EC8">
      <w:pPr>
        <w:pStyle w:val="Odstavecseseznamem"/>
        <w:numPr>
          <w:ilvl w:val="0"/>
          <w:numId w:val="22"/>
        </w:numPr>
        <w:jc w:val="both"/>
        <w:rPr>
          <w:i/>
        </w:rPr>
      </w:pPr>
      <w:r>
        <w:rPr>
          <w:i/>
        </w:rPr>
        <w:t>v</w:t>
      </w:r>
      <w:r w:rsidR="00253EC8" w:rsidRPr="00253EC8">
        <w:rPr>
          <w:i/>
        </w:rPr>
        <w:t> rámci Univerzálního periodického přezkumu uplatňovat doporučení vyzývající státy k zajištění ochrany práv žen a ochrany žen před genderově podmíněným násilím, sexuálním vykořisťováním a obchodováním, ochrany vysídlených žen a zajišťování přístupu ke spravedlnosti</w:t>
      </w:r>
      <w:r w:rsidR="003D1770">
        <w:rPr>
          <w:i/>
        </w:rPr>
        <w:t>;</w:t>
      </w:r>
    </w:p>
    <w:p w:rsidR="00253EC8" w:rsidRPr="00253EC8" w:rsidRDefault="009C44FC" w:rsidP="00253EC8">
      <w:pPr>
        <w:pStyle w:val="Odstavecseseznamem"/>
        <w:numPr>
          <w:ilvl w:val="0"/>
          <w:numId w:val="22"/>
        </w:numPr>
        <w:jc w:val="both"/>
        <w:rPr>
          <w:i/>
        </w:rPr>
      </w:pPr>
      <w:r>
        <w:rPr>
          <w:i/>
        </w:rPr>
        <w:t>p</w:t>
      </w:r>
      <w:r w:rsidR="00253EC8" w:rsidRPr="00253EC8">
        <w:rPr>
          <w:i/>
        </w:rPr>
        <w:t>odpora činnosti Mezinárodního trestního soudu a nestálých soudních tribunálů</w:t>
      </w:r>
      <w:r w:rsidR="003D1770">
        <w:rPr>
          <w:i/>
        </w:rPr>
        <w:t>.</w:t>
      </w:r>
    </w:p>
    <w:p w:rsidR="00253EC8" w:rsidRPr="0006433D" w:rsidRDefault="00253EC8" w:rsidP="0006433D">
      <w:pPr>
        <w:jc w:val="both"/>
        <w:rPr>
          <w:i/>
        </w:rPr>
      </w:pPr>
    </w:p>
    <w:p w:rsidR="00DD3271" w:rsidRDefault="00DD3271" w:rsidP="00DD3271">
      <w:pPr>
        <w:jc w:val="both"/>
      </w:pPr>
      <w:r w:rsidRPr="007E4CFC">
        <w:t xml:space="preserve">V roce 2017 </w:t>
      </w:r>
      <w:r w:rsidR="00755695">
        <w:t>Ministerstvo zahraničních věcí</w:t>
      </w:r>
      <w:r w:rsidRPr="007E4CFC">
        <w:t xml:space="preserve"> průřezově prosazovalo</w:t>
      </w:r>
      <w:r w:rsidRPr="007E4CFC">
        <w:rPr>
          <w:b/>
        </w:rPr>
        <w:t xml:space="preserve"> </w:t>
      </w:r>
      <w:r w:rsidRPr="007E4CFC">
        <w:t>vodítka EU k násilí na</w:t>
      </w:r>
      <w:r w:rsidR="001C775B">
        <w:t> </w:t>
      </w:r>
      <w:r w:rsidRPr="007E4CFC">
        <w:t>ženách a dívkách a boji proti všem formám jejich diskriminace</w:t>
      </w:r>
      <w:r w:rsidR="0006433D">
        <w:t>.</w:t>
      </w:r>
      <w:r w:rsidR="001C775B">
        <w:t xml:space="preserve"> </w:t>
      </w:r>
      <w:r w:rsidRPr="007E4CFC">
        <w:t xml:space="preserve">V rámci vyjednávaní rezolucí a prohlášení na 35. zasedání Rady OSN pro lidská práva a 61. zasedání Komise pro postavení žen ČR prosazovala ustanovení proti diskriminaci žen a násilí na ženách a dívkách. </w:t>
      </w:r>
    </w:p>
    <w:p w:rsidR="00544F02" w:rsidRDefault="00544F02" w:rsidP="00DD3271">
      <w:pPr>
        <w:jc w:val="both"/>
      </w:pPr>
    </w:p>
    <w:p w:rsidR="00BF039F" w:rsidRDefault="00036976" w:rsidP="00044051">
      <w:pPr>
        <w:jc w:val="both"/>
      </w:pPr>
      <w:r>
        <w:lastRenderedPageBreak/>
        <w:t>ČR dne 15. března</w:t>
      </w:r>
      <w:r w:rsidR="00755695">
        <w:t xml:space="preserve"> 2017 vystoupila s projevem v  rámci otevřené</w:t>
      </w:r>
      <w:r w:rsidR="001C775B">
        <w:t xml:space="preserve"> debaty Rady bezpečnosti OSN ke </w:t>
      </w:r>
      <w:r w:rsidR="00755695">
        <w:t>každoroční zpr</w:t>
      </w:r>
      <w:r w:rsidR="001C775B">
        <w:t xml:space="preserve">ávě Generálního tajemníka OSN k </w:t>
      </w:r>
      <w:r w:rsidR="00755695">
        <w:t>sexuálnímu násilí v ozbrojených konfliktech.</w:t>
      </w:r>
      <w:r w:rsidR="00BF039F">
        <w:t xml:space="preserve"> </w:t>
      </w:r>
      <w:r w:rsidR="00554A7D">
        <w:t xml:space="preserve">V listopadu 2017 se </w:t>
      </w:r>
      <w:r w:rsidR="00755695">
        <w:t>ČR</w:t>
      </w:r>
      <w:r w:rsidR="00554A7D">
        <w:t xml:space="preserve"> </w:t>
      </w:r>
      <w:r w:rsidR="00755695">
        <w:t>aktivně účastnila 16-ti denní kampaně p</w:t>
      </w:r>
      <w:r w:rsidR="001C775B">
        <w:t>roti užití sexuálního násilí na </w:t>
      </w:r>
      <w:r w:rsidR="00755695">
        <w:t>ženách.</w:t>
      </w:r>
      <w:r w:rsidR="00554A7D">
        <w:t xml:space="preserve"> </w:t>
      </w:r>
    </w:p>
    <w:p w:rsidR="00BF039F" w:rsidRDefault="00BF039F" w:rsidP="00044051">
      <w:pPr>
        <w:jc w:val="both"/>
      </w:pPr>
    </w:p>
    <w:p w:rsidR="008C0044" w:rsidRPr="00BF039F" w:rsidRDefault="00554A7D" w:rsidP="00044051">
      <w:pPr>
        <w:jc w:val="both"/>
      </w:pPr>
      <w:r w:rsidRPr="001C775B">
        <w:rPr>
          <w:b/>
          <w:color w:val="000000"/>
        </w:rPr>
        <w:t>V rámci dobrovolných závazků souvisejících s kandidaturou ČR na členství v Radě OSN pro lidská práva na léta 2019-20 se ČR aktuálně zavázala usilovat o ratifikaci Istanbulské úmluvy</w:t>
      </w:r>
      <w:r>
        <w:rPr>
          <w:color w:val="000000"/>
        </w:rPr>
        <w:t xml:space="preserve">, která </w:t>
      </w:r>
      <w:r w:rsidRPr="000C4631">
        <w:rPr>
          <w:color w:val="000000"/>
        </w:rPr>
        <w:t>představuje mezinárodněprávní dokument stanovující komplexní standardy v oblasti prevence a potírání domácího a genderově podmíněného násilí. Usnesením vlády ČR ze dne 8. února 2016 č. 114 vyslovila vláda ČR souhlas se sjednáním Istanbulské úmluvy. V souladu s tímto usnesením podepsal</w:t>
      </w:r>
      <w:r>
        <w:rPr>
          <w:color w:val="000000"/>
        </w:rPr>
        <w:t>a ČR Istanbulskou úmluvu dne 2. </w:t>
      </w:r>
      <w:r w:rsidRPr="000C4631">
        <w:rPr>
          <w:color w:val="000000"/>
        </w:rPr>
        <w:t xml:space="preserve">května 2016. Za účelem dosažení plného souladu českého právního řádu s požadavky Úmluvy je nyní nezbytné před její ratifikací provést legislativní změny, které Ministerstvo spravedlnosti zahrne do návrhu zákona, kterým se mění zákon č. 40/2009 Sb., trestní zákoník, ve znění pozdějších předpisů. </w:t>
      </w:r>
    </w:p>
    <w:p w:rsidR="003D1770" w:rsidRDefault="003D1770" w:rsidP="00044051">
      <w:pPr>
        <w:jc w:val="both"/>
        <w:rPr>
          <w:color w:val="000000"/>
        </w:rPr>
      </w:pPr>
    </w:p>
    <w:p w:rsidR="008C0044" w:rsidRPr="00BF039F" w:rsidRDefault="00BF039F" w:rsidP="00044051">
      <w:pPr>
        <w:jc w:val="both"/>
        <w:rPr>
          <w:b/>
          <w:color w:val="000000"/>
        </w:rPr>
      </w:pPr>
      <w:r w:rsidRPr="00BF039F">
        <w:rPr>
          <w:b/>
          <w:color w:val="000000"/>
        </w:rPr>
        <w:t>Během</w:t>
      </w:r>
      <w:r w:rsidR="001C775B" w:rsidRPr="00BF039F">
        <w:rPr>
          <w:b/>
          <w:color w:val="000000"/>
        </w:rPr>
        <w:t xml:space="preserve"> 27. a 28. zasedání</w:t>
      </w:r>
      <w:r w:rsidR="00E51E34" w:rsidRPr="00BF039F">
        <w:rPr>
          <w:b/>
          <w:color w:val="000000"/>
        </w:rPr>
        <w:t xml:space="preserve"> k Univerzálnímu periodickému přezkumu ČR učinila doporučení</w:t>
      </w:r>
      <w:r w:rsidR="00E51E34">
        <w:rPr>
          <w:color w:val="000000"/>
        </w:rPr>
        <w:t xml:space="preserve"> k tématu sexuálního a genderově orientovaného násilí </w:t>
      </w:r>
      <w:r w:rsidR="00E51E34" w:rsidRPr="00BF039F">
        <w:rPr>
          <w:b/>
          <w:color w:val="000000"/>
        </w:rPr>
        <w:t>v případě Indie, Brazílie, Argentiny, Ghany, Pákistánu a Ukrajiny.</w:t>
      </w:r>
    </w:p>
    <w:p w:rsidR="008C0044" w:rsidRDefault="008C0044" w:rsidP="00044051">
      <w:pPr>
        <w:jc w:val="both"/>
        <w:rPr>
          <w:color w:val="000000"/>
        </w:rPr>
      </w:pPr>
    </w:p>
    <w:p w:rsidR="00044051" w:rsidRPr="008C0044" w:rsidRDefault="00044051" w:rsidP="00044051">
      <w:pPr>
        <w:jc w:val="both"/>
        <w:rPr>
          <w:color w:val="000000"/>
        </w:rPr>
      </w:pPr>
      <w:r w:rsidRPr="001E272F">
        <w:t xml:space="preserve">V souladu s čl. 4.3 </w:t>
      </w:r>
      <w:r w:rsidRPr="001E272F">
        <w:rPr>
          <w:i/>
        </w:rPr>
        <w:t>Koncepce zahraniční politiky</w:t>
      </w:r>
      <w:r w:rsidRPr="001E272F">
        <w:t xml:space="preserve"> Česká republika podporuje činnost Mezinárodního trestního soudu a nestálých mezinárodních soudních tribunálů:</w:t>
      </w:r>
      <w:r>
        <w:t xml:space="preserve"> V Koncepci se praví: </w:t>
      </w:r>
      <w:r w:rsidRPr="00051E60">
        <w:rPr>
          <w:i/>
        </w:rPr>
        <w:t xml:space="preserve">„Nedílnou součástí naplňování lidské důstojnosti je podpora mezinárodního trestního soudnictví, především </w:t>
      </w:r>
      <w:r w:rsidRPr="00B27B8B">
        <w:rPr>
          <w:rStyle w:val="Siln"/>
          <w:b w:val="0"/>
          <w:i/>
        </w:rPr>
        <w:t>Mezinárodního trestního soudu.</w:t>
      </w:r>
      <w:r w:rsidRPr="00051E60">
        <w:rPr>
          <w:rStyle w:val="Siln"/>
          <w:i/>
        </w:rPr>
        <w:t xml:space="preserve"> </w:t>
      </w:r>
      <w:r w:rsidRPr="00051E60">
        <w:rPr>
          <w:i/>
        </w:rPr>
        <w:t>Česká republika bude podporovat univerzalitu Římského statutu tohoto soudu a usilovat o potrestání pachatelů genocidy, válečných zločinů, zločinů proti lidskosti a zločinu agrese, a prosazovat kroky mezinárodního společenství vedoucí k vyloučení beztrestnosti za zločiny podle mezinárodního práva.“</w:t>
      </w:r>
    </w:p>
    <w:p w:rsidR="0006433D" w:rsidRDefault="0006433D" w:rsidP="00730BDB">
      <w:pPr>
        <w:autoSpaceDE w:val="0"/>
        <w:autoSpaceDN w:val="0"/>
        <w:adjustRightInd w:val="0"/>
        <w:rPr>
          <w:color w:val="000000"/>
        </w:rPr>
      </w:pPr>
    </w:p>
    <w:p w:rsidR="00730BDB" w:rsidRPr="00044051" w:rsidRDefault="00044051" w:rsidP="00044051">
      <w:pPr>
        <w:autoSpaceDE w:val="0"/>
        <w:autoSpaceDN w:val="0"/>
        <w:adjustRightInd w:val="0"/>
        <w:jc w:val="both"/>
        <w:rPr>
          <w:color w:val="000000"/>
        </w:rPr>
      </w:pPr>
      <w:r>
        <w:rPr>
          <w:color w:val="000000"/>
        </w:rPr>
        <w:t>ČR v</w:t>
      </w:r>
      <w:r w:rsidR="00730BDB" w:rsidRPr="0097241A">
        <w:rPr>
          <w:color w:val="000000"/>
        </w:rPr>
        <w:t xml:space="preserve"> roce </w:t>
      </w:r>
      <w:r w:rsidR="007C64D7">
        <w:rPr>
          <w:color w:val="000000"/>
        </w:rPr>
        <w:t>2017 poskytla částku 550 tis.</w:t>
      </w:r>
      <w:r>
        <w:rPr>
          <w:color w:val="000000"/>
        </w:rPr>
        <w:t xml:space="preserve"> Kč </w:t>
      </w:r>
      <w:r>
        <w:rPr>
          <w:b/>
          <w:bCs/>
          <w:color w:val="000000"/>
        </w:rPr>
        <w:t>Svěřeneckému</w:t>
      </w:r>
      <w:r w:rsidR="00730BDB" w:rsidRPr="0097241A">
        <w:rPr>
          <w:b/>
          <w:bCs/>
          <w:color w:val="000000"/>
        </w:rPr>
        <w:t xml:space="preserve"> fond</w:t>
      </w:r>
      <w:r>
        <w:rPr>
          <w:b/>
          <w:bCs/>
          <w:color w:val="000000"/>
        </w:rPr>
        <w:t>u</w:t>
      </w:r>
      <w:r w:rsidR="00730BDB" w:rsidRPr="0097241A">
        <w:rPr>
          <w:b/>
          <w:bCs/>
          <w:color w:val="000000"/>
        </w:rPr>
        <w:t xml:space="preserve"> pro oběti (ICC</w:t>
      </w:r>
      <w:r>
        <w:rPr>
          <w:b/>
          <w:bCs/>
          <w:color w:val="000000"/>
        </w:rPr>
        <w:t xml:space="preserve">). </w:t>
      </w:r>
      <w:r w:rsidRPr="00044051">
        <w:rPr>
          <w:bCs/>
          <w:color w:val="000000"/>
        </w:rPr>
        <w:t xml:space="preserve">Dále pak </w:t>
      </w:r>
      <w:r w:rsidR="007C64D7">
        <w:rPr>
          <w:color w:val="000000"/>
        </w:rPr>
        <w:t>900 tis.</w:t>
      </w:r>
      <w:r w:rsidRPr="0097241A">
        <w:rPr>
          <w:color w:val="000000"/>
        </w:rPr>
        <w:t xml:space="preserve"> Kč</w:t>
      </w:r>
      <w:r>
        <w:rPr>
          <w:color w:val="000000"/>
        </w:rPr>
        <w:t xml:space="preserve"> </w:t>
      </w:r>
      <w:r w:rsidR="00730BDB" w:rsidRPr="0097241A">
        <w:rPr>
          <w:color w:val="000000"/>
        </w:rPr>
        <w:t xml:space="preserve">na </w:t>
      </w:r>
      <w:r w:rsidR="00730BDB" w:rsidRPr="0097241A">
        <w:rPr>
          <w:b/>
          <w:bCs/>
          <w:color w:val="000000"/>
        </w:rPr>
        <w:t>Mezinárodní, nestranný a nezávislý mechanismus</w:t>
      </w:r>
      <w:r w:rsidR="00730BDB" w:rsidRPr="0097241A">
        <w:rPr>
          <w:color w:val="000000"/>
        </w:rPr>
        <w:t xml:space="preserve"> na pomoc vyšetřo</w:t>
      </w:r>
      <w:r w:rsidR="007C64D7">
        <w:rPr>
          <w:color w:val="000000"/>
        </w:rPr>
        <w:t>vání a </w:t>
      </w:r>
      <w:r w:rsidR="00730BDB" w:rsidRPr="0097241A">
        <w:rPr>
          <w:color w:val="000000"/>
        </w:rPr>
        <w:t xml:space="preserve">stíhání osob, které jsou odpovědné za nejzávažnější zločiny podle mezinárodního práva spáchané v </w:t>
      </w:r>
      <w:r w:rsidR="00730BDB" w:rsidRPr="0097241A">
        <w:rPr>
          <w:b/>
          <w:bCs/>
          <w:color w:val="000000"/>
        </w:rPr>
        <w:t>Sýrii</w:t>
      </w:r>
      <w:r>
        <w:rPr>
          <w:color w:val="000000"/>
        </w:rPr>
        <w:t xml:space="preserve"> od března 2011. </w:t>
      </w:r>
      <w:r w:rsidR="00730BDB" w:rsidRPr="0097241A">
        <w:rPr>
          <w:color w:val="000000"/>
        </w:rPr>
        <w:t xml:space="preserve">Dobrovolný příspěvek </w:t>
      </w:r>
      <w:r>
        <w:rPr>
          <w:color w:val="000000"/>
        </w:rPr>
        <w:t xml:space="preserve">ČR </w:t>
      </w:r>
      <w:r w:rsidR="007C64D7">
        <w:rPr>
          <w:color w:val="000000"/>
        </w:rPr>
        <w:t xml:space="preserve">ve výši 350 tis. Kč </w:t>
      </w:r>
      <w:r>
        <w:rPr>
          <w:color w:val="000000"/>
        </w:rPr>
        <w:t>v roce 2017 taktéž poskytla</w:t>
      </w:r>
      <w:r w:rsidR="00730BDB" w:rsidRPr="0097241A">
        <w:rPr>
          <w:color w:val="000000"/>
        </w:rPr>
        <w:t xml:space="preserve"> </w:t>
      </w:r>
      <w:r w:rsidR="00730BDB" w:rsidRPr="0097241A">
        <w:rPr>
          <w:b/>
          <w:bCs/>
          <w:color w:val="000000"/>
        </w:rPr>
        <w:t>Zvláštnímu tribunálu pro Libanon</w:t>
      </w:r>
      <w:r w:rsidR="00730BDB" w:rsidRPr="0097241A">
        <w:rPr>
          <w:color w:val="000000"/>
        </w:rPr>
        <w:t xml:space="preserve">, </w:t>
      </w:r>
      <w:r w:rsidR="007C64D7">
        <w:rPr>
          <w:color w:val="000000"/>
        </w:rPr>
        <w:t xml:space="preserve">300 tis. Kč </w:t>
      </w:r>
      <w:r w:rsidR="00730BDB" w:rsidRPr="0097241A">
        <w:rPr>
          <w:b/>
          <w:bCs/>
          <w:color w:val="000000"/>
        </w:rPr>
        <w:t xml:space="preserve">Mimořádným senátům kambodžských soudů </w:t>
      </w:r>
      <w:r w:rsidR="00730BDB" w:rsidRPr="0097241A">
        <w:rPr>
          <w:color w:val="000000"/>
        </w:rPr>
        <w:t xml:space="preserve">a </w:t>
      </w:r>
      <w:r w:rsidR="007C64D7">
        <w:rPr>
          <w:color w:val="000000"/>
        </w:rPr>
        <w:t xml:space="preserve">250 tis. </w:t>
      </w:r>
      <w:r w:rsidR="00730BDB" w:rsidRPr="0097241A">
        <w:rPr>
          <w:b/>
          <w:bCs/>
          <w:color w:val="000000"/>
        </w:rPr>
        <w:t>Residuálnímu soudu pro Sierra Leone</w:t>
      </w:r>
      <w:r w:rsidR="00730BDB" w:rsidRPr="0097241A">
        <w:rPr>
          <w:color w:val="000000"/>
        </w:rPr>
        <w:t xml:space="preserve">. </w:t>
      </w:r>
      <w:r>
        <w:rPr>
          <w:color w:val="000000"/>
        </w:rPr>
        <w:t xml:space="preserve"> </w:t>
      </w:r>
    </w:p>
    <w:p w:rsidR="001C775B" w:rsidRDefault="001C775B" w:rsidP="001C775B">
      <w:pPr>
        <w:pStyle w:val="Nadpis2"/>
        <w:spacing w:before="0"/>
      </w:pPr>
    </w:p>
    <w:p w:rsidR="00EB1B76" w:rsidRPr="001C775B" w:rsidRDefault="002E4A2B" w:rsidP="001C775B">
      <w:pPr>
        <w:pStyle w:val="Nadpis2"/>
        <w:spacing w:before="0"/>
      </w:pPr>
      <w:bookmarkStart w:id="25" w:name="_Toc514782415"/>
      <w:r w:rsidRPr="00EB1B76">
        <w:t>Úkol č. 19</w:t>
      </w:r>
      <w:bookmarkEnd w:id="25"/>
    </w:p>
    <w:p w:rsidR="002E4A2B" w:rsidRDefault="00EB1B76" w:rsidP="002E4A2B">
      <w:pPr>
        <w:jc w:val="both"/>
        <w:rPr>
          <w:b/>
          <w:i/>
        </w:rPr>
      </w:pPr>
      <w:r w:rsidRPr="00EB1B76">
        <w:rPr>
          <w:b/>
          <w:i/>
        </w:rPr>
        <w:t>Obecný cíl:</w:t>
      </w:r>
      <w:r w:rsidR="003D1770">
        <w:rPr>
          <w:b/>
          <w:i/>
        </w:rPr>
        <w:t xml:space="preserve"> </w:t>
      </w:r>
      <w:r w:rsidR="002E4A2B" w:rsidRPr="00EB1B76">
        <w:rPr>
          <w:b/>
          <w:i/>
        </w:rPr>
        <w:t xml:space="preserve">Bojovat s bagatelizací </w:t>
      </w:r>
      <w:r w:rsidR="006C1EA2" w:rsidRPr="00EB1B76">
        <w:rPr>
          <w:b/>
          <w:i/>
        </w:rPr>
        <w:t>v</w:t>
      </w:r>
      <w:r w:rsidR="002E4A2B" w:rsidRPr="00EB1B76">
        <w:rPr>
          <w:b/>
          <w:i/>
        </w:rPr>
        <w:t>šech forem genderově podmíněného násilí</w:t>
      </w:r>
      <w:r w:rsidR="009B34AF" w:rsidRPr="00EB1B76">
        <w:rPr>
          <w:b/>
          <w:i/>
        </w:rPr>
        <w:t>,</w:t>
      </w:r>
      <w:r w:rsidR="002E4A2B" w:rsidRPr="00EB1B76">
        <w:rPr>
          <w:b/>
          <w:i/>
        </w:rPr>
        <w:t xml:space="preserve"> jak uvnitř zahraniční vojenské či civilní mise, tak navenek vůči místnímu obyvatelstvu. Potírat beztrestnost takového jednání a důsledně vyšetřovat a stíhat pachatele a p</w:t>
      </w:r>
      <w:r w:rsidR="00544F02" w:rsidRPr="00EB1B76">
        <w:rPr>
          <w:b/>
          <w:i/>
        </w:rPr>
        <w:t>achatelky těchto trestných činů</w:t>
      </w:r>
      <w:r w:rsidR="002E5A87">
        <w:rPr>
          <w:b/>
          <w:i/>
        </w:rPr>
        <w:t xml:space="preserve"> MO, MV/PP)</w:t>
      </w:r>
    </w:p>
    <w:p w:rsidR="00EB1B76" w:rsidRDefault="00EB1B76" w:rsidP="002E4A2B">
      <w:pPr>
        <w:jc w:val="both"/>
        <w:rPr>
          <w:b/>
          <w:i/>
        </w:rPr>
      </w:pPr>
    </w:p>
    <w:p w:rsidR="00EB1B76" w:rsidRDefault="00EB1B76" w:rsidP="00EB1B76">
      <w:pPr>
        <w:jc w:val="both"/>
        <w:rPr>
          <w:i/>
        </w:rPr>
      </w:pPr>
      <w:r w:rsidRPr="00EB1B76">
        <w:rPr>
          <w:b/>
          <w:i/>
        </w:rPr>
        <w:t>Úkoly:</w:t>
      </w:r>
      <w:r w:rsidRPr="00EB1B76">
        <w:rPr>
          <w:i/>
        </w:rPr>
        <w:t xml:space="preserve">  </w:t>
      </w:r>
    </w:p>
    <w:p w:rsidR="00EB1B76" w:rsidRPr="00EB1B76" w:rsidRDefault="00EB1B76" w:rsidP="00EB1B76">
      <w:pPr>
        <w:pStyle w:val="Odstavecseseznamem"/>
        <w:numPr>
          <w:ilvl w:val="0"/>
          <w:numId w:val="23"/>
        </w:numPr>
        <w:jc w:val="both"/>
        <w:rPr>
          <w:i/>
        </w:rPr>
      </w:pPr>
      <w:r w:rsidRPr="00EB1B76">
        <w:rPr>
          <w:i/>
        </w:rPr>
        <w:t>V rámci výcvikových programů proškolit přísl</w:t>
      </w:r>
      <w:r w:rsidR="005A6DA4">
        <w:rPr>
          <w:i/>
        </w:rPr>
        <w:t>ušníky zahraničních civilních a </w:t>
      </w:r>
      <w:r w:rsidRPr="00EB1B76">
        <w:rPr>
          <w:i/>
        </w:rPr>
        <w:t>vojenských misí o postupech v případě zjištění případ</w:t>
      </w:r>
      <w:r w:rsidR="005A6DA4">
        <w:rPr>
          <w:i/>
        </w:rPr>
        <w:t>ů sexuálního obtěžování či </w:t>
      </w:r>
      <w:r w:rsidRPr="00EB1B76">
        <w:rPr>
          <w:i/>
        </w:rPr>
        <w:t>jiného genderově podmíněného násilí</w:t>
      </w:r>
      <w:r w:rsidR="003D1770">
        <w:rPr>
          <w:i/>
        </w:rPr>
        <w:t>;</w:t>
      </w:r>
    </w:p>
    <w:p w:rsidR="00EB1B76" w:rsidRPr="00EB1B76" w:rsidRDefault="00BE5B72" w:rsidP="00EB1B76">
      <w:pPr>
        <w:pStyle w:val="Odstavecseseznamem"/>
        <w:numPr>
          <w:ilvl w:val="0"/>
          <w:numId w:val="23"/>
        </w:numPr>
        <w:jc w:val="both"/>
        <w:rPr>
          <w:i/>
        </w:rPr>
      </w:pPr>
      <w:r>
        <w:rPr>
          <w:i/>
        </w:rPr>
        <w:t>z</w:t>
      </w:r>
      <w:r w:rsidR="00EB1B76" w:rsidRPr="00EB1B76">
        <w:rPr>
          <w:i/>
        </w:rPr>
        <w:t>ajistit odbornou právní a psychologickou asistenci obětem gen</w:t>
      </w:r>
      <w:r w:rsidR="0042504D">
        <w:rPr>
          <w:i/>
        </w:rPr>
        <w:t>d</w:t>
      </w:r>
      <w:r w:rsidR="00EB1B76" w:rsidRPr="00EB1B76">
        <w:rPr>
          <w:i/>
        </w:rPr>
        <w:t>erově podmíněného násilí uvnitř zahraniční vojenské či civilní mise</w:t>
      </w:r>
      <w:r w:rsidR="003D1770">
        <w:rPr>
          <w:i/>
        </w:rPr>
        <w:t>;</w:t>
      </w:r>
    </w:p>
    <w:p w:rsidR="00EB1B76" w:rsidRPr="00EB1B76" w:rsidRDefault="00BE5B72" w:rsidP="00EB1B76">
      <w:pPr>
        <w:pStyle w:val="Odstavecseseznamem"/>
        <w:numPr>
          <w:ilvl w:val="0"/>
          <w:numId w:val="23"/>
        </w:numPr>
        <w:jc w:val="both"/>
        <w:rPr>
          <w:b/>
          <w:i/>
        </w:rPr>
      </w:pPr>
      <w:r>
        <w:rPr>
          <w:i/>
        </w:rPr>
        <w:t>ú</w:t>
      </w:r>
      <w:r w:rsidR="00EB1B76" w:rsidRPr="00EB1B76">
        <w:rPr>
          <w:i/>
        </w:rPr>
        <w:t>činně stíhat pachatele a pachatelky gen</w:t>
      </w:r>
      <w:r w:rsidR="00642EE0">
        <w:rPr>
          <w:i/>
        </w:rPr>
        <w:t>d</w:t>
      </w:r>
      <w:r w:rsidR="00EB1B76" w:rsidRPr="00EB1B76">
        <w:rPr>
          <w:i/>
        </w:rPr>
        <w:t>erově podmíněného násilí</w:t>
      </w:r>
      <w:r w:rsidR="003D1770">
        <w:rPr>
          <w:i/>
        </w:rPr>
        <w:t>.</w:t>
      </w:r>
    </w:p>
    <w:p w:rsidR="005805E6" w:rsidRDefault="005805E6" w:rsidP="00207319">
      <w:pPr>
        <w:spacing w:before="120"/>
        <w:jc w:val="both"/>
      </w:pPr>
      <w:r>
        <w:t xml:space="preserve">Odbor operační psychologie Agentury vojenského zdravotnictví </w:t>
      </w:r>
      <w:r w:rsidR="00B939B4">
        <w:t xml:space="preserve">Ministerstva obrany </w:t>
      </w:r>
      <w:r>
        <w:t>realizuj</w:t>
      </w:r>
      <w:r w:rsidR="00475CAE">
        <w:t xml:space="preserve">e v rámci vzdělávacích aktivit </w:t>
      </w:r>
      <w:r>
        <w:t xml:space="preserve">psychologickou přípravu s tématikou zahrnující </w:t>
      </w:r>
      <w:r w:rsidRPr="00475CAE">
        <w:t>komplexně celou</w:t>
      </w:r>
      <w:r w:rsidR="00475CAE">
        <w:t xml:space="preserve"> oblast dodržování lidských práv (včetně rovnosti žen a mužů a proble</w:t>
      </w:r>
      <w:r w:rsidR="007C58AB">
        <w:t xml:space="preserve">matiky sexuálního </w:t>
      </w:r>
      <w:r w:rsidR="007C58AB">
        <w:lastRenderedPageBreak/>
        <w:t>a </w:t>
      </w:r>
      <w:r w:rsidR="00475CAE">
        <w:t>genderově orientovaného násilí), možnosti jejich prev</w:t>
      </w:r>
      <w:r w:rsidR="007A7934">
        <w:t>ence a ochrany, dále seznámení s </w:t>
      </w:r>
      <w:r>
        <w:t xml:space="preserve">legislativou, která tuto oblast </w:t>
      </w:r>
      <w:r w:rsidR="00475CAE">
        <w:t>upravuje</w:t>
      </w:r>
      <w:r>
        <w:t xml:space="preserve">. </w:t>
      </w:r>
      <w:r w:rsidR="00E40869">
        <w:t>Dále je oblast ochrany a </w:t>
      </w:r>
      <w:r>
        <w:t>dodržování lidských práv zařa</w:t>
      </w:r>
      <w:r w:rsidR="00475CAE">
        <w:t>zena do psychologické přípravy k zahraničním</w:t>
      </w:r>
      <w:r>
        <w:t xml:space="preserve"> operací</w:t>
      </w:r>
      <w:r w:rsidR="00475CAE">
        <w:t>m</w:t>
      </w:r>
      <w:r>
        <w:t>, pro rodinné příslušníky formou informačního servisu, případně organizovaného setkání. V</w:t>
      </w:r>
      <w:r w:rsidR="00475CAE">
        <w:t>ojenský psycholog je zařazen do st</w:t>
      </w:r>
      <w:r w:rsidR="007C58AB">
        <w:t xml:space="preserve">ruktury jednotky a součástí </w:t>
      </w:r>
      <w:r w:rsidR="00E40869">
        <w:t xml:space="preserve">zahraniční operace. </w:t>
      </w:r>
      <w:r>
        <w:t>Informační a</w:t>
      </w:r>
      <w:r w:rsidR="00E40869">
        <w:t> </w:t>
      </w:r>
      <w:r>
        <w:t>poradenský psychologický servis je poskytován profesionálním vojákům</w:t>
      </w:r>
      <w:r w:rsidR="007C58AB">
        <w:t xml:space="preserve"> a vojákyním</w:t>
      </w:r>
      <w:r>
        <w:t>, občanským zaměstnancům</w:t>
      </w:r>
      <w:r w:rsidR="007C58AB">
        <w:t xml:space="preserve"> a zaměstnankyním, </w:t>
      </w:r>
      <w:r>
        <w:t>rodinným pří</w:t>
      </w:r>
      <w:r w:rsidR="00475CAE">
        <w:t xml:space="preserve">slušníkům a válečným veteránům. </w:t>
      </w:r>
      <w:r w:rsidR="00207319">
        <w:t>V</w:t>
      </w:r>
      <w:r w:rsidR="00475CAE">
        <w:t xml:space="preserve"> roce </w:t>
      </w:r>
      <w:r w:rsidR="00207319">
        <w:t>2017 proběhla p</w:t>
      </w:r>
      <w:r>
        <w:t>sychologická příprava a výcvik 9. a 10. SR BAF</w:t>
      </w:r>
      <w:r w:rsidR="00207319">
        <w:t>, p</w:t>
      </w:r>
      <w:r>
        <w:t>sychologická příprava ÚU Mali</w:t>
      </w:r>
      <w:r w:rsidR="00207319">
        <w:t>, p</w:t>
      </w:r>
      <w:r>
        <w:t xml:space="preserve">sychologická příprava ÚU AČR RS </w:t>
      </w:r>
      <w:r w:rsidR="00207319">
        <w:t>a p</w:t>
      </w:r>
      <w:r>
        <w:t>sychologická tématika v prevenci rizikového chování.</w:t>
      </w:r>
    </w:p>
    <w:p w:rsidR="00475CAE" w:rsidRDefault="00475CAE" w:rsidP="005805E6">
      <w:pPr>
        <w:jc w:val="both"/>
      </w:pPr>
      <w:r>
        <w:t xml:space="preserve"> </w:t>
      </w:r>
    </w:p>
    <w:p w:rsidR="005805E6" w:rsidRDefault="00475CAE" w:rsidP="005805E6">
      <w:pPr>
        <w:jc w:val="both"/>
      </w:pPr>
      <w:r>
        <w:t xml:space="preserve">V roce 2017 nebyly </w:t>
      </w:r>
      <w:r w:rsidR="002300B1">
        <w:t xml:space="preserve">v rámci všech složek Ministerstva obrany </w:t>
      </w:r>
      <w:r>
        <w:t>evidovány případy g</w:t>
      </w:r>
      <w:r w:rsidR="005805E6">
        <w:t>enderově podmíněné</w:t>
      </w:r>
      <w:r>
        <w:t xml:space="preserve">ho násilí či sexuálního obtěžování. </w:t>
      </w:r>
    </w:p>
    <w:p w:rsidR="00600B03" w:rsidRPr="00600B03" w:rsidRDefault="00544F02" w:rsidP="005805E6">
      <w:pPr>
        <w:jc w:val="both"/>
        <w:rPr>
          <w:u w:val="single"/>
        </w:rPr>
      </w:pPr>
      <w:r>
        <w:rPr>
          <w:u w:val="single"/>
        </w:rPr>
        <w:t xml:space="preserve"> </w:t>
      </w:r>
    </w:p>
    <w:p w:rsidR="00600B03" w:rsidRDefault="00600B03" w:rsidP="00600B03">
      <w:pPr>
        <w:jc w:val="both"/>
      </w:pPr>
      <w:r w:rsidRPr="00F125E3">
        <w:t>Odbor bezpečnostní p</w:t>
      </w:r>
      <w:r>
        <w:t xml:space="preserve">olitiky a prevence kriminality Ministerstva vnitra </w:t>
      </w:r>
      <w:r w:rsidRPr="00F125E3">
        <w:t>ve spolupráci s</w:t>
      </w:r>
      <w:r>
        <w:t> Evropským azylovým p</w:t>
      </w:r>
      <w:r w:rsidRPr="00F125E3">
        <w:t>odpůrným úřadem (EASO) a Po</w:t>
      </w:r>
      <w:r w:rsidR="007C58AB">
        <w:t>licií ČR realizoval školení pro </w:t>
      </w:r>
      <w:r w:rsidRPr="00F125E3">
        <w:t>budoucí i současné národní experty EASO, styčné pracovníky vysílané do zemí zasažených migrační krizí</w:t>
      </w:r>
      <w:r w:rsidR="002300B1">
        <w:t>. Dále pak pro</w:t>
      </w:r>
      <w:r w:rsidRPr="00F125E3">
        <w:t xml:space="preserve"> zaměstnance odděl</w:t>
      </w:r>
      <w:r>
        <w:t xml:space="preserve">ení mezinárodní ochrany Ministerstva vnitra </w:t>
      </w:r>
      <w:r w:rsidRPr="00F125E3">
        <w:t>k</w:t>
      </w:r>
      <w:r w:rsidR="00496160">
        <w:t> problematice obchodování s lidmi. </w:t>
      </w:r>
      <w:r w:rsidR="002300B1">
        <w:t>P</w:t>
      </w:r>
      <w:r w:rsidRPr="00F125E3">
        <w:t>ři každé vzdělávací akci jsou vždy zdůrazňována genderová specifika, zejména ve vztahu k jednotl</w:t>
      </w:r>
      <w:r>
        <w:t>ivým formám obchodování s </w:t>
      </w:r>
      <w:r w:rsidR="00496160">
        <w:t>lidmi. </w:t>
      </w:r>
      <w:r>
        <w:t>Příslušnice a příslušníci Policie ČR jsou průběžně proškolováni v problematice sexuálního a genderově podmíněn</w:t>
      </w:r>
      <w:r w:rsidR="002300B1">
        <w:t>ého násilí. V rámci předvýjezdové přípravy před zahraniční misí</w:t>
      </w:r>
      <w:r w:rsidR="00496160">
        <w:t xml:space="preserve"> jsou potom účastnice </w:t>
      </w:r>
      <w:r>
        <w:t>a účastníci misí proškoleni o postupech v případě zjištění případu sexuálního obtěžování či jiného genderově podmíněného násilí.</w:t>
      </w:r>
    </w:p>
    <w:p w:rsidR="00600B03" w:rsidRDefault="00600B03" w:rsidP="00600B03">
      <w:pPr>
        <w:jc w:val="both"/>
      </w:pPr>
    </w:p>
    <w:p w:rsidR="003D1770" w:rsidRDefault="00877681" w:rsidP="00BE5F39">
      <w:pPr>
        <w:pStyle w:val="Nadpis2"/>
      </w:pPr>
      <w:bookmarkStart w:id="26" w:name="_Toc514782416"/>
      <w:r w:rsidRPr="00EB1B76">
        <w:t>Úkol č. 20</w:t>
      </w:r>
      <w:bookmarkEnd w:id="26"/>
      <w:r w:rsidR="00600B03" w:rsidRPr="002E4A2B">
        <w:t xml:space="preserve">  </w:t>
      </w:r>
    </w:p>
    <w:p w:rsidR="00600B03" w:rsidRPr="00EB1B76" w:rsidRDefault="00EB1B76" w:rsidP="00600B03">
      <w:pPr>
        <w:jc w:val="both"/>
        <w:rPr>
          <w:b/>
          <w:i/>
        </w:rPr>
      </w:pPr>
      <w:r w:rsidRPr="00EB1B76">
        <w:rPr>
          <w:b/>
          <w:bCs/>
          <w:i/>
        </w:rPr>
        <w:t xml:space="preserve">Obecný cíl: </w:t>
      </w:r>
      <w:r w:rsidR="00600B03" w:rsidRPr="00EB1B76">
        <w:rPr>
          <w:b/>
          <w:bCs/>
          <w:i/>
        </w:rPr>
        <w:t>Při demobilizaci, odzbrojení a reintegraci (Demoibilisatio</w:t>
      </w:r>
      <w:r w:rsidR="00496160" w:rsidRPr="00EB1B76">
        <w:rPr>
          <w:b/>
          <w:bCs/>
          <w:i/>
        </w:rPr>
        <w:t xml:space="preserve">n, disarmament, reintegration -  </w:t>
      </w:r>
      <w:r w:rsidR="00600B03" w:rsidRPr="00EB1B76">
        <w:rPr>
          <w:b/>
          <w:bCs/>
          <w:i/>
        </w:rPr>
        <w:t xml:space="preserve">DDR) </w:t>
      </w:r>
      <w:r w:rsidR="00496160" w:rsidRPr="00EB1B76">
        <w:rPr>
          <w:b/>
          <w:bCs/>
          <w:i/>
        </w:rPr>
        <w:t xml:space="preserve">a reformy bezpečnostního sektoru (Security Sector Reform – SSR) </w:t>
      </w:r>
      <w:r w:rsidR="00600B03" w:rsidRPr="00EB1B76">
        <w:rPr>
          <w:b/>
          <w:bCs/>
          <w:i/>
        </w:rPr>
        <w:t>z</w:t>
      </w:r>
      <w:r w:rsidR="00600B03" w:rsidRPr="00EB1B76">
        <w:rPr>
          <w:b/>
          <w:i/>
        </w:rPr>
        <w:t>ohlednit rozdílné potřeby bývalých ženských a mužských bojovníků a osob na nich závislých vyplývajících z různých potřeb sociální, mentální a ekonomická reintegrace žen.</w:t>
      </w:r>
      <w:r w:rsidR="00600B03" w:rsidRPr="00EB1B76">
        <w:rPr>
          <w:b/>
          <w:bCs/>
          <w:i/>
        </w:rPr>
        <w:t xml:space="preserve"> Při přípravě a realizaci programů likvidace a označování min </w:t>
      </w:r>
      <w:r w:rsidR="00600B03" w:rsidRPr="00EB1B76">
        <w:rPr>
          <w:b/>
          <w:i/>
        </w:rPr>
        <w:t>zohlednit zvláštní potřeby žen a dívek</w:t>
      </w:r>
      <w:r w:rsidR="00475CAE">
        <w:rPr>
          <w:b/>
          <w:i/>
        </w:rPr>
        <w:t xml:space="preserve"> (MZV)</w:t>
      </w:r>
    </w:p>
    <w:p w:rsidR="00600B03" w:rsidRDefault="00600B03" w:rsidP="00600B03">
      <w:pPr>
        <w:jc w:val="both"/>
      </w:pPr>
    </w:p>
    <w:p w:rsidR="00EB1B76" w:rsidRPr="00EB1B76" w:rsidRDefault="00EB1B76" w:rsidP="00600B03">
      <w:pPr>
        <w:jc w:val="both"/>
        <w:rPr>
          <w:i/>
        </w:rPr>
      </w:pPr>
      <w:r w:rsidRPr="00EB1B76">
        <w:rPr>
          <w:i/>
        </w:rPr>
        <w:t>Úkol: Zvážení realizace projektů zaměřených na DDR/SSR zohledňujících specifické potřeby žen a dívek</w:t>
      </w:r>
      <w:r w:rsidR="00475CAE">
        <w:rPr>
          <w:i/>
        </w:rPr>
        <w:t>.</w:t>
      </w:r>
    </w:p>
    <w:p w:rsidR="00EB1B76" w:rsidRPr="00EB1B76" w:rsidRDefault="00EB1B76" w:rsidP="00600B03">
      <w:pPr>
        <w:jc w:val="both"/>
        <w:rPr>
          <w:i/>
        </w:rPr>
      </w:pPr>
    </w:p>
    <w:p w:rsidR="004439C9" w:rsidRPr="00EB7363" w:rsidRDefault="00496160" w:rsidP="004439C9">
      <w:pPr>
        <w:jc w:val="both"/>
        <w:rPr>
          <w:color w:val="000000"/>
        </w:rPr>
      </w:pPr>
      <w:r>
        <w:rPr>
          <w:color w:val="000000"/>
        </w:rPr>
        <w:t xml:space="preserve">V rámci reformy </w:t>
      </w:r>
      <w:r w:rsidR="007C58AB">
        <w:rPr>
          <w:color w:val="000000"/>
        </w:rPr>
        <w:t xml:space="preserve">jordánského </w:t>
      </w:r>
      <w:r>
        <w:rPr>
          <w:color w:val="000000"/>
        </w:rPr>
        <w:t xml:space="preserve">bezpečnostního sektoru poskytla </w:t>
      </w:r>
      <w:r w:rsidR="004439C9" w:rsidRPr="00EB7363">
        <w:rPr>
          <w:color w:val="000000"/>
        </w:rPr>
        <w:t xml:space="preserve">ČR </w:t>
      </w:r>
      <w:r>
        <w:rPr>
          <w:color w:val="000000"/>
        </w:rPr>
        <w:t xml:space="preserve">v uplynulých letech </w:t>
      </w:r>
      <w:r w:rsidR="007C58AB">
        <w:rPr>
          <w:color w:val="000000"/>
        </w:rPr>
        <w:t xml:space="preserve">přes 500 tis. EUR do </w:t>
      </w:r>
      <w:r w:rsidR="007C58AB" w:rsidRPr="007C58AB">
        <w:rPr>
          <w:i/>
          <w:color w:val="000000"/>
        </w:rPr>
        <w:t>S</w:t>
      </w:r>
      <w:r w:rsidR="004439C9" w:rsidRPr="007C58AB">
        <w:rPr>
          <w:i/>
          <w:color w:val="000000"/>
        </w:rPr>
        <w:t>věřeneckého fondu Jordánsko III</w:t>
      </w:r>
      <w:r w:rsidR="004439C9" w:rsidRPr="00EB7363">
        <w:rPr>
          <w:color w:val="000000"/>
        </w:rPr>
        <w:t>, který ČR vede spolu s Norskem. Cílem fondu je zvýšení kapacit náboru a výcviku žen v jordánských ozbrojených silách vypracováním akčního plánu a výstavbou nového výcvikového centra. Projekt představuje „vlajkovou loď“ Alia</w:t>
      </w:r>
      <w:r w:rsidR="00980BB5">
        <w:rPr>
          <w:color w:val="000000"/>
        </w:rPr>
        <w:t>nce v implementaci agendy WPS</w:t>
      </w:r>
      <w:r w:rsidR="004439C9" w:rsidRPr="00EB7363">
        <w:rPr>
          <w:color w:val="000000"/>
        </w:rPr>
        <w:t>.</w:t>
      </w:r>
    </w:p>
    <w:p w:rsidR="004439C9" w:rsidRPr="00EB7363" w:rsidRDefault="004439C9" w:rsidP="004439C9">
      <w:pPr>
        <w:jc w:val="both"/>
        <w:rPr>
          <w:color w:val="000000"/>
        </w:rPr>
      </w:pPr>
    </w:p>
    <w:p w:rsidR="004439C9" w:rsidRPr="00980BB5" w:rsidRDefault="00512C09" w:rsidP="006D4EB5">
      <w:pPr>
        <w:tabs>
          <w:tab w:val="left" w:pos="-720"/>
          <w:tab w:val="left" w:pos="0"/>
          <w:tab w:val="left" w:pos="720"/>
          <w:tab w:val="left" w:pos="1440"/>
          <w:tab w:val="left" w:pos="2160"/>
          <w:tab w:val="left" w:pos="2880"/>
          <w:tab w:val="left" w:pos="3600"/>
          <w:tab w:val="left" w:pos="4320"/>
        </w:tabs>
        <w:autoSpaceDE w:val="0"/>
        <w:autoSpaceDN w:val="0"/>
        <w:adjustRightInd w:val="0"/>
        <w:jc w:val="both"/>
        <w:rPr>
          <w:color w:val="000000"/>
        </w:rPr>
      </w:pPr>
      <w:r>
        <w:rPr>
          <w:bCs/>
          <w:color w:val="000000"/>
        </w:rPr>
        <w:t xml:space="preserve">Projekt je rozdělen do tří </w:t>
      </w:r>
      <w:r w:rsidR="00D81806" w:rsidRPr="00980BB5">
        <w:rPr>
          <w:bCs/>
          <w:color w:val="000000"/>
        </w:rPr>
        <w:t xml:space="preserve">části: </w:t>
      </w:r>
      <w:r>
        <w:rPr>
          <w:bCs/>
          <w:color w:val="000000"/>
        </w:rPr>
        <w:t xml:space="preserve">1) </w:t>
      </w:r>
      <w:r w:rsidR="004439C9" w:rsidRPr="00980BB5">
        <w:rPr>
          <w:bCs/>
          <w:color w:val="000000"/>
        </w:rPr>
        <w:t>vypracování Akčníh</w:t>
      </w:r>
      <w:r w:rsidR="00980BB5">
        <w:rPr>
          <w:bCs/>
          <w:color w:val="000000"/>
        </w:rPr>
        <w:t xml:space="preserve">o plánu </w:t>
      </w:r>
      <w:r w:rsidR="004439C9" w:rsidRPr="00980BB5">
        <w:rPr>
          <w:bCs/>
          <w:color w:val="000000"/>
        </w:rPr>
        <w:t>k i</w:t>
      </w:r>
      <w:r w:rsidR="00980BB5" w:rsidRPr="00980BB5">
        <w:rPr>
          <w:bCs/>
          <w:color w:val="000000"/>
        </w:rPr>
        <w:t xml:space="preserve">mplementaci agendy WPS </w:t>
      </w:r>
      <w:r>
        <w:rPr>
          <w:color w:val="000000"/>
        </w:rPr>
        <w:t>v </w:t>
      </w:r>
      <w:r w:rsidR="00980BB5" w:rsidRPr="00980BB5">
        <w:rPr>
          <w:color w:val="000000"/>
        </w:rPr>
        <w:t>jordánských</w:t>
      </w:r>
      <w:r w:rsidR="00496160" w:rsidRPr="00980BB5">
        <w:rPr>
          <w:color w:val="000000"/>
        </w:rPr>
        <w:t xml:space="preserve"> ozbrojených silách byl splněn, </w:t>
      </w:r>
      <w:r w:rsidR="004439C9" w:rsidRPr="00980BB5">
        <w:rPr>
          <w:color w:val="000000"/>
        </w:rPr>
        <w:t xml:space="preserve">plán </w:t>
      </w:r>
      <w:r w:rsidR="00496160" w:rsidRPr="00980BB5">
        <w:rPr>
          <w:color w:val="000000"/>
        </w:rPr>
        <w:t xml:space="preserve">byl </w:t>
      </w:r>
      <w:r w:rsidR="004439C9" w:rsidRPr="00980BB5">
        <w:rPr>
          <w:color w:val="000000"/>
        </w:rPr>
        <w:t xml:space="preserve">schválen v dubnu </w:t>
      </w:r>
      <w:r w:rsidR="00496160" w:rsidRPr="00980BB5">
        <w:rPr>
          <w:color w:val="000000"/>
        </w:rPr>
        <w:t xml:space="preserve">2017 </w:t>
      </w:r>
      <w:r w:rsidR="00980BB5" w:rsidRPr="00980BB5">
        <w:rPr>
          <w:color w:val="000000"/>
        </w:rPr>
        <w:t>náčelníkem generálního štábu</w:t>
      </w:r>
      <w:r w:rsidR="004439C9" w:rsidRPr="00980BB5">
        <w:rPr>
          <w:color w:val="000000"/>
        </w:rPr>
        <w:t xml:space="preserve"> ozbrojených sil</w:t>
      </w:r>
      <w:r w:rsidR="00980BB5" w:rsidRPr="00980BB5">
        <w:rPr>
          <w:color w:val="000000"/>
        </w:rPr>
        <w:t xml:space="preserve"> Jordánska. J</w:t>
      </w:r>
      <w:r w:rsidR="004439C9" w:rsidRPr="00980BB5">
        <w:rPr>
          <w:color w:val="000000"/>
        </w:rPr>
        <w:t>edním z</w:t>
      </w:r>
      <w:r>
        <w:rPr>
          <w:color w:val="000000"/>
        </w:rPr>
        <w:t> </w:t>
      </w:r>
      <w:r w:rsidR="004439C9" w:rsidRPr="00980BB5">
        <w:rPr>
          <w:color w:val="000000"/>
        </w:rPr>
        <w:t>cílů</w:t>
      </w:r>
      <w:r>
        <w:rPr>
          <w:color w:val="000000"/>
        </w:rPr>
        <w:t xml:space="preserve"> plánu</w:t>
      </w:r>
      <w:r w:rsidR="004439C9" w:rsidRPr="00980BB5">
        <w:rPr>
          <w:color w:val="000000"/>
        </w:rPr>
        <w:t xml:space="preserve"> je navýšení zastoupení </w:t>
      </w:r>
      <w:r>
        <w:rPr>
          <w:color w:val="000000"/>
        </w:rPr>
        <w:t>žen v </w:t>
      </w:r>
      <w:r w:rsidR="004439C9" w:rsidRPr="00980BB5">
        <w:rPr>
          <w:color w:val="000000"/>
        </w:rPr>
        <w:t>ozbroj</w:t>
      </w:r>
      <w:r>
        <w:rPr>
          <w:color w:val="000000"/>
        </w:rPr>
        <w:t>ených silách ze současných 1,6 % na 3 %;</w:t>
      </w:r>
      <w:r w:rsidR="004439C9" w:rsidRPr="00980BB5">
        <w:rPr>
          <w:color w:val="000000"/>
        </w:rPr>
        <w:t xml:space="preserve"> </w:t>
      </w:r>
      <w:r>
        <w:rPr>
          <w:color w:val="000000"/>
        </w:rPr>
        <w:t xml:space="preserve">2) </w:t>
      </w:r>
      <w:r w:rsidR="004439C9" w:rsidRPr="00980BB5">
        <w:rPr>
          <w:bCs/>
          <w:color w:val="000000"/>
        </w:rPr>
        <w:t>výstavba nového výcvikového centr</w:t>
      </w:r>
      <w:r w:rsidR="00980BB5" w:rsidRPr="00980BB5">
        <w:rPr>
          <w:bCs/>
          <w:color w:val="000000"/>
        </w:rPr>
        <w:t>a pro ženské příslušnice</w:t>
      </w:r>
      <w:r w:rsidR="004439C9" w:rsidRPr="00980BB5">
        <w:rPr>
          <w:bCs/>
          <w:color w:val="000000"/>
        </w:rPr>
        <w:t xml:space="preserve"> ozbrojených si</w:t>
      </w:r>
      <w:r w:rsidR="004439C9" w:rsidRPr="00980BB5">
        <w:rPr>
          <w:color w:val="000000"/>
        </w:rPr>
        <w:t>l</w:t>
      </w:r>
      <w:r>
        <w:rPr>
          <w:color w:val="000000"/>
        </w:rPr>
        <w:t xml:space="preserve"> (1. pololetí 2018) a </w:t>
      </w:r>
      <w:r>
        <w:rPr>
          <w:bCs/>
          <w:color w:val="000000"/>
        </w:rPr>
        <w:t>3)</w:t>
      </w:r>
      <w:r w:rsidR="002B5BF4">
        <w:rPr>
          <w:bCs/>
          <w:color w:val="000000"/>
        </w:rPr>
        <w:t xml:space="preserve"> realizace výcvikových kurzů ve </w:t>
      </w:r>
      <w:r w:rsidR="004439C9" w:rsidRPr="00980BB5">
        <w:rPr>
          <w:bCs/>
          <w:color w:val="000000"/>
        </w:rPr>
        <w:t>zmíněném centru</w:t>
      </w:r>
      <w:r w:rsidR="004439C9" w:rsidRPr="00980BB5">
        <w:rPr>
          <w:color w:val="000000"/>
        </w:rPr>
        <w:t xml:space="preserve"> </w:t>
      </w:r>
      <w:r w:rsidR="00980BB5" w:rsidRPr="00980BB5">
        <w:rPr>
          <w:color w:val="000000"/>
        </w:rPr>
        <w:t>bude závislé na dokončení 2. části projektu.</w:t>
      </w:r>
      <w:r w:rsidR="006D4EB5" w:rsidRPr="00980BB5">
        <w:rPr>
          <w:color w:val="000000"/>
        </w:rPr>
        <w:t xml:space="preserve">  </w:t>
      </w:r>
    </w:p>
    <w:p w:rsidR="009F2EE1" w:rsidRPr="008B0926" w:rsidRDefault="009F2EE1" w:rsidP="00C77F6E">
      <w:pPr>
        <w:pStyle w:val="Nadpis1"/>
        <w:numPr>
          <w:ilvl w:val="0"/>
          <w:numId w:val="34"/>
        </w:numPr>
      </w:pPr>
      <w:bookmarkStart w:id="27" w:name="_Toc514782417"/>
      <w:r w:rsidRPr="008B0926">
        <w:lastRenderedPageBreak/>
        <w:t>Agenda WPS a současné globální výzvy</w:t>
      </w:r>
      <w:bookmarkEnd w:id="27"/>
    </w:p>
    <w:p w:rsidR="009F2EE1" w:rsidRPr="00531478" w:rsidRDefault="009F2EE1" w:rsidP="009F2EE1">
      <w:pPr>
        <w:pStyle w:val="Odstavecseseznamem"/>
        <w:ind w:left="360"/>
        <w:jc w:val="both"/>
        <w:rPr>
          <w:b/>
        </w:rPr>
      </w:pPr>
    </w:p>
    <w:p w:rsidR="009F2EE1" w:rsidRPr="00544F02" w:rsidRDefault="009F2EE1" w:rsidP="00BE5F39">
      <w:pPr>
        <w:pStyle w:val="Nadpis2"/>
      </w:pPr>
      <w:bookmarkStart w:id="28" w:name="_Toc514782418"/>
      <w:r w:rsidRPr="00544F02">
        <w:t>Úkol č. 21</w:t>
      </w:r>
      <w:bookmarkEnd w:id="28"/>
    </w:p>
    <w:p w:rsidR="009F2EE1" w:rsidRDefault="008B0926" w:rsidP="009F2EE1">
      <w:pPr>
        <w:pStyle w:val="Odstavecseseznamem"/>
        <w:ind w:left="0"/>
        <w:jc w:val="both"/>
        <w:rPr>
          <w:b/>
          <w:i/>
        </w:rPr>
      </w:pPr>
      <w:r>
        <w:rPr>
          <w:b/>
          <w:i/>
        </w:rPr>
        <w:t xml:space="preserve">Obecný cíl: </w:t>
      </w:r>
      <w:r w:rsidR="009F2EE1" w:rsidRPr="008B0926">
        <w:rPr>
          <w:b/>
          <w:i/>
        </w:rPr>
        <w:t xml:space="preserve">Přihlížet ke specifickým potřebám žen a dívek při realizaci integrační politiky, podpora jejich aktivní participace, preventivní působení proti sociálnímu vyloučení a genderově podmíněné marginalizaci vícenásobně diskriminovaných osob – zejm. žen a </w:t>
      </w:r>
      <w:r w:rsidR="00544F02" w:rsidRPr="008B0926">
        <w:rPr>
          <w:b/>
          <w:i/>
        </w:rPr>
        <w:t>dívek – cizinek resp. migrantek</w:t>
      </w:r>
      <w:r w:rsidR="009F2EE1" w:rsidRPr="008B0926">
        <w:rPr>
          <w:b/>
          <w:i/>
        </w:rPr>
        <w:t xml:space="preserve"> </w:t>
      </w:r>
      <w:r w:rsidR="00DA6650">
        <w:rPr>
          <w:b/>
          <w:i/>
        </w:rPr>
        <w:t>(MV)</w:t>
      </w:r>
    </w:p>
    <w:p w:rsidR="00DA6650" w:rsidRDefault="00DA6650" w:rsidP="009F2EE1">
      <w:pPr>
        <w:pStyle w:val="Odstavecseseznamem"/>
        <w:ind w:left="0"/>
        <w:jc w:val="both"/>
        <w:rPr>
          <w:b/>
          <w:i/>
        </w:rPr>
      </w:pPr>
    </w:p>
    <w:p w:rsidR="008B0926" w:rsidRDefault="008B0926" w:rsidP="008B0926">
      <w:pPr>
        <w:jc w:val="both"/>
        <w:rPr>
          <w:i/>
        </w:rPr>
      </w:pPr>
      <w:r>
        <w:rPr>
          <w:i/>
        </w:rPr>
        <w:t xml:space="preserve">Úkoly: </w:t>
      </w:r>
    </w:p>
    <w:p w:rsidR="008B0926" w:rsidRPr="008B0926" w:rsidRDefault="008B0926" w:rsidP="008B0926">
      <w:pPr>
        <w:pStyle w:val="Odstavecseseznamem"/>
        <w:numPr>
          <w:ilvl w:val="0"/>
          <w:numId w:val="24"/>
        </w:numPr>
        <w:jc w:val="both"/>
        <w:rPr>
          <w:i/>
        </w:rPr>
      </w:pPr>
      <w:r w:rsidRPr="008B0926">
        <w:rPr>
          <w:i/>
        </w:rPr>
        <w:t>Podpora zájmu žen a dívek – migrantek/ cizinek o přímé zapojení do realizace integrační politiky (zejm. na pozicích tlumočnic, interkulturních asistentek ve školách a na úřadech, lektorek kurzů apod.), případně přímé působení ve veřejné správě, NNO či Integračních centrech</w:t>
      </w:r>
      <w:r w:rsidR="00D16DC4">
        <w:rPr>
          <w:i/>
        </w:rPr>
        <w:t>;</w:t>
      </w:r>
    </w:p>
    <w:p w:rsidR="008B0926" w:rsidRPr="008B0926" w:rsidRDefault="00247906" w:rsidP="008B0926">
      <w:pPr>
        <w:pStyle w:val="Odstavecseseznamem"/>
        <w:numPr>
          <w:ilvl w:val="0"/>
          <w:numId w:val="24"/>
        </w:numPr>
        <w:jc w:val="both"/>
        <w:rPr>
          <w:i/>
        </w:rPr>
      </w:pPr>
      <w:r>
        <w:rPr>
          <w:i/>
        </w:rPr>
        <w:t>z</w:t>
      </w:r>
      <w:r w:rsidR="00586837">
        <w:rPr>
          <w:i/>
        </w:rPr>
        <w:t xml:space="preserve">ohledňování </w:t>
      </w:r>
      <w:r w:rsidR="008B0926" w:rsidRPr="008B0926">
        <w:rPr>
          <w:i/>
        </w:rPr>
        <w:t>specifických potřeb žen a dívek – migrantek/ cizinek, zajišťování jejich ochrany v přijímacích a pobytových střediscích určených výlučně pro zranitelné skupiny na základ</w:t>
      </w:r>
      <w:r w:rsidR="00D16DC4">
        <w:rPr>
          <w:i/>
        </w:rPr>
        <w:t>ě genderově specifických potřeb;</w:t>
      </w:r>
      <w:r w:rsidR="008B0926" w:rsidRPr="008B0926">
        <w:rPr>
          <w:i/>
        </w:rPr>
        <w:t xml:space="preserve"> </w:t>
      </w:r>
    </w:p>
    <w:p w:rsidR="00586837" w:rsidRDefault="00247906" w:rsidP="00586837">
      <w:pPr>
        <w:pStyle w:val="Odstavecseseznamem"/>
        <w:numPr>
          <w:ilvl w:val="0"/>
          <w:numId w:val="24"/>
        </w:numPr>
        <w:jc w:val="both"/>
        <w:rPr>
          <w:i/>
        </w:rPr>
      </w:pPr>
      <w:r>
        <w:rPr>
          <w:i/>
        </w:rPr>
        <w:t>s</w:t>
      </w:r>
      <w:r w:rsidR="008B0926" w:rsidRPr="008B0926">
        <w:rPr>
          <w:i/>
        </w:rPr>
        <w:t>ledování míry zapojení žen a dívek- migrantek do Státního integračního programu (SIP) – viz usnesení vlády č. 954/ 2015</w:t>
      </w:r>
      <w:r w:rsidR="00D16DC4">
        <w:rPr>
          <w:i/>
        </w:rPr>
        <w:t>;</w:t>
      </w:r>
    </w:p>
    <w:p w:rsidR="008B0926" w:rsidRPr="00586837" w:rsidRDefault="00247906" w:rsidP="00586837">
      <w:pPr>
        <w:pStyle w:val="Odstavecseseznamem"/>
        <w:numPr>
          <w:ilvl w:val="0"/>
          <w:numId w:val="24"/>
        </w:numPr>
        <w:jc w:val="both"/>
        <w:rPr>
          <w:i/>
        </w:rPr>
      </w:pPr>
      <w:r>
        <w:rPr>
          <w:i/>
        </w:rPr>
        <w:t>m</w:t>
      </w:r>
      <w:r w:rsidR="008B0926" w:rsidRPr="00586837">
        <w:rPr>
          <w:i/>
        </w:rPr>
        <w:t>onitoring</w:t>
      </w:r>
      <w:r w:rsidR="00586837">
        <w:rPr>
          <w:i/>
        </w:rPr>
        <w:t xml:space="preserve"> </w:t>
      </w:r>
      <w:r w:rsidR="008B0926" w:rsidRPr="00586837">
        <w:rPr>
          <w:i/>
        </w:rPr>
        <w:t>poskytnutých služeb v rámci sociálního a právního poradenství</w:t>
      </w:r>
      <w:r w:rsidR="00D16DC4">
        <w:rPr>
          <w:i/>
        </w:rPr>
        <w:t>.</w:t>
      </w:r>
    </w:p>
    <w:p w:rsidR="009F2EE1" w:rsidRDefault="009F2EE1" w:rsidP="009F2EE1">
      <w:pPr>
        <w:pStyle w:val="Odstavecseseznamem"/>
        <w:ind w:left="0"/>
        <w:jc w:val="both"/>
      </w:pPr>
    </w:p>
    <w:p w:rsidR="009F2EE1" w:rsidRDefault="00B458B5" w:rsidP="009F2EE1">
      <w:pPr>
        <w:pStyle w:val="Odstavecseseznamem"/>
        <w:ind w:left="0"/>
        <w:jc w:val="both"/>
      </w:pPr>
      <w:r w:rsidRPr="00DA6650">
        <w:t xml:space="preserve">V souladu s integrační politikou České republiky klade </w:t>
      </w:r>
      <w:r w:rsidR="00531478" w:rsidRPr="00DA6650">
        <w:t xml:space="preserve">Ministerstvo vnitra </w:t>
      </w:r>
      <w:r w:rsidR="006C094B">
        <w:t>zvýšený důraz na </w:t>
      </w:r>
      <w:r w:rsidR="009F2EE1" w:rsidRPr="00DA6650">
        <w:t>integraci žen-cizinek, a to nejen těch ekonomicky aktivních, ale i žen v domácnosti. Velká váha je přisuzována opatřením, která jim umožní zúčastnit se integračních aktivit</w:t>
      </w:r>
      <w:r w:rsidR="00496160" w:rsidRPr="00DA6650">
        <w:t>,</w:t>
      </w:r>
      <w:r w:rsidR="006C094B">
        <w:t xml:space="preserve"> a na </w:t>
      </w:r>
      <w:r w:rsidR="009F2EE1" w:rsidRPr="00DA6650">
        <w:t>adresnou nabídku integračních opatření.</w:t>
      </w:r>
      <w:r w:rsidR="009F2EE1">
        <w:t xml:space="preserve"> </w:t>
      </w:r>
    </w:p>
    <w:p w:rsidR="009F2EE1" w:rsidRDefault="009F2EE1" w:rsidP="009F2EE1">
      <w:pPr>
        <w:pStyle w:val="Odstavecseseznamem"/>
        <w:ind w:left="0"/>
        <w:jc w:val="both"/>
      </w:pPr>
    </w:p>
    <w:p w:rsidR="009F2EE1" w:rsidRDefault="00A3407A" w:rsidP="009F2EE1">
      <w:pPr>
        <w:pStyle w:val="Odstavecseseznamem"/>
        <w:ind w:left="0"/>
        <w:jc w:val="both"/>
      </w:pPr>
      <w:r>
        <w:t xml:space="preserve">V oblasti integrace cizinců a cizinek Ministerstvo vnitra realizovalo </w:t>
      </w:r>
      <w:r w:rsidR="009F2EE1">
        <w:t xml:space="preserve">dotační program </w:t>
      </w:r>
      <w:r w:rsidR="009F2EE1" w:rsidRPr="00A3407A">
        <w:rPr>
          <w:i/>
        </w:rPr>
        <w:t>Integrace cizinců 2017</w:t>
      </w:r>
      <w:r w:rsidR="009F2EE1">
        <w:t xml:space="preserve">. V jeho rámci byly poskytnuty dotace na realizaci nebo spolufinancování projektů nevládních neziskových organizací a dalších vybraných subjektů, které přispívaly k naplnění cílů státní politiky v oblasti integrace cizinců, se zřetelem na téma rovných příležitostí pro ženy a muže. </w:t>
      </w:r>
    </w:p>
    <w:p w:rsidR="00496160" w:rsidRDefault="00496160" w:rsidP="009F2EE1">
      <w:pPr>
        <w:pStyle w:val="Odstavecseseznamem"/>
        <w:ind w:left="0"/>
        <w:jc w:val="both"/>
      </w:pPr>
    </w:p>
    <w:p w:rsidR="00496160" w:rsidRDefault="00496160" w:rsidP="009F2EE1">
      <w:pPr>
        <w:pStyle w:val="Odstavecseseznamem"/>
        <w:ind w:left="0"/>
        <w:jc w:val="both"/>
      </w:pPr>
      <w:r>
        <w:t>V rámci státního integračního programu pro držitele mezinárodní ochrany je ke všem osobám přistupováno na individuální bázi. Ve spolupráci s oprávněnými osobami je zpracováván individuální integrační plán, jehož cílem je přizpůsobit integrační opatření v oblasti vzdělání, zaměstnání, bydlení, v oblasti zdravotní a sociální, potřebám konkrétní osoby. Zranitelným osobám je věnována zvláštní pozornost. Také výuku českého jazyka je možné přizpůsobit individuálním potřebám jednotlivých osob, ženám na rodičovské dovolené je možné zajistit po dobu výuky hlídání dětí.</w:t>
      </w:r>
    </w:p>
    <w:p w:rsidR="009F2EE1" w:rsidRDefault="009F2EE1" w:rsidP="009F2EE1">
      <w:pPr>
        <w:pStyle w:val="Odstavecseseznamem"/>
        <w:ind w:left="0"/>
        <w:jc w:val="both"/>
      </w:pPr>
    </w:p>
    <w:p w:rsidR="00DA6650" w:rsidRPr="006C1A79" w:rsidRDefault="009F2EE1" w:rsidP="006C1A79">
      <w:pPr>
        <w:pStyle w:val="Odstavecseseznamem"/>
        <w:pBdr>
          <w:top w:val="single" w:sz="4" w:space="1" w:color="auto"/>
          <w:left w:val="single" w:sz="4" w:space="4" w:color="auto"/>
          <w:bottom w:val="single" w:sz="4" w:space="1" w:color="auto"/>
          <w:right w:val="single" w:sz="4" w:space="4" w:color="auto"/>
        </w:pBdr>
        <w:ind w:left="0"/>
        <w:jc w:val="both"/>
      </w:pPr>
      <w:r>
        <w:t xml:space="preserve">Kurzy češtiny pro dospělé poskytované v rámci projektů na podporu integrace cizinců, regionálních center na podporu integrace cizinců a nevládních neziskových organizací přizpůsobí dobu svého konání potřebám žen-cizinek a zajistí se hlídání dětí. Pomocí dotačních řízení a výzev v rámci fondů EU se podpoří projekty na kurzy a semináře (ve kterých bude zvýšená pozornost věnována tématům a životním situacím týkajícím se žen-cizinek všech věkových kategorií) a aktivní zapojení žen-cizinek do integračního procesu prostřednictvím podpory konání formálních i neformálních aktivit zaměřujících se na jejich oblasti zájmu. Tato opatření patří mezi úkoly stanovené v </w:t>
      </w:r>
      <w:r w:rsidRPr="0020702D">
        <w:rPr>
          <w:i/>
        </w:rPr>
        <w:t xml:space="preserve">Postupu při realizaci aktualizované Koncepce integrace cizinců – Ve vzájemném respektu </w:t>
      </w:r>
      <w:r>
        <w:t xml:space="preserve">v roce 2018, který byl schválen usnesením vlády č. 10/2018 ze dne 3. ledna 2018. Naplňovány budou prostřednictvím dotačních řízení pro nevládní neziskové organizace a obce.  </w:t>
      </w:r>
    </w:p>
    <w:p w:rsidR="005D08CE" w:rsidRDefault="009F2EE1" w:rsidP="00BE5F39">
      <w:pPr>
        <w:pStyle w:val="Nadpis2"/>
      </w:pPr>
      <w:bookmarkStart w:id="29" w:name="_Toc514782419"/>
      <w:r w:rsidRPr="00A776C2">
        <w:lastRenderedPageBreak/>
        <w:t>Úkol č. 22</w:t>
      </w:r>
      <w:bookmarkEnd w:id="29"/>
    </w:p>
    <w:p w:rsidR="009F2EE1" w:rsidRDefault="0015643C" w:rsidP="005D08CE">
      <w:pPr>
        <w:jc w:val="both"/>
        <w:rPr>
          <w:b/>
          <w:i/>
        </w:rPr>
      </w:pPr>
      <w:r w:rsidRPr="0015643C">
        <w:rPr>
          <w:b/>
          <w:i/>
        </w:rPr>
        <w:t xml:space="preserve">Obecný cíl: </w:t>
      </w:r>
      <w:r w:rsidR="009F2EE1" w:rsidRPr="0015643C">
        <w:rPr>
          <w:b/>
          <w:i/>
        </w:rPr>
        <w:t>Přihlížet ke specifickým potřebám žen a dívek při stanovování národních priorit a strategií/ koncepcí boje s</w:t>
      </w:r>
      <w:r w:rsidR="00DA6650">
        <w:rPr>
          <w:b/>
          <w:i/>
        </w:rPr>
        <w:t> </w:t>
      </w:r>
      <w:r w:rsidR="009F2EE1" w:rsidRPr="0015643C">
        <w:rPr>
          <w:b/>
          <w:i/>
        </w:rPr>
        <w:t>terorismem</w:t>
      </w:r>
      <w:r w:rsidR="00DA6650">
        <w:rPr>
          <w:b/>
          <w:i/>
        </w:rPr>
        <w:t xml:space="preserve"> (MV)</w:t>
      </w:r>
    </w:p>
    <w:p w:rsidR="0015643C" w:rsidRDefault="0015643C" w:rsidP="005D08CE">
      <w:pPr>
        <w:jc w:val="both"/>
        <w:rPr>
          <w:b/>
          <w:i/>
        </w:rPr>
      </w:pPr>
    </w:p>
    <w:p w:rsidR="0015643C" w:rsidRDefault="0015643C" w:rsidP="005D08CE">
      <w:pPr>
        <w:jc w:val="both"/>
        <w:rPr>
          <w:b/>
          <w:i/>
        </w:rPr>
      </w:pPr>
      <w:r>
        <w:rPr>
          <w:b/>
          <w:i/>
        </w:rPr>
        <w:t>Úkoly:</w:t>
      </w:r>
    </w:p>
    <w:p w:rsidR="0015643C" w:rsidRPr="0015643C" w:rsidRDefault="0015643C" w:rsidP="0015643C">
      <w:pPr>
        <w:pStyle w:val="Odstavecseseznamem"/>
        <w:numPr>
          <w:ilvl w:val="0"/>
          <w:numId w:val="25"/>
        </w:numPr>
        <w:jc w:val="both"/>
        <w:rPr>
          <w:i/>
        </w:rPr>
      </w:pPr>
      <w:r w:rsidRPr="0015643C">
        <w:rPr>
          <w:i/>
        </w:rPr>
        <w:t>Průběžně zohledňovat specifika hrozeb, které terorismus pro ženy a dívky představuje</w:t>
      </w:r>
    </w:p>
    <w:p w:rsidR="0015643C" w:rsidRPr="0015643C" w:rsidRDefault="00553FC1" w:rsidP="0015643C">
      <w:pPr>
        <w:pStyle w:val="Odstavecseseznamem"/>
        <w:numPr>
          <w:ilvl w:val="0"/>
          <w:numId w:val="25"/>
        </w:numPr>
        <w:jc w:val="both"/>
        <w:rPr>
          <w:i/>
        </w:rPr>
      </w:pPr>
      <w:r>
        <w:rPr>
          <w:i/>
        </w:rPr>
        <w:t>a</w:t>
      </w:r>
      <w:r w:rsidR="0015643C" w:rsidRPr="0015643C">
        <w:rPr>
          <w:i/>
        </w:rPr>
        <w:t>kceptace/ integrace specifických potřeb žen a dívek při stanovování a definování národních priorit boje s terorismem a vypracovávání příslušných strategických a koncepčních materiálů</w:t>
      </w:r>
      <w:r w:rsidR="008023F9">
        <w:rPr>
          <w:i/>
        </w:rPr>
        <w:t>;</w:t>
      </w:r>
      <w:r w:rsidR="0015643C" w:rsidRPr="0015643C">
        <w:rPr>
          <w:i/>
        </w:rPr>
        <w:t xml:space="preserve"> </w:t>
      </w:r>
    </w:p>
    <w:p w:rsidR="0015643C" w:rsidRPr="0015643C" w:rsidRDefault="00553FC1" w:rsidP="0015643C">
      <w:pPr>
        <w:pStyle w:val="Odstavecseseznamem"/>
        <w:numPr>
          <w:ilvl w:val="0"/>
          <w:numId w:val="25"/>
        </w:numPr>
        <w:jc w:val="both"/>
        <w:rPr>
          <w:b/>
          <w:i/>
        </w:rPr>
      </w:pPr>
      <w:r>
        <w:rPr>
          <w:i/>
        </w:rPr>
        <w:t>d</w:t>
      </w:r>
      <w:r w:rsidR="0015643C" w:rsidRPr="0015643C">
        <w:rPr>
          <w:i/>
        </w:rPr>
        <w:t>le konkrétních možností zapojovat ženské organizace a jiné relevantní subjekty věnující se právům žen a dívek do zmíněného procesu. Dle možností podporovat financování</w:t>
      </w:r>
      <w:r w:rsidR="008023F9">
        <w:rPr>
          <w:i/>
        </w:rPr>
        <w:t>.</w:t>
      </w:r>
    </w:p>
    <w:p w:rsidR="005D08CE" w:rsidRPr="005D08CE" w:rsidRDefault="005D08CE" w:rsidP="005D08CE">
      <w:pPr>
        <w:jc w:val="both"/>
        <w:rPr>
          <w:i/>
          <w:u w:val="single"/>
        </w:rPr>
      </w:pPr>
    </w:p>
    <w:p w:rsidR="009F2EE1" w:rsidRDefault="00034188" w:rsidP="009F2EE1">
      <w:pPr>
        <w:pStyle w:val="Odstavecseseznamem"/>
        <w:ind w:left="0"/>
        <w:jc w:val="both"/>
      </w:pPr>
      <w:r>
        <w:t xml:space="preserve">V rámci strategických přístupů boje proti terorismu a radikalizaci </w:t>
      </w:r>
      <w:r w:rsidR="009F2EE1">
        <w:t xml:space="preserve">Ministerstvo vnitra </w:t>
      </w:r>
      <w:r>
        <w:t xml:space="preserve">zohledňuje i postavení žen a dívek. Jedná se o řešení otázek souvisejících s tím, že ženy mohou být </w:t>
      </w:r>
      <w:r w:rsidR="00DF5174">
        <w:t xml:space="preserve">jak </w:t>
      </w:r>
      <w:r>
        <w:t>původ</w:t>
      </w:r>
      <w:r w:rsidR="00DF5174">
        <w:t xml:space="preserve">kyněmi terorismu, tak jeho oběťmi. Vzhledem k situaci v ČR se toto týká zejména problematiky </w:t>
      </w:r>
      <w:r>
        <w:t>radikalizace.</w:t>
      </w:r>
      <w:r w:rsidR="009F2EE1">
        <w:t xml:space="preserve"> Témata spojená s radikaliz</w:t>
      </w:r>
      <w:r w:rsidR="00DA6650">
        <w:t>ací se v</w:t>
      </w:r>
      <w:r w:rsidR="00DF5174">
        <w:t xml:space="preserve"> ČR</w:t>
      </w:r>
      <w:r w:rsidR="00DA6650">
        <w:t xml:space="preserve"> teprve</w:t>
      </w:r>
      <w:r>
        <w:t xml:space="preserve"> </w:t>
      </w:r>
      <w:r w:rsidR="009F2EE1">
        <w:t xml:space="preserve">začínají řešit komplexněji a </w:t>
      </w:r>
      <w:r>
        <w:t xml:space="preserve">otevírá se tedy </w:t>
      </w:r>
      <w:r w:rsidR="009F2EE1">
        <w:t xml:space="preserve">prostor pro </w:t>
      </w:r>
      <w:r>
        <w:t>zahrnu</w:t>
      </w:r>
      <w:r w:rsidR="002E0E29">
        <w:t>tí dalších specifických aspektů</w:t>
      </w:r>
      <w:r w:rsidR="00D10CF6">
        <w:t>.</w:t>
      </w:r>
    </w:p>
    <w:p w:rsidR="00E40869" w:rsidRDefault="00E40869" w:rsidP="005805E6">
      <w:pPr>
        <w:jc w:val="both"/>
      </w:pPr>
    </w:p>
    <w:p w:rsidR="009A5558" w:rsidRDefault="002E4A2B" w:rsidP="0046414D">
      <w:pPr>
        <w:pStyle w:val="Nadpis1"/>
        <w:numPr>
          <w:ilvl w:val="0"/>
          <w:numId w:val="34"/>
        </w:numPr>
      </w:pPr>
      <w:bookmarkStart w:id="30" w:name="_Toc514782420"/>
      <w:r w:rsidRPr="00385AE4">
        <w:t>Institucionální zabezpečení rovnosti žen a mužů ve vztahu k agendě WPS</w:t>
      </w:r>
      <w:bookmarkEnd w:id="30"/>
    </w:p>
    <w:p w:rsidR="002E4A2B" w:rsidRDefault="002E4A2B" w:rsidP="00BE5F39">
      <w:pPr>
        <w:pStyle w:val="Nadpis2"/>
      </w:pPr>
      <w:bookmarkStart w:id="31" w:name="_Toc514782421"/>
      <w:r w:rsidRPr="00385AE4">
        <w:t>Úkol č. 23</w:t>
      </w:r>
      <w:bookmarkEnd w:id="31"/>
      <w:r w:rsidRPr="002E4A2B">
        <w:t xml:space="preserve">  </w:t>
      </w:r>
    </w:p>
    <w:p w:rsidR="00A502E5" w:rsidRDefault="00385AE4" w:rsidP="00A502E5">
      <w:pPr>
        <w:jc w:val="both"/>
        <w:rPr>
          <w:b/>
          <w:bCs/>
          <w:i/>
        </w:rPr>
      </w:pPr>
      <w:r w:rsidRPr="00385AE4">
        <w:rPr>
          <w:b/>
          <w:bCs/>
          <w:i/>
        </w:rPr>
        <w:t xml:space="preserve">Obecný cíl: </w:t>
      </w:r>
      <w:r w:rsidR="00A502E5" w:rsidRPr="00385AE4">
        <w:rPr>
          <w:b/>
          <w:bCs/>
          <w:i/>
        </w:rPr>
        <w:t>Vést dialog o agendě WPS, informovat veřejnost, výměna zkušeností mezi relevantními subjekty</w:t>
      </w:r>
      <w:r w:rsidR="00DA6650">
        <w:rPr>
          <w:b/>
          <w:bCs/>
          <w:i/>
        </w:rPr>
        <w:t xml:space="preserve"> (MZV, MO, MV/PP)</w:t>
      </w:r>
    </w:p>
    <w:p w:rsidR="00385AE4" w:rsidRDefault="00385AE4" w:rsidP="00A502E5">
      <w:pPr>
        <w:jc w:val="both"/>
        <w:rPr>
          <w:b/>
          <w:bCs/>
          <w:i/>
        </w:rPr>
      </w:pPr>
    </w:p>
    <w:p w:rsidR="00385AE4" w:rsidRDefault="00385AE4" w:rsidP="00A502E5">
      <w:pPr>
        <w:jc w:val="both"/>
        <w:rPr>
          <w:b/>
          <w:bCs/>
          <w:i/>
        </w:rPr>
      </w:pPr>
      <w:r>
        <w:rPr>
          <w:b/>
          <w:bCs/>
          <w:i/>
        </w:rPr>
        <w:t xml:space="preserve">Úkoly: </w:t>
      </w:r>
    </w:p>
    <w:p w:rsidR="00385AE4" w:rsidRPr="00385AE4" w:rsidRDefault="00385AE4" w:rsidP="00385AE4">
      <w:pPr>
        <w:pStyle w:val="Odstavecseseznamem"/>
        <w:numPr>
          <w:ilvl w:val="0"/>
          <w:numId w:val="26"/>
        </w:numPr>
        <w:jc w:val="both"/>
        <w:rPr>
          <w:i/>
        </w:rPr>
      </w:pPr>
      <w:r w:rsidRPr="00385AE4">
        <w:rPr>
          <w:i/>
        </w:rPr>
        <w:t xml:space="preserve">Vytvoření pracovní skupiny k WPS při Radě vlády pro rovnost mužů a žen za účasti dotčených vládních i nevládních subjektů, spolupráce s 4 výbory Rady vlády pro rovnost mužů a žen, informování o </w:t>
      </w:r>
      <w:r w:rsidR="008023F9">
        <w:rPr>
          <w:i/>
        </w:rPr>
        <w:t>činnosti pracovní skupiny k WPS;</w:t>
      </w:r>
    </w:p>
    <w:p w:rsidR="00385AE4" w:rsidRPr="00385AE4" w:rsidRDefault="003922F4" w:rsidP="00385AE4">
      <w:pPr>
        <w:pStyle w:val="Odstavecseseznamem"/>
        <w:numPr>
          <w:ilvl w:val="0"/>
          <w:numId w:val="26"/>
        </w:numPr>
        <w:jc w:val="both"/>
        <w:rPr>
          <w:b/>
          <w:bCs/>
          <w:i/>
        </w:rPr>
      </w:pPr>
      <w:r>
        <w:rPr>
          <w:i/>
        </w:rPr>
        <w:t>v</w:t>
      </w:r>
      <w:r w:rsidR="00385AE4" w:rsidRPr="00385AE4">
        <w:rPr>
          <w:i/>
        </w:rPr>
        <w:t>ýměna zkušeností příslušníků armádních a policejních úkolových uskupení a nevládního sektoru</w:t>
      </w:r>
      <w:r w:rsidR="008023F9">
        <w:rPr>
          <w:i/>
        </w:rPr>
        <w:t>.</w:t>
      </w:r>
    </w:p>
    <w:p w:rsidR="00A502E5" w:rsidRDefault="00A502E5" w:rsidP="00A502E5">
      <w:pPr>
        <w:jc w:val="both"/>
        <w:rPr>
          <w:u w:val="single"/>
        </w:rPr>
      </w:pPr>
    </w:p>
    <w:p w:rsidR="00BD33CD" w:rsidRDefault="008023F9" w:rsidP="008023F9">
      <w:pPr>
        <w:jc w:val="both"/>
      </w:pPr>
      <w:r>
        <w:t xml:space="preserve">Přijetím AP k agendě WPS byla vytvořena </w:t>
      </w:r>
      <w:r w:rsidRPr="00CA450E">
        <w:rPr>
          <w:b/>
        </w:rPr>
        <w:t>mezirezortní pracovní skupina</w:t>
      </w:r>
      <w:r>
        <w:t xml:space="preserve"> sdružující zástupce a zástupkyně Ministerstva obrany, vnitra, Úřadu vlády – Sekce pro lidská práva, Ministerstva zahraničních věcí, České rozvojové agentury, nevládního sektoru</w:t>
      </w:r>
      <w:r w:rsidR="00E0747F">
        <w:t xml:space="preserve"> – Českého f</w:t>
      </w:r>
      <w:r w:rsidR="00CA450E">
        <w:t>óra pro </w:t>
      </w:r>
      <w:r>
        <w:t>rozvoj</w:t>
      </w:r>
      <w:r w:rsidR="00CA450E">
        <w:t xml:space="preserve">ovou spolupráci a Gender Studies a akademické obce - </w:t>
      </w:r>
      <w:r>
        <w:t>Ústav mezinárodních vztahů, Univerzita v Nothingh</w:t>
      </w:r>
      <w:r w:rsidR="00CA450E">
        <w:t>amu</w:t>
      </w:r>
      <w:r>
        <w:t xml:space="preserve">. Pracovní skupina je otevřeným tělesem, v průběhu roku vyjádřili zájem stát se jejími členy </w:t>
      </w:r>
      <w:r w:rsidR="00CA450E">
        <w:t xml:space="preserve">a členkami </w:t>
      </w:r>
      <w:r>
        <w:t xml:space="preserve">další zástupci a zástupkyně nevládního (Nesehnutí) a vládního sektoru (Ministerstvo průmyslu a </w:t>
      </w:r>
      <w:r w:rsidR="00CA450E">
        <w:t>obchodu). Pracovní skupina se v </w:t>
      </w:r>
      <w:r>
        <w:t>roce 2017 sešla celkem třikrát. Zápisy z jednání jsou zveřejněny na w</w:t>
      </w:r>
      <w:r w:rsidR="00CA450E">
        <w:t>ebových stránkách Ministerstva zahraničních věcí</w:t>
      </w:r>
      <w:r>
        <w:t>.</w:t>
      </w:r>
    </w:p>
    <w:p w:rsidR="008023F9" w:rsidRDefault="008023F9" w:rsidP="00BD33CD">
      <w:pPr>
        <w:jc w:val="both"/>
        <w:rPr>
          <w:rFonts w:ascii="Times" w:hAnsi="Times" w:cs="Arial"/>
        </w:rPr>
      </w:pPr>
    </w:p>
    <w:p w:rsidR="00BD33CD" w:rsidRPr="00B63519" w:rsidRDefault="00FC5493" w:rsidP="00BD33CD">
      <w:pPr>
        <w:jc w:val="both"/>
        <w:rPr>
          <w:rFonts w:ascii="Times" w:hAnsi="Times" w:cs="Arial"/>
        </w:rPr>
      </w:pPr>
      <w:r>
        <w:rPr>
          <w:rFonts w:ascii="Times" w:hAnsi="Times" w:cs="Arial"/>
        </w:rPr>
        <w:t xml:space="preserve">AP k agendě WPS byl představen na jednání </w:t>
      </w:r>
      <w:r w:rsidRPr="00B63519">
        <w:rPr>
          <w:rFonts w:ascii="Times" w:hAnsi="Times" w:cs="Arial"/>
        </w:rPr>
        <w:t>Ra</w:t>
      </w:r>
      <w:r w:rsidR="0065728F">
        <w:rPr>
          <w:rFonts w:ascii="Times" w:hAnsi="Times" w:cs="Arial"/>
        </w:rPr>
        <w:t>dy vlády pro rovnost žen a mužů dne 28. </w:t>
      </w:r>
      <w:r w:rsidR="00B458B5">
        <w:rPr>
          <w:rFonts w:ascii="Times" w:hAnsi="Times" w:cs="Arial"/>
        </w:rPr>
        <w:t xml:space="preserve">června 2017. </w:t>
      </w:r>
      <w:r>
        <w:rPr>
          <w:rFonts w:ascii="Times" w:hAnsi="Times" w:cs="Arial"/>
        </w:rPr>
        <w:t xml:space="preserve">Na jednání </w:t>
      </w:r>
      <w:r w:rsidR="00E0747F">
        <w:rPr>
          <w:rFonts w:ascii="Times" w:hAnsi="Times" w:cs="Arial"/>
        </w:rPr>
        <w:t>dne 16. ř</w:t>
      </w:r>
      <w:r w:rsidR="002F301B">
        <w:rPr>
          <w:rFonts w:ascii="Times" w:hAnsi="Times" w:cs="Arial"/>
        </w:rPr>
        <w:t xml:space="preserve">íjna </w:t>
      </w:r>
      <w:r w:rsidR="00BD33CD" w:rsidRPr="00B63519">
        <w:rPr>
          <w:rFonts w:ascii="Times" w:hAnsi="Times" w:cs="Arial"/>
        </w:rPr>
        <w:t>2017 se Rada vlády pro rovnost mužů a žen</w:t>
      </w:r>
      <w:r w:rsidR="00B458B5">
        <w:rPr>
          <w:rFonts w:ascii="Times" w:hAnsi="Times" w:cs="Arial"/>
        </w:rPr>
        <w:t xml:space="preserve"> </w:t>
      </w:r>
      <w:r w:rsidR="00BD33CD" w:rsidRPr="00B63519">
        <w:rPr>
          <w:rFonts w:ascii="Times" w:hAnsi="Times" w:cs="Arial"/>
        </w:rPr>
        <w:t>zabývala postavením žen v zahraniční a bezpečnostní politice. Vít Borčany z Asoci</w:t>
      </w:r>
      <w:r w:rsidR="002F301B">
        <w:rPr>
          <w:rFonts w:ascii="Times" w:hAnsi="Times" w:cs="Arial"/>
        </w:rPr>
        <w:t>ace pro </w:t>
      </w:r>
      <w:r>
        <w:rPr>
          <w:rFonts w:ascii="Times" w:hAnsi="Times" w:cs="Arial"/>
        </w:rPr>
        <w:t xml:space="preserve">mezinárodní otázky </w:t>
      </w:r>
      <w:r w:rsidR="00BD33CD" w:rsidRPr="00B63519">
        <w:rPr>
          <w:rFonts w:ascii="Times" w:hAnsi="Times" w:cs="Arial"/>
        </w:rPr>
        <w:t xml:space="preserve">představil analýzu o zastoupení žen v bezpečnostní a zahraniční politice. Rada následně diskutovala o absenci cílených opatření ke zvýšení zastoupení žen v české diplomacii. </w:t>
      </w:r>
    </w:p>
    <w:p w:rsidR="00113296" w:rsidRPr="002F301B" w:rsidRDefault="00E0747F" w:rsidP="002256CB">
      <w:pPr>
        <w:spacing w:before="120"/>
        <w:jc w:val="both"/>
        <w:rPr>
          <w:b/>
        </w:rPr>
      </w:pPr>
      <w:r>
        <w:rPr>
          <w:rFonts w:ascii="Times" w:hAnsi="Times" w:cs="Arial"/>
        </w:rPr>
        <w:lastRenderedPageBreak/>
        <w:t>Na jednání Rady 19. ú</w:t>
      </w:r>
      <w:r w:rsidR="002F301B">
        <w:rPr>
          <w:rFonts w:ascii="Times" w:hAnsi="Times" w:cs="Arial"/>
        </w:rPr>
        <w:t xml:space="preserve">nora </w:t>
      </w:r>
      <w:r w:rsidR="00BD33CD" w:rsidRPr="00B63519">
        <w:rPr>
          <w:rFonts w:ascii="Times" w:hAnsi="Times" w:cs="Arial"/>
        </w:rPr>
        <w:t xml:space="preserve">2018 byl představen </w:t>
      </w:r>
      <w:r w:rsidR="00BD33CD" w:rsidRPr="002F301B">
        <w:rPr>
          <w:rFonts w:ascii="Times" w:hAnsi="Times" w:cs="Arial"/>
          <w:b/>
        </w:rPr>
        <w:t>projekt Ústavu mezinárodních vztahů s názvem „</w:t>
      </w:r>
      <w:r w:rsidR="00BD33CD" w:rsidRPr="002F301B">
        <w:rPr>
          <w:rFonts w:ascii="Times" w:hAnsi="Times" w:cs="Arial"/>
          <w:b/>
          <w:i/>
        </w:rPr>
        <w:t>Rovnost žen a mužů v české zahraniční politice a rozvojové spolupráci“,</w:t>
      </w:r>
      <w:r w:rsidR="00BD33CD" w:rsidRPr="00B63519">
        <w:rPr>
          <w:rFonts w:ascii="Times" w:hAnsi="Times" w:cs="Arial"/>
        </w:rPr>
        <w:t xml:space="preserve"> na jehož realizaci spolupracuje také Česká rozvojová agentura.</w:t>
      </w:r>
      <w:r w:rsidR="00F95DC1">
        <w:rPr>
          <w:rFonts w:ascii="Times" w:hAnsi="Times" w:cs="Arial"/>
        </w:rPr>
        <w:t xml:space="preserve"> </w:t>
      </w:r>
      <w:r w:rsidR="00F95DC1" w:rsidRPr="002F301B">
        <w:rPr>
          <w:rFonts w:ascii="Times" w:hAnsi="Times" w:cs="Arial"/>
          <w:b/>
        </w:rPr>
        <w:t>Očekávanými výstupy projektu by měla být i doporučení, která by měla sloužit k aktualizaci AP k agendě WPS v polovině implementačního období tj. v r. 2019.</w:t>
      </w:r>
    </w:p>
    <w:p w:rsidR="00D4453B" w:rsidRPr="008023F9" w:rsidRDefault="00B458B5" w:rsidP="002256CB">
      <w:pPr>
        <w:spacing w:before="120"/>
        <w:jc w:val="both"/>
      </w:pPr>
      <w:r>
        <w:t>Ministerstvo obrany navázalo</w:t>
      </w:r>
      <w:r w:rsidR="00113296" w:rsidRPr="008023F9">
        <w:t xml:space="preserve"> </w:t>
      </w:r>
      <w:r>
        <w:t>spolupráci</w:t>
      </w:r>
      <w:r w:rsidR="002256CB" w:rsidRPr="008023F9">
        <w:t xml:space="preserve"> s obmbudsmanskými institucemi pro ozbrojené síly, která vyús</w:t>
      </w:r>
      <w:r w:rsidR="001877CB" w:rsidRPr="008023F9">
        <w:t>tila účastí zástupkyň rezortu Ministerstva obrany</w:t>
      </w:r>
      <w:r w:rsidR="002256CB" w:rsidRPr="008023F9">
        <w:t xml:space="preserve"> na mezinárodní konferenci, zaměřené na etický kodex ozbrojených sil (Londýn, říjen 2017). </w:t>
      </w:r>
      <w:r w:rsidR="00FC5493" w:rsidRPr="008023F9">
        <w:t xml:space="preserve"> </w:t>
      </w:r>
    </w:p>
    <w:p w:rsidR="00A502E5" w:rsidRPr="00385AE4" w:rsidRDefault="004E652D" w:rsidP="004E652D">
      <w:pPr>
        <w:spacing w:before="120"/>
        <w:jc w:val="both"/>
      </w:pPr>
      <w:r>
        <w:t xml:space="preserve">Prostřednictvím rezortní dotační politiky </w:t>
      </w:r>
      <w:r w:rsidR="001877CB">
        <w:t>Ministerstva obrany</w:t>
      </w:r>
      <w:r w:rsidR="00F95DC1">
        <w:t xml:space="preserve"> </w:t>
      </w:r>
      <w:r>
        <w:t>proběhla spolupráce se spolkem Military muzeum generála Jana Sergěje Ingra. Díky této dotaci uskutečnil spolek Military muzeum generála Sergěje Jana Ingra putovní výstavu „</w:t>
      </w:r>
      <w:r w:rsidRPr="00881D52">
        <w:rPr>
          <w:i/>
        </w:rPr>
        <w:t>Ženy v misích AČR</w:t>
      </w:r>
      <w:r>
        <w:t>“,</w:t>
      </w:r>
      <w:r w:rsidRPr="009B3479">
        <w:t xml:space="preserve"> </w:t>
      </w:r>
      <w:r>
        <w:t xml:space="preserve">která byla určena široké veřejnosti. Výstava byla zaměřena na aktivní účast </w:t>
      </w:r>
      <w:r w:rsidR="00881D52">
        <w:t>žen v zahraničních misích AČR a </w:t>
      </w:r>
      <w:r>
        <w:t xml:space="preserve">byla spojena s přednáškami přímých účastnic misí – novodobých válečných veteránek AČR.  </w:t>
      </w:r>
      <w:r w:rsidR="00BD33CD">
        <w:rPr>
          <w:highlight w:val="yellow"/>
        </w:rPr>
        <w:t xml:space="preserve"> </w:t>
      </w:r>
    </w:p>
    <w:p w:rsidR="008023F9" w:rsidRPr="008023F9" w:rsidRDefault="009F6A02" w:rsidP="00BD33CD">
      <w:pPr>
        <w:spacing w:before="120"/>
        <w:jc w:val="both"/>
        <w:rPr>
          <w:rFonts w:ascii="Times" w:hAnsi="Times" w:cs="Arial"/>
        </w:rPr>
      </w:pPr>
      <w:r>
        <w:t>S ohledem na agendu WPS proběhla u příležitosti Mezinárodního dne žen v americkém centru Velvyslanectví USA v ČR panelová diskuze</w:t>
      </w:r>
      <w:r w:rsidR="00881D52">
        <w:t xml:space="preserve"> </w:t>
      </w:r>
      <w:r w:rsidR="00881D52" w:rsidRPr="00881D52">
        <w:rPr>
          <w:rFonts w:ascii="Times" w:hAnsi="Times" w:cs="Arial"/>
          <w:i/>
        </w:rPr>
        <w:t>„Nebát se změny: Prosazování genderové rovnosti v České republice“</w:t>
      </w:r>
      <w:r>
        <w:t>, které se aktivně ú</w:t>
      </w:r>
      <w:r w:rsidR="00881D52">
        <w:t xml:space="preserve">častnily zástupkyně rezortu Ministerstva obrany a Ministerstva zahraničních věcí, organizace Člověk v tísni, zástupci Úřadu vlády a CARE ČR. </w:t>
      </w:r>
      <w:r>
        <w:t xml:space="preserve"> </w:t>
      </w:r>
      <w:r w:rsidR="00881D52">
        <w:t xml:space="preserve"> </w:t>
      </w:r>
    </w:p>
    <w:p w:rsidR="00A502E5" w:rsidRDefault="00A502E5" w:rsidP="00BE5F39">
      <w:pPr>
        <w:pStyle w:val="Nadpis2"/>
      </w:pPr>
      <w:bookmarkStart w:id="32" w:name="_Toc514782422"/>
      <w:r w:rsidRPr="002E4A2B">
        <w:t>Úkol č. 2</w:t>
      </w:r>
      <w:r>
        <w:t>4</w:t>
      </w:r>
      <w:bookmarkEnd w:id="32"/>
    </w:p>
    <w:p w:rsidR="00A502E5" w:rsidRDefault="00385AE4" w:rsidP="00A502E5">
      <w:pPr>
        <w:spacing w:before="120"/>
        <w:jc w:val="both"/>
        <w:rPr>
          <w:b/>
          <w:i/>
        </w:rPr>
      </w:pPr>
      <w:r w:rsidRPr="00385AE4">
        <w:rPr>
          <w:b/>
          <w:i/>
        </w:rPr>
        <w:t xml:space="preserve">Obecný cíl: </w:t>
      </w:r>
      <w:r w:rsidR="00A502E5" w:rsidRPr="00385AE4">
        <w:rPr>
          <w:b/>
          <w:i/>
        </w:rPr>
        <w:t>Uplatňování inkluzivního přístupu při tvorbě a naplňování všech koncepčních dokumentů k problematice WPS</w:t>
      </w:r>
      <w:r w:rsidR="00CE6AC8">
        <w:rPr>
          <w:b/>
          <w:i/>
        </w:rPr>
        <w:t xml:space="preserve"> MZV)</w:t>
      </w:r>
    </w:p>
    <w:p w:rsidR="00385AE4" w:rsidRPr="00385AE4" w:rsidRDefault="00385AE4" w:rsidP="00A502E5">
      <w:pPr>
        <w:spacing w:before="120"/>
        <w:jc w:val="both"/>
        <w:rPr>
          <w:b/>
          <w:i/>
          <w:u w:val="single"/>
        </w:rPr>
      </w:pPr>
      <w:r w:rsidRPr="00385AE4">
        <w:rPr>
          <w:i/>
        </w:rPr>
        <w:t>Úkol: Všechny koncepční dokumenty k agendě WPS jsou konzultovány s NNO, akademickou obcí, sociálními partnery a dalšími zainteresovanými subjekty</w:t>
      </w:r>
      <w:r w:rsidR="00CE6AC8">
        <w:rPr>
          <w:i/>
        </w:rPr>
        <w:t>.</w:t>
      </w:r>
    </w:p>
    <w:p w:rsidR="004C7351" w:rsidRPr="00385AE4" w:rsidRDefault="004C7351" w:rsidP="00F728A3">
      <w:pPr>
        <w:jc w:val="both"/>
        <w:rPr>
          <w:b/>
          <w:i/>
          <w:u w:val="single"/>
        </w:rPr>
      </w:pPr>
    </w:p>
    <w:p w:rsidR="00182287" w:rsidRDefault="00182287" w:rsidP="00182287">
      <w:pPr>
        <w:jc w:val="both"/>
      </w:pPr>
      <w:r>
        <w:t>Přijetí AP k agendě WPS se stalo akceleračním mom</w:t>
      </w:r>
      <w:r w:rsidR="00241105">
        <w:t>entem pro spolupráci vládního a </w:t>
      </w:r>
      <w:r>
        <w:t>nevládního sektoru na agendě WPS.  Za více než rok účinnosti AP k agendě WPS proběhla společná diskuse k přijetí AP k agendě WPS na ambasádě USA, Česko-švédský seminář k implementaci agendy WPS a doprovodná akce na ok</w:t>
      </w:r>
      <w:r w:rsidR="000365DA">
        <w:t>raj 62. zasedání Komise OSN pro </w:t>
      </w:r>
      <w:r>
        <w:t xml:space="preserve">postavení žen k implementaci agendy WPS.  </w:t>
      </w:r>
    </w:p>
    <w:p w:rsidR="006643B9" w:rsidRDefault="006643B9" w:rsidP="00182287">
      <w:pPr>
        <w:jc w:val="both"/>
      </w:pPr>
    </w:p>
    <w:p w:rsidR="006643B9" w:rsidRDefault="006643B9" w:rsidP="00182287">
      <w:pPr>
        <w:jc w:val="both"/>
      </w:pPr>
      <w:r>
        <w:t xml:space="preserve">Důležitým partnerem pro implementaci vnější dimenze AP k problematice WPS je Česká rozvojová agentura a Fórum pro rozvojovou spolupráci. </w:t>
      </w:r>
    </w:p>
    <w:p w:rsidR="00F728A3" w:rsidRPr="00182287" w:rsidRDefault="00182287" w:rsidP="00F728A3">
      <w:pPr>
        <w:jc w:val="both"/>
      </w:pPr>
      <w:r>
        <w:t xml:space="preserve"> </w:t>
      </w:r>
    </w:p>
    <w:p w:rsidR="00F728A3" w:rsidRPr="0004006D" w:rsidRDefault="006643B9" w:rsidP="00F728A3">
      <w:pPr>
        <w:jc w:val="both"/>
        <w:rPr>
          <w:rFonts w:cs="Calibri"/>
          <w:lang w:eastAsia="en-GB"/>
        </w:rPr>
      </w:pPr>
      <w:r>
        <w:rPr>
          <w:rFonts w:cs="Calibri"/>
          <w:lang w:eastAsia="en-GB"/>
        </w:rPr>
        <w:t xml:space="preserve">Na výzkumné úrovni se agendě </w:t>
      </w:r>
      <w:r w:rsidR="00F728A3" w:rsidRPr="0004006D">
        <w:rPr>
          <w:rFonts w:cs="Calibri"/>
          <w:lang w:eastAsia="en-GB"/>
        </w:rPr>
        <w:t>W</w:t>
      </w:r>
      <w:r>
        <w:rPr>
          <w:rFonts w:cs="Calibri"/>
          <w:lang w:eastAsia="en-GB"/>
        </w:rPr>
        <w:t xml:space="preserve">PS </w:t>
      </w:r>
      <w:r w:rsidR="00F728A3" w:rsidRPr="0004006D">
        <w:rPr>
          <w:rFonts w:cs="Calibri"/>
          <w:lang w:eastAsia="en-GB"/>
        </w:rPr>
        <w:t xml:space="preserve">věnuje </w:t>
      </w:r>
      <w:r w:rsidR="00F728A3" w:rsidRPr="006643B9">
        <w:rPr>
          <w:rFonts w:cs="Calibri"/>
          <w:lang w:eastAsia="en-GB"/>
        </w:rPr>
        <w:t>Ústav mezinárodních vztahů (ÚMV).</w:t>
      </w:r>
      <w:r w:rsidR="00F728A3" w:rsidRPr="0004006D">
        <w:rPr>
          <w:rFonts w:cs="Calibri"/>
          <w:lang w:eastAsia="en-GB"/>
        </w:rPr>
        <w:t xml:space="preserve"> </w:t>
      </w:r>
      <w:r w:rsidR="00F728A3" w:rsidRPr="000365DA">
        <w:rPr>
          <w:rFonts w:cs="Calibri"/>
          <w:b/>
          <w:lang w:eastAsia="en-GB"/>
        </w:rPr>
        <w:t>V březnu 2018 vzniklo v rámci ÚMV Centrum pro gender a globální spravedlnost</w:t>
      </w:r>
      <w:r w:rsidR="00F728A3" w:rsidRPr="0004006D">
        <w:rPr>
          <w:rFonts w:cs="Calibri"/>
          <w:lang w:eastAsia="en-GB"/>
        </w:rPr>
        <w:t>, jehož výzkum se soustředí na gender a genderové přístupy k různým tématům a specializacím včetně témat míru a bezpečnosti a rozvojové spolupráce, která úzce</w:t>
      </w:r>
      <w:r>
        <w:rPr>
          <w:rFonts w:cs="Calibri"/>
          <w:lang w:eastAsia="en-GB"/>
        </w:rPr>
        <w:t xml:space="preserve"> souvisejí s problematikou WPS. </w:t>
      </w:r>
      <w:r w:rsidR="00F728A3">
        <w:rPr>
          <w:rFonts w:cs="Calibri"/>
          <w:lang w:eastAsia="en-GB"/>
        </w:rPr>
        <w:t>Otevření Centra</w:t>
      </w:r>
      <w:r w:rsidR="00F728A3" w:rsidRPr="0004006D">
        <w:rPr>
          <w:rFonts w:cs="Calibri"/>
          <w:lang w:eastAsia="en-GB"/>
        </w:rPr>
        <w:t xml:space="preserve"> pro gender a globální spravedlnost</w:t>
      </w:r>
      <w:r w:rsidR="00F728A3">
        <w:rPr>
          <w:rFonts w:cs="Calibri"/>
          <w:lang w:eastAsia="en-GB"/>
        </w:rPr>
        <w:t xml:space="preserve"> proběhlo 26. března 2018 za účasti zástupkyně generálního tajemníka OSN Aminy Mohammed v rámci </w:t>
      </w:r>
      <w:r w:rsidR="000365DA">
        <w:rPr>
          <w:rFonts w:cs="Calibri"/>
          <w:lang w:eastAsia="en-GB"/>
        </w:rPr>
        <w:t>doprovodné akce k </w:t>
      </w:r>
      <w:r w:rsidR="00CE6AC8">
        <w:rPr>
          <w:rFonts w:cs="Calibri"/>
          <w:lang w:eastAsia="en-GB"/>
        </w:rPr>
        <w:t>přípravnému</w:t>
      </w:r>
      <w:r w:rsidR="00F728A3">
        <w:rPr>
          <w:rFonts w:cs="Calibri"/>
          <w:lang w:eastAsia="en-GB"/>
        </w:rPr>
        <w:t xml:space="preserve"> setkání ECOSOC </w:t>
      </w:r>
      <w:r w:rsidR="00F728A3" w:rsidRPr="000365DA">
        <w:rPr>
          <w:rFonts w:cs="Calibri"/>
          <w:i/>
          <w:lang w:eastAsia="en-GB"/>
        </w:rPr>
        <w:t>Gender Equality and Women’s Empowerment as a Fundamental Prerequisite for the SDGs’ Fulfilment</w:t>
      </w:r>
      <w:r w:rsidR="00F728A3" w:rsidRPr="0004006D">
        <w:rPr>
          <w:rFonts w:cs="Calibri"/>
          <w:lang w:eastAsia="en-GB"/>
        </w:rPr>
        <w:t xml:space="preserve">, který </w:t>
      </w:r>
      <w:r w:rsidR="00F728A3">
        <w:rPr>
          <w:rFonts w:cs="Calibri"/>
          <w:lang w:eastAsia="en-GB"/>
        </w:rPr>
        <w:t>připravil</w:t>
      </w:r>
      <w:r w:rsidR="000365DA">
        <w:rPr>
          <w:rFonts w:cs="Calibri"/>
          <w:lang w:eastAsia="en-GB"/>
        </w:rPr>
        <w:t xml:space="preserve"> ÚMV a České fórum pro </w:t>
      </w:r>
      <w:r w:rsidR="00F728A3" w:rsidRPr="0004006D">
        <w:rPr>
          <w:rFonts w:cs="Calibri"/>
          <w:lang w:eastAsia="en-GB"/>
        </w:rPr>
        <w:t xml:space="preserve">rozvojovou spolupráci. </w:t>
      </w:r>
    </w:p>
    <w:p w:rsidR="00F728A3" w:rsidRPr="00E058CD" w:rsidRDefault="00F728A3" w:rsidP="00F728A3"/>
    <w:p w:rsidR="004D0B79" w:rsidRDefault="00F728A3" w:rsidP="00873C29">
      <w:pPr>
        <w:jc w:val="both"/>
      </w:pPr>
      <w:r w:rsidRPr="00E058CD">
        <w:t xml:space="preserve">V letech 2017 – 2020 realizuje ÚMV projekt </w:t>
      </w:r>
      <w:r w:rsidRPr="000365DA">
        <w:rPr>
          <w:i/>
        </w:rPr>
        <w:t xml:space="preserve">Rovnost žen a mužů v české zahraniční politice a rozvojové spolupráci </w:t>
      </w:r>
      <w:r w:rsidRPr="00E058CD">
        <w:t xml:space="preserve">financovaný z Evropského sociálního fondu. Projekt </w:t>
      </w:r>
      <w:r w:rsidR="000365DA">
        <w:rPr>
          <w:rFonts w:cs="Calibri"/>
          <w:lang w:eastAsia="en-GB"/>
        </w:rPr>
        <w:t>komplexně a </w:t>
      </w:r>
      <w:r w:rsidRPr="00E058CD">
        <w:rPr>
          <w:rFonts w:cs="Calibri"/>
          <w:lang w:eastAsia="en-GB"/>
        </w:rPr>
        <w:t>systematicky řeší rovnost žen a mužů ve vnějších vztazíc</w:t>
      </w:r>
      <w:r w:rsidR="000365DA">
        <w:rPr>
          <w:rFonts w:cs="Calibri"/>
          <w:lang w:eastAsia="en-GB"/>
        </w:rPr>
        <w:t>h zapojením klíčových institucí. Jedná se o</w:t>
      </w:r>
      <w:r w:rsidRPr="00E058CD">
        <w:rPr>
          <w:rFonts w:cs="Calibri"/>
          <w:lang w:eastAsia="en-GB"/>
        </w:rPr>
        <w:t> instituce pověřené výkonem</w:t>
      </w:r>
      <w:r w:rsidR="000365DA">
        <w:rPr>
          <w:rFonts w:cs="Calibri"/>
          <w:lang w:eastAsia="en-GB"/>
        </w:rPr>
        <w:t xml:space="preserve"> zahraniční politiky (Ministerstvo zahraničních věcí), rozvojové spolupráce (Česká rozvojová agentura</w:t>
      </w:r>
      <w:r w:rsidRPr="00E058CD">
        <w:rPr>
          <w:rFonts w:cs="Calibri"/>
          <w:lang w:eastAsia="en-GB"/>
        </w:rPr>
        <w:t>) a výzkumem vnějších vztahů (ÚMV). Zaměřuje se přitom na vnitřní i vnější dimenzi těchto institucí. Cílem je p</w:t>
      </w:r>
      <w:r w:rsidRPr="00E058CD">
        <w:t xml:space="preserve">řispět k řešení </w:t>
      </w:r>
      <w:r w:rsidRPr="00E058CD">
        <w:lastRenderedPageBreak/>
        <w:t>vertikální a horizontální segregace uvnitř těchto institucí mimo jiné prostřednictvím realizace genderových auditů a plánů rovnosti. V rámci vnější dimenze je pak projekt zacílen především na systematické uplatňování gender mainstreamingu v projektovém cyklu Zahra</w:t>
      </w:r>
      <w:r w:rsidR="000365DA">
        <w:t>niční rozvojové spolupráce</w:t>
      </w:r>
      <w:r w:rsidRPr="00E058CD">
        <w:t>, zkvalitnění sběru genderových stat</w:t>
      </w:r>
      <w:r w:rsidR="000365DA">
        <w:t>istik pro ČRA a </w:t>
      </w:r>
      <w:r>
        <w:t>umožnění</w:t>
      </w:r>
      <w:r w:rsidRPr="00E058CD">
        <w:t xml:space="preserve"> dlouhodobého výzkumu </w:t>
      </w:r>
      <w:r>
        <w:t xml:space="preserve">zaměřeného na gender a </w:t>
      </w:r>
      <w:r w:rsidR="000365DA">
        <w:t>prosazování rovnosti žen a </w:t>
      </w:r>
      <w:r w:rsidRPr="00E058CD">
        <w:t>mužů v I) rozvojovém světě, II) v oblasti mezinárod</w:t>
      </w:r>
      <w:r w:rsidR="000365DA">
        <w:t>ního míru a bezpečnosti, III) v </w:t>
      </w:r>
      <w:r w:rsidRPr="00E058CD">
        <w:t>institucích EU, a IV) v mezinárodních organizacích.</w:t>
      </w:r>
      <w:r>
        <w:t xml:space="preserve"> </w:t>
      </w:r>
    </w:p>
    <w:p w:rsidR="00873C29" w:rsidRDefault="00873C29" w:rsidP="00873C29">
      <w:pPr>
        <w:jc w:val="both"/>
      </w:pPr>
    </w:p>
    <w:p w:rsidR="008820D7" w:rsidRPr="008820D7" w:rsidRDefault="0060081D" w:rsidP="008820D7">
      <w:pPr>
        <w:pBdr>
          <w:top w:val="single" w:sz="4" w:space="1" w:color="auto"/>
          <w:left w:val="single" w:sz="4" w:space="4" w:color="auto"/>
          <w:bottom w:val="single" w:sz="4" w:space="1" w:color="auto"/>
          <w:right w:val="single" w:sz="4" w:space="4" w:color="auto"/>
        </w:pBdr>
        <w:jc w:val="both"/>
      </w:pPr>
      <w:r>
        <w:t xml:space="preserve"> </w:t>
      </w:r>
      <w:r w:rsidR="00C33A41">
        <w:t xml:space="preserve">I přes přijetí AP k agendě WPS ČR nedisponuje relevantními analýzami agendy WPS, které by napomáhaly pro stanovení nástrojů pro efektivní implementaci agendy WPS. </w:t>
      </w:r>
      <w:r>
        <w:t xml:space="preserve">V rámci výzkumu </w:t>
      </w:r>
      <w:r>
        <w:rPr>
          <w:rFonts w:cs="Calibri"/>
          <w:lang w:eastAsia="en-GB"/>
        </w:rPr>
        <w:t>Centra</w:t>
      </w:r>
      <w:r w:rsidRPr="0004006D">
        <w:rPr>
          <w:rFonts w:cs="Calibri"/>
          <w:lang w:eastAsia="en-GB"/>
        </w:rPr>
        <w:t xml:space="preserve"> pro gender a globální spravedlnost</w:t>
      </w:r>
      <w:r>
        <w:t xml:space="preserve"> v oblasti </w:t>
      </w:r>
      <w:r w:rsidRPr="00E058CD">
        <w:t>mezinárodního míru a bezpečnosti</w:t>
      </w:r>
      <w:r>
        <w:t xml:space="preserve"> je na rok 2019 plánovaná publikace analýzy naplňování rezoluce RB OSN 1325 Českou republikou se záměrem posloužit jako podklad pro střednědobou revizi </w:t>
      </w:r>
      <w:r w:rsidRPr="00D301D3">
        <w:t>Akční</w:t>
      </w:r>
      <w:r>
        <w:t>ho</w:t>
      </w:r>
      <w:r w:rsidRPr="00D301D3">
        <w:t xml:space="preserve"> plán</w:t>
      </w:r>
      <w:r>
        <w:t>u</w:t>
      </w:r>
      <w:r w:rsidRPr="00D301D3">
        <w:t xml:space="preserve"> České republiky k rezoluci RB OSN 1325 (2000) „Ženy, mír a bezpečnost“ na léta 2017 </w:t>
      </w:r>
      <w:r>
        <w:t>–</w:t>
      </w:r>
      <w:r w:rsidRPr="00D301D3">
        <w:t xml:space="preserve"> 2020</w:t>
      </w:r>
      <w:r w:rsidR="008820D7">
        <w:t xml:space="preserve">. </w:t>
      </w:r>
    </w:p>
    <w:p w:rsidR="00B63519" w:rsidRDefault="008C5FA5" w:rsidP="00FD5CFB">
      <w:pPr>
        <w:pStyle w:val="Nadpis2"/>
      </w:pPr>
      <w:bookmarkStart w:id="33" w:name="_Toc514782423"/>
      <w:r w:rsidRPr="002E4A2B">
        <w:t>Úkol č. 2</w:t>
      </w:r>
      <w:r w:rsidR="006C1EA2">
        <w:t>5</w:t>
      </w:r>
      <w:bookmarkEnd w:id="33"/>
      <w:r w:rsidRPr="002E4A2B">
        <w:t xml:space="preserve">  </w:t>
      </w:r>
    </w:p>
    <w:p w:rsidR="004C7351" w:rsidRDefault="00385AE4" w:rsidP="00F147DD">
      <w:pPr>
        <w:jc w:val="both"/>
        <w:rPr>
          <w:b/>
          <w:i/>
        </w:rPr>
      </w:pPr>
      <w:r w:rsidRPr="00385AE4">
        <w:rPr>
          <w:b/>
          <w:i/>
        </w:rPr>
        <w:t xml:space="preserve">Obecný cíl: </w:t>
      </w:r>
      <w:r w:rsidR="00B63519" w:rsidRPr="00385AE4">
        <w:rPr>
          <w:b/>
          <w:i/>
        </w:rPr>
        <w:t>Zefektivnit systém sběru statistických dat členěných dle pohlaví ve vztahu k agendě WPS</w:t>
      </w:r>
      <w:r w:rsidR="00FA19A5">
        <w:rPr>
          <w:b/>
          <w:i/>
        </w:rPr>
        <w:t xml:space="preserve"> (MZV, MO, MV/PP)</w:t>
      </w:r>
    </w:p>
    <w:p w:rsidR="00385AE4" w:rsidRPr="00385AE4" w:rsidRDefault="00385AE4" w:rsidP="00385AE4">
      <w:pPr>
        <w:jc w:val="both"/>
        <w:rPr>
          <w:b/>
          <w:i/>
        </w:rPr>
      </w:pPr>
    </w:p>
    <w:p w:rsidR="00385AE4" w:rsidRPr="00385AE4" w:rsidRDefault="00385AE4" w:rsidP="00385AE4">
      <w:pPr>
        <w:jc w:val="both"/>
        <w:rPr>
          <w:b/>
          <w:i/>
        </w:rPr>
      </w:pPr>
      <w:r w:rsidRPr="00385AE4">
        <w:rPr>
          <w:b/>
          <w:i/>
        </w:rPr>
        <w:t xml:space="preserve">Úkoly: </w:t>
      </w:r>
    </w:p>
    <w:p w:rsidR="00385AE4" w:rsidRPr="00385AE4" w:rsidRDefault="00385AE4" w:rsidP="00385AE4">
      <w:pPr>
        <w:pStyle w:val="Odstavecseseznamem"/>
        <w:numPr>
          <w:ilvl w:val="0"/>
          <w:numId w:val="27"/>
        </w:numPr>
        <w:jc w:val="both"/>
        <w:rPr>
          <w:i/>
        </w:rPr>
      </w:pPr>
      <w:r w:rsidRPr="00385AE4">
        <w:rPr>
          <w:i/>
        </w:rPr>
        <w:t>Provádět systematický sběr a využívání statistických dat členěných dle pohlaví jako podklad pro hodnocení a rozhodování o revizi všech politik a pro přípravu strategických dokumentů v oblasti agendy WPS</w:t>
      </w:r>
      <w:r w:rsidR="0091024A">
        <w:rPr>
          <w:i/>
        </w:rPr>
        <w:t>;</w:t>
      </w:r>
    </w:p>
    <w:p w:rsidR="00385AE4" w:rsidRPr="00385AE4" w:rsidRDefault="000F6EE5" w:rsidP="00385AE4">
      <w:pPr>
        <w:pStyle w:val="Odstavecseseznamem"/>
        <w:numPr>
          <w:ilvl w:val="0"/>
          <w:numId w:val="27"/>
        </w:numPr>
        <w:jc w:val="both"/>
        <w:rPr>
          <w:i/>
        </w:rPr>
      </w:pPr>
      <w:r>
        <w:rPr>
          <w:i/>
        </w:rPr>
        <w:t>s</w:t>
      </w:r>
      <w:r w:rsidR="00385AE4" w:rsidRPr="00385AE4">
        <w:rPr>
          <w:i/>
        </w:rPr>
        <w:t>ledovat a pravidelně vyhodnocovat statistické informace o zastoupení žen a mužů na jednotlivých úrovních rozhodovacích pozic ve vztahu k agendě WPS; definovat měřitelné indikátory pro hodnocení pokroku</w:t>
      </w:r>
      <w:r w:rsidR="0091024A">
        <w:rPr>
          <w:i/>
        </w:rPr>
        <w:t>;</w:t>
      </w:r>
    </w:p>
    <w:p w:rsidR="00385AE4" w:rsidRPr="00385AE4" w:rsidRDefault="000F6EE5" w:rsidP="00385AE4">
      <w:pPr>
        <w:pStyle w:val="Odstavecseseznamem"/>
        <w:numPr>
          <w:ilvl w:val="0"/>
          <w:numId w:val="27"/>
        </w:numPr>
        <w:jc w:val="both"/>
        <w:rPr>
          <w:i/>
        </w:rPr>
      </w:pPr>
      <w:r>
        <w:rPr>
          <w:i/>
        </w:rPr>
        <w:t>s</w:t>
      </w:r>
      <w:r w:rsidR="00385AE4" w:rsidRPr="00385AE4">
        <w:rPr>
          <w:i/>
        </w:rPr>
        <w:t>ledovat a pravidelně vyhodnocovat statistické informace o účasti žen a mužů v zahraničních misích; definovat měřitelné indikátory pro hodnocení pokroku</w:t>
      </w:r>
      <w:r w:rsidR="0091024A">
        <w:rPr>
          <w:i/>
        </w:rPr>
        <w:t>;</w:t>
      </w:r>
    </w:p>
    <w:p w:rsidR="00385AE4" w:rsidRPr="00385AE4" w:rsidRDefault="000F6EE5" w:rsidP="00385AE4">
      <w:pPr>
        <w:pStyle w:val="Odstavecseseznamem"/>
        <w:numPr>
          <w:ilvl w:val="0"/>
          <w:numId w:val="27"/>
        </w:numPr>
        <w:jc w:val="both"/>
        <w:rPr>
          <w:i/>
        </w:rPr>
      </w:pPr>
      <w:r>
        <w:rPr>
          <w:i/>
        </w:rPr>
        <w:t>s</w:t>
      </w:r>
      <w:r w:rsidR="00385AE4" w:rsidRPr="00385AE4">
        <w:rPr>
          <w:i/>
        </w:rPr>
        <w:t>ledovat a pravidelně vyhodnocovat statistické informace o zastoupení žen a mužů nominovaných za ČR v mezinárodních organizacích; definovat měřitelné indikátory pro hodnocení pokroku</w:t>
      </w:r>
      <w:r w:rsidR="0091024A">
        <w:rPr>
          <w:i/>
        </w:rPr>
        <w:t>.</w:t>
      </w:r>
    </w:p>
    <w:p w:rsidR="00385AE4" w:rsidRPr="00385AE4" w:rsidRDefault="00385AE4" w:rsidP="00385AE4">
      <w:pPr>
        <w:jc w:val="both"/>
        <w:rPr>
          <w:b/>
          <w:i/>
        </w:rPr>
      </w:pPr>
    </w:p>
    <w:p w:rsidR="00F147DD" w:rsidRPr="004C7351" w:rsidRDefault="00F147DD" w:rsidP="00F147DD">
      <w:pPr>
        <w:jc w:val="both"/>
        <w:rPr>
          <w:rStyle w:val="Hypertextovodkaz"/>
          <w:i/>
          <w:color w:val="auto"/>
          <w:u w:val="none"/>
        </w:rPr>
      </w:pPr>
      <w:r>
        <w:t>Sběr statistických dat týkajících se fyzických osob členěných dle katego</w:t>
      </w:r>
      <w:r w:rsidR="004C7351">
        <w:t>rie pohlaví probíhá v rezortu Ministerstva obrany</w:t>
      </w:r>
      <w:r>
        <w:t xml:space="preserve"> již od roku 2002</w:t>
      </w:r>
      <w:r>
        <w:rPr>
          <w:rStyle w:val="Znakapoznpodarou"/>
        </w:rPr>
        <w:footnoteReference w:id="7"/>
      </w:r>
      <w:r>
        <w:t xml:space="preserve">. Z těchto statistických dat je pravidelně zpracovávána </w:t>
      </w:r>
      <w:r w:rsidR="001E3412">
        <w:t>„K</w:t>
      </w:r>
      <w:r>
        <w:t>vantitativní genderová analýza</w:t>
      </w:r>
      <w:r w:rsidR="001E3412">
        <w:t>“</w:t>
      </w:r>
      <w:r>
        <w:t xml:space="preserve">, včetně vývojového srovnání (zveřejněna je </w:t>
      </w:r>
      <w:r>
        <w:rPr>
          <w:color w:val="000000"/>
        </w:rPr>
        <w:t xml:space="preserve">na webu </w:t>
      </w:r>
      <w:hyperlink r:id="rId19" w:history="1">
        <w:r w:rsidRPr="00644567">
          <w:rPr>
            <w:rStyle w:val="Hypertextovodkaz"/>
            <w:i/>
          </w:rPr>
          <w:t>http://www.army.cz/informacni-servis/povinne-informace/1-rovne-prilezitosti/rovne-prilezitosti-muzu-a-zen-54018/</w:t>
        </w:r>
      </w:hyperlink>
      <w:r>
        <w:rPr>
          <w:rStyle w:val="Hypertextovodkaz"/>
          <w:i/>
          <w:color w:val="000000"/>
        </w:rPr>
        <w:t xml:space="preserve">). </w:t>
      </w:r>
      <w:r>
        <w:rPr>
          <w:rStyle w:val="Hypertextovodkaz"/>
          <w:color w:val="000000"/>
          <w:u w:val="none"/>
        </w:rPr>
        <w:t xml:space="preserve">Pro příští období bude kvantitativní genderová analýza rozšířena o sledování počtu žen a mužů v aktivních zálohách, počty žen a mužů účastníků dobrovolných cvičení a počty žen a mužů válečných veteránů. </w:t>
      </w:r>
    </w:p>
    <w:p w:rsidR="00D4453B" w:rsidRDefault="004C7351" w:rsidP="00D8637B">
      <w:pPr>
        <w:jc w:val="both"/>
        <w:rPr>
          <w:b/>
          <w:u w:val="single"/>
        </w:rPr>
      </w:pPr>
      <w:r>
        <w:rPr>
          <w:rStyle w:val="Hypertextovodkaz"/>
          <w:color w:val="000000"/>
          <w:u w:val="none"/>
        </w:rPr>
        <w:t xml:space="preserve"> </w:t>
      </w:r>
    </w:p>
    <w:p w:rsidR="004C7351" w:rsidRDefault="00B57C78" w:rsidP="00B63519">
      <w:pPr>
        <w:jc w:val="both"/>
      </w:pPr>
      <w:r>
        <w:t xml:space="preserve">Ministerstvo obrany i </w:t>
      </w:r>
      <w:r w:rsidR="00B63519">
        <w:t xml:space="preserve">Ministerstvo vnitra ve spolupráci s Policejním prezidiem postupuje každoročně </w:t>
      </w:r>
      <w:r w:rsidR="00B63519" w:rsidRPr="005560D8">
        <w:t>Českému statistickému úřadu a Úřadu vlády</w:t>
      </w:r>
      <w:r w:rsidR="00B63519">
        <w:t xml:space="preserve"> </w:t>
      </w:r>
      <w:r w:rsidR="00B63519" w:rsidRPr="00447857">
        <w:t>6 s</w:t>
      </w:r>
      <w:r w:rsidR="00E23DC3">
        <w:t>tatistických podkladů s údaji o </w:t>
      </w:r>
      <w:r w:rsidR="00B63519">
        <w:t xml:space="preserve">poměrném zastoupení </w:t>
      </w:r>
      <w:r w:rsidR="00B63519" w:rsidRPr="00447857">
        <w:t xml:space="preserve">žen a mužů na </w:t>
      </w:r>
      <w:r w:rsidR="00B63519">
        <w:t>jednotlivý</w:t>
      </w:r>
      <w:r w:rsidR="00B63519" w:rsidRPr="00447857">
        <w:t>ch</w:t>
      </w:r>
      <w:r w:rsidR="00B63519">
        <w:t xml:space="preserve"> </w:t>
      </w:r>
      <w:r w:rsidR="00E23DC3">
        <w:t>stupních řízení a účasti žen na </w:t>
      </w:r>
      <w:r w:rsidR="00B63519">
        <w:t xml:space="preserve">rozhodovacím procesu v rámci resortu. Jedná se o </w:t>
      </w:r>
      <w:r w:rsidR="00B63519" w:rsidRPr="00447857">
        <w:t>obsazení řídících funkcí v ozbrojených a bezp</w:t>
      </w:r>
      <w:r w:rsidR="001D3EDF">
        <w:t>ečnostních sborech</w:t>
      </w:r>
      <w:r w:rsidR="00B63519">
        <w:t xml:space="preserve">, </w:t>
      </w:r>
      <w:r w:rsidR="00B63519" w:rsidRPr="00447857">
        <w:t xml:space="preserve">účast žen v rozhodovacím procesu (tj. obsazení řídících funkcí </w:t>
      </w:r>
      <w:r w:rsidR="00B63519" w:rsidRPr="00447857">
        <w:lastRenderedPageBreak/>
        <w:t>v resortu)</w:t>
      </w:r>
      <w:r w:rsidR="00B63519">
        <w:t xml:space="preserve">, a poměr </w:t>
      </w:r>
      <w:r w:rsidR="00B63519" w:rsidRPr="00447857">
        <w:t>žen a mužů</w:t>
      </w:r>
      <w:r w:rsidR="00B63519">
        <w:t xml:space="preserve"> </w:t>
      </w:r>
      <w:r w:rsidR="00B63519" w:rsidRPr="00447857">
        <w:t>v jednotlivých platových třídách podle zákona č. 262/200</w:t>
      </w:r>
      <w:r w:rsidR="00241105">
        <w:t>6 Sb., zákoník práce, zákona č. </w:t>
      </w:r>
      <w:r w:rsidR="00B63519" w:rsidRPr="00447857">
        <w:t xml:space="preserve">234/2014 Sb., o státní službě a zákona č. 361/2003 Sb., o služebním poměru příslušníků </w:t>
      </w:r>
      <w:r w:rsidR="00B63519">
        <w:t>bezpečnostních sborů</w:t>
      </w:r>
      <w:r w:rsidR="00B63519" w:rsidRPr="00447857">
        <w:t>.</w:t>
      </w:r>
      <w:r w:rsidR="004C7351">
        <w:t> </w:t>
      </w:r>
    </w:p>
    <w:p w:rsidR="004C7351" w:rsidRDefault="004C7351" w:rsidP="00B63519">
      <w:pPr>
        <w:jc w:val="both"/>
      </w:pPr>
    </w:p>
    <w:p w:rsidR="00B63519" w:rsidRDefault="004C7351" w:rsidP="00B63519">
      <w:pPr>
        <w:jc w:val="both"/>
      </w:pPr>
      <w:r w:rsidRPr="004C7351">
        <w:t>V souvislosti s migrací Ministerstvo vnitra zpracovává sta</w:t>
      </w:r>
      <w:r w:rsidR="00241105">
        <w:t>tistiky o počtech žádostí o </w:t>
      </w:r>
      <w:r w:rsidRPr="004C7351">
        <w:t>mezinárodní ochranu dle země původu, pohlaví a ne/zletilosti a počtech nezletilých bez doprovodu (http://www.mvcr.cz/migrace/ViewFile.aspx?docid=22125403) a informativní přehledy cizinců se zaevidovaným přechodným či trvalým pobytem na území České republiky dle země původu, pohlaví a současného místa pobytu (dostupné na</w:t>
      </w:r>
      <w:r w:rsidR="00241105">
        <w:t> </w:t>
      </w:r>
      <w:hyperlink r:id="rId20" w:history="1">
        <w:r w:rsidRPr="00B45F4C">
          <w:rPr>
            <w:rStyle w:val="Hypertextovodkaz"/>
          </w:rPr>
          <w:t>http://www.mvcr.cz/clanek/cizinci-s-povolenym-pobytem.aspx?q=Y2hudW09Mg%3d%3d</w:t>
        </w:r>
      </w:hyperlink>
      <w:r w:rsidRPr="004C7351">
        <w:t>).</w:t>
      </w:r>
    </w:p>
    <w:p w:rsidR="004C7351" w:rsidRDefault="004C7351" w:rsidP="00B63519">
      <w:pPr>
        <w:jc w:val="both"/>
      </w:pPr>
    </w:p>
    <w:p w:rsidR="00B63519" w:rsidRDefault="00B63519" w:rsidP="00B63519">
      <w:pPr>
        <w:jc w:val="both"/>
        <w:rPr>
          <w:rFonts w:ascii="Times" w:hAnsi="Times"/>
        </w:rPr>
      </w:pPr>
      <w:r w:rsidRPr="00B63519">
        <w:rPr>
          <w:rFonts w:ascii="Times" w:hAnsi="Times"/>
        </w:rPr>
        <w:t xml:space="preserve">Informace o zastoupení žen a mužů na jednotlivých úrovních rozhodovacích pozic ve vztahu k agendě WPS (zejm. zastoupení žen ve vedení české diplomacie) jsou součástí každoroční </w:t>
      </w:r>
      <w:r w:rsidRPr="00241105">
        <w:rPr>
          <w:rFonts w:ascii="Times" w:hAnsi="Times"/>
          <w:i/>
        </w:rPr>
        <w:t>Zprávy o rovnosti žen a mužů v ČR a Souhrnné zprávy o plnění Akčního plánu pro vyrovnané zastoupení žen a mužů v rozhodovací</w:t>
      </w:r>
      <w:r w:rsidR="001D3EDF" w:rsidRPr="00241105">
        <w:rPr>
          <w:rFonts w:ascii="Times" w:hAnsi="Times"/>
          <w:i/>
        </w:rPr>
        <w:t>ch pozicích na léta 2016 – 2018</w:t>
      </w:r>
      <w:r w:rsidRPr="00B63519">
        <w:rPr>
          <w:rFonts w:ascii="Times" w:hAnsi="Times"/>
        </w:rPr>
        <w:t>. Součástí těchto zpráv jsou i statistické informace hodnotící vývoj v posledních letech.</w:t>
      </w:r>
    </w:p>
    <w:p w:rsidR="004C7351" w:rsidRPr="00B63519" w:rsidRDefault="004C7351" w:rsidP="00B63519">
      <w:pPr>
        <w:jc w:val="both"/>
        <w:rPr>
          <w:rFonts w:ascii="Times" w:hAnsi="Times"/>
        </w:rPr>
      </w:pPr>
    </w:p>
    <w:p w:rsidR="001D3EDF" w:rsidRPr="001D3EDF" w:rsidRDefault="00A308D2" w:rsidP="001D3EDF">
      <w:pPr>
        <w:pBdr>
          <w:top w:val="single" w:sz="4" w:space="1" w:color="auto"/>
          <w:left w:val="single" w:sz="4" w:space="4" w:color="auto"/>
          <w:bottom w:val="single" w:sz="4" w:space="1" w:color="auto"/>
          <w:right w:val="single" w:sz="4" w:space="4" w:color="auto"/>
        </w:pBdr>
        <w:jc w:val="both"/>
        <w:rPr>
          <w:rFonts w:ascii="Times" w:hAnsi="Times"/>
        </w:rPr>
      </w:pPr>
      <w:r>
        <w:rPr>
          <w:rFonts w:ascii="Times" w:hAnsi="Times"/>
        </w:rPr>
        <w:t>Přetrvávající výzvy a v</w:t>
      </w:r>
      <w:r w:rsidR="001D3EDF">
        <w:rPr>
          <w:rFonts w:ascii="Times" w:hAnsi="Times"/>
        </w:rPr>
        <w:t xml:space="preserve">ýhled na další období: </w:t>
      </w:r>
      <w:r>
        <w:rPr>
          <w:rFonts w:ascii="Times" w:hAnsi="Times"/>
        </w:rPr>
        <w:t xml:space="preserve">Sběr </w:t>
      </w:r>
      <w:r w:rsidR="00C33A41">
        <w:rPr>
          <w:rFonts w:ascii="Times" w:hAnsi="Times"/>
        </w:rPr>
        <w:t>gend</w:t>
      </w:r>
      <w:r w:rsidR="00B57C78">
        <w:rPr>
          <w:rFonts w:ascii="Times" w:hAnsi="Times"/>
        </w:rPr>
        <w:t>e</w:t>
      </w:r>
      <w:r w:rsidR="00C33A41">
        <w:rPr>
          <w:rFonts w:ascii="Times" w:hAnsi="Times"/>
        </w:rPr>
        <w:t>rových</w:t>
      </w:r>
      <w:r w:rsidR="0068426B">
        <w:rPr>
          <w:rFonts w:ascii="Times" w:hAnsi="Times"/>
        </w:rPr>
        <w:t xml:space="preserve"> </w:t>
      </w:r>
      <w:r>
        <w:rPr>
          <w:rFonts w:ascii="Times" w:hAnsi="Times"/>
        </w:rPr>
        <w:t>statistických dat zůstává hlavním nás</w:t>
      </w:r>
      <w:r w:rsidR="0068426B">
        <w:rPr>
          <w:rFonts w:ascii="Times" w:hAnsi="Times"/>
        </w:rPr>
        <w:t xml:space="preserve">trojem pro vyhodnocování politik a zvolení dalších strategií v oblasti agendy WPS. </w:t>
      </w:r>
      <w:r w:rsidR="001D3EDF" w:rsidRPr="00B63519">
        <w:rPr>
          <w:rFonts w:ascii="Times" w:hAnsi="Times"/>
        </w:rPr>
        <w:t xml:space="preserve">V návaznosti na Vládní strategii pro rovnost žen a mužů v ČR na léta 2014 – 2020 Úřad vlády ČR v současnosti připravuje sadu indikátorů měřících pokrok </w:t>
      </w:r>
      <w:r w:rsidR="00241105">
        <w:rPr>
          <w:rFonts w:ascii="Times" w:hAnsi="Times"/>
        </w:rPr>
        <w:t>dosažený při </w:t>
      </w:r>
      <w:r w:rsidR="001D3EDF" w:rsidRPr="00B63519">
        <w:rPr>
          <w:rFonts w:ascii="Times" w:hAnsi="Times"/>
        </w:rPr>
        <w:t>naplňování této strategie. Součástí sady indikátorů</w:t>
      </w:r>
      <w:r w:rsidR="00241105">
        <w:rPr>
          <w:rFonts w:ascii="Times" w:hAnsi="Times"/>
        </w:rPr>
        <w:t xml:space="preserve"> budou i indikátory zaměřené na </w:t>
      </w:r>
      <w:r w:rsidR="001D3EDF" w:rsidRPr="00B63519">
        <w:rPr>
          <w:rFonts w:ascii="Times" w:hAnsi="Times"/>
        </w:rPr>
        <w:t xml:space="preserve">genderovou rovnost ve vnějších vztazích a v rámci agendy WPS. </w:t>
      </w:r>
    </w:p>
    <w:p w:rsidR="00C57DE9" w:rsidRDefault="00C57DE9" w:rsidP="00D8637B">
      <w:pPr>
        <w:jc w:val="both"/>
        <w:rPr>
          <w:b/>
          <w:u w:val="single"/>
        </w:rPr>
      </w:pPr>
    </w:p>
    <w:p w:rsidR="00C57DE9" w:rsidRDefault="00C57DE9" w:rsidP="00D8637B">
      <w:pPr>
        <w:jc w:val="both"/>
        <w:rPr>
          <w:b/>
          <w:u w:val="single"/>
        </w:rPr>
      </w:pPr>
    </w:p>
    <w:p w:rsidR="00C57DE9" w:rsidRDefault="00C57DE9" w:rsidP="00D8637B">
      <w:pPr>
        <w:jc w:val="both"/>
        <w:rPr>
          <w:b/>
          <w:u w:val="single"/>
        </w:rPr>
      </w:pPr>
    </w:p>
    <w:p w:rsidR="00C57DE9" w:rsidRDefault="00AD5577" w:rsidP="00A80F14">
      <w:pPr>
        <w:jc w:val="center"/>
        <w:rPr>
          <w:b/>
          <w:u w:val="single"/>
        </w:rPr>
      </w:pPr>
      <w:r w:rsidRPr="00AD5577">
        <w:rPr>
          <w:b/>
          <w:bCs/>
          <w:noProof/>
        </w:rPr>
        <w:drawing>
          <wp:inline distT="0" distB="0" distL="0" distR="0">
            <wp:extent cx="4692650" cy="3125483"/>
            <wp:effectExtent l="19050" t="0" r="0" b="0"/>
            <wp:docPr id="1" name="Obrázek 1" descr="Setkání pracovní skupiny k Ak&amp;ccaron;nímu plánu &amp;Ccaron;R k implementaci rezoluce Rady bezpe&amp;ccaron;nosti OSN 1325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kání pracovní skupiny k Ak&amp;ccaron;nímu plánu &amp;Ccaron;R k implementaci rezoluce Rady bezpe&amp;ccaron;nosti OSN 1325 (200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12902" cy="3138972"/>
                    </a:xfrm>
                    <a:prstGeom prst="rect">
                      <a:avLst/>
                    </a:prstGeom>
                    <a:noFill/>
                    <a:ln>
                      <a:noFill/>
                    </a:ln>
                  </pic:spPr>
                </pic:pic>
              </a:graphicData>
            </a:graphic>
          </wp:inline>
        </w:drawing>
      </w:r>
    </w:p>
    <w:p w:rsidR="00C57DE9" w:rsidRPr="00A80F14" w:rsidRDefault="00A80F14" w:rsidP="00A80F14">
      <w:pPr>
        <w:rPr>
          <w:i/>
        </w:rPr>
      </w:pPr>
      <w:r>
        <w:rPr>
          <w:i/>
        </w:rPr>
        <w:t xml:space="preserve">                                                                                                                   </w:t>
      </w:r>
      <w:r w:rsidRPr="00A80F14">
        <w:rPr>
          <w:i/>
        </w:rPr>
        <w:t>Archiv MZV</w:t>
      </w:r>
    </w:p>
    <w:p w:rsidR="00C57DE9" w:rsidRDefault="00C57DE9" w:rsidP="00D8637B">
      <w:pPr>
        <w:jc w:val="both"/>
        <w:rPr>
          <w:b/>
          <w:u w:val="single"/>
        </w:rPr>
      </w:pPr>
    </w:p>
    <w:p w:rsidR="00C57DE9" w:rsidRDefault="00C57DE9" w:rsidP="00D8637B">
      <w:pPr>
        <w:jc w:val="both"/>
        <w:rPr>
          <w:b/>
          <w:u w:val="single"/>
        </w:rPr>
      </w:pPr>
    </w:p>
    <w:p w:rsidR="00BE0C14" w:rsidRDefault="00BE0C14" w:rsidP="00BE0C14">
      <w:pPr>
        <w:pStyle w:val="Nadpis1"/>
        <w:spacing w:before="0"/>
      </w:pPr>
    </w:p>
    <w:p w:rsidR="00BE0C14" w:rsidRDefault="00BE0C14" w:rsidP="00BE0C14">
      <w:pPr>
        <w:pStyle w:val="Nadpis1"/>
        <w:spacing w:before="0"/>
      </w:pPr>
    </w:p>
    <w:p w:rsidR="00BE0C14" w:rsidRDefault="00BE0C14" w:rsidP="00BE0C14">
      <w:pPr>
        <w:pStyle w:val="Nadpis1"/>
        <w:spacing w:before="0"/>
      </w:pPr>
    </w:p>
    <w:p w:rsidR="00BE0C14" w:rsidRDefault="00BE0C14" w:rsidP="00BE0C14">
      <w:pPr>
        <w:pStyle w:val="Nadpis1"/>
        <w:spacing w:before="0"/>
      </w:pPr>
    </w:p>
    <w:p w:rsidR="00BE0C14" w:rsidRDefault="00BE0C14" w:rsidP="00BE0C14">
      <w:pPr>
        <w:pStyle w:val="Nadpis1"/>
        <w:spacing w:before="0"/>
      </w:pPr>
    </w:p>
    <w:p w:rsidR="00BE0C14" w:rsidRDefault="00BE0C14" w:rsidP="00BE0C14">
      <w:pPr>
        <w:pStyle w:val="Nadpis1"/>
        <w:spacing w:before="0"/>
      </w:pPr>
    </w:p>
    <w:p w:rsidR="00897B4A" w:rsidRDefault="003C137B" w:rsidP="00BE0C14">
      <w:pPr>
        <w:pStyle w:val="Nadpis1"/>
        <w:spacing w:before="0"/>
      </w:pPr>
      <w:bookmarkStart w:id="34" w:name="_Toc514782424"/>
      <w:r>
        <w:t>Příloha 1</w:t>
      </w:r>
      <w:r w:rsidR="00897B4A">
        <w:t xml:space="preserve"> – Počet vyslaných osob do mezinárodních</w:t>
      </w:r>
      <w:r w:rsidR="009A6BAE">
        <w:t xml:space="preserve"> civilních</w:t>
      </w:r>
      <w:r w:rsidR="00897B4A">
        <w:t xml:space="preserve"> struktur a misí</w:t>
      </w:r>
      <w:bookmarkEnd w:id="34"/>
    </w:p>
    <w:p w:rsidR="00573FFC" w:rsidRDefault="00573FFC" w:rsidP="00CF58FD">
      <w:pPr>
        <w:pStyle w:val="Zkladntextodsazen2"/>
        <w:spacing w:after="0" w:line="240" w:lineRule="auto"/>
        <w:ind w:left="0"/>
        <w:jc w:val="both"/>
      </w:pPr>
    </w:p>
    <w:p w:rsidR="00573FFC" w:rsidRPr="00897B4A" w:rsidRDefault="00573FFC" w:rsidP="00573FFC">
      <w:pPr>
        <w:spacing w:after="360"/>
        <w:jc w:val="both"/>
      </w:pPr>
      <w:r w:rsidRPr="00897B4A">
        <w:t>V roce 2017 vyslala ČR do následujících civilních struktur a misí mezinárodních organizací celkem 99 osob, z toho 21 žen (tedy 21 %). Příslušná metodika k vysílání CZ civilních expertů</w:t>
      </w:r>
      <w:r w:rsidRPr="00897B4A">
        <w:rPr>
          <w:rStyle w:val="Znakapoznpodarou"/>
        </w:rPr>
        <w:footnoteReference w:id="8"/>
      </w:r>
      <w:r w:rsidRPr="00897B4A">
        <w:t xml:space="preserve"> sice genderový aspekt přímo nezmiňuje, je však zohledňován spolu se specifiky jednotlivých civilních struktur a misí.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631"/>
        <w:gridCol w:w="3071"/>
      </w:tblGrid>
      <w:tr w:rsidR="00573FFC" w:rsidRPr="00897B4A" w:rsidTr="00DC200E">
        <w:tc>
          <w:tcPr>
            <w:tcW w:w="3510" w:type="dxa"/>
            <w:shd w:val="clear" w:color="auto" w:fill="auto"/>
            <w:vAlign w:val="center"/>
          </w:tcPr>
          <w:p w:rsidR="00573FFC" w:rsidRPr="00897B4A" w:rsidRDefault="00573FFC" w:rsidP="00DC200E">
            <w:pPr>
              <w:jc w:val="center"/>
              <w:rPr>
                <w:b/>
                <w:szCs w:val="20"/>
              </w:rPr>
            </w:pPr>
            <w:r w:rsidRPr="00897B4A">
              <w:rPr>
                <w:b/>
                <w:szCs w:val="20"/>
              </w:rPr>
              <w:t>Název struktury</w:t>
            </w:r>
          </w:p>
        </w:tc>
        <w:tc>
          <w:tcPr>
            <w:tcW w:w="2631" w:type="dxa"/>
            <w:shd w:val="clear" w:color="auto" w:fill="auto"/>
            <w:vAlign w:val="center"/>
          </w:tcPr>
          <w:p w:rsidR="00573FFC" w:rsidRPr="00897B4A" w:rsidRDefault="00573FFC" w:rsidP="00DC200E">
            <w:pPr>
              <w:jc w:val="center"/>
              <w:rPr>
                <w:b/>
                <w:szCs w:val="20"/>
              </w:rPr>
            </w:pPr>
            <w:r w:rsidRPr="00897B4A">
              <w:rPr>
                <w:b/>
                <w:szCs w:val="20"/>
              </w:rPr>
              <w:t>Počet vyslaných expertů</w:t>
            </w:r>
          </w:p>
        </w:tc>
        <w:tc>
          <w:tcPr>
            <w:tcW w:w="3071" w:type="dxa"/>
            <w:shd w:val="clear" w:color="auto" w:fill="auto"/>
            <w:vAlign w:val="center"/>
          </w:tcPr>
          <w:p w:rsidR="00573FFC" w:rsidRPr="00897B4A" w:rsidRDefault="00573FFC" w:rsidP="00DC200E">
            <w:pPr>
              <w:jc w:val="center"/>
              <w:rPr>
                <w:b/>
                <w:szCs w:val="20"/>
              </w:rPr>
            </w:pPr>
            <w:r w:rsidRPr="00897B4A">
              <w:rPr>
                <w:b/>
                <w:szCs w:val="20"/>
              </w:rPr>
              <w:t>Počet žen</w:t>
            </w:r>
          </w:p>
        </w:tc>
      </w:tr>
      <w:tr w:rsidR="00573FFC" w:rsidRPr="00897B4A" w:rsidTr="00DC200E">
        <w:tc>
          <w:tcPr>
            <w:tcW w:w="3510" w:type="dxa"/>
            <w:shd w:val="clear" w:color="auto" w:fill="auto"/>
            <w:vAlign w:val="center"/>
          </w:tcPr>
          <w:p w:rsidR="00573FFC" w:rsidRPr="00897B4A" w:rsidRDefault="00573FFC" w:rsidP="00DC200E">
            <w:pPr>
              <w:jc w:val="center"/>
              <w:rPr>
                <w:sz w:val="20"/>
                <w:szCs w:val="20"/>
              </w:rPr>
            </w:pPr>
            <w:r w:rsidRPr="00897B4A">
              <w:rPr>
                <w:sz w:val="20"/>
                <w:szCs w:val="20"/>
              </w:rPr>
              <w:t>ESVA, DEU, EUSR, ERCC</w:t>
            </w:r>
          </w:p>
        </w:tc>
        <w:tc>
          <w:tcPr>
            <w:tcW w:w="2631" w:type="dxa"/>
            <w:shd w:val="clear" w:color="auto" w:fill="auto"/>
            <w:vAlign w:val="center"/>
          </w:tcPr>
          <w:p w:rsidR="00573FFC" w:rsidRPr="00897B4A" w:rsidRDefault="00573FFC" w:rsidP="00DC200E">
            <w:pPr>
              <w:jc w:val="center"/>
              <w:rPr>
                <w:sz w:val="20"/>
                <w:szCs w:val="20"/>
              </w:rPr>
            </w:pPr>
            <w:r w:rsidRPr="00897B4A">
              <w:rPr>
                <w:sz w:val="20"/>
                <w:szCs w:val="20"/>
              </w:rPr>
              <w:t>17</w:t>
            </w:r>
          </w:p>
        </w:tc>
        <w:tc>
          <w:tcPr>
            <w:tcW w:w="3071" w:type="dxa"/>
            <w:shd w:val="clear" w:color="auto" w:fill="auto"/>
            <w:vAlign w:val="center"/>
          </w:tcPr>
          <w:p w:rsidR="00573FFC" w:rsidRPr="00897B4A" w:rsidRDefault="00573FFC" w:rsidP="00DC200E">
            <w:pPr>
              <w:jc w:val="center"/>
              <w:rPr>
                <w:sz w:val="20"/>
                <w:szCs w:val="20"/>
              </w:rPr>
            </w:pPr>
            <w:r w:rsidRPr="00897B4A">
              <w:rPr>
                <w:sz w:val="20"/>
                <w:szCs w:val="20"/>
              </w:rPr>
              <w:t>8</w:t>
            </w:r>
          </w:p>
        </w:tc>
      </w:tr>
      <w:tr w:rsidR="00573FFC" w:rsidRPr="00897B4A" w:rsidTr="00DC200E">
        <w:tc>
          <w:tcPr>
            <w:tcW w:w="3510" w:type="dxa"/>
            <w:shd w:val="clear" w:color="auto" w:fill="auto"/>
            <w:vAlign w:val="center"/>
          </w:tcPr>
          <w:p w:rsidR="00573FFC" w:rsidRPr="00897B4A" w:rsidRDefault="00573FFC" w:rsidP="00DC200E">
            <w:pPr>
              <w:jc w:val="center"/>
              <w:rPr>
                <w:sz w:val="20"/>
                <w:szCs w:val="20"/>
              </w:rPr>
            </w:pPr>
            <w:r w:rsidRPr="00897B4A">
              <w:rPr>
                <w:sz w:val="20"/>
                <w:szCs w:val="20"/>
              </w:rPr>
              <w:t>EUBAM Moldavsko</w:t>
            </w:r>
          </w:p>
        </w:tc>
        <w:tc>
          <w:tcPr>
            <w:tcW w:w="2631" w:type="dxa"/>
            <w:shd w:val="clear" w:color="auto" w:fill="auto"/>
            <w:vAlign w:val="center"/>
          </w:tcPr>
          <w:p w:rsidR="00573FFC" w:rsidRPr="00897B4A" w:rsidRDefault="00573FFC" w:rsidP="00DC200E">
            <w:pPr>
              <w:jc w:val="center"/>
              <w:rPr>
                <w:sz w:val="20"/>
                <w:szCs w:val="20"/>
              </w:rPr>
            </w:pPr>
            <w:r w:rsidRPr="00897B4A">
              <w:rPr>
                <w:sz w:val="20"/>
                <w:szCs w:val="20"/>
              </w:rPr>
              <w:t>2</w:t>
            </w:r>
          </w:p>
        </w:tc>
        <w:tc>
          <w:tcPr>
            <w:tcW w:w="3071" w:type="dxa"/>
            <w:shd w:val="clear" w:color="auto" w:fill="auto"/>
            <w:vAlign w:val="center"/>
          </w:tcPr>
          <w:p w:rsidR="00573FFC" w:rsidRPr="00897B4A" w:rsidRDefault="00573FFC" w:rsidP="00DC200E">
            <w:pPr>
              <w:jc w:val="center"/>
              <w:rPr>
                <w:sz w:val="20"/>
                <w:szCs w:val="20"/>
              </w:rPr>
            </w:pPr>
            <w:r w:rsidRPr="00897B4A">
              <w:rPr>
                <w:sz w:val="20"/>
                <w:szCs w:val="20"/>
              </w:rPr>
              <w:t>0</w:t>
            </w:r>
          </w:p>
        </w:tc>
      </w:tr>
      <w:tr w:rsidR="00573FFC" w:rsidRPr="00897B4A" w:rsidTr="00DC200E">
        <w:tc>
          <w:tcPr>
            <w:tcW w:w="3510" w:type="dxa"/>
            <w:shd w:val="clear" w:color="auto" w:fill="auto"/>
            <w:vAlign w:val="center"/>
          </w:tcPr>
          <w:p w:rsidR="00573FFC" w:rsidRPr="00897B4A" w:rsidRDefault="00573FFC" w:rsidP="00DC200E">
            <w:pPr>
              <w:jc w:val="center"/>
              <w:rPr>
                <w:sz w:val="20"/>
                <w:szCs w:val="20"/>
              </w:rPr>
            </w:pPr>
            <w:r w:rsidRPr="00897B4A">
              <w:rPr>
                <w:sz w:val="20"/>
                <w:szCs w:val="20"/>
              </w:rPr>
              <w:t>EULEX Kosovo</w:t>
            </w:r>
          </w:p>
        </w:tc>
        <w:tc>
          <w:tcPr>
            <w:tcW w:w="2631" w:type="dxa"/>
            <w:shd w:val="clear" w:color="auto" w:fill="auto"/>
            <w:vAlign w:val="center"/>
          </w:tcPr>
          <w:p w:rsidR="00573FFC" w:rsidRPr="00897B4A" w:rsidRDefault="00573FFC" w:rsidP="00DC200E">
            <w:pPr>
              <w:jc w:val="center"/>
              <w:rPr>
                <w:sz w:val="20"/>
                <w:szCs w:val="20"/>
              </w:rPr>
            </w:pPr>
            <w:r w:rsidRPr="00897B4A">
              <w:rPr>
                <w:sz w:val="20"/>
                <w:szCs w:val="20"/>
              </w:rPr>
              <w:t>6</w:t>
            </w:r>
          </w:p>
        </w:tc>
        <w:tc>
          <w:tcPr>
            <w:tcW w:w="3071" w:type="dxa"/>
            <w:shd w:val="clear" w:color="auto" w:fill="auto"/>
            <w:vAlign w:val="center"/>
          </w:tcPr>
          <w:p w:rsidR="00573FFC" w:rsidRPr="00897B4A" w:rsidRDefault="00573FFC" w:rsidP="00DC200E">
            <w:pPr>
              <w:jc w:val="center"/>
              <w:rPr>
                <w:sz w:val="20"/>
                <w:szCs w:val="20"/>
              </w:rPr>
            </w:pPr>
            <w:r w:rsidRPr="00897B4A">
              <w:rPr>
                <w:sz w:val="20"/>
                <w:szCs w:val="20"/>
              </w:rPr>
              <w:t>0</w:t>
            </w:r>
          </w:p>
        </w:tc>
      </w:tr>
      <w:tr w:rsidR="00573FFC" w:rsidRPr="00897B4A" w:rsidTr="00DC200E">
        <w:tc>
          <w:tcPr>
            <w:tcW w:w="3510" w:type="dxa"/>
            <w:shd w:val="clear" w:color="auto" w:fill="auto"/>
            <w:vAlign w:val="center"/>
          </w:tcPr>
          <w:p w:rsidR="00573FFC" w:rsidRPr="00897B4A" w:rsidRDefault="00573FFC" w:rsidP="00DC200E">
            <w:pPr>
              <w:jc w:val="center"/>
              <w:rPr>
                <w:sz w:val="20"/>
                <w:szCs w:val="20"/>
              </w:rPr>
            </w:pPr>
            <w:r w:rsidRPr="00897B4A">
              <w:rPr>
                <w:sz w:val="20"/>
                <w:szCs w:val="20"/>
              </w:rPr>
              <w:t>EUMM Gruzie</w:t>
            </w:r>
          </w:p>
        </w:tc>
        <w:tc>
          <w:tcPr>
            <w:tcW w:w="2631" w:type="dxa"/>
            <w:shd w:val="clear" w:color="auto" w:fill="auto"/>
            <w:vAlign w:val="center"/>
          </w:tcPr>
          <w:p w:rsidR="00573FFC" w:rsidRPr="00897B4A" w:rsidRDefault="00573FFC" w:rsidP="00DC200E">
            <w:pPr>
              <w:jc w:val="center"/>
              <w:rPr>
                <w:sz w:val="20"/>
                <w:szCs w:val="20"/>
              </w:rPr>
            </w:pPr>
            <w:r w:rsidRPr="00897B4A">
              <w:rPr>
                <w:sz w:val="20"/>
                <w:szCs w:val="20"/>
              </w:rPr>
              <w:t>13</w:t>
            </w:r>
          </w:p>
        </w:tc>
        <w:tc>
          <w:tcPr>
            <w:tcW w:w="3071" w:type="dxa"/>
            <w:shd w:val="clear" w:color="auto" w:fill="auto"/>
            <w:vAlign w:val="center"/>
          </w:tcPr>
          <w:p w:rsidR="00573FFC" w:rsidRPr="00897B4A" w:rsidRDefault="00573FFC" w:rsidP="00DC200E">
            <w:pPr>
              <w:jc w:val="center"/>
              <w:rPr>
                <w:sz w:val="20"/>
                <w:szCs w:val="20"/>
              </w:rPr>
            </w:pPr>
            <w:r w:rsidRPr="00897B4A">
              <w:rPr>
                <w:sz w:val="20"/>
                <w:szCs w:val="20"/>
              </w:rPr>
              <w:t>3</w:t>
            </w:r>
          </w:p>
        </w:tc>
      </w:tr>
      <w:tr w:rsidR="00573FFC" w:rsidRPr="00897B4A" w:rsidTr="00DC200E">
        <w:tc>
          <w:tcPr>
            <w:tcW w:w="3510" w:type="dxa"/>
            <w:shd w:val="clear" w:color="auto" w:fill="auto"/>
            <w:vAlign w:val="center"/>
          </w:tcPr>
          <w:p w:rsidR="00573FFC" w:rsidRPr="00897B4A" w:rsidRDefault="00573FFC" w:rsidP="00DC200E">
            <w:pPr>
              <w:jc w:val="center"/>
              <w:rPr>
                <w:sz w:val="20"/>
                <w:szCs w:val="20"/>
              </w:rPr>
            </w:pPr>
            <w:r w:rsidRPr="00897B4A">
              <w:rPr>
                <w:sz w:val="20"/>
                <w:szCs w:val="20"/>
              </w:rPr>
              <w:t>EUAM Ukrajina</w:t>
            </w:r>
          </w:p>
        </w:tc>
        <w:tc>
          <w:tcPr>
            <w:tcW w:w="2631" w:type="dxa"/>
            <w:shd w:val="clear" w:color="auto" w:fill="auto"/>
            <w:vAlign w:val="center"/>
          </w:tcPr>
          <w:p w:rsidR="00573FFC" w:rsidRPr="00897B4A" w:rsidRDefault="00573FFC" w:rsidP="00DC200E">
            <w:pPr>
              <w:jc w:val="center"/>
              <w:rPr>
                <w:sz w:val="20"/>
                <w:szCs w:val="20"/>
              </w:rPr>
            </w:pPr>
            <w:r w:rsidRPr="00897B4A">
              <w:rPr>
                <w:sz w:val="20"/>
                <w:szCs w:val="20"/>
              </w:rPr>
              <w:t>6</w:t>
            </w:r>
          </w:p>
        </w:tc>
        <w:tc>
          <w:tcPr>
            <w:tcW w:w="3071" w:type="dxa"/>
            <w:shd w:val="clear" w:color="auto" w:fill="auto"/>
            <w:vAlign w:val="center"/>
          </w:tcPr>
          <w:p w:rsidR="00573FFC" w:rsidRPr="00897B4A" w:rsidRDefault="00573FFC" w:rsidP="00DC200E">
            <w:pPr>
              <w:jc w:val="center"/>
              <w:rPr>
                <w:sz w:val="20"/>
                <w:szCs w:val="20"/>
              </w:rPr>
            </w:pPr>
            <w:r w:rsidRPr="00897B4A">
              <w:rPr>
                <w:sz w:val="20"/>
                <w:szCs w:val="20"/>
              </w:rPr>
              <w:t>2</w:t>
            </w:r>
          </w:p>
        </w:tc>
      </w:tr>
      <w:tr w:rsidR="00573FFC" w:rsidRPr="00897B4A" w:rsidTr="00DC200E">
        <w:tc>
          <w:tcPr>
            <w:tcW w:w="3510" w:type="dxa"/>
            <w:shd w:val="clear" w:color="auto" w:fill="auto"/>
            <w:vAlign w:val="center"/>
          </w:tcPr>
          <w:p w:rsidR="00573FFC" w:rsidRPr="00897B4A" w:rsidRDefault="00573FFC" w:rsidP="00DC200E">
            <w:pPr>
              <w:jc w:val="center"/>
              <w:rPr>
                <w:sz w:val="20"/>
                <w:szCs w:val="20"/>
              </w:rPr>
            </w:pPr>
            <w:r w:rsidRPr="00897B4A">
              <w:rPr>
                <w:sz w:val="20"/>
                <w:szCs w:val="20"/>
              </w:rPr>
              <w:t>EUPOL COPPS Palestina</w:t>
            </w:r>
          </w:p>
        </w:tc>
        <w:tc>
          <w:tcPr>
            <w:tcW w:w="2631" w:type="dxa"/>
            <w:shd w:val="clear" w:color="auto" w:fill="auto"/>
            <w:vAlign w:val="center"/>
          </w:tcPr>
          <w:p w:rsidR="00573FFC" w:rsidRPr="00897B4A" w:rsidRDefault="00573FFC" w:rsidP="00DC200E">
            <w:pPr>
              <w:jc w:val="center"/>
              <w:rPr>
                <w:sz w:val="20"/>
                <w:szCs w:val="20"/>
              </w:rPr>
            </w:pPr>
            <w:r w:rsidRPr="00897B4A">
              <w:rPr>
                <w:sz w:val="20"/>
                <w:szCs w:val="20"/>
              </w:rPr>
              <w:t>1</w:t>
            </w:r>
          </w:p>
        </w:tc>
        <w:tc>
          <w:tcPr>
            <w:tcW w:w="3071" w:type="dxa"/>
            <w:shd w:val="clear" w:color="auto" w:fill="auto"/>
            <w:vAlign w:val="center"/>
          </w:tcPr>
          <w:p w:rsidR="00573FFC" w:rsidRPr="00897B4A" w:rsidRDefault="00573FFC" w:rsidP="00DC200E">
            <w:pPr>
              <w:jc w:val="center"/>
              <w:rPr>
                <w:sz w:val="20"/>
                <w:szCs w:val="20"/>
              </w:rPr>
            </w:pPr>
            <w:r w:rsidRPr="00897B4A">
              <w:rPr>
                <w:sz w:val="20"/>
                <w:szCs w:val="20"/>
              </w:rPr>
              <w:t>0</w:t>
            </w:r>
          </w:p>
        </w:tc>
      </w:tr>
      <w:tr w:rsidR="00573FFC" w:rsidRPr="00897B4A" w:rsidTr="00DC200E">
        <w:tc>
          <w:tcPr>
            <w:tcW w:w="3510" w:type="dxa"/>
            <w:shd w:val="clear" w:color="auto" w:fill="auto"/>
            <w:vAlign w:val="center"/>
          </w:tcPr>
          <w:p w:rsidR="00573FFC" w:rsidRPr="00897B4A" w:rsidRDefault="00573FFC" w:rsidP="00DC200E">
            <w:pPr>
              <w:jc w:val="center"/>
              <w:rPr>
                <w:sz w:val="20"/>
                <w:szCs w:val="20"/>
              </w:rPr>
            </w:pPr>
            <w:r w:rsidRPr="00897B4A">
              <w:rPr>
                <w:sz w:val="20"/>
                <w:szCs w:val="20"/>
              </w:rPr>
              <w:t>EUROJUST</w:t>
            </w:r>
          </w:p>
        </w:tc>
        <w:tc>
          <w:tcPr>
            <w:tcW w:w="2631" w:type="dxa"/>
            <w:shd w:val="clear" w:color="auto" w:fill="auto"/>
            <w:vAlign w:val="center"/>
          </w:tcPr>
          <w:p w:rsidR="00573FFC" w:rsidRPr="00897B4A" w:rsidRDefault="00573FFC" w:rsidP="00DC200E">
            <w:pPr>
              <w:jc w:val="center"/>
              <w:rPr>
                <w:sz w:val="20"/>
                <w:szCs w:val="20"/>
              </w:rPr>
            </w:pPr>
            <w:r w:rsidRPr="00897B4A">
              <w:rPr>
                <w:sz w:val="20"/>
                <w:szCs w:val="20"/>
              </w:rPr>
              <w:t>2</w:t>
            </w:r>
          </w:p>
        </w:tc>
        <w:tc>
          <w:tcPr>
            <w:tcW w:w="3071" w:type="dxa"/>
            <w:shd w:val="clear" w:color="auto" w:fill="auto"/>
            <w:vAlign w:val="center"/>
          </w:tcPr>
          <w:p w:rsidR="00573FFC" w:rsidRPr="00897B4A" w:rsidRDefault="00573FFC" w:rsidP="00DC200E">
            <w:pPr>
              <w:jc w:val="center"/>
              <w:rPr>
                <w:sz w:val="20"/>
                <w:szCs w:val="20"/>
              </w:rPr>
            </w:pPr>
            <w:r w:rsidRPr="00897B4A">
              <w:rPr>
                <w:sz w:val="20"/>
                <w:szCs w:val="20"/>
              </w:rPr>
              <w:t>1</w:t>
            </w:r>
          </w:p>
        </w:tc>
      </w:tr>
      <w:tr w:rsidR="00573FFC" w:rsidRPr="00897B4A" w:rsidTr="00DC200E">
        <w:tc>
          <w:tcPr>
            <w:tcW w:w="3510" w:type="dxa"/>
            <w:shd w:val="clear" w:color="auto" w:fill="auto"/>
            <w:vAlign w:val="center"/>
          </w:tcPr>
          <w:p w:rsidR="00573FFC" w:rsidRPr="00897B4A" w:rsidRDefault="00573FFC" w:rsidP="00DC200E">
            <w:pPr>
              <w:jc w:val="center"/>
              <w:rPr>
                <w:sz w:val="20"/>
                <w:szCs w:val="20"/>
              </w:rPr>
            </w:pPr>
            <w:r w:rsidRPr="00897B4A">
              <w:rPr>
                <w:sz w:val="20"/>
                <w:szCs w:val="20"/>
              </w:rPr>
              <w:t>Europol</w:t>
            </w:r>
          </w:p>
        </w:tc>
        <w:tc>
          <w:tcPr>
            <w:tcW w:w="2631" w:type="dxa"/>
            <w:shd w:val="clear" w:color="auto" w:fill="auto"/>
            <w:vAlign w:val="center"/>
          </w:tcPr>
          <w:p w:rsidR="00573FFC" w:rsidRPr="00897B4A" w:rsidRDefault="00573FFC" w:rsidP="00DC200E">
            <w:pPr>
              <w:jc w:val="center"/>
              <w:rPr>
                <w:sz w:val="20"/>
                <w:szCs w:val="20"/>
              </w:rPr>
            </w:pPr>
            <w:r w:rsidRPr="00897B4A">
              <w:rPr>
                <w:sz w:val="20"/>
                <w:szCs w:val="20"/>
              </w:rPr>
              <w:t>4</w:t>
            </w:r>
          </w:p>
        </w:tc>
        <w:tc>
          <w:tcPr>
            <w:tcW w:w="3071" w:type="dxa"/>
            <w:shd w:val="clear" w:color="auto" w:fill="auto"/>
            <w:vAlign w:val="center"/>
          </w:tcPr>
          <w:p w:rsidR="00573FFC" w:rsidRPr="00897B4A" w:rsidRDefault="00573FFC" w:rsidP="00DC200E">
            <w:pPr>
              <w:jc w:val="center"/>
              <w:rPr>
                <w:sz w:val="20"/>
                <w:szCs w:val="20"/>
              </w:rPr>
            </w:pPr>
            <w:r w:rsidRPr="00897B4A">
              <w:rPr>
                <w:sz w:val="20"/>
                <w:szCs w:val="20"/>
              </w:rPr>
              <w:t>1</w:t>
            </w:r>
          </w:p>
        </w:tc>
      </w:tr>
      <w:tr w:rsidR="00573FFC" w:rsidRPr="00897B4A" w:rsidTr="00DC200E">
        <w:tc>
          <w:tcPr>
            <w:tcW w:w="3510" w:type="dxa"/>
            <w:shd w:val="clear" w:color="auto" w:fill="auto"/>
            <w:vAlign w:val="center"/>
          </w:tcPr>
          <w:p w:rsidR="00573FFC" w:rsidRPr="00897B4A" w:rsidRDefault="00573FFC" w:rsidP="00DC200E">
            <w:pPr>
              <w:jc w:val="center"/>
              <w:rPr>
                <w:sz w:val="20"/>
                <w:szCs w:val="20"/>
              </w:rPr>
            </w:pPr>
            <w:r w:rsidRPr="00897B4A">
              <w:rPr>
                <w:sz w:val="20"/>
                <w:szCs w:val="20"/>
              </w:rPr>
              <w:t>EDA</w:t>
            </w:r>
          </w:p>
        </w:tc>
        <w:tc>
          <w:tcPr>
            <w:tcW w:w="2631" w:type="dxa"/>
            <w:shd w:val="clear" w:color="auto" w:fill="auto"/>
            <w:vAlign w:val="center"/>
          </w:tcPr>
          <w:p w:rsidR="00573FFC" w:rsidRPr="00897B4A" w:rsidRDefault="00573FFC" w:rsidP="00DC200E">
            <w:pPr>
              <w:jc w:val="center"/>
              <w:rPr>
                <w:sz w:val="20"/>
                <w:szCs w:val="20"/>
              </w:rPr>
            </w:pPr>
            <w:r w:rsidRPr="00897B4A">
              <w:rPr>
                <w:sz w:val="20"/>
                <w:szCs w:val="20"/>
              </w:rPr>
              <w:t>2</w:t>
            </w:r>
          </w:p>
        </w:tc>
        <w:tc>
          <w:tcPr>
            <w:tcW w:w="3071" w:type="dxa"/>
            <w:shd w:val="clear" w:color="auto" w:fill="auto"/>
            <w:vAlign w:val="center"/>
          </w:tcPr>
          <w:p w:rsidR="00573FFC" w:rsidRPr="00897B4A" w:rsidRDefault="00573FFC" w:rsidP="00DC200E">
            <w:pPr>
              <w:jc w:val="center"/>
              <w:rPr>
                <w:sz w:val="20"/>
                <w:szCs w:val="20"/>
              </w:rPr>
            </w:pPr>
            <w:r w:rsidRPr="00897B4A">
              <w:rPr>
                <w:sz w:val="20"/>
                <w:szCs w:val="20"/>
              </w:rPr>
              <w:t>0</w:t>
            </w:r>
          </w:p>
        </w:tc>
      </w:tr>
      <w:tr w:rsidR="00573FFC" w:rsidRPr="00897B4A" w:rsidTr="00DC200E">
        <w:tc>
          <w:tcPr>
            <w:tcW w:w="3510" w:type="dxa"/>
            <w:shd w:val="clear" w:color="auto" w:fill="auto"/>
            <w:vAlign w:val="center"/>
          </w:tcPr>
          <w:p w:rsidR="00573FFC" w:rsidRPr="00897B4A" w:rsidRDefault="00573FFC" w:rsidP="00DC200E">
            <w:pPr>
              <w:jc w:val="center"/>
              <w:rPr>
                <w:sz w:val="20"/>
                <w:szCs w:val="20"/>
              </w:rPr>
            </w:pPr>
            <w:r w:rsidRPr="00897B4A">
              <w:rPr>
                <w:sz w:val="20"/>
                <w:szCs w:val="20"/>
              </w:rPr>
              <w:t>Frontex</w:t>
            </w:r>
          </w:p>
        </w:tc>
        <w:tc>
          <w:tcPr>
            <w:tcW w:w="2631" w:type="dxa"/>
            <w:shd w:val="clear" w:color="auto" w:fill="auto"/>
            <w:vAlign w:val="center"/>
          </w:tcPr>
          <w:p w:rsidR="00573FFC" w:rsidRPr="00897B4A" w:rsidRDefault="00573FFC" w:rsidP="00DC200E">
            <w:pPr>
              <w:jc w:val="center"/>
              <w:rPr>
                <w:sz w:val="20"/>
                <w:szCs w:val="20"/>
              </w:rPr>
            </w:pPr>
            <w:r w:rsidRPr="00897B4A">
              <w:rPr>
                <w:sz w:val="20"/>
                <w:szCs w:val="20"/>
              </w:rPr>
              <w:t>4</w:t>
            </w:r>
          </w:p>
        </w:tc>
        <w:tc>
          <w:tcPr>
            <w:tcW w:w="3071" w:type="dxa"/>
            <w:shd w:val="clear" w:color="auto" w:fill="auto"/>
            <w:vAlign w:val="center"/>
          </w:tcPr>
          <w:p w:rsidR="00573FFC" w:rsidRPr="00897B4A" w:rsidRDefault="00573FFC" w:rsidP="00DC200E">
            <w:pPr>
              <w:jc w:val="center"/>
              <w:rPr>
                <w:sz w:val="20"/>
                <w:szCs w:val="20"/>
              </w:rPr>
            </w:pPr>
            <w:r w:rsidRPr="00897B4A">
              <w:rPr>
                <w:sz w:val="20"/>
                <w:szCs w:val="20"/>
              </w:rPr>
              <w:t>0</w:t>
            </w:r>
          </w:p>
        </w:tc>
      </w:tr>
      <w:tr w:rsidR="00573FFC" w:rsidRPr="00897B4A" w:rsidTr="00DC200E">
        <w:tc>
          <w:tcPr>
            <w:tcW w:w="3510" w:type="dxa"/>
            <w:shd w:val="clear" w:color="auto" w:fill="auto"/>
            <w:vAlign w:val="center"/>
          </w:tcPr>
          <w:p w:rsidR="00573FFC" w:rsidRPr="00897B4A" w:rsidRDefault="00573FFC" w:rsidP="00DC200E">
            <w:pPr>
              <w:jc w:val="center"/>
              <w:rPr>
                <w:sz w:val="20"/>
                <w:szCs w:val="20"/>
              </w:rPr>
            </w:pPr>
            <w:r w:rsidRPr="00897B4A">
              <w:rPr>
                <w:sz w:val="20"/>
                <w:szCs w:val="20"/>
              </w:rPr>
              <w:t>NATO CoE Vilnius</w:t>
            </w:r>
          </w:p>
        </w:tc>
        <w:tc>
          <w:tcPr>
            <w:tcW w:w="2631" w:type="dxa"/>
            <w:shd w:val="clear" w:color="auto" w:fill="auto"/>
            <w:vAlign w:val="center"/>
          </w:tcPr>
          <w:p w:rsidR="00573FFC" w:rsidRPr="00897B4A" w:rsidRDefault="00573FFC" w:rsidP="00DC200E">
            <w:pPr>
              <w:jc w:val="center"/>
              <w:rPr>
                <w:sz w:val="20"/>
                <w:szCs w:val="20"/>
              </w:rPr>
            </w:pPr>
            <w:r w:rsidRPr="00897B4A">
              <w:rPr>
                <w:sz w:val="20"/>
                <w:szCs w:val="20"/>
              </w:rPr>
              <w:t>2</w:t>
            </w:r>
          </w:p>
        </w:tc>
        <w:tc>
          <w:tcPr>
            <w:tcW w:w="3071" w:type="dxa"/>
            <w:shd w:val="clear" w:color="auto" w:fill="auto"/>
            <w:vAlign w:val="center"/>
          </w:tcPr>
          <w:p w:rsidR="00573FFC" w:rsidRPr="00897B4A" w:rsidRDefault="00573FFC" w:rsidP="00DC200E">
            <w:pPr>
              <w:jc w:val="center"/>
              <w:rPr>
                <w:sz w:val="20"/>
                <w:szCs w:val="20"/>
              </w:rPr>
            </w:pPr>
            <w:r w:rsidRPr="00897B4A">
              <w:rPr>
                <w:sz w:val="20"/>
                <w:szCs w:val="20"/>
              </w:rPr>
              <w:t>0</w:t>
            </w:r>
          </w:p>
        </w:tc>
      </w:tr>
      <w:tr w:rsidR="00573FFC" w:rsidRPr="00897B4A" w:rsidTr="00DC200E">
        <w:tc>
          <w:tcPr>
            <w:tcW w:w="3510" w:type="dxa"/>
            <w:shd w:val="clear" w:color="auto" w:fill="auto"/>
            <w:vAlign w:val="center"/>
          </w:tcPr>
          <w:p w:rsidR="00573FFC" w:rsidRPr="00897B4A" w:rsidRDefault="00573FFC" w:rsidP="00DC200E">
            <w:pPr>
              <w:jc w:val="center"/>
              <w:rPr>
                <w:sz w:val="20"/>
                <w:szCs w:val="20"/>
              </w:rPr>
            </w:pPr>
            <w:r w:rsidRPr="00897B4A">
              <w:rPr>
                <w:sz w:val="20"/>
                <w:szCs w:val="20"/>
              </w:rPr>
              <w:t>SACT NATO, NIFC, CCDCOE Tallinn</w:t>
            </w:r>
          </w:p>
        </w:tc>
        <w:tc>
          <w:tcPr>
            <w:tcW w:w="2631" w:type="dxa"/>
            <w:shd w:val="clear" w:color="auto" w:fill="auto"/>
            <w:vAlign w:val="center"/>
          </w:tcPr>
          <w:p w:rsidR="00573FFC" w:rsidRPr="00897B4A" w:rsidRDefault="00573FFC" w:rsidP="00DC200E">
            <w:pPr>
              <w:jc w:val="center"/>
              <w:rPr>
                <w:sz w:val="20"/>
                <w:szCs w:val="20"/>
              </w:rPr>
            </w:pPr>
            <w:r w:rsidRPr="00897B4A">
              <w:rPr>
                <w:sz w:val="20"/>
                <w:szCs w:val="20"/>
              </w:rPr>
              <w:t>3</w:t>
            </w:r>
          </w:p>
        </w:tc>
        <w:tc>
          <w:tcPr>
            <w:tcW w:w="3071" w:type="dxa"/>
            <w:shd w:val="clear" w:color="auto" w:fill="auto"/>
            <w:vAlign w:val="center"/>
          </w:tcPr>
          <w:p w:rsidR="00573FFC" w:rsidRPr="00897B4A" w:rsidRDefault="00573FFC" w:rsidP="00DC200E">
            <w:pPr>
              <w:jc w:val="center"/>
              <w:rPr>
                <w:sz w:val="20"/>
                <w:szCs w:val="20"/>
              </w:rPr>
            </w:pPr>
            <w:r w:rsidRPr="00897B4A">
              <w:rPr>
                <w:sz w:val="20"/>
                <w:szCs w:val="20"/>
              </w:rPr>
              <w:t>0</w:t>
            </w:r>
          </w:p>
        </w:tc>
      </w:tr>
      <w:tr w:rsidR="00573FFC" w:rsidRPr="00897B4A" w:rsidTr="00DC200E">
        <w:tc>
          <w:tcPr>
            <w:tcW w:w="3510" w:type="dxa"/>
            <w:shd w:val="clear" w:color="auto" w:fill="auto"/>
            <w:vAlign w:val="center"/>
          </w:tcPr>
          <w:p w:rsidR="00573FFC" w:rsidRPr="00897B4A" w:rsidRDefault="00573FFC" w:rsidP="00DC200E">
            <w:pPr>
              <w:jc w:val="center"/>
              <w:rPr>
                <w:sz w:val="20"/>
                <w:szCs w:val="20"/>
              </w:rPr>
            </w:pPr>
            <w:r w:rsidRPr="00897B4A">
              <w:rPr>
                <w:sz w:val="20"/>
                <w:szCs w:val="20"/>
              </w:rPr>
              <w:t>Sekretariát NATO</w:t>
            </w:r>
          </w:p>
        </w:tc>
        <w:tc>
          <w:tcPr>
            <w:tcW w:w="2631" w:type="dxa"/>
            <w:shd w:val="clear" w:color="auto" w:fill="auto"/>
            <w:vAlign w:val="center"/>
          </w:tcPr>
          <w:p w:rsidR="00573FFC" w:rsidRPr="00897B4A" w:rsidRDefault="00573FFC" w:rsidP="00DC200E">
            <w:pPr>
              <w:jc w:val="center"/>
              <w:rPr>
                <w:sz w:val="20"/>
                <w:szCs w:val="20"/>
              </w:rPr>
            </w:pPr>
            <w:r w:rsidRPr="00897B4A">
              <w:rPr>
                <w:sz w:val="20"/>
                <w:szCs w:val="20"/>
              </w:rPr>
              <w:t>6</w:t>
            </w:r>
          </w:p>
        </w:tc>
        <w:tc>
          <w:tcPr>
            <w:tcW w:w="3071" w:type="dxa"/>
            <w:shd w:val="clear" w:color="auto" w:fill="auto"/>
            <w:vAlign w:val="center"/>
          </w:tcPr>
          <w:p w:rsidR="00573FFC" w:rsidRPr="00897B4A" w:rsidRDefault="00573FFC" w:rsidP="00DC200E">
            <w:pPr>
              <w:jc w:val="center"/>
              <w:rPr>
                <w:sz w:val="20"/>
                <w:szCs w:val="20"/>
              </w:rPr>
            </w:pPr>
            <w:r w:rsidRPr="00897B4A">
              <w:rPr>
                <w:sz w:val="20"/>
                <w:szCs w:val="20"/>
              </w:rPr>
              <w:t>1</w:t>
            </w:r>
          </w:p>
        </w:tc>
      </w:tr>
      <w:tr w:rsidR="00573FFC" w:rsidRPr="00897B4A" w:rsidTr="00DC200E">
        <w:tc>
          <w:tcPr>
            <w:tcW w:w="3510" w:type="dxa"/>
            <w:shd w:val="clear" w:color="auto" w:fill="auto"/>
            <w:vAlign w:val="center"/>
          </w:tcPr>
          <w:p w:rsidR="00573FFC" w:rsidRPr="00897B4A" w:rsidRDefault="00573FFC" w:rsidP="00DC200E">
            <w:pPr>
              <w:jc w:val="center"/>
              <w:rPr>
                <w:sz w:val="20"/>
                <w:szCs w:val="20"/>
              </w:rPr>
            </w:pPr>
            <w:r w:rsidRPr="00897B4A">
              <w:rPr>
                <w:sz w:val="20"/>
                <w:szCs w:val="20"/>
              </w:rPr>
              <w:t>Substantivní balíček NATO-Gruzie, NLO Kyjev</w:t>
            </w:r>
          </w:p>
        </w:tc>
        <w:tc>
          <w:tcPr>
            <w:tcW w:w="2631" w:type="dxa"/>
            <w:shd w:val="clear" w:color="auto" w:fill="auto"/>
            <w:vAlign w:val="center"/>
          </w:tcPr>
          <w:p w:rsidR="00573FFC" w:rsidRPr="00897B4A" w:rsidRDefault="00573FFC" w:rsidP="00DC200E">
            <w:pPr>
              <w:jc w:val="center"/>
              <w:rPr>
                <w:sz w:val="20"/>
                <w:szCs w:val="20"/>
              </w:rPr>
            </w:pPr>
            <w:r w:rsidRPr="00897B4A">
              <w:rPr>
                <w:sz w:val="20"/>
                <w:szCs w:val="20"/>
              </w:rPr>
              <w:t>3</w:t>
            </w:r>
          </w:p>
        </w:tc>
        <w:tc>
          <w:tcPr>
            <w:tcW w:w="3071" w:type="dxa"/>
            <w:shd w:val="clear" w:color="auto" w:fill="auto"/>
            <w:vAlign w:val="center"/>
          </w:tcPr>
          <w:p w:rsidR="00573FFC" w:rsidRPr="00897B4A" w:rsidRDefault="00573FFC" w:rsidP="00DC200E">
            <w:pPr>
              <w:jc w:val="center"/>
              <w:rPr>
                <w:sz w:val="20"/>
                <w:szCs w:val="20"/>
              </w:rPr>
            </w:pPr>
            <w:r w:rsidRPr="00897B4A">
              <w:rPr>
                <w:sz w:val="20"/>
                <w:szCs w:val="20"/>
              </w:rPr>
              <w:t>0</w:t>
            </w:r>
          </w:p>
        </w:tc>
      </w:tr>
      <w:tr w:rsidR="00573FFC" w:rsidRPr="00897B4A" w:rsidTr="00DC200E">
        <w:tc>
          <w:tcPr>
            <w:tcW w:w="3510" w:type="dxa"/>
            <w:shd w:val="clear" w:color="auto" w:fill="auto"/>
            <w:vAlign w:val="center"/>
          </w:tcPr>
          <w:p w:rsidR="00573FFC" w:rsidRPr="00897B4A" w:rsidRDefault="00573FFC" w:rsidP="00DC200E">
            <w:pPr>
              <w:jc w:val="center"/>
              <w:rPr>
                <w:sz w:val="20"/>
                <w:szCs w:val="20"/>
              </w:rPr>
            </w:pPr>
            <w:r w:rsidRPr="00897B4A">
              <w:rPr>
                <w:sz w:val="20"/>
                <w:szCs w:val="20"/>
              </w:rPr>
              <w:t>NATO Internship Programme</w:t>
            </w:r>
          </w:p>
        </w:tc>
        <w:tc>
          <w:tcPr>
            <w:tcW w:w="2631" w:type="dxa"/>
            <w:shd w:val="clear" w:color="auto" w:fill="auto"/>
            <w:vAlign w:val="center"/>
          </w:tcPr>
          <w:p w:rsidR="00573FFC" w:rsidRPr="00897B4A" w:rsidRDefault="00573FFC" w:rsidP="00DC200E">
            <w:pPr>
              <w:jc w:val="center"/>
              <w:rPr>
                <w:sz w:val="20"/>
                <w:szCs w:val="20"/>
              </w:rPr>
            </w:pPr>
            <w:r w:rsidRPr="00897B4A">
              <w:rPr>
                <w:sz w:val="20"/>
                <w:szCs w:val="20"/>
              </w:rPr>
              <w:t>2</w:t>
            </w:r>
          </w:p>
        </w:tc>
        <w:tc>
          <w:tcPr>
            <w:tcW w:w="3071" w:type="dxa"/>
            <w:shd w:val="clear" w:color="auto" w:fill="auto"/>
            <w:vAlign w:val="center"/>
          </w:tcPr>
          <w:p w:rsidR="00573FFC" w:rsidRPr="00897B4A" w:rsidRDefault="00573FFC" w:rsidP="00DC200E">
            <w:pPr>
              <w:jc w:val="center"/>
              <w:rPr>
                <w:sz w:val="20"/>
                <w:szCs w:val="20"/>
              </w:rPr>
            </w:pPr>
            <w:r w:rsidRPr="00897B4A">
              <w:rPr>
                <w:sz w:val="20"/>
                <w:szCs w:val="20"/>
              </w:rPr>
              <w:t>1</w:t>
            </w:r>
          </w:p>
        </w:tc>
      </w:tr>
      <w:tr w:rsidR="00573FFC" w:rsidRPr="00897B4A" w:rsidTr="00DC200E">
        <w:tc>
          <w:tcPr>
            <w:tcW w:w="3510" w:type="dxa"/>
            <w:shd w:val="clear" w:color="auto" w:fill="auto"/>
            <w:vAlign w:val="center"/>
          </w:tcPr>
          <w:p w:rsidR="00573FFC" w:rsidRPr="00897B4A" w:rsidRDefault="00573FFC" w:rsidP="00DC200E">
            <w:pPr>
              <w:jc w:val="center"/>
              <w:rPr>
                <w:sz w:val="20"/>
                <w:szCs w:val="20"/>
              </w:rPr>
            </w:pPr>
            <w:r w:rsidRPr="00897B4A">
              <w:rPr>
                <w:sz w:val="20"/>
                <w:szCs w:val="20"/>
              </w:rPr>
              <w:t>Polní mise OBSE</w:t>
            </w:r>
          </w:p>
        </w:tc>
        <w:tc>
          <w:tcPr>
            <w:tcW w:w="2631" w:type="dxa"/>
            <w:shd w:val="clear" w:color="auto" w:fill="auto"/>
            <w:vAlign w:val="center"/>
          </w:tcPr>
          <w:p w:rsidR="00573FFC" w:rsidRPr="00897B4A" w:rsidRDefault="00573FFC" w:rsidP="00DC200E">
            <w:pPr>
              <w:jc w:val="center"/>
              <w:rPr>
                <w:sz w:val="20"/>
                <w:szCs w:val="20"/>
              </w:rPr>
            </w:pPr>
            <w:r w:rsidRPr="00897B4A">
              <w:rPr>
                <w:sz w:val="20"/>
                <w:szCs w:val="20"/>
              </w:rPr>
              <w:t>5</w:t>
            </w:r>
          </w:p>
        </w:tc>
        <w:tc>
          <w:tcPr>
            <w:tcW w:w="3071" w:type="dxa"/>
            <w:shd w:val="clear" w:color="auto" w:fill="auto"/>
            <w:vAlign w:val="center"/>
          </w:tcPr>
          <w:p w:rsidR="00573FFC" w:rsidRPr="00897B4A" w:rsidRDefault="00573FFC" w:rsidP="00DC200E">
            <w:pPr>
              <w:jc w:val="center"/>
              <w:rPr>
                <w:sz w:val="20"/>
                <w:szCs w:val="20"/>
              </w:rPr>
            </w:pPr>
            <w:r w:rsidRPr="00897B4A">
              <w:rPr>
                <w:sz w:val="20"/>
                <w:szCs w:val="20"/>
              </w:rPr>
              <w:t>1</w:t>
            </w:r>
          </w:p>
        </w:tc>
      </w:tr>
      <w:tr w:rsidR="00573FFC" w:rsidRPr="00897B4A" w:rsidTr="00DC200E">
        <w:tc>
          <w:tcPr>
            <w:tcW w:w="3510" w:type="dxa"/>
            <w:shd w:val="clear" w:color="auto" w:fill="auto"/>
            <w:vAlign w:val="center"/>
          </w:tcPr>
          <w:p w:rsidR="00573FFC" w:rsidRPr="00897B4A" w:rsidRDefault="00573FFC" w:rsidP="00DC200E">
            <w:pPr>
              <w:jc w:val="center"/>
              <w:rPr>
                <w:sz w:val="20"/>
                <w:szCs w:val="20"/>
              </w:rPr>
            </w:pPr>
            <w:r w:rsidRPr="00897B4A">
              <w:rPr>
                <w:sz w:val="20"/>
                <w:szCs w:val="20"/>
              </w:rPr>
              <w:t>SMM Ukrajina</w:t>
            </w:r>
          </w:p>
        </w:tc>
        <w:tc>
          <w:tcPr>
            <w:tcW w:w="2631" w:type="dxa"/>
            <w:shd w:val="clear" w:color="auto" w:fill="auto"/>
            <w:vAlign w:val="center"/>
          </w:tcPr>
          <w:p w:rsidR="00573FFC" w:rsidRPr="00897B4A" w:rsidRDefault="00573FFC" w:rsidP="00DC200E">
            <w:pPr>
              <w:jc w:val="center"/>
              <w:rPr>
                <w:sz w:val="20"/>
                <w:szCs w:val="20"/>
              </w:rPr>
            </w:pPr>
            <w:r w:rsidRPr="00897B4A">
              <w:rPr>
                <w:sz w:val="20"/>
                <w:szCs w:val="20"/>
              </w:rPr>
              <w:t>18</w:t>
            </w:r>
          </w:p>
        </w:tc>
        <w:tc>
          <w:tcPr>
            <w:tcW w:w="3071" w:type="dxa"/>
            <w:shd w:val="clear" w:color="auto" w:fill="auto"/>
            <w:vAlign w:val="center"/>
          </w:tcPr>
          <w:p w:rsidR="00573FFC" w:rsidRPr="00897B4A" w:rsidRDefault="00573FFC" w:rsidP="00DC200E">
            <w:pPr>
              <w:jc w:val="center"/>
              <w:rPr>
                <w:sz w:val="20"/>
                <w:szCs w:val="20"/>
              </w:rPr>
            </w:pPr>
            <w:r w:rsidRPr="00897B4A">
              <w:rPr>
                <w:sz w:val="20"/>
                <w:szCs w:val="20"/>
              </w:rPr>
              <w:t>2</w:t>
            </w:r>
          </w:p>
        </w:tc>
      </w:tr>
      <w:tr w:rsidR="00573FFC" w:rsidRPr="00897B4A" w:rsidTr="00DC200E">
        <w:tc>
          <w:tcPr>
            <w:tcW w:w="3510" w:type="dxa"/>
            <w:shd w:val="clear" w:color="auto" w:fill="auto"/>
            <w:vAlign w:val="center"/>
          </w:tcPr>
          <w:p w:rsidR="00573FFC" w:rsidRPr="00897B4A" w:rsidRDefault="00573FFC" w:rsidP="00DC200E">
            <w:pPr>
              <w:jc w:val="center"/>
              <w:rPr>
                <w:sz w:val="20"/>
                <w:szCs w:val="20"/>
              </w:rPr>
            </w:pPr>
            <w:r w:rsidRPr="00897B4A">
              <w:rPr>
                <w:sz w:val="20"/>
                <w:szCs w:val="20"/>
              </w:rPr>
              <w:t>JPO OBSE</w:t>
            </w:r>
          </w:p>
        </w:tc>
        <w:tc>
          <w:tcPr>
            <w:tcW w:w="2631" w:type="dxa"/>
            <w:shd w:val="clear" w:color="auto" w:fill="auto"/>
            <w:vAlign w:val="center"/>
          </w:tcPr>
          <w:p w:rsidR="00573FFC" w:rsidRPr="00897B4A" w:rsidRDefault="00573FFC" w:rsidP="00DC200E">
            <w:pPr>
              <w:jc w:val="center"/>
              <w:rPr>
                <w:sz w:val="20"/>
                <w:szCs w:val="20"/>
              </w:rPr>
            </w:pPr>
            <w:r w:rsidRPr="00897B4A">
              <w:rPr>
                <w:sz w:val="20"/>
                <w:szCs w:val="20"/>
              </w:rPr>
              <w:t>1</w:t>
            </w:r>
          </w:p>
        </w:tc>
        <w:tc>
          <w:tcPr>
            <w:tcW w:w="3071" w:type="dxa"/>
            <w:shd w:val="clear" w:color="auto" w:fill="auto"/>
            <w:vAlign w:val="center"/>
          </w:tcPr>
          <w:p w:rsidR="00573FFC" w:rsidRPr="00897B4A" w:rsidRDefault="00573FFC" w:rsidP="00DC200E">
            <w:pPr>
              <w:jc w:val="center"/>
              <w:rPr>
                <w:sz w:val="20"/>
                <w:szCs w:val="20"/>
              </w:rPr>
            </w:pPr>
            <w:r w:rsidRPr="00897B4A">
              <w:rPr>
                <w:sz w:val="20"/>
                <w:szCs w:val="20"/>
              </w:rPr>
              <w:t>1</w:t>
            </w:r>
          </w:p>
        </w:tc>
      </w:tr>
      <w:tr w:rsidR="00573FFC" w:rsidRPr="00897B4A" w:rsidTr="00DC200E">
        <w:tc>
          <w:tcPr>
            <w:tcW w:w="3510" w:type="dxa"/>
            <w:shd w:val="clear" w:color="auto" w:fill="auto"/>
            <w:vAlign w:val="center"/>
          </w:tcPr>
          <w:p w:rsidR="00573FFC" w:rsidRPr="00897B4A" w:rsidRDefault="00573FFC" w:rsidP="00DC200E">
            <w:pPr>
              <w:jc w:val="center"/>
              <w:rPr>
                <w:sz w:val="20"/>
                <w:szCs w:val="20"/>
              </w:rPr>
            </w:pPr>
            <w:r w:rsidRPr="00897B4A">
              <w:rPr>
                <w:sz w:val="20"/>
                <w:szCs w:val="20"/>
              </w:rPr>
              <w:t>INTERPOL</w:t>
            </w:r>
          </w:p>
        </w:tc>
        <w:tc>
          <w:tcPr>
            <w:tcW w:w="2631" w:type="dxa"/>
            <w:shd w:val="clear" w:color="auto" w:fill="auto"/>
            <w:vAlign w:val="center"/>
          </w:tcPr>
          <w:p w:rsidR="00573FFC" w:rsidRPr="00897B4A" w:rsidRDefault="00573FFC" w:rsidP="00DC200E">
            <w:pPr>
              <w:jc w:val="center"/>
              <w:rPr>
                <w:sz w:val="20"/>
                <w:szCs w:val="20"/>
              </w:rPr>
            </w:pPr>
            <w:r w:rsidRPr="00897B4A">
              <w:rPr>
                <w:sz w:val="20"/>
                <w:szCs w:val="20"/>
              </w:rPr>
              <w:t>2</w:t>
            </w:r>
          </w:p>
        </w:tc>
        <w:tc>
          <w:tcPr>
            <w:tcW w:w="3071" w:type="dxa"/>
            <w:shd w:val="clear" w:color="auto" w:fill="auto"/>
            <w:vAlign w:val="center"/>
          </w:tcPr>
          <w:p w:rsidR="00573FFC" w:rsidRPr="00897B4A" w:rsidRDefault="00573FFC" w:rsidP="00DC200E">
            <w:pPr>
              <w:jc w:val="center"/>
              <w:rPr>
                <w:sz w:val="20"/>
                <w:szCs w:val="20"/>
              </w:rPr>
            </w:pPr>
            <w:r w:rsidRPr="00897B4A">
              <w:rPr>
                <w:sz w:val="20"/>
                <w:szCs w:val="20"/>
              </w:rPr>
              <w:t>0</w:t>
            </w:r>
          </w:p>
        </w:tc>
      </w:tr>
    </w:tbl>
    <w:p w:rsidR="00573FFC" w:rsidRPr="00897B4A" w:rsidRDefault="00573FFC" w:rsidP="00573FFC">
      <w:pPr>
        <w:jc w:val="both"/>
      </w:pPr>
      <w:r w:rsidRPr="00897B4A">
        <w:t xml:space="preserve"> </w:t>
      </w:r>
    </w:p>
    <w:p w:rsidR="00573FFC" w:rsidRPr="00C71CDD" w:rsidRDefault="00573FFC" w:rsidP="00573FFC">
      <w:pPr>
        <w:jc w:val="both"/>
      </w:pPr>
      <w:r w:rsidRPr="00C71CDD">
        <w:t>Účast České republiky ve volebních pozorovatelských misích OBSE a EU v roce 2017</w:t>
      </w:r>
    </w:p>
    <w:p w:rsidR="00573FFC" w:rsidRPr="00B8022F" w:rsidRDefault="00573FFC" w:rsidP="00573FF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2337"/>
        <w:gridCol w:w="2327"/>
        <w:gridCol w:w="2361"/>
      </w:tblGrid>
      <w:tr w:rsidR="00573FFC" w:rsidRPr="00B8022F" w:rsidTr="00DC200E">
        <w:tc>
          <w:tcPr>
            <w:tcW w:w="2444" w:type="dxa"/>
            <w:shd w:val="clear" w:color="auto" w:fill="auto"/>
          </w:tcPr>
          <w:p w:rsidR="00573FFC" w:rsidRPr="00B8022F" w:rsidRDefault="00573FFC" w:rsidP="00DC200E">
            <w:pPr>
              <w:rPr>
                <w:b/>
              </w:rPr>
            </w:pPr>
            <w:r w:rsidRPr="00B8022F">
              <w:rPr>
                <w:b/>
              </w:rPr>
              <w:t>Stát</w:t>
            </w:r>
          </w:p>
        </w:tc>
        <w:tc>
          <w:tcPr>
            <w:tcW w:w="2444" w:type="dxa"/>
            <w:shd w:val="clear" w:color="auto" w:fill="auto"/>
          </w:tcPr>
          <w:p w:rsidR="00573FFC" w:rsidRPr="00B8022F" w:rsidRDefault="00573FFC" w:rsidP="00DC200E">
            <w:pPr>
              <w:rPr>
                <w:b/>
              </w:rPr>
            </w:pPr>
            <w:r w:rsidRPr="00B8022F">
              <w:rPr>
                <w:b/>
              </w:rPr>
              <w:t>Mise organizovaná</w:t>
            </w:r>
          </w:p>
        </w:tc>
        <w:tc>
          <w:tcPr>
            <w:tcW w:w="2444" w:type="dxa"/>
            <w:shd w:val="clear" w:color="auto" w:fill="auto"/>
          </w:tcPr>
          <w:p w:rsidR="00573FFC" w:rsidRPr="00B8022F" w:rsidRDefault="00573FFC" w:rsidP="00DC200E">
            <w:pPr>
              <w:rPr>
                <w:b/>
              </w:rPr>
            </w:pPr>
            <w:r w:rsidRPr="00B8022F">
              <w:rPr>
                <w:b/>
              </w:rPr>
              <w:t>Vyslaní dlouhodobí pozorovatelé</w:t>
            </w:r>
          </w:p>
        </w:tc>
        <w:tc>
          <w:tcPr>
            <w:tcW w:w="2483" w:type="dxa"/>
            <w:shd w:val="clear" w:color="auto" w:fill="auto"/>
          </w:tcPr>
          <w:p w:rsidR="00573FFC" w:rsidRPr="00B8022F" w:rsidRDefault="00573FFC" w:rsidP="00DC200E">
            <w:pPr>
              <w:rPr>
                <w:b/>
              </w:rPr>
            </w:pPr>
            <w:r w:rsidRPr="00B8022F">
              <w:rPr>
                <w:b/>
              </w:rPr>
              <w:t>Vyslaní krátkodobí pozorovatelé</w:t>
            </w:r>
          </w:p>
        </w:tc>
      </w:tr>
      <w:tr w:rsidR="00573FFC" w:rsidRPr="00B8022F" w:rsidTr="00DC200E">
        <w:tc>
          <w:tcPr>
            <w:tcW w:w="2444" w:type="dxa"/>
            <w:shd w:val="clear" w:color="auto" w:fill="auto"/>
          </w:tcPr>
          <w:p w:rsidR="00573FFC" w:rsidRPr="00B8022F" w:rsidRDefault="00573FFC" w:rsidP="00DC200E"/>
        </w:tc>
        <w:tc>
          <w:tcPr>
            <w:tcW w:w="2444" w:type="dxa"/>
            <w:shd w:val="clear" w:color="auto" w:fill="auto"/>
          </w:tcPr>
          <w:p w:rsidR="00573FFC" w:rsidRPr="00B8022F" w:rsidRDefault="00573FFC" w:rsidP="00DC200E">
            <w:r w:rsidRPr="00B8022F">
              <w:t>OBSE</w:t>
            </w:r>
            <w:r>
              <w:t xml:space="preserve"> Arménie</w:t>
            </w:r>
          </w:p>
        </w:tc>
        <w:tc>
          <w:tcPr>
            <w:tcW w:w="2444" w:type="dxa"/>
            <w:shd w:val="clear" w:color="auto" w:fill="auto"/>
          </w:tcPr>
          <w:p w:rsidR="00573FFC" w:rsidRPr="00B8022F" w:rsidRDefault="00573FFC" w:rsidP="00DC200E">
            <w:r>
              <w:t>2 (1/1)</w:t>
            </w:r>
          </w:p>
        </w:tc>
        <w:tc>
          <w:tcPr>
            <w:tcW w:w="2483" w:type="dxa"/>
            <w:shd w:val="clear" w:color="auto" w:fill="auto"/>
          </w:tcPr>
          <w:p w:rsidR="00573FFC" w:rsidRPr="00B8022F" w:rsidRDefault="00573FFC" w:rsidP="00DC200E">
            <w:r>
              <w:t>10 (5/5)</w:t>
            </w:r>
          </w:p>
        </w:tc>
      </w:tr>
      <w:tr w:rsidR="00573FFC" w:rsidRPr="00B8022F" w:rsidTr="00DC200E">
        <w:tc>
          <w:tcPr>
            <w:tcW w:w="2444" w:type="dxa"/>
            <w:shd w:val="clear" w:color="auto" w:fill="auto"/>
          </w:tcPr>
          <w:p w:rsidR="00573FFC" w:rsidRPr="00B8022F" w:rsidRDefault="00573FFC" w:rsidP="00DC200E"/>
        </w:tc>
        <w:tc>
          <w:tcPr>
            <w:tcW w:w="2444" w:type="dxa"/>
            <w:shd w:val="clear" w:color="auto" w:fill="auto"/>
          </w:tcPr>
          <w:p w:rsidR="00573FFC" w:rsidRDefault="00573FFC" w:rsidP="00DC200E">
            <w:r>
              <w:t>OBSE Turecko</w:t>
            </w:r>
          </w:p>
        </w:tc>
        <w:tc>
          <w:tcPr>
            <w:tcW w:w="2444" w:type="dxa"/>
            <w:shd w:val="clear" w:color="auto" w:fill="auto"/>
          </w:tcPr>
          <w:p w:rsidR="00573FFC" w:rsidRDefault="00573FFC" w:rsidP="00DC200E">
            <w:r>
              <w:t>2 (1/1)</w:t>
            </w:r>
          </w:p>
        </w:tc>
        <w:tc>
          <w:tcPr>
            <w:tcW w:w="2483" w:type="dxa"/>
            <w:shd w:val="clear" w:color="auto" w:fill="auto"/>
          </w:tcPr>
          <w:p w:rsidR="00573FFC" w:rsidRDefault="00573FFC" w:rsidP="00DC200E">
            <w:r>
              <w:t>0</w:t>
            </w:r>
          </w:p>
        </w:tc>
      </w:tr>
      <w:tr w:rsidR="00573FFC" w:rsidRPr="00B8022F" w:rsidTr="00DC200E">
        <w:tc>
          <w:tcPr>
            <w:tcW w:w="2444" w:type="dxa"/>
            <w:shd w:val="clear" w:color="auto" w:fill="auto"/>
          </w:tcPr>
          <w:p w:rsidR="00573FFC" w:rsidRPr="00B8022F" w:rsidRDefault="00573FFC" w:rsidP="00DC200E"/>
        </w:tc>
        <w:tc>
          <w:tcPr>
            <w:tcW w:w="2444" w:type="dxa"/>
            <w:shd w:val="clear" w:color="auto" w:fill="auto"/>
          </w:tcPr>
          <w:p w:rsidR="00573FFC" w:rsidRDefault="00573FFC" w:rsidP="00DC200E">
            <w:r>
              <w:t>OBSE Albánie</w:t>
            </w:r>
          </w:p>
        </w:tc>
        <w:tc>
          <w:tcPr>
            <w:tcW w:w="2444" w:type="dxa"/>
            <w:shd w:val="clear" w:color="auto" w:fill="auto"/>
          </w:tcPr>
          <w:p w:rsidR="00573FFC" w:rsidRDefault="00573FFC" w:rsidP="00DC200E">
            <w:r>
              <w:t>2 (2/0)</w:t>
            </w:r>
          </w:p>
        </w:tc>
        <w:tc>
          <w:tcPr>
            <w:tcW w:w="2483" w:type="dxa"/>
            <w:shd w:val="clear" w:color="auto" w:fill="auto"/>
          </w:tcPr>
          <w:p w:rsidR="00573FFC" w:rsidRDefault="00573FFC" w:rsidP="00DC200E">
            <w:r>
              <w:t>10 (4/6)</w:t>
            </w:r>
          </w:p>
        </w:tc>
      </w:tr>
      <w:tr w:rsidR="00573FFC" w:rsidRPr="00B8022F" w:rsidTr="00DC200E">
        <w:tc>
          <w:tcPr>
            <w:tcW w:w="2444" w:type="dxa"/>
            <w:shd w:val="clear" w:color="auto" w:fill="auto"/>
          </w:tcPr>
          <w:p w:rsidR="00573FFC" w:rsidRPr="00B8022F" w:rsidRDefault="00573FFC" w:rsidP="00DC200E"/>
        </w:tc>
        <w:tc>
          <w:tcPr>
            <w:tcW w:w="2444" w:type="dxa"/>
            <w:shd w:val="clear" w:color="auto" w:fill="auto"/>
          </w:tcPr>
          <w:p w:rsidR="00573FFC" w:rsidRDefault="00573FFC" w:rsidP="00DC200E">
            <w:r>
              <w:t>OBSE Mongolsko</w:t>
            </w:r>
          </w:p>
        </w:tc>
        <w:tc>
          <w:tcPr>
            <w:tcW w:w="2444" w:type="dxa"/>
            <w:shd w:val="clear" w:color="auto" w:fill="auto"/>
          </w:tcPr>
          <w:p w:rsidR="00573FFC" w:rsidRDefault="00573FFC" w:rsidP="00DC200E">
            <w:r>
              <w:t>2 (1/1)</w:t>
            </w:r>
          </w:p>
        </w:tc>
        <w:tc>
          <w:tcPr>
            <w:tcW w:w="2483" w:type="dxa"/>
            <w:shd w:val="clear" w:color="auto" w:fill="auto"/>
          </w:tcPr>
          <w:p w:rsidR="00573FFC" w:rsidRDefault="00573FFC" w:rsidP="00DC200E">
            <w:r>
              <w:t>0</w:t>
            </w:r>
          </w:p>
        </w:tc>
      </w:tr>
      <w:tr w:rsidR="00573FFC" w:rsidRPr="00B8022F" w:rsidTr="00DC200E">
        <w:tc>
          <w:tcPr>
            <w:tcW w:w="2444" w:type="dxa"/>
            <w:shd w:val="clear" w:color="auto" w:fill="auto"/>
          </w:tcPr>
          <w:p w:rsidR="00573FFC" w:rsidRPr="00B8022F" w:rsidRDefault="00573FFC" w:rsidP="00DC200E"/>
        </w:tc>
        <w:tc>
          <w:tcPr>
            <w:tcW w:w="2444" w:type="dxa"/>
            <w:shd w:val="clear" w:color="auto" w:fill="auto"/>
          </w:tcPr>
          <w:p w:rsidR="00573FFC" w:rsidRDefault="00573FFC" w:rsidP="00DC200E">
            <w:r>
              <w:t>OBSE Kyrgyzstán</w:t>
            </w:r>
          </w:p>
        </w:tc>
        <w:tc>
          <w:tcPr>
            <w:tcW w:w="2444" w:type="dxa"/>
            <w:shd w:val="clear" w:color="auto" w:fill="auto"/>
          </w:tcPr>
          <w:p w:rsidR="00573FFC" w:rsidRDefault="00573FFC" w:rsidP="00DC200E">
            <w:r>
              <w:t>2 (1/1)</w:t>
            </w:r>
          </w:p>
        </w:tc>
        <w:tc>
          <w:tcPr>
            <w:tcW w:w="2483" w:type="dxa"/>
            <w:shd w:val="clear" w:color="auto" w:fill="auto"/>
          </w:tcPr>
          <w:p w:rsidR="00573FFC" w:rsidRDefault="00573FFC" w:rsidP="00DC200E">
            <w:r>
              <w:t>6 (4/2)</w:t>
            </w:r>
          </w:p>
        </w:tc>
      </w:tr>
      <w:tr w:rsidR="00573FFC" w:rsidRPr="00B8022F" w:rsidTr="00DC200E">
        <w:tc>
          <w:tcPr>
            <w:tcW w:w="2444" w:type="dxa"/>
            <w:shd w:val="clear" w:color="auto" w:fill="auto"/>
          </w:tcPr>
          <w:p w:rsidR="00573FFC" w:rsidRPr="00B8022F" w:rsidRDefault="00573FFC" w:rsidP="00DC200E"/>
        </w:tc>
        <w:tc>
          <w:tcPr>
            <w:tcW w:w="2444" w:type="dxa"/>
            <w:shd w:val="clear" w:color="auto" w:fill="auto"/>
          </w:tcPr>
          <w:p w:rsidR="00573FFC" w:rsidRDefault="00573FFC" w:rsidP="00DC200E">
            <w:r>
              <w:t>OBSE Gruzie</w:t>
            </w:r>
          </w:p>
        </w:tc>
        <w:tc>
          <w:tcPr>
            <w:tcW w:w="2444" w:type="dxa"/>
            <w:shd w:val="clear" w:color="auto" w:fill="auto"/>
          </w:tcPr>
          <w:p w:rsidR="00573FFC" w:rsidRDefault="00573FFC" w:rsidP="00DC200E">
            <w:r>
              <w:t>2 (1/1)</w:t>
            </w:r>
          </w:p>
        </w:tc>
        <w:tc>
          <w:tcPr>
            <w:tcW w:w="2483" w:type="dxa"/>
            <w:shd w:val="clear" w:color="auto" w:fill="auto"/>
          </w:tcPr>
          <w:p w:rsidR="00573FFC" w:rsidRDefault="00573FFC" w:rsidP="00DC200E">
            <w:r>
              <w:t>6 (4/2)</w:t>
            </w:r>
          </w:p>
        </w:tc>
      </w:tr>
      <w:tr w:rsidR="00573FFC" w:rsidRPr="00B8022F" w:rsidTr="00DC200E">
        <w:tc>
          <w:tcPr>
            <w:tcW w:w="2444" w:type="dxa"/>
            <w:shd w:val="clear" w:color="auto" w:fill="auto"/>
          </w:tcPr>
          <w:p w:rsidR="00573FFC" w:rsidRPr="00B8022F" w:rsidRDefault="00573FFC" w:rsidP="00DC200E"/>
        </w:tc>
        <w:tc>
          <w:tcPr>
            <w:tcW w:w="2444" w:type="dxa"/>
            <w:shd w:val="clear" w:color="auto" w:fill="auto"/>
          </w:tcPr>
          <w:p w:rsidR="00573FFC" w:rsidRDefault="00573FFC" w:rsidP="00DC200E">
            <w:r>
              <w:t>OBSE Makedonie</w:t>
            </w:r>
          </w:p>
        </w:tc>
        <w:tc>
          <w:tcPr>
            <w:tcW w:w="2444" w:type="dxa"/>
            <w:shd w:val="clear" w:color="auto" w:fill="auto"/>
          </w:tcPr>
          <w:p w:rsidR="00573FFC" w:rsidRDefault="00573FFC" w:rsidP="00DC200E">
            <w:r>
              <w:t>2 (0/2)</w:t>
            </w:r>
          </w:p>
        </w:tc>
        <w:tc>
          <w:tcPr>
            <w:tcW w:w="2483" w:type="dxa"/>
            <w:shd w:val="clear" w:color="auto" w:fill="auto"/>
          </w:tcPr>
          <w:p w:rsidR="00573FFC" w:rsidRDefault="00573FFC" w:rsidP="00DC200E">
            <w:r>
              <w:t>6 (4/2)</w:t>
            </w:r>
          </w:p>
        </w:tc>
      </w:tr>
      <w:tr w:rsidR="00573FFC" w:rsidRPr="00B8022F" w:rsidTr="00DC200E">
        <w:tc>
          <w:tcPr>
            <w:tcW w:w="2444" w:type="dxa"/>
            <w:shd w:val="clear" w:color="auto" w:fill="auto"/>
          </w:tcPr>
          <w:p w:rsidR="00573FFC" w:rsidRPr="00E95E5A" w:rsidRDefault="00573FFC" w:rsidP="00DC200E">
            <w:pPr>
              <w:rPr>
                <w:b/>
              </w:rPr>
            </w:pPr>
            <w:r w:rsidRPr="00E95E5A">
              <w:rPr>
                <w:b/>
              </w:rPr>
              <w:t>Celkem OBSE</w:t>
            </w:r>
          </w:p>
        </w:tc>
        <w:tc>
          <w:tcPr>
            <w:tcW w:w="2444" w:type="dxa"/>
            <w:shd w:val="clear" w:color="auto" w:fill="auto"/>
          </w:tcPr>
          <w:p w:rsidR="00573FFC" w:rsidRPr="00E95E5A" w:rsidRDefault="00573FFC" w:rsidP="00DC200E">
            <w:pPr>
              <w:rPr>
                <w:b/>
              </w:rPr>
            </w:pPr>
            <w:r w:rsidRPr="00E95E5A">
              <w:rPr>
                <w:b/>
              </w:rPr>
              <w:t>52</w:t>
            </w:r>
          </w:p>
        </w:tc>
        <w:tc>
          <w:tcPr>
            <w:tcW w:w="2444" w:type="dxa"/>
            <w:shd w:val="clear" w:color="auto" w:fill="auto"/>
          </w:tcPr>
          <w:p w:rsidR="00573FFC" w:rsidRPr="00E95E5A" w:rsidRDefault="00573FFC" w:rsidP="00DC200E">
            <w:pPr>
              <w:rPr>
                <w:b/>
              </w:rPr>
            </w:pPr>
            <w:r w:rsidRPr="00E95E5A">
              <w:rPr>
                <w:b/>
              </w:rPr>
              <w:t>14</w:t>
            </w:r>
            <w:r>
              <w:rPr>
                <w:b/>
              </w:rPr>
              <w:t xml:space="preserve"> (M 7 / Ž 7)</w:t>
            </w:r>
          </w:p>
        </w:tc>
        <w:tc>
          <w:tcPr>
            <w:tcW w:w="2483" w:type="dxa"/>
            <w:shd w:val="clear" w:color="auto" w:fill="auto"/>
          </w:tcPr>
          <w:p w:rsidR="00573FFC" w:rsidRPr="00E95E5A" w:rsidRDefault="00573FFC" w:rsidP="00DC200E">
            <w:pPr>
              <w:rPr>
                <w:b/>
              </w:rPr>
            </w:pPr>
            <w:r w:rsidRPr="00E95E5A">
              <w:rPr>
                <w:b/>
              </w:rPr>
              <w:t>38</w:t>
            </w:r>
            <w:r>
              <w:rPr>
                <w:b/>
              </w:rPr>
              <w:t xml:space="preserve"> (M 21 / Ž 17)</w:t>
            </w:r>
          </w:p>
        </w:tc>
      </w:tr>
      <w:tr w:rsidR="00573FFC" w:rsidRPr="00B8022F" w:rsidTr="00DC200E">
        <w:tc>
          <w:tcPr>
            <w:tcW w:w="2444" w:type="dxa"/>
            <w:shd w:val="clear" w:color="auto" w:fill="auto"/>
          </w:tcPr>
          <w:p w:rsidR="00573FFC" w:rsidRPr="00B8022F" w:rsidRDefault="00573FFC" w:rsidP="00DC200E"/>
        </w:tc>
        <w:tc>
          <w:tcPr>
            <w:tcW w:w="2444" w:type="dxa"/>
            <w:shd w:val="clear" w:color="auto" w:fill="auto"/>
          </w:tcPr>
          <w:p w:rsidR="00573FFC" w:rsidRPr="00B8022F" w:rsidRDefault="00573FFC" w:rsidP="00DC200E">
            <w:r w:rsidRPr="00B8022F">
              <w:t>EU</w:t>
            </w:r>
            <w:r>
              <w:t xml:space="preserve"> Timor</w:t>
            </w:r>
          </w:p>
        </w:tc>
        <w:tc>
          <w:tcPr>
            <w:tcW w:w="2444" w:type="dxa"/>
            <w:shd w:val="clear" w:color="auto" w:fill="auto"/>
          </w:tcPr>
          <w:p w:rsidR="00573FFC" w:rsidRPr="00B8022F" w:rsidRDefault="00573FFC" w:rsidP="00DC200E">
            <w:r>
              <w:t>1 (0/1)</w:t>
            </w:r>
          </w:p>
        </w:tc>
        <w:tc>
          <w:tcPr>
            <w:tcW w:w="2483" w:type="dxa"/>
            <w:shd w:val="clear" w:color="auto" w:fill="auto"/>
          </w:tcPr>
          <w:p w:rsidR="00573FFC" w:rsidRPr="00B8022F" w:rsidRDefault="00573FFC" w:rsidP="00DC200E">
            <w:r>
              <w:t>0</w:t>
            </w:r>
          </w:p>
        </w:tc>
      </w:tr>
      <w:tr w:rsidR="00573FFC" w:rsidRPr="00B8022F" w:rsidTr="00DC200E">
        <w:tc>
          <w:tcPr>
            <w:tcW w:w="2444" w:type="dxa"/>
            <w:shd w:val="clear" w:color="auto" w:fill="auto"/>
          </w:tcPr>
          <w:p w:rsidR="00573FFC" w:rsidRPr="00B8022F" w:rsidRDefault="00573FFC" w:rsidP="00DC200E"/>
        </w:tc>
        <w:tc>
          <w:tcPr>
            <w:tcW w:w="2444" w:type="dxa"/>
            <w:shd w:val="clear" w:color="auto" w:fill="auto"/>
          </w:tcPr>
          <w:p w:rsidR="00573FFC" w:rsidRDefault="00573FFC" w:rsidP="00DC200E">
            <w:r>
              <w:t>EU Gambie</w:t>
            </w:r>
          </w:p>
        </w:tc>
        <w:tc>
          <w:tcPr>
            <w:tcW w:w="2444" w:type="dxa"/>
            <w:shd w:val="clear" w:color="auto" w:fill="auto"/>
          </w:tcPr>
          <w:p w:rsidR="00573FFC" w:rsidRPr="00B8022F" w:rsidRDefault="00573FFC" w:rsidP="00DC200E">
            <w:r>
              <w:t>1 (0/1)</w:t>
            </w:r>
          </w:p>
        </w:tc>
        <w:tc>
          <w:tcPr>
            <w:tcW w:w="2483" w:type="dxa"/>
            <w:shd w:val="clear" w:color="auto" w:fill="auto"/>
          </w:tcPr>
          <w:p w:rsidR="00573FFC" w:rsidRPr="00B8022F" w:rsidRDefault="00573FFC" w:rsidP="00DC200E">
            <w:r>
              <w:t>0</w:t>
            </w:r>
          </w:p>
        </w:tc>
      </w:tr>
      <w:tr w:rsidR="00573FFC" w:rsidRPr="00B8022F" w:rsidTr="00DC200E">
        <w:tc>
          <w:tcPr>
            <w:tcW w:w="2444" w:type="dxa"/>
            <w:shd w:val="clear" w:color="auto" w:fill="auto"/>
          </w:tcPr>
          <w:p w:rsidR="00573FFC" w:rsidRPr="00B8022F" w:rsidRDefault="00573FFC" w:rsidP="00DC200E"/>
        </w:tc>
        <w:tc>
          <w:tcPr>
            <w:tcW w:w="2444" w:type="dxa"/>
            <w:shd w:val="clear" w:color="auto" w:fill="auto"/>
          </w:tcPr>
          <w:p w:rsidR="00573FFC" w:rsidRDefault="00573FFC" w:rsidP="00DC200E">
            <w:r>
              <w:t>EU Kosovo 1</w:t>
            </w:r>
          </w:p>
        </w:tc>
        <w:tc>
          <w:tcPr>
            <w:tcW w:w="2444" w:type="dxa"/>
            <w:shd w:val="clear" w:color="auto" w:fill="auto"/>
          </w:tcPr>
          <w:p w:rsidR="00573FFC" w:rsidRPr="00B8022F" w:rsidRDefault="00573FFC" w:rsidP="00DC200E">
            <w:r>
              <w:t>1 (0/1)</w:t>
            </w:r>
          </w:p>
        </w:tc>
        <w:tc>
          <w:tcPr>
            <w:tcW w:w="2483" w:type="dxa"/>
            <w:shd w:val="clear" w:color="auto" w:fill="auto"/>
          </w:tcPr>
          <w:p w:rsidR="00573FFC" w:rsidRPr="00B8022F" w:rsidRDefault="00573FFC" w:rsidP="00DC200E">
            <w:r>
              <w:t>2 (1/1)</w:t>
            </w:r>
          </w:p>
        </w:tc>
      </w:tr>
      <w:tr w:rsidR="00573FFC" w:rsidRPr="00B8022F" w:rsidTr="00DC200E">
        <w:tc>
          <w:tcPr>
            <w:tcW w:w="2444" w:type="dxa"/>
            <w:shd w:val="clear" w:color="auto" w:fill="auto"/>
          </w:tcPr>
          <w:p w:rsidR="00573FFC" w:rsidRPr="00B8022F" w:rsidRDefault="00573FFC" w:rsidP="00DC200E"/>
        </w:tc>
        <w:tc>
          <w:tcPr>
            <w:tcW w:w="2444" w:type="dxa"/>
            <w:shd w:val="clear" w:color="auto" w:fill="auto"/>
          </w:tcPr>
          <w:p w:rsidR="00573FFC" w:rsidRDefault="00573FFC" w:rsidP="00DC200E">
            <w:r>
              <w:t>EU Keňa</w:t>
            </w:r>
          </w:p>
        </w:tc>
        <w:tc>
          <w:tcPr>
            <w:tcW w:w="2444" w:type="dxa"/>
            <w:shd w:val="clear" w:color="auto" w:fill="auto"/>
          </w:tcPr>
          <w:p w:rsidR="00573FFC" w:rsidRDefault="00573FFC" w:rsidP="00DC200E">
            <w:r>
              <w:t>1 (0/1)</w:t>
            </w:r>
          </w:p>
        </w:tc>
        <w:tc>
          <w:tcPr>
            <w:tcW w:w="2483" w:type="dxa"/>
            <w:shd w:val="clear" w:color="auto" w:fill="auto"/>
          </w:tcPr>
          <w:p w:rsidR="00573FFC" w:rsidRDefault="00573FFC" w:rsidP="00DC200E">
            <w:r>
              <w:t>1 (1/0)</w:t>
            </w:r>
          </w:p>
        </w:tc>
      </w:tr>
      <w:tr w:rsidR="00573FFC" w:rsidRPr="00B8022F" w:rsidTr="00DC200E">
        <w:tc>
          <w:tcPr>
            <w:tcW w:w="2444" w:type="dxa"/>
            <w:shd w:val="clear" w:color="auto" w:fill="auto"/>
          </w:tcPr>
          <w:p w:rsidR="00573FFC" w:rsidRPr="00B8022F" w:rsidRDefault="00573FFC" w:rsidP="00DC200E"/>
        </w:tc>
        <w:tc>
          <w:tcPr>
            <w:tcW w:w="2444" w:type="dxa"/>
            <w:shd w:val="clear" w:color="auto" w:fill="auto"/>
          </w:tcPr>
          <w:p w:rsidR="00573FFC" w:rsidRDefault="00573FFC" w:rsidP="00DC200E">
            <w:r>
              <w:t>EU Angola</w:t>
            </w:r>
          </w:p>
        </w:tc>
        <w:tc>
          <w:tcPr>
            <w:tcW w:w="2444" w:type="dxa"/>
            <w:shd w:val="clear" w:color="auto" w:fill="auto"/>
          </w:tcPr>
          <w:p w:rsidR="00573FFC" w:rsidRDefault="00573FFC" w:rsidP="00DC200E">
            <w:r>
              <w:t>2 (2/0)</w:t>
            </w:r>
          </w:p>
        </w:tc>
        <w:tc>
          <w:tcPr>
            <w:tcW w:w="2483" w:type="dxa"/>
            <w:shd w:val="clear" w:color="auto" w:fill="auto"/>
          </w:tcPr>
          <w:p w:rsidR="00573FFC" w:rsidRDefault="00573FFC" w:rsidP="00DC200E">
            <w:r>
              <w:t>2 (1/1)</w:t>
            </w:r>
          </w:p>
        </w:tc>
      </w:tr>
      <w:tr w:rsidR="00573FFC" w:rsidRPr="00B8022F" w:rsidTr="00DC200E">
        <w:tc>
          <w:tcPr>
            <w:tcW w:w="2444" w:type="dxa"/>
            <w:shd w:val="clear" w:color="auto" w:fill="auto"/>
          </w:tcPr>
          <w:p w:rsidR="00573FFC" w:rsidRPr="00B8022F" w:rsidRDefault="00573FFC" w:rsidP="00DC200E"/>
        </w:tc>
        <w:tc>
          <w:tcPr>
            <w:tcW w:w="2444" w:type="dxa"/>
            <w:shd w:val="clear" w:color="auto" w:fill="auto"/>
          </w:tcPr>
          <w:p w:rsidR="00573FFC" w:rsidRDefault="00573FFC" w:rsidP="00DC200E">
            <w:r>
              <w:t>EU Libérie</w:t>
            </w:r>
          </w:p>
        </w:tc>
        <w:tc>
          <w:tcPr>
            <w:tcW w:w="2444" w:type="dxa"/>
            <w:shd w:val="clear" w:color="auto" w:fill="auto"/>
          </w:tcPr>
          <w:p w:rsidR="00573FFC" w:rsidRDefault="00573FFC" w:rsidP="00DC200E">
            <w:r>
              <w:t>1 (1/0)</w:t>
            </w:r>
          </w:p>
        </w:tc>
        <w:tc>
          <w:tcPr>
            <w:tcW w:w="2483" w:type="dxa"/>
            <w:shd w:val="clear" w:color="auto" w:fill="auto"/>
          </w:tcPr>
          <w:p w:rsidR="00573FFC" w:rsidRDefault="00573FFC" w:rsidP="00DC200E">
            <w:r>
              <w:t>3 (1/2)</w:t>
            </w:r>
          </w:p>
        </w:tc>
      </w:tr>
      <w:tr w:rsidR="00573FFC" w:rsidRPr="00B8022F" w:rsidTr="00DC200E">
        <w:tc>
          <w:tcPr>
            <w:tcW w:w="2444" w:type="dxa"/>
            <w:shd w:val="clear" w:color="auto" w:fill="auto"/>
          </w:tcPr>
          <w:p w:rsidR="00573FFC" w:rsidRPr="00B8022F" w:rsidRDefault="00573FFC" w:rsidP="00DC200E"/>
        </w:tc>
        <w:tc>
          <w:tcPr>
            <w:tcW w:w="2444" w:type="dxa"/>
            <w:shd w:val="clear" w:color="auto" w:fill="auto"/>
          </w:tcPr>
          <w:p w:rsidR="00573FFC" w:rsidRDefault="00573FFC" w:rsidP="00DC200E">
            <w:r>
              <w:t>EU Kosovo 2</w:t>
            </w:r>
          </w:p>
        </w:tc>
        <w:tc>
          <w:tcPr>
            <w:tcW w:w="2444" w:type="dxa"/>
            <w:shd w:val="clear" w:color="auto" w:fill="auto"/>
          </w:tcPr>
          <w:p w:rsidR="00573FFC" w:rsidRDefault="00573FFC" w:rsidP="00DC200E">
            <w:r>
              <w:t>1 (0/1)</w:t>
            </w:r>
          </w:p>
        </w:tc>
        <w:tc>
          <w:tcPr>
            <w:tcW w:w="2483" w:type="dxa"/>
            <w:shd w:val="clear" w:color="auto" w:fill="auto"/>
          </w:tcPr>
          <w:p w:rsidR="00573FFC" w:rsidRDefault="00573FFC" w:rsidP="00DC200E">
            <w:r>
              <w:t>2 (0/2)</w:t>
            </w:r>
          </w:p>
        </w:tc>
      </w:tr>
      <w:tr w:rsidR="00573FFC" w:rsidRPr="00B8022F" w:rsidTr="00DC200E">
        <w:tc>
          <w:tcPr>
            <w:tcW w:w="2444" w:type="dxa"/>
            <w:shd w:val="clear" w:color="auto" w:fill="auto"/>
          </w:tcPr>
          <w:p w:rsidR="00573FFC" w:rsidRPr="00B8022F" w:rsidRDefault="00573FFC" w:rsidP="00DC200E"/>
        </w:tc>
        <w:tc>
          <w:tcPr>
            <w:tcW w:w="2444" w:type="dxa"/>
            <w:shd w:val="clear" w:color="auto" w:fill="auto"/>
          </w:tcPr>
          <w:p w:rsidR="00573FFC" w:rsidRDefault="00573FFC" w:rsidP="00DC200E">
            <w:r>
              <w:t>EU Nepál</w:t>
            </w:r>
          </w:p>
        </w:tc>
        <w:tc>
          <w:tcPr>
            <w:tcW w:w="2444" w:type="dxa"/>
            <w:shd w:val="clear" w:color="auto" w:fill="auto"/>
          </w:tcPr>
          <w:p w:rsidR="00573FFC" w:rsidRDefault="00573FFC" w:rsidP="00DC200E">
            <w:r>
              <w:t>2 (1/1)</w:t>
            </w:r>
          </w:p>
        </w:tc>
        <w:tc>
          <w:tcPr>
            <w:tcW w:w="2483" w:type="dxa"/>
            <w:shd w:val="clear" w:color="auto" w:fill="auto"/>
          </w:tcPr>
          <w:p w:rsidR="00573FFC" w:rsidRDefault="00573FFC" w:rsidP="00DC200E">
            <w:r>
              <w:t>1 (1/0)</w:t>
            </w:r>
          </w:p>
        </w:tc>
      </w:tr>
      <w:tr w:rsidR="00573FFC" w:rsidRPr="00B8022F" w:rsidTr="00DC200E">
        <w:tc>
          <w:tcPr>
            <w:tcW w:w="2444" w:type="dxa"/>
            <w:shd w:val="clear" w:color="auto" w:fill="auto"/>
          </w:tcPr>
          <w:p w:rsidR="00573FFC" w:rsidRPr="00B8022F" w:rsidRDefault="00573FFC" w:rsidP="00DC200E"/>
        </w:tc>
        <w:tc>
          <w:tcPr>
            <w:tcW w:w="2444" w:type="dxa"/>
            <w:shd w:val="clear" w:color="auto" w:fill="auto"/>
          </w:tcPr>
          <w:p w:rsidR="00573FFC" w:rsidRDefault="00573FFC" w:rsidP="00DC200E">
            <w:r>
              <w:t>EU Honduras</w:t>
            </w:r>
          </w:p>
        </w:tc>
        <w:tc>
          <w:tcPr>
            <w:tcW w:w="2444" w:type="dxa"/>
            <w:shd w:val="clear" w:color="auto" w:fill="auto"/>
          </w:tcPr>
          <w:p w:rsidR="00573FFC" w:rsidRDefault="00573FFC" w:rsidP="00DC200E">
            <w:r>
              <w:t>1 (1/0)</w:t>
            </w:r>
          </w:p>
        </w:tc>
        <w:tc>
          <w:tcPr>
            <w:tcW w:w="2483" w:type="dxa"/>
            <w:shd w:val="clear" w:color="auto" w:fill="auto"/>
          </w:tcPr>
          <w:p w:rsidR="00573FFC" w:rsidRDefault="00573FFC" w:rsidP="00DC200E">
            <w:r>
              <w:t>1 (1/0)</w:t>
            </w:r>
          </w:p>
        </w:tc>
      </w:tr>
      <w:tr w:rsidR="00573FFC" w:rsidRPr="00B8022F" w:rsidTr="00DC200E">
        <w:tc>
          <w:tcPr>
            <w:tcW w:w="2444" w:type="dxa"/>
            <w:shd w:val="clear" w:color="auto" w:fill="auto"/>
          </w:tcPr>
          <w:p w:rsidR="00573FFC" w:rsidRPr="00E95E5A" w:rsidRDefault="00573FFC" w:rsidP="00DC200E">
            <w:pPr>
              <w:rPr>
                <w:b/>
              </w:rPr>
            </w:pPr>
            <w:r w:rsidRPr="00E95E5A">
              <w:rPr>
                <w:b/>
              </w:rPr>
              <w:t>Celkem EU</w:t>
            </w:r>
          </w:p>
        </w:tc>
        <w:tc>
          <w:tcPr>
            <w:tcW w:w="2444" w:type="dxa"/>
            <w:shd w:val="clear" w:color="auto" w:fill="auto"/>
          </w:tcPr>
          <w:p w:rsidR="00573FFC" w:rsidRPr="00E95E5A" w:rsidRDefault="00573FFC" w:rsidP="00DC200E">
            <w:pPr>
              <w:rPr>
                <w:b/>
              </w:rPr>
            </w:pPr>
            <w:r w:rsidRPr="00E95E5A">
              <w:rPr>
                <w:b/>
              </w:rPr>
              <w:t>23</w:t>
            </w:r>
          </w:p>
        </w:tc>
        <w:tc>
          <w:tcPr>
            <w:tcW w:w="2444" w:type="dxa"/>
            <w:shd w:val="clear" w:color="auto" w:fill="auto"/>
          </w:tcPr>
          <w:p w:rsidR="00573FFC" w:rsidRPr="00E95E5A" w:rsidRDefault="00573FFC" w:rsidP="00DC200E">
            <w:pPr>
              <w:rPr>
                <w:b/>
              </w:rPr>
            </w:pPr>
            <w:r w:rsidRPr="00E95E5A">
              <w:rPr>
                <w:b/>
              </w:rPr>
              <w:t>11</w:t>
            </w:r>
            <w:r>
              <w:rPr>
                <w:b/>
              </w:rPr>
              <w:t xml:space="preserve"> (M 5 / Ž 6)</w:t>
            </w:r>
          </w:p>
        </w:tc>
        <w:tc>
          <w:tcPr>
            <w:tcW w:w="2483" w:type="dxa"/>
            <w:shd w:val="clear" w:color="auto" w:fill="auto"/>
          </w:tcPr>
          <w:p w:rsidR="00573FFC" w:rsidRPr="00E95E5A" w:rsidRDefault="00573FFC" w:rsidP="00DC200E">
            <w:pPr>
              <w:rPr>
                <w:b/>
              </w:rPr>
            </w:pPr>
            <w:r w:rsidRPr="00E95E5A">
              <w:rPr>
                <w:b/>
              </w:rPr>
              <w:t>12</w:t>
            </w:r>
            <w:r>
              <w:rPr>
                <w:b/>
              </w:rPr>
              <w:t xml:space="preserve"> (M 6 / Ž 6)</w:t>
            </w:r>
          </w:p>
        </w:tc>
      </w:tr>
    </w:tbl>
    <w:p w:rsidR="00675ADC" w:rsidRDefault="00675ADC" w:rsidP="00573FFC">
      <w:pPr>
        <w:spacing w:before="120"/>
        <w:jc w:val="both"/>
      </w:pPr>
    </w:p>
    <w:p w:rsidR="00C71CDD" w:rsidRDefault="009A6BAE" w:rsidP="00C71CDD">
      <w:pPr>
        <w:pStyle w:val="Nadpis1"/>
      </w:pPr>
      <w:bookmarkStart w:id="35" w:name="_Toc514782425"/>
      <w:r>
        <w:t>Příloha 2</w:t>
      </w:r>
      <w:r w:rsidR="00C71CDD">
        <w:t xml:space="preserve"> – </w:t>
      </w:r>
      <w:r>
        <w:t>Zastoupení žen v Armádě a Policii ČR</w:t>
      </w:r>
      <w:bookmarkEnd w:id="35"/>
    </w:p>
    <w:p w:rsidR="007D2DF5" w:rsidRDefault="007D2DF5" w:rsidP="007D2DF5">
      <w:pPr>
        <w:jc w:val="both"/>
        <w:rPr>
          <w:bCs/>
        </w:rPr>
      </w:pPr>
    </w:p>
    <w:p w:rsidR="007D2DF5" w:rsidRDefault="007D2DF5" w:rsidP="007D2DF5">
      <w:pPr>
        <w:rPr>
          <w:bCs/>
        </w:rPr>
      </w:pPr>
      <w:r>
        <w:rPr>
          <w:noProof/>
        </w:rPr>
        <w:drawing>
          <wp:inline distT="0" distB="0" distL="0" distR="0">
            <wp:extent cx="2631440" cy="1544320"/>
            <wp:effectExtent l="0" t="0" r="16510" b="17780"/>
            <wp:docPr id="14" name="Graf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D2DF5" w:rsidRDefault="007D2DF5" w:rsidP="007D2DF5">
      <w:pPr>
        <w:jc w:val="both"/>
        <w:rPr>
          <w:bCs/>
        </w:rPr>
      </w:pPr>
      <w:r>
        <w:rPr>
          <w:bCs/>
        </w:rPr>
        <w:t xml:space="preserve">Tento vizuální graf ukazuje úspěšnost žen v rámci náboru. </w:t>
      </w:r>
    </w:p>
    <w:p w:rsidR="007D2DF5" w:rsidRDefault="007D2DF5" w:rsidP="007D2DF5">
      <w:pPr>
        <w:jc w:val="both"/>
        <w:rPr>
          <w:bCs/>
        </w:rPr>
      </w:pPr>
      <w:r>
        <w:rPr>
          <w:bCs/>
        </w:rPr>
        <w:t xml:space="preserve">  </w:t>
      </w:r>
    </w:p>
    <w:p w:rsidR="007D2DF5" w:rsidRDefault="007D2DF5" w:rsidP="007D2DF5">
      <w:pPr>
        <w:jc w:val="both"/>
        <w:rPr>
          <w:bCs/>
        </w:rPr>
      </w:pPr>
      <w:r>
        <w:rPr>
          <w:noProof/>
        </w:rPr>
        <w:drawing>
          <wp:inline distT="0" distB="0" distL="0" distR="0">
            <wp:extent cx="4577080" cy="2087880"/>
            <wp:effectExtent l="0" t="0" r="13970" b="26670"/>
            <wp:docPr id="15" name="Graf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6778F" w:rsidRDefault="007D2DF5" w:rsidP="000F6EE5">
      <w:pPr>
        <w:jc w:val="both"/>
        <w:rPr>
          <w:i/>
        </w:rPr>
      </w:pPr>
      <w:r w:rsidRPr="000F6EE5">
        <w:rPr>
          <w:i/>
        </w:rPr>
        <w:t>Pro srovnání - graf vyjadřující počty žen a mužů přijatých do AČR od roku 2010.</w:t>
      </w:r>
    </w:p>
    <w:p w:rsidR="000F6EE5" w:rsidRPr="000F6EE5" w:rsidRDefault="000F6EE5" w:rsidP="000F6EE5">
      <w:pPr>
        <w:jc w:val="both"/>
        <w:rPr>
          <w:i/>
        </w:rPr>
      </w:pPr>
    </w:p>
    <w:tbl>
      <w:tblPr>
        <w:tblW w:w="9288" w:type="dxa"/>
        <w:tblInd w:w="-98" w:type="dxa"/>
        <w:tblCellMar>
          <w:left w:w="0" w:type="dxa"/>
          <w:right w:w="0" w:type="dxa"/>
        </w:tblCellMar>
        <w:tblLook w:val="04A0" w:firstRow="1" w:lastRow="0" w:firstColumn="1" w:lastColumn="0" w:noHBand="0" w:noVBand="1"/>
      </w:tblPr>
      <w:tblGrid>
        <w:gridCol w:w="6233"/>
        <w:gridCol w:w="1093"/>
        <w:gridCol w:w="957"/>
        <w:gridCol w:w="1005"/>
      </w:tblGrid>
      <w:tr w:rsidR="0086778F" w:rsidRPr="00D72C3D" w:rsidTr="00DC200E">
        <w:trPr>
          <w:trHeight w:val="63"/>
        </w:trPr>
        <w:tc>
          <w:tcPr>
            <w:tcW w:w="0" w:type="auto"/>
            <w:tcBorders>
              <w:top w:val="single" w:sz="8" w:space="0" w:color="auto"/>
              <w:left w:val="single" w:sz="8" w:space="0" w:color="auto"/>
              <w:bottom w:val="single" w:sz="8" w:space="0" w:color="auto"/>
              <w:right w:val="single" w:sz="4" w:space="0" w:color="auto"/>
            </w:tcBorders>
            <w:vAlign w:val="center"/>
            <w:hideMark/>
          </w:tcPr>
          <w:p w:rsidR="0086778F" w:rsidRPr="00D72C3D" w:rsidRDefault="0086778F" w:rsidP="00DC200E">
            <w:pPr>
              <w:jc w:val="center"/>
              <w:rPr>
                <w:rFonts w:eastAsia="Calibri" w:cs="Arial"/>
                <w:b/>
                <w:bCs/>
              </w:rPr>
            </w:pPr>
            <w:r>
              <w:rPr>
                <w:rFonts w:eastAsia="Calibri" w:cs="Arial"/>
                <w:b/>
                <w:bCs/>
              </w:rPr>
              <w:t>Vzdělání</w:t>
            </w:r>
          </w:p>
        </w:tc>
        <w:tc>
          <w:tcPr>
            <w:tcW w:w="1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b/>
                <w:bCs/>
              </w:rPr>
            </w:pPr>
            <w:r>
              <w:rPr>
                <w:rFonts w:cs="Arial"/>
                <w:b/>
                <w:bCs/>
              </w:rPr>
              <w:t>Muži</w:t>
            </w:r>
          </w:p>
        </w:tc>
        <w:tc>
          <w:tcPr>
            <w:tcW w:w="9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b/>
                <w:bCs/>
              </w:rPr>
            </w:pPr>
            <w:r>
              <w:rPr>
                <w:rFonts w:cs="Arial"/>
                <w:b/>
                <w:bCs/>
              </w:rPr>
              <w:t>Ženy</w:t>
            </w:r>
          </w:p>
        </w:tc>
        <w:tc>
          <w:tcPr>
            <w:tcW w:w="0" w:type="auto"/>
            <w:tcBorders>
              <w:top w:val="single" w:sz="8" w:space="0" w:color="auto"/>
              <w:left w:val="single" w:sz="4" w:space="0" w:color="auto"/>
              <w:bottom w:val="single" w:sz="8" w:space="0" w:color="auto"/>
              <w:right w:val="single" w:sz="8" w:space="0" w:color="auto"/>
            </w:tcBorders>
            <w:vAlign w:val="center"/>
            <w:hideMark/>
          </w:tcPr>
          <w:p w:rsidR="0086778F" w:rsidRPr="00D72C3D" w:rsidRDefault="0086778F" w:rsidP="00DC200E">
            <w:pPr>
              <w:jc w:val="center"/>
              <w:rPr>
                <w:rFonts w:eastAsia="Calibri" w:cs="Arial"/>
                <w:b/>
                <w:bCs/>
              </w:rPr>
            </w:pPr>
            <w:r>
              <w:rPr>
                <w:rFonts w:eastAsia="Calibri" w:cs="Arial"/>
                <w:b/>
                <w:bCs/>
              </w:rPr>
              <w:t>Celkem</w:t>
            </w:r>
          </w:p>
        </w:tc>
      </w:tr>
      <w:tr w:rsidR="0086778F" w:rsidRPr="00D72C3D" w:rsidTr="00DC200E">
        <w:trPr>
          <w:trHeight w:val="20"/>
        </w:trPr>
        <w:tc>
          <w:tcPr>
            <w:tcW w:w="62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rPr>
                <w:rFonts w:eastAsia="Calibri" w:cs="Arial"/>
              </w:rPr>
            </w:pPr>
            <w:r w:rsidRPr="00D72C3D">
              <w:rPr>
                <w:rFonts w:cs="Arial"/>
              </w:rPr>
              <w:t>střední odborné vzdělání dosažené absolvováním nematuritních vzděl. programů poskytujících výuční list</w:t>
            </w:r>
          </w:p>
        </w:tc>
        <w:tc>
          <w:tcPr>
            <w:tcW w:w="1093"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rPr>
            </w:pPr>
            <w:r w:rsidRPr="00D72C3D">
              <w:rPr>
                <w:rFonts w:cs="Arial"/>
              </w:rPr>
              <w:t>12</w:t>
            </w:r>
          </w:p>
        </w:tc>
        <w:tc>
          <w:tcPr>
            <w:tcW w:w="95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6778F" w:rsidRPr="00D72C3D" w:rsidRDefault="0086778F" w:rsidP="00DC200E">
            <w:pPr>
              <w:jc w:val="center"/>
            </w:pPr>
            <w:r>
              <w:t>0</w:t>
            </w:r>
          </w:p>
        </w:tc>
        <w:tc>
          <w:tcPr>
            <w:tcW w:w="10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rPr>
            </w:pPr>
            <w:r w:rsidRPr="00D72C3D">
              <w:rPr>
                <w:rFonts w:cs="Arial"/>
              </w:rPr>
              <w:t>12</w:t>
            </w:r>
          </w:p>
        </w:tc>
      </w:tr>
      <w:tr w:rsidR="0086778F" w:rsidRPr="00D72C3D" w:rsidTr="00DC200E">
        <w:trPr>
          <w:trHeight w:val="20"/>
        </w:trPr>
        <w:tc>
          <w:tcPr>
            <w:tcW w:w="62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rPr>
                <w:rFonts w:eastAsia="Calibri" w:cs="Arial"/>
              </w:rPr>
            </w:pPr>
            <w:r w:rsidRPr="00D72C3D">
              <w:rPr>
                <w:rFonts w:cs="Arial"/>
              </w:rPr>
              <w:t>úplné střední odborné vzdělání dosažené absolvováním studijních programů SOU ukončených maturitou a vzdělávacích programů SOU i SOŠ</w:t>
            </w:r>
          </w:p>
        </w:tc>
        <w:tc>
          <w:tcPr>
            <w:tcW w:w="10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rPr>
            </w:pPr>
            <w:r w:rsidRPr="00D72C3D">
              <w:rPr>
                <w:rFonts w:cs="Arial"/>
              </w:rPr>
              <w:t>6 201</w:t>
            </w:r>
          </w:p>
        </w:tc>
        <w:tc>
          <w:tcPr>
            <w:tcW w:w="9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rPr>
            </w:pPr>
            <w:r w:rsidRPr="00D72C3D">
              <w:rPr>
                <w:rFonts w:cs="Arial"/>
              </w:rPr>
              <w:t>370</w:t>
            </w:r>
          </w:p>
        </w:tc>
        <w:tc>
          <w:tcPr>
            <w:tcW w:w="10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rPr>
            </w:pPr>
            <w:r w:rsidRPr="00D72C3D">
              <w:rPr>
                <w:rFonts w:cs="Arial"/>
              </w:rPr>
              <w:t>6 571</w:t>
            </w:r>
          </w:p>
        </w:tc>
      </w:tr>
      <w:tr w:rsidR="0086778F" w:rsidRPr="00D72C3D" w:rsidTr="00DC200E">
        <w:trPr>
          <w:trHeight w:val="20"/>
        </w:trPr>
        <w:tc>
          <w:tcPr>
            <w:tcW w:w="6233"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rPr>
                <w:rFonts w:eastAsia="Calibri" w:cs="Arial"/>
              </w:rPr>
            </w:pPr>
            <w:r w:rsidRPr="00D72C3D">
              <w:rPr>
                <w:rFonts w:cs="Arial"/>
              </w:rPr>
              <w:t>úplné střední odborné vzdělání dosažené absolvováním vzdělávacích programů ukončených maturitou, s výjimkou programů uvedených v předchozím bodě</w:t>
            </w:r>
          </w:p>
        </w:tc>
        <w:tc>
          <w:tcPr>
            <w:tcW w:w="1093"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rPr>
            </w:pPr>
            <w:r>
              <w:rPr>
                <w:rFonts w:cs="Arial"/>
              </w:rPr>
              <w:t>8 884</w:t>
            </w:r>
          </w:p>
        </w:tc>
        <w:tc>
          <w:tcPr>
            <w:tcW w:w="95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rPr>
            </w:pPr>
            <w:r>
              <w:rPr>
                <w:rFonts w:cs="Arial"/>
              </w:rPr>
              <w:t>1 340</w:t>
            </w:r>
          </w:p>
        </w:tc>
        <w:tc>
          <w:tcPr>
            <w:tcW w:w="1005"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rPr>
            </w:pPr>
            <w:r>
              <w:rPr>
                <w:rFonts w:cs="Arial"/>
              </w:rPr>
              <w:t>10 224</w:t>
            </w:r>
          </w:p>
        </w:tc>
      </w:tr>
      <w:tr w:rsidR="0086778F" w:rsidRPr="00D72C3D" w:rsidTr="00DC200E">
        <w:trPr>
          <w:trHeight w:val="581"/>
        </w:trPr>
        <w:tc>
          <w:tcPr>
            <w:tcW w:w="62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rPr>
                <w:rFonts w:eastAsia="Calibri" w:cs="Arial"/>
              </w:rPr>
            </w:pPr>
            <w:r w:rsidRPr="00D72C3D">
              <w:rPr>
                <w:rFonts w:cs="Arial"/>
              </w:rPr>
              <w:t>úplné střední všeobecné vzdělání</w:t>
            </w:r>
          </w:p>
        </w:tc>
        <w:tc>
          <w:tcPr>
            <w:tcW w:w="1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rPr>
            </w:pPr>
            <w:r w:rsidRPr="00D72C3D">
              <w:rPr>
                <w:rFonts w:cs="Arial"/>
              </w:rPr>
              <w:t>2 361</w:t>
            </w:r>
          </w:p>
        </w:tc>
        <w:tc>
          <w:tcPr>
            <w:tcW w:w="9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rPr>
            </w:pPr>
            <w:r w:rsidRPr="00D72C3D">
              <w:rPr>
                <w:rFonts w:cs="Arial"/>
              </w:rPr>
              <w:t>415</w:t>
            </w:r>
          </w:p>
        </w:tc>
        <w:tc>
          <w:tcPr>
            <w:tcW w:w="10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rPr>
            </w:pPr>
            <w:r w:rsidRPr="00D72C3D">
              <w:rPr>
                <w:rFonts w:cs="Arial"/>
              </w:rPr>
              <w:t>2 776</w:t>
            </w:r>
          </w:p>
        </w:tc>
      </w:tr>
      <w:tr w:rsidR="0086778F" w:rsidRPr="00D72C3D" w:rsidTr="00DC200E">
        <w:trPr>
          <w:trHeight w:val="717"/>
        </w:trPr>
        <w:tc>
          <w:tcPr>
            <w:tcW w:w="62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rPr>
                <w:rFonts w:eastAsia="Calibri" w:cs="Arial"/>
              </w:rPr>
            </w:pPr>
            <w:r w:rsidRPr="00D72C3D">
              <w:rPr>
                <w:rFonts w:cs="Arial"/>
              </w:rPr>
              <w:lastRenderedPageBreak/>
              <w:t>vyšší odborné vzdělání v konzervatoři</w:t>
            </w:r>
          </w:p>
        </w:tc>
        <w:tc>
          <w:tcPr>
            <w:tcW w:w="1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rPr>
            </w:pPr>
            <w:r w:rsidRPr="00D72C3D">
              <w:rPr>
                <w:rFonts w:cs="Arial"/>
              </w:rPr>
              <w:t>3</w:t>
            </w:r>
          </w:p>
        </w:tc>
        <w:tc>
          <w:tcPr>
            <w:tcW w:w="9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6778F" w:rsidRPr="00D72C3D" w:rsidRDefault="0086778F" w:rsidP="00DC200E">
            <w:pPr>
              <w:jc w:val="center"/>
            </w:pPr>
            <w:r>
              <w:t>0</w:t>
            </w:r>
          </w:p>
        </w:tc>
        <w:tc>
          <w:tcPr>
            <w:tcW w:w="10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rPr>
            </w:pPr>
            <w:r w:rsidRPr="00D72C3D">
              <w:rPr>
                <w:rFonts w:cs="Arial"/>
              </w:rPr>
              <w:t>3</w:t>
            </w:r>
          </w:p>
        </w:tc>
      </w:tr>
      <w:tr w:rsidR="0086778F" w:rsidRPr="00D72C3D" w:rsidTr="00DC200E">
        <w:trPr>
          <w:trHeight w:val="645"/>
        </w:trPr>
        <w:tc>
          <w:tcPr>
            <w:tcW w:w="62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rPr>
                <w:rFonts w:eastAsia="Calibri" w:cs="Arial"/>
              </w:rPr>
            </w:pPr>
            <w:r w:rsidRPr="00D72C3D">
              <w:rPr>
                <w:rFonts w:cs="Arial"/>
              </w:rPr>
              <w:t>vyšší vzdělání dosažené absolvováním vzdělávacích programů vyšších odborných škol</w:t>
            </w:r>
          </w:p>
        </w:tc>
        <w:tc>
          <w:tcPr>
            <w:tcW w:w="1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rPr>
            </w:pPr>
            <w:r w:rsidRPr="00D72C3D">
              <w:rPr>
                <w:rFonts w:cs="Arial"/>
              </w:rPr>
              <w:t>1 333</w:t>
            </w:r>
          </w:p>
        </w:tc>
        <w:tc>
          <w:tcPr>
            <w:tcW w:w="9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rPr>
            </w:pPr>
            <w:r w:rsidRPr="00D72C3D">
              <w:rPr>
                <w:rFonts w:cs="Arial"/>
              </w:rPr>
              <w:t>226</w:t>
            </w:r>
          </w:p>
        </w:tc>
        <w:tc>
          <w:tcPr>
            <w:tcW w:w="10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rPr>
            </w:pPr>
            <w:r w:rsidRPr="00D72C3D">
              <w:rPr>
                <w:rFonts w:cs="Arial"/>
              </w:rPr>
              <w:t>1 559</w:t>
            </w:r>
          </w:p>
        </w:tc>
      </w:tr>
      <w:tr w:rsidR="0086778F" w:rsidRPr="00D72C3D" w:rsidTr="00DC200E">
        <w:trPr>
          <w:trHeight w:val="300"/>
        </w:trPr>
        <w:tc>
          <w:tcPr>
            <w:tcW w:w="62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rPr>
                <w:rFonts w:eastAsia="Calibri" w:cs="Arial"/>
              </w:rPr>
            </w:pPr>
            <w:r w:rsidRPr="00D72C3D">
              <w:rPr>
                <w:rFonts w:cs="Arial"/>
              </w:rPr>
              <w:t>vysokoškolské vzdělání dosažené absolvováním bakalářských studijních programů vysokých škol</w:t>
            </w:r>
          </w:p>
        </w:tc>
        <w:tc>
          <w:tcPr>
            <w:tcW w:w="1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rPr>
            </w:pPr>
            <w:r w:rsidRPr="00D72C3D">
              <w:rPr>
                <w:rFonts w:cs="Arial"/>
              </w:rPr>
              <w:t>7 927</w:t>
            </w:r>
          </w:p>
        </w:tc>
        <w:tc>
          <w:tcPr>
            <w:tcW w:w="9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rPr>
            </w:pPr>
            <w:r w:rsidRPr="00D72C3D">
              <w:rPr>
                <w:rFonts w:cs="Arial"/>
              </w:rPr>
              <w:t>1 577</w:t>
            </w:r>
          </w:p>
        </w:tc>
        <w:tc>
          <w:tcPr>
            <w:tcW w:w="10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rPr>
            </w:pPr>
            <w:r w:rsidRPr="00D72C3D">
              <w:rPr>
                <w:rFonts w:cs="Arial"/>
              </w:rPr>
              <w:t>9 504</w:t>
            </w:r>
          </w:p>
        </w:tc>
      </w:tr>
      <w:tr w:rsidR="0086778F" w:rsidRPr="00D72C3D" w:rsidTr="00DC200E">
        <w:trPr>
          <w:trHeight w:val="300"/>
        </w:trPr>
        <w:tc>
          <w:tcPr>
            <w:tcW w:w="623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rPr>
                <w:rFonts w:eastAsia="Calibri" w:cs="Arial"/>
              </w:rPr>
            </w:pPr>
            <w:r w:rsidRPr="00D72C3D">
              <w:rPr>
                <w:rFonts w:cs="Arial"/>
              </w:rPr>
              <w:t xml:space="preserve">vysokoškolské vzdělání dosažené absolvováním magisterských </w:t>
            </w:r>
            <w:r>
              <w:rPr>
                <w:rFonts w:cs="Arial"/>
              </w:rPr>
              <w:br/>
            </w:r>
            <w:r w:rsidRPr="00D72C3D">
              <w:rPr>
                <w:rFonts w:cs="Arial"/>
              </w:rPr>
              <w:t>(tj. i inženýrských a lékařských) studijních programů vysokých škol</w:t>
            </w:r>
          </w:p>
        </w:tc>
        <w:tc>
          <w:tcPr>
            <w:tcW w:w="109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rPr>
            </w:pPr>
            <w:r w:rsidRPr="00D72C3D">
              <w:rPr>
                <w:rFonts w:cs="Arial"/>
              </w:rPr>
              <w:t>7 229</w:t>
            </w:r>
          </w:p>
        </w:tc>
        <w:tc>
          <w:tcPr>
            <w:tcW w:w="9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rPr>
            </w:pPr>
            <w:r w:rsidRPr="00D72C3D">
              <w:rPr>
                <w:rFonts w:cs="Arial"/>
              </w:rPr>
              <w:t>2 188</w:t>
            </w:r>
          </w:p>
        </w:tc>
        <w:tc>
          <w:tcPr>
            <w:tcW w:w="10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rPr>
            </w:pPr>
            <w:r w:rsidRPr="00D72C3D">
              <w:rPr>
                <w:rFonts w:cs="Arial"/>
              </w:rPr>
              <w:t>9 417</w:t>
            </w:r>
          </w:p>
        </w:tc>
      </w:tr>
      <w:tr w:rsidR="0086778F" w:rsidRPr="00D72C3D" w:rsidTr="00DC200E">
        <w:trPr>
          <w:trHeight w:val="300"/>
        </w:trPr>
        <w:tc>
          <w:tcPr>
            <w:tcW w:w="6233"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rPr>
                <w:rFonts w:eastAsia="Calibri" w:cs="Arial"/>
              </w:rPr>
            </w:pPr>
            <w:r w:rsidRPr="00D72C3D">
              <w:rPr>
                <w:rFonts w:cs="Arial"/>
              </w:rPr>
              <w:t>vysokoškolské doktorské vzdělání dosažené absolvováním studia v doktorském studijním programu, postgraduální studium a vědecká výchova</w:t>
            </w:r>
          </w:p>
        </w:tc>
        <w:tc>
          <w:tcPr>
            <w:tcW w:w="1093"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rPr>
            </w:pPr>
            <w:r w:rsidRPr="00D72C3D">
              <w:rPr>
                <w:rFonts w:cs="Arial"/>
              </w:rPr>
              <w:t>73</w:t>
            </w:r>
          </w:p>
        </w:tc>
        <w:tc>
          <w:tcPr>
            <w:tcW w:w="95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rPr>
            </w:pPr>
            <w:r w:rsidRPr="00D72C3D">
              <w:rPr>
                <w:rFonts w:cs="Arial"/>
              </w:rPr>
              <w:t>30</w:t>
            </w:r>
          </w:p>
        </w:tc>
        <w:tc>
          <w:tcPr>
            <w:tcW w:w="1005"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rPr>
            </w:pPr>
            <w:r w:rsidRPr="00D72C3D">
              <w:rPr>
                <w:rFonts w:cs="Arial"/>
              </w:rPr>
              <w:t>103</w:t>
            </w:r>
          </w:p>
        </w:tc>
      </w:tr>
      <w:tr w:rsidR="0086778F" w:rsidRPr="00D72C3D" w:rsidTr="00DC200E">
        <w:trPr>
          <w:trHeight w:val="315"/>
        </w:trPr>
        <w:tc>
          <w:tcPr>
            <w:tcW w:w="62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b/>
                <w:bCs/>
              </w:rPr>
            </w:pPr>
            <w:r w:rsidRPr="00D72C3D">
              <w:rPr>
                <w:rFonts w:cs="Arial"/>
                <w:b/>
                <w:bCs/>
              </w:rPr>
              <w:t>Celkový součet</w:t>
            </w:r>
          </w:p>
        </w:tc>
        <w:tc>
          <w:tcPr>
            <w:tcW w:w="10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b/>
                <w:bCs/>
              </w:rPr>
            </w:pPr>
            <w:r w:rsidRPr="00D72C3D">
              <w:rPr>
                <w:rFonts w:cs="Arial"/>
                <w:b/>
                <w:bCs/>
              </w:rPr>
              <w:t>34 023</w:t>
            </w:r>
          </w:p>
        </w:tc>
        <w:tc>
          <w:tcPr>
            <w:tcW w:w="9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b/>
                <w:bCs/>
              </w:rPr>
            </w:pPr>
            <w:r w:rsidRPr="00D72C3D">
              <w:rPr>
                <w:rFonts w:cs="Arial"/>
                <w:b/>
                <w:bCs/>
              </w:rPr>
              <w:t>6 146</w:t>
            </w:r>
          </w:p>
        </w:tc>
        <w:tc>
          <w:tcPr>
            <w:tcW w:w="100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778F" w:rsidRPr="00D72C3D" w:rsidRDefault="0086778F" w:rsidP="00DC200E">
            <w:pPr>
              <w:spacing w:line="260" w:lineRule="atLeast"/>
              <w:jc w:val="center"/>
              <w:rPr>
                <w:rFonts w:eastAsia="Calibri" w:cs="Arial"/>
                <w:b/>
                <w:bCs/>
              </w:rPr>
            </w:pPr>
            <w:r w:rsidRPr="00D72C3D">
              <w:rPr>
                <w:rFonts w:cs="Arial"/>
                <w:b/>
                <w:bCs/>
              </w:rPr>
              <w:t>40 169</w:t>
            </w:r>
          </w:p>
        </w:tc>
      </w:tr>
    </w:tbl>
    <w:p w:rsidR="00224792" w:rsidRDefault="00224792" w:rsidP="003718C3">
      <w:pPr>
        <w:pStyle w:val="Nadpis1"/>
      </w:pPr>
    </w:p>
    <w:p w:rsidR="00224792" w:rsidRDefault="00896FD6" w:rsidP="003718C3">
      <w:pPr>
        <w:pStyle w:val="Nadpis1"/>
      </w:pPr>
      <w:bookmarkStart w:id="36" w:name="_Toc514782426"/>
      <w:r>
        <w:t>Příloha 3 – P</w:t>
      </w:r>
      <w:r w:rsidR="00214FCD">
        <w:t>rojekty realizované v rámci rozvojové spolupráce a humanitární pomoci</w:t>
      </w:r>
      <w:bookmarkEnd w:id="36"/>
    </w:p>
    <w:p w:rsidR="00224792" w:rsidRDefault="00224792" w:rsidP="003718C3">
      <w:pPr>
        <w:pStyle w:val="Nadpis1"/>
      </w:pPr>
    </w:p>
    <w:p w:rsidR="00C24C2E" w:rsidRDefault="00C24C2E" w:rsidP="00C24C2E">
      <w:pPr>
        <w:rPr>
          <w:b/>
        </w:rPr>
      </w:pPr>
      <w:r w:rsidRPr="00FC5805">
        <w:rPr>
          <w:b/>
        </w:rPr>
        <w:t>Humanitární projekty 2017 – prevence genderového násilí</w:t>
      </w:r>
    </w:p>
    <w:p w:rsidR="003718C3" w:rsidRPr="003718C3" w:rsidRDefault="003718C3" w:rsidP="00C24C2E">
      <w:pPr>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685"/>
        <w:gridCol w:w="1134"/>
        <w:gridCol w:w="2835"/>
      </w:tblGrid>
      <w:tr w:rsidR="00C24C2E" w:rsidTr="00A92AF0">
        <w:tc>
          <w:tcPr>
            <w:tcW w:w="1668" w:type="dxa"/>
            <w:shd w:val="clear" w:color="auto" w:fill="auto"/>
          </w:tcPr>
          <w:p w:rsidR="00C24C2E" w:rsidRPr="0048226F" w:rsidRDefault="00C24C2E" w:rsidP="001C0F72">
            <w:pPr>
              <w:rPr>
                <w:sz w:val="20"/>
                <w:szCs w:val="20"/>
              </w:rPr>
            </w:pPr>
            <w:r w:rsidRPr="0048226F">
              <w:rPr>
                <w:sz w:val="20"/>
                <w:szCs w:val="20"/>
              </w:rPr>
              <w:t>Realizátor</w:t>
            </w:r>
          </w:p>
        </w:tc>
        <w:tc>
          <w:tcPr>
            <w:tcW w:w="3685" w:type="dxa"/>
            <w:shd w:val="clear" w:color="auto" w:fill="auto"/>
          </w:tcPr>
          <w:p w:rsidR="00C24C2E" w:rsidRPr="0048226F" w:rsidRDefault="00C24C2E" w:rsidP="001C0F72">
            <w:pPr>
              <w:rPr>
                <w:sz w:val="20"/>
                <w:szCs w:val="20"/>
              </w:rPr>
            </w:pPr>
            <w:r w:rsidRPr="0048226F">
              <w:rPr>
                <w:sz w:val="20"/>
                <w:szCs w:val="20"/>
              </w:rPr>
              <w:t>Projekt</w:t>
            </w:r>
          </w:p>
        </w:tc>
        <w:tc>
          <w:tcPr>
            <w:tcW w:w="1134" w:type="dxa"/>
            <w:shd w:val="clear" w:color="auto" w:fill="auto"/>
          </w:tcPr>
          <w:p w:rsidR="00C24C2E" w:rsidRPr="0048226F" w:rsidRDefault="00C24C2E" w:rsidP="001C0F72">
            <w:pPr>
              <w:rPr>
                <w:sz w:val="20"/>
                <w:szCs w:val="20"/>
              </w:rPr>
            </w:pPr>
            <w:r w:rsidRPr="0048226F">
              <w:rPr>
                <w:sz w:val="20"/>
                <w:szCs w:val="20"/>
              </w:rPr>
              <w:t>Částka (Kč)</w:t>
            </w:r>
          </w:p>
        </w:tc>
        <w:tc>
          <w:tcPr>
            <w:tcW w:w="2835" w:type="dxa"/>
            <w:shd w:val="clear" w:color="auto" w:fill="auto"/>
          </w:tcPr>
          <w:p w:rsidR="00C24C2E" w:rsidRPr="0048226F" w:rsidRDefault="00C24C2E" w:rsidP="001C0F72">
            <w:pPr>
              <w:rPr>
                <w:sz w:val="20"/>
                <w:szCs w:val="20"/>
              </w:rPr>
            </w:pPr>
            <w:r w:rsidRPr="0048226F">
              <w:rPr>
                <w:sz w:val="20"/>
                <w:szCs w:val="20"/>
              </w:rPr>
              <w:t>Genderový aspekt</w:t>
            </w:r>
          </w:p>
        </w:tc>
      </w:tr>
      <w:tr w:rsidR="00C24C2E" w:rsidTr="00A92AF0">
        <w:tc>
          <w:tcPr>
            <w:tcW w:w="1668" w:type="dxa"/>
            <w:shd w:val="clear" w:color="auto" w:fill="auto"/>
          </w:tcPr>
          <w:p w:rsidR="00C24C2E" w:rsidRPr="0048226F" w:rsidRDefault="00C24C2E" w:rsidP="001C0F72">
            <w:pPr>
              <w:rPr>
                <w:sz w:val="20"/>
                <w:szCs w:val="20"/>
              </w:rPr>
            </w:pPr>
            <w:r w:rsidRPr="0048226F">
              <w:rPr>
                <w:sz w:val="20"/>
                <w:szCs w:val="20"/>
              </w:rPr>
              <w:t>Člověk v tísni</w:t>
            </w:r>
          </w:p>
        </w:tc>
        <w:tc>
          <w:tcPr>
            <w:tcW w:w="3685" w:type="dxa"/>
            <w:shd w:val="clear" w:color="auto" w:fill="auto"/>
          </w:tcPr>
          <w:p w:rsidR="00C24C2E" w:rsidRPr="0048226F" w:rsidRDefault="00C24C2E" w:rsidP="001C0F72">
            <w:pPr>
              <w:jc w:val="both"/>
              <w:rPr>
                <w:sz w:val="20"/>
                <w:szCs w:val="20"/>
              </w:rPr>
            </w:pPr>
            <w:r w:rsidRPr="0048226F">
              <w:rPr>
                <w:sz w:val="20"/>
                <w:szCs w:val="20"/>
              </w:rPr>
              <w:t>Kvalitní vzdělávání a psychosociální pomoc pro děti ve školním věku a urgentní potravinová pomoc pro čerstvě vysídlené obyvatele na severu Sýrie</w:t>
            </w:r>
          </w:p>
        </w:tc>
        <w:tc>
          <w:tcPr>
            <w:tcW w:w="1134" w:type="dxa"/>
            <w:shd w:val="clear" w:color="auto" w:fill="auto"/>
          </w:tcPr>
          <w:p w:rsidR="00C24C2E" w:rsidRPr="0048226F" w:rsidRDefault="00C24C2E" w:rsidP="001C0F72">
            <w:pPr>
              <w:jc w:val="center"/>
              <w:rPr>
                <w:rFonts w:eastAsia="Arial Unicode MS"/>
                <w:sz w:val="20"/>
                <w:szCs w:val="20"/>
              </w:rPr>
            </w:pPr>
            <w:r w:rsidRPr="0048226F">
              <w:rPr>
                <w:rFonts w:eastAsia="Arial Unicode MS"/>
                <w:sz w:val="20"/>
                <w:szCs w:val="20"/>
              </w:rPr>
              <w:t>4.000.000</w:t>
            </w:r>
          </w:p>
        </w:tc>
        <w:tc>
          <w:tcPr>
            <w:tcW w:w="2835" w:type="dxa"/>
            <w:shd w:val="clear" w:color="auto" w:fill="auto"/>
          </w:tcPr>
          <w:p w:rsidR="00C24C2E" w:rsidRPr="0048226F" w:rsidRDefault="00C24C2E" w:rsidP="001C0F72">
            <w:pPr>
              <w:rPr>
                <w:sz w:val="20"/>
                <w:szCs w:val="20"/>
              </w:rPr>
            </w:pPr>
            <w:r w:rsidRPr="0048226F">
              <w:rPr>
                <w:sz w:val="20"/>
                <w:szCs w:val="20"/>
              </w:rPr>
              <w:t>Ochrana a osvěta (děti i dospělí)</w:t>
            </w:r>
          </w:p>
        </w:tc>
      </w:tr>
      <w:tr w:rsidR="00C24C2E" w:rsidTr="00A92AF0">
        <w:tc>
          <w:tcPr>
            <w:tcW w:w="1668" w:type="dxa"/>
            <w:shd w:val="clear" w:color="auto" w:fill="auto"/>
          </w:tcPr>
          <w:p w:rsidR="00C24C2E" w:rsidRPr="0048226F" w:rsidRDefault="00C24C2E" w:rsidP="001C0F72">
            <w:pPr>
              <w:jc w:val="both"/>
              <w:rPr>
                <w:sz w:val="20"/>
                <w:szCs w:val="20"/>
              </w:rPr>
            </w:pPr>
            <w:r w:rsidRPr="0048226F">
              <w:rPr>
                <w:sz w:val="20"/>
                <w:szCs w:val="20"/>
              </w:rPr>
              <w:t>Charita ČR</w:t>
            </w:r>
          </w:p>
        </w:tc>
        <w:tc>
          <w:tcPr>
            <w:tcW w:w="3685" w:type="dxa"/>
            <w:shd w:val="clear" w:color="auto" w:fill="auto"/>
          </w:tcPr>
          <w:p w:rsidR="00C24C2E" w:rsidRPr="0048226F" w:rsidRDefault="00C24C2E" w:rsidP="001C0F72">
            <w:pPr>
              <w:jc w:val="both"/>
              <w:rPr>
                <w:sz w:val="20"/>
                <w:szCs w:val="20"/>
              </w:rPr>
            </w:pPr>
            <w:r w:rsidRPr="0048226F">
              <w:rPr>
                <w:sz w:val="20"/>
                <w:szCs w:val="20"/>
              </w:rPr>
              <w:t>Pomoc pro nejzranitelnější v Damašku</w:t>
            </w:r>
          </w:p>
        </w:tc>
        <w:tc>
          <w:tcPr>
            <w:tcW w:w="1134" w:type="dxa"/>
            <w:shd w:val="clear" w:color="auto" w:fill="auto"/>
          </w:tcPr>
          <w:p w:rsidR="00C24C2E" w:rsidRPr="0048226F" w:rsidRDefault="00C24C2E" w:rsidP="001C0F72">
            <w:pPr>
              <w:jc w:val="center"/>
              <w:rPr>
                <w:rFonts w:eastAsia="Arial Unicode MS"/>
                <w:sz w:val="20"/>
                <w:szCs w:val="20"/>
              </w:rPr>
            </w:pPr>
            <w:r w:rsidRPr="0048226F">
              <w:rPr>
                <w:rFonts w:eastAsia="Arial Unicode MS"/>
                <w:sz w:val="20"/>
                <w:szCs w:val="20"/>
              </w:rPr>
              <w:t>4.000.000</w:t>
            </w:r>
          </w:p>
        </w:tc>
        <w:tc>
          <w:tcPr>
            <w:tcW w:w="2835" w:type="dxa"/>
            <w:shd w:val="clear" w:color="auto" w:fill="auto"/>
          </w:tcPr>
          <w:p w:rsidR="00C24C2E" w:rsidRPr="0048226F" w:rsidRDefault="00C24C2E" w:rsidP="001C0F72">
            <w:pPr>
              <w:rPr>
                <w:sz w:val="20"/>
                <w:szCs w:val="20"/>
              </w:rPr>
            </w:pPr>
            <w:r w:rsidRPr="0048226F">
              <w:rPr>
                <w:sz w:val="20"/>
                <w:szCs w:val="20"/>
              </w:rPr>
              <w:t>Ochrana samoživitelek</w:t>
            </w:r>
          </w:p>
        </w:tc>
      </w:tr>
      <w:tr w:rsidR="00C24C2E" w:rsidTr="00A92AF0">
        <w:tc>
          <w:tcPr>
            <w:tcW w:w="1668" w:type="dxa"/>
            <w:shd w:val="clear" w:color="auto" w:fill="auto"/>
          </w:tcPr>
          <w:p w:rsidR="00C24C2E" w:rsidRPr="0048226F" w:rsidRDefault="00C24C2E" w:rsidP="001C0F72">
            <w:pPr>
              <w:rPr>
                <w:sz w:val="20"/>
                <w:szCs w:val="20"/>
              </w:rPr>
            </w:pPr>
            <w:r w:rsidRPr="0048226F">
              <w:rPr>
                <w:sz w:val="20"/>
                <w:szCs w:val="20"/>
              </w:rPr>
              <w:t>Magna Děti v tísni</w:t>
            </w:r>
          </w:p>
        </w:tc>
        <w:tc>
          <w:tcPr>
            <w:tcW w:w="3685" w:type="dxa"/>
            <w:shd w:val="clear" w:color="auto" w:fill="auto"/>
          </w:tcPr>
          <w:p w:rsidR="00C24C2E" w:rsidRPr="0048226F" w:rsidRDefault="00C24C2E" w:rsidP="001C0F72">
            <w:pPr>
              <w:jc w:val="both"/>
              <w:rPr>
                <w:sz w:val="20"/>
                <w:szCs w:val="20"/>
              </w:rPr>
            </w:pPr>
            <w:r w:rsidRPr="0048226F">
              <w:rPr>
                <w:sz w:val="20"/>
                <w:szCs w:val="20"/>
              </w:rPr>
              <w:t>Snížení nemocnosti a úmrtnosti prostřednictvím poskytování život-zachraňující základní a pohotovostní zdravotní a lékařské péče, včetně specializované porodnické péče pro zranitelnou vnitřně vysídlenou populaci (IDP) a konfliktem zmítané komunity v obklíčených oblastech severně od města Homs v Sýrii</w:t>
            </w:r>
          </w:p>
        </w:tc>
        <w:tc>
          <w:tcPr>
            <w:tcW w:w="1134" w:type="dxa"/>
            <w:shd w:val="clear" w:color="auto" w:fill="auto"/>
          </w:tcPr>
          <w:p w:rsidR="00C24C2E" w:rsidRPr="0048226F" w:rsidRDefault="00C24C2E" w:rsidP="001C0F72">
            <w:pPr>
              <w:rPr>
                <w:sz w:val="20"/>
                <w:szCs w:val="20"/>
              </w:rPr>
            </w:pPr>
          </w:p>
        </w:tc>
        <w:tc>
          <w:tcPr>
            <w:tcW w:w="2835" w:type="dxa"/>
            <w:shd w:val="clear" w:color="auto" w:fill="auto"/>
          </w:tcPr>
          <w:p w:rsidR="00C24C2E" w:rsidRPr="0048226F" w:rsidRDefault="00C24C2E" w:rsidP="001C0F72">
            <w:pPr>
              <w:rPr>
                <w:sz w:val="20"/>
                <w:szCs w:val="20"/>
              </w:rPr>
            </w:pPr>
            <w:r w:rsidRPr="0048226F">
              <w:rPr>
                <w:sz w:val="20"/>
                <w:szCs w:val="20"/>
              </w:rPr>
              <w:t>Prevence zneužití i pomoc zneužitým ženám a dětem</w:t>
            </w:r>
          </w:p>
        </w:tc>
      </w:tr>
      <w:tr w:rsidR="00C24C2E" w:rsidTr="00A92AF0">
        <w:tc>
          <w:tcPr>
            <w:tcW w:w="1668" w:type="dxa"/>
            <w:shd w:val="clear" w:color="auto" w:fill="auto"/>
          </w:tcPr>
          <w:p w:rsidR="00C24C2E" w:rsidRPr="0048226F" w:rsidRDefault="00C24C2E" w:rsidP="001C0F72">
            <w:pPr>
              <w:jc w:val="both"/>
              <w:rPr>
                <w:sz w:val="20"/>
                <w:szCs w:val="20"/>
              </w:rPr>
            </w:pPr>
            <w:r w:rsidRPr="0048226F">
              <w:rPr>
                <w:sz w:val="20"/>
                <w:szCs w:val="20"/>
              </w:rPr>
              <w:t>DČCE</w:t>
            </w:r>
          </w:p>
        </w:tc>
        <w:tc>
          <w:tcPr>
            <w:tcW w:w="3685" w:type="dxa"/>
            <w:shd w:val="clear" w:color="auto" w:fill="auto"/>
          </w:tcPr>
          <w:p w:rsidR="00C24C2E" w:rsidRPr="0048226F" w:rsidRDefault="00C24C2E" w:rsidP="001C0F72">
            <w:pPr>
              <w:jc w:val="both"/>
              <w:rPr>
                <w:sz w:val="20"/>
                <w:szCs w:val="20"/>
              </w:rPr>
            </w:pPr>
            <w:r w:rsidRPr="0048226F">
              <w:rPr>
                <w:color w:val="000000"/>
                <w:sz w:val="20"/>
                <w:szCs w:val="20"/>
              </w:rPr>
              <w:t>Program psychosociální podpory pro válkou stižené uprchlíky v Jordánsku</w:t>
            </w:r>
          </w:p>
        </w:tc>
        <w:tc>
          <w:tcPr>
            <w:tcW w:w="1134" w:type="dxa"/>
            <w:shd w:val="clear" w:color="auto" w:fill="auto"/>
          </w:tcPr>
          <w:p w:rsidR="00C24C2E" w:rsidRPr="0048226F" w:rsidRDefault="00C24C2E" w:rsidP="001C0F72">
            <w:pPr>
              <w:jc w:val="center"/>
              <w:rPr>
                <w:sz w:val="20"/>
                <w:szCs w:val="20"/>
              </w:rPr>
            </w:pPr>
            <w:r w:rsidRPr="0048226F">
              <w:rPr>
                <w:color w:val="000000"/>
                <w:sz w:val="20"/>
                <w:szCs w:val="20"/>
              </w:rPr>
              <w:t>3.286.870</w:t>
            </w:r>
          </w:p>
        </w:tc>
        <w:tc>
          <w:tcPr>
            <w:tcW w:w="2835" w:type="dxa"/>
            <w:shd w:val="clear" w:color="auto" w:fill="auto"/>
          </w:tcPr>
          <w:p w:rsidR="00C24C2E" w:rsidRPr="0048226F" w:rsidRDefault="00C24C2E" w:rsidP="001C0F72">
            <w:pPr>
              <w:rPr>
                <w:sz w:val="20"/>
                <w:szCs w:val="20"/>
              </w:rPr>
            </w:pPr>
            <w:r w:rsidRPr="0048226F">
              <w:rPr>
                <w:sz w:val="20"/>
                <w:szCs w:val="20"/>
              </w:rPr>
              <w:t>Ochrana a podpora dívek v táboře Zátárí</w:t>
            </w:r>
          </w:p>
        </w:tc>
      </w:tr>
      <w:tr w:rsidR="00C24C2E" w:rsidTr="00A92AF0">
        <w:tc>
          <w:tcPr>
            <w:tcW w:w="1668" w:type="dxa"/>
            <w:shd w:val="clear" w:color="auto" w:fill="auto"/>
          </w:tcPr>
          <w:p w:rsidR="00C24C2E" w:rsidRPr="0048226F" w:rsidRDefault="00C24C2E" w:rsidP="001C0F72">
            <w:pPr>
              <w:rPr>
                <w:sz w:val="20"/>
                <w:szCs w:val="20"/>
              </w:rPr>
            </w:pPr>
            <w:r w:rsidRPr="0048226F">
              <w:rPr>
                <w:sz w:val="20"/>
                <w:szCs w:val="20"/>
              </w:rPr>
              <w:t>Člověk v tísni</w:t>
            </w:r>
          </w:p>
        </w:tc>
        <w:tc>
          <w:tcPr>
            <w:tcW w:w="3685" w:type="dxa"/>
            <w:shd w:val="clear" w:color="auto" w:fill="auto"/>
          </w:tcPr>
          <w:p w:rsidR="00C24C2E" w:rsidRPr="0048226F" w:rsidRDefault="00C24C2E" w:rsidP="001C0F72">
            <w:pPr>
              <w:jc w:val="both"/>
              <w:rPr>
                <w:sz w:val="20"/>
                <w:szCs w:val="20"/>
              </w:rPr>
            </w:pPr>
            <w:r w:rsidRPr="0048226F">
              <w:rPr>
                <w:color w:val="000000"/>
                <w:sz w:val="20"/>
                <w:szCs w:val="20"/>
              </w:rPr>
              <w:t>Návrat do škol: Podpora přístupu ke vzdělání a psychosociální podpoře pro děti postižené konfliktem v severním Iráku</w:t>
            </w:r>
          </w:p>
        </w:tc>
        <w:tc>
          <w:tcPr>
            <w:tcW w:w="1134" w:type="dxa"/>
            <w:shd w:val="clear" w:color="auto" w:fill="auto"/>
          </w:tcPr>
          <w:p w:rsidR="00C24C2E" w:rsidRPr="0048226F" w:rsidRDefault="00C24C2E" w:rsidP="001C0F72">
            <w:pPr>
              <w:jc w:val="center"/>
              <w:rPr>
                <w:sz w:val="20"/>
                <w:szCs w:val="20"/>
              </w:rPr>
            </w:pPr>
            <w:r w:rsidRPr="0048226F">
              <w:rPr>
                <w:rFonts w:eastAsia="Arial Unicode MS"/>
                <w:sz w:val="20"/>
                <w:szCs w:val="20"/>
              </w:rPr>
              <w:t>4.000.000</w:t>
            </w:r>
          </w:p>
        </w:tc>
        <w:tc>
          <w:tcPr>
            <w:tcW w:w="2835" w:type="dxa"/>
            <w:shd w:val="clear" w:color="auto" w:fill="auto"/>
          </w:tcPr>
          <w:p w:rsidR="00C24C2E" w:rsidRPr="0048226F" w:rsidRDefault="00C24C2E" w:rsidP="001C0F72">
            <w:pPr>
              <w:rPr>
                <w:sz w:val="20"/>
                <w:szCs w:val="20"/>
              </w:rPr>
            </w:pPr>
            <w:r w:rsidRPr="0048226F">
              <w:rPr>
                <w:sz w:val="20"/>
                <w:szCs w:val="20"/>
              </w:rPr>
              <w:t>Ochrana a osvěta (děti i dospělí)</w:t>
            </w:r>
          </w:p>
        </w:tc>
      </w:tr>
      <w:tr w:rsidR="00C24C2E" w:rsidTr="00A92AF0">
        <w:tc>
          <w:tcPr>
            <w:tcW w:w="1668" w:type="dxa"/>
            <w:shd w:val="clear" w:color="auto" w:fill="auto"/>
          </w:tcPr>
          <w:p w:rsidR="00C24C2E" w:rsidRPr="0048226F" w:rsidRDefault="00C24C2E" w:rsidP="001C0F72">
            <w:pPr>
              <w:jc w:val="both"/>
              <w:rPr>
                <w:sz w:val="20"/>
                <w:szCs w:val="20"/>
              </w:rPr>
            </w:pPr>
            <w:r w:rsidRPr="0048226F">
              <w:rPr>
                <w:sz w:val="20"/>
                <w:szCs w:val="20"/>
              </w:rPr>
              <w:t>Charita ČR</w:t>
            </w:r>
          </w:p>
        </w:tc>
        <w:tc>
          <w:tcPr>
            <w:tcW w:w="3685" w:type="dxa"/>
            <w:shd w:val="clear" w:color="auto" w:fill="auto"/>
          </w:tcPr>
          <w:p w:rsidR="00C24C2E" w:rsidRPr="0048226F" w:rsidRDefault="00C24C2E" w:rsidP="001C0F72">
            <w:pPr>
              <w:jc w:val="both"/>
              <w:rPr>
                <w:rFonts w:ascii="Lucida Sans Unicode" w:hAnsi="Lucida Sans Unicode" w:cs="Lucida Sans Unicode"/>
                <w:sz w:val="20"/>
                <w:szCs w:val="20"/>
              </w:rPr>
            </w:pPr>
            <w:r w:rsidRPr="0048226F">
              <w:rPr>
                <w:sz w:val="20"/>
                <w:szCs w:val="20"/>
              </w:rPr>
              <w:t>Předporodní péče o ohrožené ženy v Libanonu</w:t>
            </w:r>
          </w:p>
        </w:tc>
        <w:tc>
          <w:tcPr>
            <w:tcW w:w="1134" w:type="dxa"/>
            <w:shd w:val="clear" w:color="auto" w:fill="auto"/>
          </w:tcPr>
          <w:p w:rsidR="00C24C2E" w:rsidRPr="0048226F" w:rsidRDefault="00C24C2E" w:rsidP="001C0F72">
            <w:pPr>
              <w:jc w:val="center"/>
              <w:rPr>
                <w:color w:val="000000"/>
                <w:sz w:val="20"/>
                <w:szCs w:val="20"/>
              </w:rPr>
            </w:pPr>
            <w:r w:rsidRPr="0048226F">
              <w:rPr>
                <w:color w:val="000000"/>
                <w:sz w:val="20"/>
                <w:szCs w:val="20"/>
              </w:rPr>
              <w:t>3.701.966</w:t>
            </w:r>
          </w:p>
          <w:p w:rsidR="00C24C2E" w:rsidRPr="0048226F" w:rsidRDefault="00C24C2E" w:rsidP="001C0F72">
            <w:pPr>
              <w:jc w:val="center"/>
              <w:rPr>
                <w:rFonts w:eastAsia="Arial Unicode MS"/>
                <w:sz w:val="20"/>
                <w:szCs w:val="20"/>
              </w:rPr>
            </w:pPr>
          </w:p>
        </w:tc>
        <w:tc>
          <w:tcPr>
            <w:tcW w:w="2835" w:type="dxa"/>
            <w:shd w:val="clear" w:color="auto" w:fill="auto"/>
          </w:tcPr>
          <w:p w:rsidR="00C24C2E" w:rsidRPr="0048226F" w:rsidRDefault="00C24C2E" w:rsidP="001C0F72">
            <w:pPr>
              <w:rPr>
                <w:sz w:val="20"/>
                <w:szCs w:val="20"/>
              </w:rPr>
            </w:pPr>
            <w:r w:rsidRPr="0048226F">
              <w:rPr>
                <w:sz w:val="20"/>
                <w:szCs w:val="20"/>
              </w:rPr>
              <w:t>Ochrana, prevence zneužití a příliš časného těhotenství, péče o těhotné dívky a ženy (syrští uprchlíci)</w:t>
            </w:r>
          </w:p>
        </w:tc>
      </w:tr>
      <w:tr w:rsidR="00C24C2E" w:rsidTr="00A92AF0">
        <w:tc>
          <w:tcPr>
            <w:tcW w:w="1668" w:type="dxa"/>
            <w:shd w:val="clear" w:color="auto" w:fill="auto"/>
          </w:tcPr>
          <w:p w:rsidR="00C24C2E" w:rsidRPr="0048226F" w:rsidRDefault="00C24C2E" w:rsidP="001C0F72">
            <w:pPr>
              <w:rPr>
                <w:sz w:val="20"/>
                <w:szCs w:val="20"/>
              </w:rPr>
            </w:pPr>
            <w:r w:rsidRPr="0048226F">
              <w:rPr>
                <w:sz w:val="20"/>
                <w:szCs w:val="20"/>
              </w:rPr>
              <w:t>Magna Děti v tísni</w:t>
            </w:r>
          </w:p>
        </w:tc>
        <w:tc>
          <w:tcPr>
            <w:tcW w:w="3685" w:type="dxa"/>
            <w:shd w:val="clear" w:color="auto" w:fill="auto"/>
          </w:tcPr>
          <w:p w:rsidR="00C24C2E" w:rsidRPr="0048226F" w:rsidRDefault="00C24C2E" w:rsidP="001C0F72">
            <w:pPr>
              <w:jc w:val="both"/>
              <w:rPr>
                <w:sz w:val="20"/>
                <w:szCs w:val="20"/>
              </w:rPr>
            </w:pPr>
            <w:r w:rsidRPr="0048226F">
              <w:rPr>
                <w:color w:val="000000"/>
                <w:sz w:val="20"/>
                <w:szCs w:val="20"/>
              </w:rPr>
              <w:t xml:space="preserve">Poskytování pohotovostní primární </w:t>
            </w:r>
            <w:r w:rsidRPr="0048226F">
              <w:rPr>
                <w:sz w:val="20"/>
                <w:szCs w:val="20"/>
              </w:rPr>
              <w:t>zdravotní péče prostřednictvím mobilních zdravotnických služeb v Dohuku na území Severního Iráku</w:t>
            </w:r>
          </w:p>
        </w:tc>
        <w:tc>
          <w:tcPr>
            <w:tcW w:w="1134" w:type="dxa"/>
            <w:shd w:val="clear" w:color="auto" w:fill="auto"/>
          </w:tcPr>
          <w:p w:rsidR="00C24C2E" w:rsidRPr="0048226F" w:rsidRDefault="00C24C2E" w:rsidP="001C0F72">
            <w:pPr>
              <w:jc w:val="center"/>
              <w:rPr>
                <w:rFonts w:eastAsia="Arial Unicode MS"/>
                <w:sz w:val="20"/>
                <w:szCs w:val="20"/>
              </w:rPr>
            </w:pPr>
            <w:r w:rsidRPr="0048226F">
              <w:rPr>
                <w:rFonts w:eastAsia="Arial Unicode MS"/>
                <w:sz w:val="20"/>
                <w:szCs w:val="20"/>
              </w:rPr>
              <w:t>4.000.000</w:t>
            </w:r>
          </w:p>
        </w:tc>
        <w:tc>
          <w:tcPr>
            <w:tcW w:w="2835" w:type="dxa"/>
            <w:shd w:val="clear" w:color="auto" w:fill="auto"/>
          </w:tcPr>
          <w:p w:rsidR="00C24C2E" w:rsidRPr="0048226F" w:rsidRDefault="00C24C2E" w:rsidP="001C0F72">
            <w:pPr>
              <w:rPr>
                <w:sz w:val="20"/>
                <w:szCs w:val="20"/>
              </w:rPr>
            </w:pPr>
            <w:r w:rsidRPr="0048226F">
              <w:rPr>
                <w:sz w:val="20"/>
                <w:szCs w:val="20"/>
              </w:rPr>
              <w:t>Včetně prevence zneužití a přenosu HIV/AIDS i pomoc zneužitým ženám a dětem</w:t>
            </w:r>
          </w:p>
        </w:tc>
      </w:tr>
      <w:tr w:rsidR="00C24C2E" w:rsidTr="00A92AF0">
        <w:tc>
          <w:tcPr>
            <w:tcW w:w="1668" w:type="dxa"/>
            <w:shd w:val="clear" w:color="auto" w:fill="auto"/>
          </w:tcPr>
          <w:p w:rsidR="00C24C2E" w:rsidRPr="0048226F" w:rsidRDefault="00C24C2E" w:rsidP="001C0F72">
            <w:pPr>
              <w:jc w:val="both"/>
              <w:rPr>
                <w:sz w:val="20"/>
                <w:szCs w:val="20"/>
              </w:rPr>
            </w:pPr>
            <w:r w:rsidRPr="0048226F">
              <w:rPr>
                <w:sz w:val="20"/>
                <w:szCs w:val="20"/>
              </w:rPr>
              <w:lastRenderedPageBreak/>
              <w:t>DČCE</w:t>
            </w:r>
          </w:p>
        </w:tc>
        <w:tc>
          <w:tcPr>
            <w:tcW w:w="3685" w:type="dxa"/>
            <w:shd w:val="clear" w:color="auto" w:fill="auto"/>
          </w:tcPr>
          <w:p w:rsidR="00C24C2E" w:rsidRPr="0048226F" w:rsidRDefault="00C24C2E" w:rsidP="001C0F72">
            <w:pPr>
              <w:jc w:val="both"/>
              <w:rPr>
                <w:sz w:val="20"/>
                <w:szCs w:val="20"/>
              </w:rPr>
            </w:pPr>
            <w:r w:rsidRPr="0048226F">
              <w:rPr>
                <w:color w:val="000000"/>
                <w:sz w:val="20"/>
                <w:szCs w:val="20"/>
              </w:rPr>
              <w:t>Posílení odolnosti zranitelných komunit v Rakhinském státě, Myanmar</w:t>
            </w:r>
          </w:p>
        </w:tc>
        <w:tc>
          <w:tcPr>
            <w:tcW w:w="1134" w:type="dxa"/>
            <w:shd w:val="clear" w:color="auto" w:fill="auto"/>
          </w:tcPr>
          <w:p w:rsidR="00C24C2E" w:rsidRPr="0048226F" w:rsidRDefault="00C24C2E" w:rsidP="001C0F72">
            <w:pPr>
              <w:jc w:val="center"/>
              <w:rPr>
                <w:sz w:val="20"/>
                <w:szCs w:val="20"/>
              </w:rPr>
            </w:pPr>
            <w:r w:rsidRPr="0048226F">
              <w:rPr>
                <w:rFonts w:eastAsia="Arial Unicode MS"/>
                <w:sz w:val="20"/>
                <w:szCs w:val="20"/>
              </w:rPr>
              <w:t>4.000.000</w:t>
            </w:r>
          </w:p>
        </w:tc>
        <w:tc>
          <w:tcPr>
            <w:tcW w:w="2835" w:type="dxa"/>
            <w:shd w:val="clear" w:color="auto" w:fill="auto"/>
          </w:tcPr>
          <w:p w:rsidR="00C24C2E" w:rsidRPr="0048226F" w:rsidRDefault="00C24C2E" w:rsidP="001C0F72">
            <w:pPr>
              <w:rPr>
                <w:sz w:val="20"/>
                <w:szCs w:val="20"/>
              </w:rPr>
            </w:pPr>
            <w:r w:rsidRPr="0048226F">
              <w:rPr>
                <w:sz w:val="20"/>
                <w:szCs w:val="20"/>
              </w:rPr>
              <w:t>Včetně prevence genderového násilí</w:t>
            </w:r>
          </w:p>
        </w:tc>
      </w:tr>
      <w:tr w:rsidR="00C24C2E" w:rsidTr="00A92AF0">
        <w:tc>
          <w:tcPr>
            <w:tcW w:w="1668" w:type="dxa"/>
            <w:shd w:val="clear" w:color="auto" w:fill="auto"/>
          </w:tcPr>
          <w:p w:rsidR="00C24C2E" w:rsidRPr="0048226F" w:rsidRDefault="00C24C2E" w:rsidP="001C0F72">
            <w:pPr>
              <w:rPr>
                <w:sz w:val="20"/>
                <w:szCs w:val="20"/>
              </w:rPr>
            </w:pPr>
            <w:r w:rsidRPr="0048226F">
              <w:rPr>
                <w:sz w:val="20"/>
                <w:szCs w:val="20"/>
              </w:rPr>
              <w:t>Magna Děti v tísni</w:t>
            </w:r>
          </w:p>
        </w:tc>
        <w:tc>
          <w:tcPr>
            <w:tcW w:w="3685" w:type="dxa"/>
            <w:shd w:val="clear" w:color="auto" w:fill="auto"/>
          </w:tcPr>
          <w:p w:rsidR="00C24C2E" w:rsidRPr="0048226F" w:rsidRDefault="00C24C2E" w:rsidP="001C0F72">
            <w:pPr>
              <w:jc w:val="both"/>
              <w:rPr>
                <w:rFonts w:eastAsia="Arial Unicode MS"/>
                <w:sz w:val="20"/>
                <w:szCs w:val="20"/>
              </w:rPr>
            </w:pPr>
            <w:r w:rsidRPr="0048226F">
              <w:rPr>
                <w:color w:val="000000"/>
                <w:sz w:val="20"/>
                <w:szCs w:val="20"/>
              </w:rPr>
              <w:t>Zvýšení dostupnosti zdravotní péče pro oběti ozbrojeného konfliktu a vysídlení v kraji Duk, stát Jonglei, Jižní Súdán</w:t>
            </w:r>
          </w:p>
        </w:tc>
        <w:tc>
          <w:tcPr>
            <w:tcW w:w="1134" w:type="dxa"/>
            <w:shd w:val="clear" w:color="auto" w:fill="auto"/>
          </w:tcPr>
          <w:p w:rsidR="00C24C2E" w:rsidRPr="0048226F" w:rsidRDefault="00C24C2E" w:rsidP="001C0F72">
            <w:pPr>
              <w:jc w:val="center"/>
              <w:rPr>
                <w:rFonts w:eastAsia="Arial Unicode MS"/>
                <w:sz w:val="20"/>
                <w:szCs w:val="20"/>
              </w:rPr>
            </w:pPr>
            <w:r w:rsidRPr="0048226F">
              <w:rPr>
                <w:rFonts w:eastAsia="Arial Unicode MS"/>
                <w:sz w:val="20"/>
                <w:szCs w:val="20"/>
              </w:rPr>
              <w:t>4.000.000</w:t>
            </w:r>
          </w:p>
        </w:tc>
        <w:tc>
          <w:tcPr>
            <w:tcW w:w="2835" w:type="dxa"/>
            <w:shd w:val="clear" w:color="auto" w:fill="auto"/>
          </w:tcPr>
          <w:p w:rsidR="00C24C2E" w:rsidRPr="0048226F" w:rsidRDefault="00C24C2E" w:rsidP="001C0F72">
            <w:pPr>
              <w:rPr>
                <w:sz w:val="20"/>
                <w:szCs w:val="20"/>
              </w:rPr>
            </w:pPr>
            <w:r w:rsidRPr="0048226F">
              <w:rPr>
                <w:sz w:val="20"/>
                <w:szCs w:val="20"/>
              </w:rPr>
              <w:t>Včetně prevence zneužití, pomoc zneužitým ženám, péče o těhotné a matky s dětmi</w:t>
            </w:r>
          </w:p>
        </w:tc>
      </w:tr>
      <w:tr w:rsidR="00C24C2E" w:rsidTr="00A92AF0">
        <w:tc>
          <w:tcPr>
            <w:tcW w:w="1668" w:type="dxa"/>
            <w:shd w:val="clear" w:color="auto" w:fill="auto"/>
          </w:tcPr>
          <w:p w:rsidR="00C24C2E" w:rsidRPr="0048226F" w:rsidRDefault="00C24C2E" w:rsidP="001C0F72">
            <w:pPr>
              <w:rPr>
                <w:sz w:val="20"/>
                <w:szCs w:val="20"/>
              </w:rPr>
            </w:pPr>
            <w:r w:rsidRPr="0048226F">
              <w:rPr>
                <w:sz w:val="20"/>
                <w:szCs w:val="20"/>
              </w:rPr>
              <w:t>ICRC, IOM</w:t>
            </w:r>
          </w:p>
        </w:tc>
        <w:tc>
          <w:tcPr>
            <w:tcW w:w="3685" w:type="dxa"/>
            <w:shd w:val="clear" w:color="auto" w:fill="auto"/>
          </w:tcPr>
          <w:p w:rsidR="00C24C2E" w:rsidRPr="0048226F" w:rsidRDefault="00C24C2E" w:rsidP="001C0F72">
            <w:pPr>
              <w:jc w:val="both"/>
              <w:rPr>
                <w:color w:val="000000"/>
                <w:sz w:val="20"/>
                <w:szCs w:val="20"/>
              </w:rPr>
            </w:pPr>
            <w:r w:rsidRPr="0048226F">
              <w:rPr>
                <w:color w:val="000000"/>
                <w:sz w:val="20"/>
                <w:szCs w:val="20"/>
              </w:rPr>
              <w:t>Zdravotnická pomoc a ochrana konfliktem postiženého obyvatelstva v Jemenu</w:t>
            </w:r>
          </w:p>
        </w:tc>
        <w:tc>
          <w:tcPr>
            <w:tcW w:w="1134" w:type="dxa"/>
            <w:shd w:val="clear" w:color="auto" w:fill="auto"/>
          </w:tcPr>
          <w:p w:rsidR="00C24C2E" w:rsidRPr="0048226F" w:rsidRDefault="00C24C2E" w:rsidP="001C0F72">
            <w:pPr>
              <w:jc w:val="center"/>
              <w:rPr>
                <w:rFonts w:eastAsia="Arial Unicode MS"/>
                <w:sz w:val="20"/>
                <w:szCs w:val="20"/>
              </w:rPr>
            </w:pPr>
            <w:r w:rsidRPr="0048226F">
              <w:rPr>
                <w:rFonts w:eastAsia="Arial Unicode MS"/>
                <w:sz w:val="20"/>
                <w:szCs w:val="20"/>
              </w:rPr>
              <w:t>10.000.000</w:t>
            </w:r>
          </w:p>
        </w:tc>
        <w:tc>
          <w:tcPr>
            <w:tcW w:w="2835" w:type="dxa"/>
            <w:shd w:val="clear" w:color="auto" w:fill="auto"/>
          </w:tcPr>
          <w:p w:rsidR="00C24C2E" w:rsidRPr="0048226F" w:rsidRDefault="00C24C2E" w:rsidP="001C0F72">
            <w:pPr>
              <w:rPr>
                <w:sz w:val="20"/>
                <w:szCs w:val="20"/>
              </w:rPr>
            </w:pPr>
            <w:r w:rsidRPr="0048226F">
              <w:rPr>
                <w:sz w:val="20"/>
                <w:szCs w:val="20"/>
              </w:rPr>
              <w:t>Včetně ochrany před genderovým násilím a pomoci zneužitým ženám a dětem</w:t>
            </w:r>
          </w:p>
        </w:tc>
      </w:tr>
      <w:tr w:rsidR="00C24C2E" w:rsidTr="00A92AF0">
        <w:tc>
          <w:tcPr>
            <w:tcW w:w="1668" w:type="dxa"/>
            <w:shd w:val="clear" w:color="auto" w:fill="auto"/>
          </w:tcPr>
          <w:p w:rsidR="00C24C2E" w:rsidRPr="0048226F" w:rsidRDefault="00C24C2E" w:rsidP="001C0F72">
            <w:pPr>
              <w:rPr>
                <w:sz w:val="20"/>
                <w:szCs w:val="20"/>
              </w:rPr>
            </w:pPr>
            <w:r w:rsidRPr="0048226F">
              <w:rPr>
                <w:sz w:val="20"/>
                <w:szCs w:val="20"/>
              </w:rPr>
              <w:t>IOM</w:t>
            </w:r>
          </w:p>
        </w:tc>
        <w:tc>
          <w:tcPr>
            <w:tcW w:w="3685" w:type="dxa"/>
            <w:shd w:val="clear" w:color="auto" w:fill="auto"/>
          </w:tcPr>
          <w:p w:rsidR="00C24C2E" w:rsidRPr="0048226F" w:rsidRDefault="00C24C2E" w:rsidP="001C0F72">
            <w:pPr>
              <w:jc w:val="both"/>
              <w:rPr>
                <w:sz w:val="20"/>
                <w:szCs w:val="20"/>
              </w:rPr>
            </w:pPr>
            <w:r w:rsidRPr="0048226F">
              <w:rPr>
                <w:sz w:val="20"/>
                <w:szCs w:val="20"/>
              </w:rPr>
              <w:t>Podpora navrátilců z Pákistánu do Afghánistánu</w:t>
            </w:r>
          </w:p>
        </w:tc>
        <w:tc>
          <w:tcPr>
            <w:tcW w:w="1134" w:type="dxa"/>
            <w:shd w:val="clear" w:color="auto" w:fill="auto"/>
          </w:tcPr>
          <w:p w:rsidR="00C24C2E" w:rsidRPr="0048226F" w:rsidRDefault="00C24C2E" w:rsidP="001C0F72">
            <w:pPr>
              <w:jc w:val="center"/>
              <w:rPr>
                <w:rFonts w:eastAsia="Arial Unicode MS"/>
                <w:sz w:val="20"/>
                <w:szCs w:val="20"/>
              </w:rPr>
            </w:pPr>
            <w:r w:rsidRPr="0048226F">
              <w:rPr>
                <w:rFonts w:eastAsia="Arial Unicode MS"/>
                <w:sz w:val="20"/>
                <w:szCs w:val="20"/>
              </w:rPr>
              <w:t>5.000.000</w:t>
            </w:r>
          </w:p>
        </w:tc>
        <w:tc>
          <w:tcPr>
            <w:tcW w:w="2835" w:type="dxa"/>
            <w:shd w:val="clear" w:color="auto" w:fill="auto"/>
          </w:tcPr>
          <w:p w:rsidR="00C24C2E" w:rsidRPr="0048226F" w:rsidRDefault="00C24C2E" w:rsidP="001C0F72">
            <w:pPr>
              <w:rPr>
                <w:sz w:val="20"/>
                <w:szCs w:val="20"/>
              </w:rPr>
            </w:pPr>
            <w:r w:rsidRPr="0048226F">
              <w:rPr>
                <w:sz w:val="20"/>
                <w:szCs w:val="20"/>
              </w:rPr>
              <w:t>Včetně ochrany a podpory žen</w:t>
            </w:r>
          </w:p>
        </w:tc>
      </w:tr>
      <w:tr w:rsidR="00C24C2E" w:rsidTr="00A92AF0">
        <w:tc>
          <w:tcPr>
            <w:tcW w:w="1668" w:type="dxa"/>
            <w:shd w:val="clear" w:color="auto" w:fill="auto"/>
          </w:tcPr>
          <w:p w:rsidR="00C24C2E" w:rsidRPr="0048226F" w:rsidRDefault="00C24C2E" w:rsidP="001C0F72">
            <w:pPr>
              <w:rPr>
                <w:sz w:val="20"/>
                <w:szCs w:val="20"/>
              </w:rPr>
            </w:pPr>
            <w:r w:rsidRPr="0048226F">
              <w:rPr>
                <w:sz w:val="20"/>
                <w:szCs w:val="20"/>
              </w:rPr>
              <w:t>UNHCR</w:t>
            </w:r>
          </w:p>
        </w:tc>
        <w:tc>
          <w:tcPr>
            <w:tcW w:w="3685" w:type="dxa"/>
            <w:shd w:val="clear" w:color="auto" w:fill="auto"/>
          </w:tcPr>
          <w:p w:rsidR="00C24C2E" w:rsidRPr="0048226F" w:rsidRDefault="00C24C2E" w:rsidP="001C0F72">
            <w:pPr>
              <w:jc w:val="both"/>
              <w:rPr>
                <w:sz w:val="20"/>
                <w:szCs w:val="20"/>
              </w:rPr>
            </w:pPr>
            <w:r w:rsidRPr="0048226F">
              <w:rPr>
                <w:sz w:val="20"/>
                <w:szCs w:val="20"/>
              </w:rPr>
              <w:t>Podpora afghánských uprchlíků v Íránu a Pákistánu</w:t>
            </w:r>
          </w:p>
        </w:tc>
        <w:tc>
          <w:tcPr>
            <w:tcW w:w="1134" w:type="dxa"/>
            <w:shd w:val="clear" w:color="auto" w:fill="auto"/>
          </w:tcPr>
          <w:p w:rsidR="00C24C2E" w:rsidRPr="0048226F" w:rsidRDefault="00C24C2E" w:rsidP="001C0F72">
            <w:pPr>
              <w:jc w:val="center"/>
              <w:rPr>
                <w:sz w:val="20"/>
                <w:szCs w:val="20"/>
              </w:rPr>
            </w:pPr>
            <w:r w:rsidRPr="0048226F">
              <w:rPr>
                <w:sz w:val="20"/>
                <w:szCs w:val="20"/>
              </w:rPr>
              <w:t>5.000.000</w:t>
            </w:r>
          </w:p>
        </w:tc>
        <w:tc>
          <w:tcPr>
            <w:tcW w:w="2835" w:type="dxa"/>
            <w:shd w:val="clear" w:color="auto" w:fill="auto"/>
          </w:tcPr>
          <w:p w:rsidR="00C24C2E" w:rsidRPr="0048226F" w:rsidRDefault="00C24C2E" w:rsidP="001C0F72">
            <w:pPr>
              <w:rPr>
                <w:sz w:val="20"/>
                <w:szCs w:val="20"/>
              </w:rPr>
            </w:pPr>
            <w:r w:rsidRPr="0048226F">
              <w:rPr>
                <w:sz w:val="20"/>
                <w:szCs w:val="20"/>
              </w:rPr>
              <w:t>Včetně genderových a lidskoprávních aspektů</w:t>
            </w:r>
          </w:p>
        </w:tc>
      </w:tr>
      <w:tr w:rsidR="00C24C2E" w:rsidTr="00A92AF0">
        <w:tc>
          <w:tcPr>
            <w:tcW w:w="1668" w:type="dxa"/>
            <w:shd w:val="clear" w:color="auto" w:fill="auto"/>
          </w:tcPr>
          <w:p w:rsidR="00C24C2E" w:rsidRPr="0048226F" w:rsidRDefault="00C24C2E" w:rsidP="001C0F72">
            <w:pPr>
              <w:rPr>
                <w:sz w:val="20"/>
                <w:szCs w:val="20"/>
              </w:rPr>
            </w:pPr>
            <w:r w:rsidRPr="0048226F">
              <w:rPr>
                <w:sz w:val="20"/>
                <w:szCs w:val="20"/>
              </w:rPr>
              <w:t>UNICEF</w:t>
            </w:r>
          </w:p>
        </w:tc>
        <w:tc>
          <w:tcPr>
            <w:tcW w:w="3685" w:type="dxa"/>
            <w:shd w:val="clear" w:color="auto" w:fill="auto"/>
          </w:tcPr>
          <w:p w:rsidR="00C24C2E" w:rsidRPr="0048226F" w:rsidRDefault="00C24C2E" w:rsidP="001C0F72">
            <w:pPr>
              <w:jc w:val="both"/>
              <w:rPr>
                <w:sz w:val="20"/>
                <w:szCs w:val="20"/>
              </w:rPr>
            </w:pPr>
            <w:r w:rsidRPr="0048226F">
              <w:rPr>
                <w:sz w:val="20"/>
                <w:szCs w:val="20"/>
              </w:rPr>
              <w:t>Ochrana vysídlených a osiřelých dětí v Iráku</w:t>
            </w:r>
          </w:p>
        </w:tc>
        <w:tc>
          <w:tcPr>
            <w:tcW w:w="1134" w:type="dxa"/>
            <w:shd w:val="clear" w:color="auto" w:fill="auto"/>
          </w:tcPr>
          <w:p w:rsidR="00C24C2E" w:rsidRPr="0048226F" w:rsidRDefault="00C24C2E" w:rsidP="001C0F72">
            <w:pPr>
              <w:ind w:left="-288" w:firstLine="288"/>
              <w:jc w:val="center"/>
              <w:rPr>
                <w:rFonts w:eastAsia="Arial Unicode MS"/>
                <w:sz w:val="20"/>
                <w:szCs w:val="20"/>
              </w:rPr>
            </w:pPr>
            <w:r w:rsidRPr="0048226F">
              <w:rPr>
                <w:rFonts w:eastAsia="Arial Unicode MS"/>
                <w:sz w:val="20"/>
                <w:szCs w:val="20"/>
              </w:rPr>
              <w:t>5.000.000</w:t>
            </w:r>
          </w:p>
        </w:tc>
        <w:tc>
          <w:tcPr>
            <w:tcW w:w="2835" w:type="dxa"/>
            <w:shd w:val="clear" w:color="auto" w:fill="auto"/>
          </w:tcPr>
          <w:p w:rsidR="00C24C2E" w:rsidRPr="0048226F" w:rsidRDefault="00C24C2E" w:rsidP="001C0F72">
            <w:pPr>
              <w:rPr>
                <w:sz w:val="20"/>
                <w:szCs w:val="20"/>
              </w:rPr>
            </w:pPr>
            <w:r w:rsidRPr="0048226F">
              <w:rPr>
                <w:sz w:val="20"/>
                <w:szCs w:val="20"/>
              </w:rPr>
              <w:t>Včetně prevence genderového násilí</w:t>
            </w:r>
          </w:p>
        </w:tc>
      </w:tr>
      <w:tr w:rsidR="00C24C2E" w:rsidTr="00A92AF0">
        <w:tc>
          <w:tcPr>
            <w:tcW w:w="1668" w:type="dxa"/>
            <w:shd w:val="clear" w:color="auto" w:fill="auto"/>
          </w:tcPr>
          <w:p w:rsidR="00C24C2E" w:rsidRPr="0048226F" w:rsidRDefault="00C24C2E" w:rsidP="001C0F72">
            <w:pPr>
              <w:rPr>
                <w:sz w:val="20"/>
                <w:szCs w:val="20"/>
              </w:rPr>
            </w:pPr>
            <w:r w:rsidRPr="0048226F">
              <w:rPr>
                <w:sz w:val="20"/>
                <w:szCs w:val="20"/>
              </w:rPr>
              <w:t>IOM</w:t>
            </w:r>
          </w:p>
        </w:tc>
        <w:tc>
          <w:tcPr>
            <w:tcW w:w="3685" w:type="dxa"/>
            <w:shd w:val="clear" w:color="auto" w:fill="auto"/>
          </w:tcPr>
          <w:p w:rsidR="00C24C2E" w:rsidRPr="0048226F" w:rsidRDefault="00C24C2E" w:rsidP="001C0F72">
            <w:pPr>
              <w:jc w:val="both"/>
              <w:rPr>
                <w:sz w:val="20"/>
                <w:szCs w:val="20"/>
              </w:rPr>
            </w:pPr>
            <w:r w:rsidRPr="0048226F">
              <w:rPr>
                <w:sz w:val="20"/>
                <w:szCs w:val="20"/>
              </w:rPr>
              <w:t>Pomoc nuceně vysídleným z Barmy do Bangladéše</w:t>
            </w:r>
          </w:p>
        </w:tc>
        <w:tc>
          <w:tcPr>
            <w:tcW w:w="1134" w:type="dxa"/>
            <w:shd w:val="clear" w:color="auto" w:fill="auto"/>
          </w:tcPr>
          <w:p w:rsidR="00C24C2E" w:rsidRPr="0048226F" w:rsidRDefault="00C24C2E" w:rsidP="001C0F72">
            <w:pPr>
              <w:ind w:left="-288" w:firstLine="288"/>
              <w:jc w:val="center"/>
              <w:rPr>
                <w:rFonts w:eastAsia="Arial Unicode MS"/>
                <w:sz w:val="20"/>
                <w:szCs w:val="20"/>
              </w:rPr>
            </w:pPr>
            <w:r w:rsidRPr="0048226F">
              <w:rPr>
                <w:rFonts w:eastAsia="Arial Unicode MS"/>
                <w:sz w:val="20"/>
                <w:szCs w:val="20"/>
              </w:rPr>
              <w:t>5.000.000</w:t>
            </w:r>
          </w:p>
        </w:tc>
        <w:tc>
          <w:tcPr>
            <w:tcW w:w="2835" w:type="dxa"/>
            <w:shd w:val="clear" w:color="auto" w:fill="auto"/>
          </w:tcPr>
          <w:p w:rsidR="00C24C2E" w:rsidRPr="0048226F" w:rsidRDefault="00C24C2E" w:rsidP="001C0F72">
            <w:pPr>
              <w:rPr>
                <w:sz w:val="20"/>
                <w:szCs w:val="20"/>
              </w:rPr>
            </w:pPr>
            <w:r w:rsidRPr="0048226F">
              <w:rPr>
                <w:sz w:val="20"/>
                <w:szCs w:val="20"/>
              </w:rPr>
              <w:t>Včetně prevence genderového násilí</w:t>
            </w:r>
          </w:p>
        </w:tc>
      </w:tr>
      <w:tr w:rsidR="00C24C2E" w:rsidTr="00A92AF0">
        <w:tc>
          <w:tcPr>
            <w:tcW w:w="1668" w:type="dxa"/>
            <w:shd w:val="clear" w:color="auto" w:fill="auto"/>
          </w:tcPr>
          <w:p w:rsidR="00C24C2E" w:rsidRPr="0048226F" w:rsidRDefault="00C24C2E" w:rsidP="001C0F72">
            <w:pPr>
              <w:rPr>
                <w:sz w:val="20"/>
                <w:szCs w:val="20"/>
              </w:rPr>
            </w:pPr>
            <w:r w:rsidRPr="0048226F">
              <w:rPr>
                <w:sz w:val="20"/>
                <w:szCs w:val="20"/>
              </w:rPr>
              <w:t>UNHCR</w:t>
            </w:r>
          </w:p>
        </w:tc>
        <w:tc>
          <w:tcPr>
            <w:tcW w:w="3685" w:type="dxa"/>
            <w:shd w:val="clear" w:color="auto" w:fill="auto"/>
          </w:tcPr>
          <w:p w:rsidR="00C24C2E" w:rsidRPr="0048226F" w:rsidRDefault="00C24C2E" w:rsidP="001C0F72">
            <w:pPr>
              <w:jc w:val="both"/>
              <w:rPr>
                <w:sz w:val="20"/>
                <w:szCs w:val="20"/>
              </w:rPr>
            </w:pPr>
            <w:r w:rsidRPr="0048226F">
              <w:rPr>
                <w:sz w:val="20"/>
                <w:szCs w:val="20"/>
              </w:rPr>
              <w:t xml:space="preserve">Pomoc uprchlíkům v detenčních centrech v Libyi </w:t>
            </w:r>
          </w:p>
        </w:tc>
        <w:tc>
          <w:tcPr>
            <w:tcW w:w="1134" w:type="dxa"/>
            <w:shd w:val="clear" w:color="auto" w:fill="auto"/>
          </w:tcPr>
          <w:p w:rsidR="00C24C2E" w:rsidRPr="0048226F" w:rsidRDefault="00C24C2E" w:rsidP="001C0F72">
            <w:pPr>
              <w:ind w:left="-288" w:firstLine="288"/>
              <w:jc w:val="center"/>
              <w:rPr>
                <w:rFonts w:eastAsia="Arial Unicode MS"/>
                <w:sz w:val="20"/>
                <w:szCs w:val="20"/>
              </w:rPr>
            </w:pPr>
            <w:r w:rsidRPr="0048226F">
              <w:rPr>
                <w:rFonts w:eastAsia="Arial Unicode MS"/>
                <w:sz w:val="20"/>
                <w:szCs w:val="20"/>
              </w:rPr>
              <w:t>5.000.000</w:t>
            </w:r>
          </w:p>
        </w:tc>
        <w:tc>
          <w:tcPr>
            <w:tcW w:w="2835" w:type="dxa"/>
            <w:shd w:val="clear" w:color="auto" w:fill="auto"/>
          </w:tcPr>
          <w:p w:rsidR="00C24C2E" w:rsidRPr="0048226F" w:rsidRDefault="00C24C2E" w:rsidP="001C0F72">
            <w:pPr>
              <w:rPr>
                <w:sz w:val="20"/>
                <w:szCs w:val="20"/>
              </w:rPr>
            </w:pPr>
            <w:r w:rsidRPr="0048226F">
              <w:rPr>
                <w:sz w:val="20"/>
                <w:szCs w:val="20"/>
              </w:rPr>
              <w:t>Včetně prevence genderového násilí</w:t>
            </w:r>
          </w:p>
        </w:tc>
      </w:tr>
      <w:tr w:rsidR="00C24C2E" w:rsidTr="00A92AF0">
        <w:tc>
          <w:tcPr>
            <w:tcW w:w="1668" w:type="dxa"/>
            <w:shd w:val="clear" w:color="auto" w:fill="auto"/>
          </w:tcPr>
          <w:p w:rsidR="00C24C2E" w:rsidRPr="0048226F" w:rsidRDefault="00C24C2E" w:rsidP="001C0F72">
            <w:pPr>
              <w:rPr>
                <w:sz w:val="20"/>
                <w:szCs w:val="20"/>
              </w:rPr>
            </w:pPr>
            <w:r w:rsidRPr="0048226F">
              <w:rPr>
                <w:sz w:val="20"/>
                <w:szCs w:val="20"/>
              </w:rPr>
              <w:t>UNHCR</w:t>
            </w:r>
          </w:p>
        </w:tc>
        <w:tc>
          <w:tcPr>
            <w:tcW w:w="3685" w:type="dxa"/>
            <w:shd w:val="clear" w:color="auto" w:fill="auto"/>
          </w:tcPr>
          <w:p w:rsidR="00C24C2E" w:rsidRPr="0048226F" w:rsidRDefault="00C24C2E" w:rsidP="001C0F72">
            <w:pPr>
              <w:jc w:val="both"/>
              <w:rPr>
                <w:sz w:val="20"/>
                <w:szCs w:val="20"/>
              </w:rPr>
            </w:pPr>
            <w:r w:rsidRPr="0048226F">
              <w:rPr>
                <w:sz w:val="20"/>
                <w:szCs w:val="20"/>
              </w:rPr>
              <w:t>Zdravotní péče pro syrské uprchlíky v Libanonu</w:t>
            </w:r>
          </w:p>
        </w:tc>
        <w:tc>
          <w:tcPr>
            <w:tcW w:w="1134" w:type="dxa"/>
            <w:shd w:val="clear" w:color="auto" w:fill="auto"/>
          </w:tcPr>
          <w:p w:rsidR="00C24C2E" w:rsidRPr="0048226F" w:rsidRDefault="00C24C2E" w:rsidP="001C0F72">
            <w:pPr>
              <w:ind w:left="-288" w:firstLine="288"/>
              <w:jc w:val="center"/>
              <w:rPr>
                <w:rFonts w:eastAsia="Arial Unicode MS"/>
                <w:sz w:val="20"/>
                <w:szCs w:val="20"/>
              </w:rPr>
            </w:pPr>
            <w:r w:rsidRPr="0048226F">
              <w:rPr>
                <w:rFonts w:eastAsia="Arial Unicode MS"/>
                <w:sz w:val="20"/>
                <w:szCs w:val="20"/>
              </w:rPr>
              <w:t>5.000.000</w:t>
            </w:r>
          </w:p>
        </w:tc>
        <w:tc>
          <w:tcPr>
            <w:tcW w:w="2835" w:type="dxa"/>
            <w:shd w:val="clear" w:color="auto" w:fill="auto"/>
          </w:tcPr>
          <w:p w:rsidR="00C24C2E" w:rsidRPr="0048226F" w:rsidRDefault="00C24C2E" w:rsidP="001C0F72">
            <w:pPr>
              <w:rPr>
                <w:sz w:val="20"/>
                <w:szCs w:val="20"/>
              </w:rPr>
            </w:pPr>
            <w:r w:rsidRPr="0048226F">
              <w:rPr>
                <w:sz w:val="20"/>
                <w:szCs w:val="20"/>
              </w:rPr>
              <w:t>Včetně péče o zneužité a ohrožené ženy a děti</w:t>
            </w:r>
          </w:p>
        </w:tc>
      </w:tr>
    </w:tbl>
    <w:p w:rsidR="003718C3" w:rsidRDefault="003718C3" w:rsidP="00C24C2E">
      <w:pPr>
        <w:autoSpaceDE w:val="0"/>
        <w:autoSpaceDN w:val="0"/>
        <w:adjustRightInd w:val="0"/>
      </w:pPr>
    </w:p>
    <w:p w:rsidR="007F32D2" w:rsidRDefault="003718C3" w:rsidP="007F32D2">
      <w:pPr>
        <w:rPr>
          <w:b/>
        </w:rPr>
      </w:pPr>
      <w:r w:rsidRPr="003718C3">
        <w:rPr>
          <w:b/>
        </w:rPr>
        <w:t>Malé lokální projekty v rámci zahraniční rozvojové spolupráce na rok2017</w:t>
      </w:r>
    </w:p>
    <w:p w:rsidR="003718C3" w:rsidRPr="003718C3" w:rsidRDefault="003718C3" w:rsidP="007F32D2">
      <w:pPr>
        <w:rPr>
          <w:b/>
        </w:rPr>
      </w:pPr>
    </w:p>
    <w:tbl>
      <w:tblPr>
        <w:tblStyle w:val="Mkatabulky"/>
        <w:tblW w:w="9322" w:type="dxa"/>
        <w:tblLayout w:type="fixed"/>
        <w:tblLook w:val="04A0" w:firstRow="1" w:lastRow="0" w:firstColumn="1" w:lastColumn="0" w:noHBand="0" w:noVBand="1"/>
      </w:tblPr>
      <w:tblGrid>
        <w:gridCol w:w="1242"/>
        <w:gridCol w:w="1701"/>
        <w:gridCol w:w="1418"/>
        <w:gridCol w:w="3827"/>
        <w:gridCol w:w="1134"/>
      </w:tblGrid>
      <w:tr w:rsidR="003718C3" w:rsidRPr="00A92AF0" w:rsidTr="00E76B71">
        <w:trPr>
          <w:trHeight w:val="1035"/>
        </w:trPr>
        <w:tc>
          <w:tcPr>
            <w:tcW w:w="1242" w:type="dxa"/>
            <w:hideMark/>
          </w:tcPr>
          <w:p w:rsidR="003718C3" w:rsidRPr="00A92AF0" w:rsidRDefault="003718C3" w:rsidP="00A92AF0">
            <w:pPr>
              <w:spacing w:before="120"/>
              <w:rPr>
                <w:sz w:val="20"/>
                <w:szCs w:val="20"/>
              </w:rPr>
            </w:pPr>
            <w:r w:rsidRPr="00A92AF0">
              <w:rPr>
                <w:sz w:val="20"/>
                <w:szCs w:val="20"/>
              </w:rPr>
              <w:t>Etiopie</w:t>
            </w:r>
          </w:p>
        </w:tc>
        <w:tc>
          <w:tcPr>
            <w:tcW w:w="1701" w:type="dxa"/>
            <w:hideMark/>
          </w:tcPr>
          <w:p w:rsidR="003718C3" w:rsidRPr="00A92AF0" w:rsidRDefault="003718C3" w:rsidP="00A92AF0">
            <w:pPr>
              <w:spacing w:before="120"/>
              <w:rPr>
                <w:sz w:val="20"/>
                <w:szCs w:val="20"/>
              </w:rPr>
            </w:pPr>
            <w:r w:rsidRPr="00A92AF0">
              <w:rPr>
                <w:sz w:val="20"/>
                <w:szCs w:val="20"/>
              </w:rPr>
              <w:t>Zlepšení životů ohrožených žen</w:t>
            </w:r>
          </w:p>
        </w:tc>
        <w:tc>
          <w:tcPr>
            <w:tcW w:w="1418" w:type="dxa"/>
            <w:hideMark/>
          </w:tcPr>
          <w:p w:rsidR="003718C3" w:rsidRPr="00A92AF0" w:rsidRDefault="003718C3" w:rsidP="00A92AF0">
            <w:pPr>
              <w:spacing w:before="120"/>
              <w:rPr>
                <w:sz w:val="20"/>
                <w:szCs w:val="20"/>
              </w:rPr>
            </w:pPr>
            <w:r w:rsidRPr="00A92AF0">
              <w:rPr>
                <w:sz w:val="20"/>
                <w:szCs w:val="20"/>
              </w:rPr>
              <w:t>Muday Charity Association</w:t>
            </w:r>
          </w:p>
        </w:tc>
        <w:tc>
          <w:tcPr>
            <w:tcW w:w="3827" w:type="dxa"/>
            <w:hideMark/>
          </w:tcPr>
          <w:p w:rsidR="003718C3" w:rsidRPr="00A92AF0" w:rsidRDefault="003718C3" w:rsidP="00A92AF0">
            <w:pPr>
              <w:spacing w:before="120"/>
              <w:rPr>
                <w:sz w:val="20"/>
                <w:szCs w:val="20"/>
              </w:rPr>
            </w:pPr>
            <w:r w:rsidRPr="00A92AF0">
              <w:rPr>
                <w:sz w:val="20"/>
                <w:szCs w:val="20"/>
              </w:rPr>
              <w:t>V rámci projektu bylo vyškolených 200 žen v různých oborech, naučili se finanční gramotnosti a poté i mohly společně či samostatně začít vlastní business.</w:t>
            </w:r>
          </w:p>
        </w:tc>
        <w:tc>
          <w:tcPr>
            <w:tcW w:w="1134" w:type="dxa"/>
            <w:hideMark/>
          </w:tcPr>
          <w:p w:rsidR="003718C3" w:rsidRPr="00A92AF0" w:rsidRDefault="003718C3" w:rsidP="00A92AF0">
            <w:pPr>
              <w:spacing w:before="120"/>
              <w:rPr>
                <w:sz w:val="20"/>
                <w:szCs w:val="20"/>
              </w:rPr>
            </w:pPr>
            <w:r w:rsidRPr="00A92AF0">
              <w:rPr>
                <w:sz w:val="20"/>
                <w:szCs w:val="20"/>
              </w:rPr>
              <w:t>500 000</w:t>
            </w:r>
          </w:p>
        </w:tc>
      </w:tr>
      <w:tr w:rsidR="003718C3" w:rsidRPr="00A92AF0" w:rsidTr="00E76B71">
        <w:trPr>
          <w:trHeight w:val="1200"/>
        </w:trPr>
        <w:tc>
          <w:tcPr>
            <w:tcW w:w="1242" w:type="dxa"/>
            <w:hideMark/>
          </w:tcPr>
          <w:p w:rsidR="003718C3" w:rsidRPr="00A92AF0" w:rsidRDefault="003718C3" w:rsidP="00A92AF0">
            <w:pPr>
              <w:spacing w:before="120"/>
              <w:rPr>
                <w:sz w:val="20"/>
                <w:szCs w:val="20"/>
              </w:rPr>
            </w:pPr>
            <w:r w:rsidRPr="00A92AF0">
              <w:rPr>
                <w:sz w:val="20"/>
                <w:szCs w:val="20"/>
              </w:rPr>
              <w:t>Salvador</w:t>
            </w:r>
          </w:p>
        </w:tc>
        <w:tc>
          <w:tcPr>
            <w:tcW w:w="1701" w:type="dxa"/>
            <w:hideMark/>
          </w:tcPr>
          <w:p w:rsidR="003718C3" w:rsidRPr="00A92AF0" w:rsidRDefault="003718C3" w:rsidP="00A92AF0">
            <w:pPr>
              <w:spacing w:before="120"/>
              <w:rPr>
                <w:sz w:val="20"/>
                <w:szCs w:val="20"/>
              </w:rPr>
            </w:pPr>
            <w:r w:rsidRPr="00A92AF0">
              <w:rPr>
                <w:sz w:val="20"/>
                <w:szCs w:val="20"/>
              </w:rPr>
              <w:t>Péče o těhotné ženy a matky ve venkovských komunitách v El Salvadoru</w:t>
            </w:r>
          </w:p>
        </w:tc>
        <w:tc>
          <w:tcPr>
            <w:tcW w:w="1418" w:type="dxa"/>
            <w:hideMark/>
          </w:tcPr>
          <w:p w:rsidR="003718C3" w:rsidRPr="00A92AF0" w:rsidRDefault="003718C3" w:rsidP="00A92AF0">
            <w:pPr>
              <w:spacing w:before="120"/>
              <w:rPr>
                <w:sz w:val="20"/>
                <w:szCs w:val="20"/>
              </w:rPr>
            </w:pPr>
            <w:r w:rsidRPr="00A92AF0">
              <w:rPr>
                <w:sz w:val="20"/>
                <w:szCs w:val="20"/>
              </w:rPr>
              <w:t>Asociación para la Organización y Educación Empresarial Femenina de El Salvador (OEF/ES)</w:t>
            </w:r>
          </w:p>
        </w:tc>
        <w:tc>
          <w:tcPr>
            <w:tcW w:w="3827" w:type="dxa"/>
            <w:hideMark/>
          </w:tcPr>
          <w:p w:rsidR="003718C3" w:rsidRPr="00A92AF0" w:rsidRDefault="003718C3" w:rsidP="00A92AF0">
            <w:pPr>
              <w:spacing w:before="120"/>
              <w:rPr>
                <w:sz w:val="20"/>
                <w:szCs w:val="20"/>
              </w:rPr>
            </w:pPr>
            <w:r w:rsidRPr="00A92AF0">
              <w:rPr>
                <w:sz w:val="20"/>
                <w:szCs w:val="20"/>
              </w:rPr>
              <w:t>Projekt se zaměřil jak na dostupnost lékařské péče, tak na poskytování výž</w:t>
            </w:r>
            <w:r w:rsidR="00024BE8">
              <w:rPr>
                <w:sz w:val="20"/>
                <w:szCs w:val="20"/>
              </w:rPr>
              <w:t xml:space="preserve">ivových košů, ale i vzdělávaní </w:t>
            </w:r>
            <w:r w:rsidRPr="00A92AF0">
              <w:rPr>
                <w:sz w:val="20"/>
                <w:szCs w:val="20"/>
              </w:rPr>
              <w:t>mladých žen s ohledem na plánování rodiny a poskytování antikoncepce.</w:t>
            </w:r>
          </w:p>
        </w:tc>
        <w:tc>
          <w:tcPr>
            <w:tcW w:w="1134" w:type="dxa"/>
            <w:hideMark/>
          </w:tcPr>
          <w:p w:rsidR="003718C3" w:rsidRPr="00A92AF0" w:rsidRDefault="003718C3" w:rsidP="00A92AF0">
            <w:pPr>
              <w:spacing w:before="120"/>
              <w:rPr>
                <w:sz w:val="20"/>
                <w:szCs w:val="20"/>
              </w:rPr>
            </w:pPr>
            <w:r w:rsidRPr="00A92AF0">
              <w:rPr>
                <w:sz w:val="20"/>
                <w:szCs w:val="20"/>
              </w:rPr>
              <w:t>183 000</w:t>
            </w:r>
          </w:p>
        </w:tc>
      </w:tr>
      <w:tr w:rsidR="003718C3" w:rsidRPr="00A92AF0" w:rsidTr="00E76B71">
        <w:trPr>
          <w:trHeight w:val="1201"/>
        </w:trPr>
        <w:tc>
          <w:tcPr>
            <w:tcW w:w="1242" w:type="dxa"/>
            <w:hideMark/>
          </w:tcPr>
          <w:p w:rsidR="003718C3" w:rsidRPr="00A92AF0" w:rsidRDefault="003718C3" w:rsidP="00A92AF0">
            <w:pPr>
              <w:spacing w:before="120"/>
              <w:rPr>
                <w:sz w:val="20"/>
                <w:szCs w:val="20"/>
              </w:rPr>
            </w:pPr>
            <w:r w:rsidRPr="00A92AF0">
              <w:rPr>
                <w:sz w:val="20"/>
                <w:szCs w:val="20"/>
              </w:rPr>
              <w:t>Afghánistán</w:t>
            </w:r>
          </w:p>
        </w:tc>
        <w:tc>
          <w:tcPr>
            <w:tcW w:w="1701" w:type="dxa"/>
            <w:hideMark/>
          </w:tcPr>
          <w:p w:rsidR="003718C3" w:rsidRPr="00A92AF0" w:rsidRDefault="003718C3" w:rsidP="00A92AF0">
            <w:pPr>
              <w:spacing w:before="120"/>
              <w:rPr>
                <w:sz w:val="20"/>
                <w:szCs w:val="20"/>
              </w:rPr>
            </w:pPr>
            <w:r w:rsidRPr="00A92AF0">
              <w:rPr>
                <w:sz w:val="20"/>
                <w:szCs w:val="20"/>
              </w:rPr>
              <w:t>Nákup počítačů pro počítačovou učebnu dívčí střední školy Zarghoona</w:t>
            </w:r>
          </w:p>
        </w:tc>
        <w:tc>
          <w:tcPr>
            <w:tcW w:w="1418" w:type="dxa"/>
            <w:hideMark/>
          </w:tcPr>
          <w:p w:rsidR="003718C3" w:rsidRPr="00A92AF0" w:rsidRDefault="003718C3" w:rsidP="00A92AF0">
            <w:pPr>
              <w:spacing w:before="120"/>
              <w:rPr>
                <w:sz w:val="20"/>
                <w:szCs w:val="20"/>
              </w:rPr>
            </w:pPr>
            <w:r w:rsidRPr="00A92AF0">
              <w:rPr>
                <w:sz w:val="20"/>
                <w:szCs w:val="20"/>
              </w:rPr>
              <w:t>Relief Organization for Afghan Women and Children</w:t>
            </w:r>
          </w:p>
        </w:tc>
        <w:tc>
          <w:tcPr>
            <w:tcW w:w="3827" w:type="dxa"/>
            <w:hideMark/>
          </w:tcPr>
          <w:p w:rsidR="003718C3" w:rsidRPr="00A92AF0" w:rsidRDefault="003718C3" w:rsidP="00A92AF0">
            <w:pPr>
              <w:spacing w:before="120"/>
              <w:rPr>
                <w:sz w:val="20"/>
                <w:szCs w:val="20"/>
              </w:rPr>
            </w:pPr>
            <w:r w:rsidRPr="00A92AF0">
              <w:rPr>
                <w:sz w:val="20"/>
                <w:szCs w:val="20"/>
              </w:rPr>
              <w:t>Projekt přispěl k řešení problému ve vzdělávacím sektoru. Pro cílovou skupinu bylo přínosné zlepšení kvality výuky a práce na počítači, co vede k lepší přípravě na další studium.</w:t>
            </w:r>
          </w:p>
        </w:tc>
        <w:tc>
          <w:tcPr>
            <w:tcW w:w="1134" w:type="dxa"/>
            <w:hideMark/>
          </w:tcPr>
          <w:p w:rsidR="003718C3" w:rsidRPr="00A92AF0" w:rsidRDefault="003718C3" w:rsidP="00A92AF0">
            <w:pPr>
              <w:spacing w:before="120"/>
              <w:rPr>
                <w:sz w:val="20"/>
                <w:szCs w:val="20"/>
              </w:rPr>
            </w:pPr>
            <w:r w:rsidRPr="00A92AF0">
              <w:rPr>
                <w:sz w:val="20"/>
                <w:szCs w:val="20"/>
              </w:rPr>
              <w:t>441 657</w:t>
            </w:r>
          </w:p>
        </w:tc>
      </w:tr>
      <w:tr w:rsidR="003718C3" w:rsidRPr="00A92AF0" w:rsidTr="00E76B71">
        <w:trPr>
          <w:trHeight w:val="900"/>
        </w:trPr>
        <w:tc>
          <w:tcPr>
            <w:tcW w:w="1242" w:type="dxa"/>
            <w:hideMark/>
          </w:tcPr>
          <w:p w:rsidR="003718C3" w:rsidRPr="00A92AF0" w:rsidRDefault="003718C3" w:rsidP="00A92AF0">
            <w:pPr>
              <w:spacing w:before="120"/>
              <w:rPr>
                <w:sz w:val="20"/>
                <w:szCs w:val="20"/>
              </w:rPr>
            </w:pPr>
            <w:r w:rsidRPr="00A92AF0">
              <w:rPr>
                <w:sz w:val="20"/>
                <w:szCs w:val="20"/>
              </w:rPr>
              <w:t>Afghánistán</w:t>
            </w:r>
          </w:p>
        </w:tc>
        <w:tc>
          <w:tcPr>
            <w:tcW w:w="1701" w:type="dxa"/>
            <w:hideMark/>
          </w:tcPr>
          <w:p w:rsidR="003718C3" w:rsidRPr="00A92AF0" w:rsidRDefault="003718C3" w:rsidP="00A92AF0">
            <w:pPr>
              <w:spacing w:before="120"/>
              <w:rPr>
                <w:sz w:val="20"/>
                <w:szCs w:val="20"/>
              </w:rPr>
            </w:pPr>
            <w:r w:rsidRPr="00A92AF0">
              <w:rPr>
                <w:sz w:val="20"/>
                <w:szCs w:val="20"/>
              </w:rPr>
              <w:t>Obnova 30ti metrového vysutého mostu</w:t>
            </w:r>
          </w:p>
        </w:tc>
        <w:tc>
          <w:tcPr>
            <w:tcW w:w="1418" w:type="dxa"/>
            <w:hideMark/>
          </w:tcPr>
          <w:p w:rsidR="003718C3" w:rsidRPr="00A92AF0" w:rsidRDefault="003718C3" w:rsidP="00A92AF0">
            <w:pPr>
              <w:spacing w:before="120"/>
              <w:rPr>
                <w:sz w:val="20"/>
                <w:szCs w:val="20"/>
              </w:rPr>
            </w:pPr>
            <w:r w:rsidRPr="00A92AF0">
              <w:rPr>
                <w:sz w:val="20"/>
                <w:szCs w:val="20"/>
              </w:rPr>
              <w:t>Sustainable Development Organization for Women-SDOFW</w:t>
            </w:r>
          </w:p>
        </w:tc>
        <w:tc>
          <w:tcPr>
            <w:tcW w:w="3827" w:type="dxa"/>
            <w:hideMark/>
          </w:tcPr>
          <w:p w:rsidR="003718C3" w:rsidRPr="00A92AF0" w:rsidRDefault="003718C3" w:rsidP="00A92AF0">
            <w:pPr>
              <w:spacing w:before="120"/>
              <w:rPr>
                <w:sz w:val="20"/>
                <w:szCs w:val="20"/>
              </w:rPr>
            </w:pPr>
            <w:r w:rsidRPr="00A92AF0">
              <w:rPr>
                <w:sz w:val="20"/>
                <w:szCs w:val="20"/>
              </w:rPr>
              <w:t>Projekt přispěl k všestrannému rozvoji venkova. Přínosem pro cílovou skupinu je zjednodušení přechodu řeky Peach.</w:t>
            </w:r>
          </w:p>
        </w:tc>
        <w:tc>
          <w:tcPr>
            <w:tcW w:w="1134" w:type="dxa"/>
            <w:hideMark/>
          </w:tcPr>
          <w:p w:rsidR="003718C3" w:rsidRPr="00A92AF0" w:rsidRDefault="003718C3" w:rsidP="00A92AF0">
            <w:pPr>
              <w:spacing w:before="120"/>
              <w:rPr>
                <w:sz w:val="20"/>
                <w:szCs w:val="20"/>
              </w:rPr>
            </w:pPr>
            <w:r w:rsidRPr="00A92AF0">
              <w:rPr>
                <w:sz w:val="20"/>
                <w:szCs w:val="20"/>
              </w:rPr>
              <w:t>437 000</w:t>
            </w:r>
          </w:p>
        </w:tc>
      </w:tr>
      <w:tr w:rsidR="003718C3" w:rsidRPr="00A92AF0" w:rsidTr="00E76B71">
        <w:trPr>
          <w:trHeight w:val="274"/>
        </w:trPr>
        <w:tc>
          <w:tcPr>
            <w:tcW w:w="1242" w:type="dxa"/>
            <w:hideMark/>
          </w:tcPr>
          <w:p w:rsidR="003718C3" w:rsidRPr="00A92AF0" w:rsidRDefault="003718C3" w:rsidP="00A92AF0">
            <w:pPr>
              <w:spacing w:before="120"/>
              <w:rPr>
                <w:sz w:val="20"/>
                <w:szCs w:val="20"/>
              </w:rPr>
            </w:pPr>
            <w:r w:rsidRPr="00A92AF0">
              <w:rPr>
                <w:sz w:val="20"/>
                <w:szCs w:val="20"/>
              </w:rPr>
              <w:t>Afghánistán</w:t>
            </w:r>
          </w:p>
        </w:tc>
        <w:tc>
          <w:tcPr>
            <w:tcW w:w="1701" w:type="dxa"/>
            <w:hideMark/>
          </w:tcPr>
          <w:p w:rsidR="003718C3" w:rsidRPr="00A92AF0" w:rsidRDefault="003718C3" w:rsidP="00A92AF0">
            <w:pPr>
              <w:spacing w:before="120"/>
              <w:rPr>
                <w:sz w:val="20"/>
                <w:szCs w:val="20"/>
              </w:rPr>
            </w:pPr>
            <w:r w:rsidRPr="00A92AF0">
              <w:rPr>
                <w:sz w:val="20"/>
                <w:szCs w:val="20"/>
              </w:rPr>
              <w:t>Kurz šití pro ženy</w:t>
            </w:r>
          </w:p>
        </w:tc>
        <w:tc>
          <w:tcPr>
            <w:tcW w:w="1418" w:type="dxa"/>
            <w:hideMark/>
          </w:tcPr>
          <w:p w:rsidR="003718C3" w:rsidRPr="00A92AF0" w:rsidRDefault="003718C3" w:rsidP="00A92AF0">
            <w:pPr>
              <w:spacing w:before="120"/>
              <w:rPr>
                <w:sz w:val="20"/>
                <w:szCs w:val="20"/>
              </w:rPr>
            </w:pPr>
            <w:r w:rsidRPr="00A92AF0">
              <w:rPr>
                <w:sz w:val="20"/>
                <w:szCs w:val="20"/>
              </w:rPr>
              <w:t>Afghan Women Coordination and Promotion Organization (AWCPO)</w:t>
            </w:r>
          </w:p>
        </w:tc>
        <w:tc>
          <w:tcPr>
            <w:tcW w:w="3827" w:type="dxa"/>
            <w:hideMark/>
          </w:tcPr>
          <w:p w:rsidR="003718C3" w:rsidRPr="00A92AF0" w:rsidRDefault="003718C3" w:rsidP="00A92AF0">
            <w:pPr>
              <w:spacing w:before="120"/>
              <w:rPr>
                <w:sz w:val="20"/>
                <w:szCs w:val="20"/>
              </w:rPr>
            </w:pPr>
            <w:r w:rsidRPr="00A92AF0">
              <w:rPr>
                <w:sz w:val="20"/>
                <w:szCs w:val="20"/>
              </w:rPr>
              <w:t>Projekt přispěl k řešení problémů  jak se vzděláváním ženské populace, tak i se zaměstnáním žen.</w:t>
            </w:r>
          </w:p>
        </w:tc>
        <w:tc>
          <w:tcPr>
            <w:tcW w:w="1134" w:type="dxa"/>
            <w:hideMark/>
          </w:tcPr>
          <w:p w:rsidR="003718C3" w:rsidRPr="00A92AF0" w:rsidRDefault="003718C3" w:rsidP="00A92AF0">
            <w:pPr>
              <w:spacing w:before="120"/>
              <w:rPr>
                <w:sz w:val="20"/>
                <w:szCs w:val="20"/>
              </w:rPr>
            </w:pPr>
            <w:r w:rsidRPr="00A92AF0">
              <w:rPr>
                <w:sz w:val="20"/>
                <w:szCs w:val="20"/>
              </w:rPr>
              <w:t>457 000</w:t>
            </w:r>
          </w:p>
        </w:tc>
      </w:tr>
      <w:tr w:rsidR="003718C3" w:rsidRPr="00A92AF0" w:rsidTr="00E76B71">
        <w:trPr>
          <w:trHeight w:val="1245"/>
        </w:trPr>
        <w:tc>
          <w:tcPr>
            <w:tcW w:w="1242" w:type="dxa"/>
            <w:hideMark/>
          </w:tcPr>
          <w:p w:rsidR="003718C3" w:rsidRPr="00A92AF0" w:rsidRDefault="003718C3" w:rsidP="00A92AF0">
            <w:pPr>
              <w:spacing w:before="120"/>
              <w:rPr>
                <w:sz w:val="20"/>
                <w:szCs w:val="20"/>
              </w:rPr>
            </w:pPr>
            <w:r w:rsidRPr="00A92AF0">
              <w:rPr>
                <w:sz w:val="20"/>
                <w:szCs w:val="20"/>
              </w:rPr>
              <w:t>Afghánistán</w:t>
            </w:r>
          </w:p>
        </w:tc>
        <w:tc>
          <w:tcPr>
            <w:tcW w:w="1701" w:type="dxa"/>
            <w:hideMark/>
          </w:tcPr>
          <w:p w:rsidR="003718C3" w:rsidRPr="00A92AF0" w:rsidRDefault="003718C3" w:rsidP="00A92AF0">
            <w:pPr>
              <w:spacing w:before="120"/>
              <w:rPr>
                <w:sz w:val="20"/>
                <w:szCs w:val="20"/>
              </w:rPr>
            </w:pPr>
            <w:r w:rsidRPr="00A92AF0">
              <w:rPr>
                <w:sz w:val="20"/>
                <w:szCs w:val="20"/>
              </w:rPr>
              <w:t>Dar diagnostického zařízení pro potřeby nemocnice AGIH</w:t>
            </w:r>
          </w:p>
        </w:tc>
        <w:tc>
          <w:tcPr>
            <w:tcW w:w="1418" w:type="dxa"/>
            <w:hideMark/>
          </w:tcPr>
          <w:p w:rsidR="003718C3" w:rsidRPr="00A92AF0" w:rsidRDefault="003718C3" w:rsidP="00A92AF0">
            <w:pPr>
              <w:spacing w:before="120"/>
              <w:rPr>
                <w:sz w:val="20"/>
                <w:szCs w:val="20"/>
              </w:rPr>
            </w:pPr>
            <w:r w:rsidRPr="00A92AF0">
              <w:rPr>
                <w:sz w:val="20"/>
                <w:szCs w:val="20"/>
              </w:rPr>
              <w:t>Afghan-German International Hosipal</w:t>
            </w:r>
          </w:p>
        </w:tc>
        <w:tc>
          <w:tcPr>
            <w:tcW w:w="3827" w:type="dxa"/>
            <w:hideMark/>
          </w:tcPr>
          <w:p w:rsidR="003718C3" w:rsidRPr="00A92AF0" w:rsidRDefault="003718C3" w:rsidP="00A92AF0">
            <w:pPr>
              <w:spacing w:before="120"/>
              <w:rPr>
                <w:sz w:val="20"/>
                <w:szCs w:val="20"/>
              </w:rPr>
            </w:pPr>
            <w:r w:rsidRPr="00A92AF0">
              <w:rPr>
                <w:sz w:val="20"/>
                <w:szCs w:val="20"/>
              </w:rPr>
              <w:t>Projekt přispěl k řešení problémů ve zdravotnickém sektoru a přinesl zlepšení kvality poskytované zdravotnické péči při vyšetření žen na ultrazvuku.</w:t>
            </w:r>
          </w:p>
        </w:tc>
        <w:tc>
          <w:tcPr>
            <w:tcW w:w="1134" w:type="dxa"/>
            <w:hideMark/>
          </w:tcPr>
          <w:p w:rsidR="003718C3" w:rsidRPr="00A92AF0" w:rsidRDefault="003718C3" w:rsidP="00A92AF0">
            <w:pPr>
              <w:spacing w:before="120"/>
              <w:rPr>
                <w:sz w:val="20"/>
                <w:szCs w:val="20"/>
              </w:rPr>
            </w:pPr>
            <w:r w:rsidRPr="00A92AF0">
              <w:rPr>
                <w:sz w:val="20"/>
                <w:szCs w:val="20"/>
              </w:rPr>
              <w:t>455 000</w:t>
            </w:r>
          </w:p>
        </w:tc>
      </w:tr>
      <w:tr w:rsidR="003718C3" w:rsidRPr="00A92AF0" w:rsidTr="00E76B71">
        <w:trPr>
          <w:trHeight w:val="1200"/>
        </w:trPr>
        <w:tc>
          <w:tcPr>
            <w:tcW w:w="1242" w:type="dxa"/>
            <w:hideMark/>
          </w:tcPr>
          <w:p w:rsidR="003718C3" w:rsidRPr="00A92AF0" w:rsidRDefault="003718C3" w:rsidP="00A92AF0">
            <w:pPr>
              <w:spacing w:before="120"/>
              <w:rPr>
                <w:sz w:val="20"/>
                <w:szCs w:val="20"/>
              </w:rPr>
            </w:pPr>
            <w:r w:rsidRPr="00A92AF0">
              <w:rPr>
                <w:sz w:val="20"/>
                <w:szCs w:val="20"/>
              </w:rPr>
              <w:lastRenderedPageBreak/>
              <w:t>Afghánistán</w:t>
            </w:r>
          </w:p>
        </w:tc>
        <w:tc>
          <w:tcPr>
            <w:tcW w:w="1701" w:type="dxa"/>
            <w:hideMark/>
          </w:tcPr>
          <w:p w:rsidR="003718C3" w:rsidRPr="00A92AF0" w:rsidRDefault="003718C3" w:rsidP="00A92AF0">
            <w:pPr>
              <w:spacing w:before="120"/>
              <w:rPr>
                <w:sz w:val="20"/>
                <w:szCs w:val="20"/>
              </w:rPr>
            </w:pPr>
            <w:r w:rsidRPr="00A92AF0">
              <w:rPr>
                <w:sz w:val="20"/>
                <w:szCs w:val="20"/>
              </w:rPr>
              <w:t>Nákup klimatizační jednotky pro počítačovou učebnu dívčí střední školy Zarghoona</w:t>
            </w:r>
          </w:p>
        </w:tc>
        <w:tc>
          <w:tcPr>
            <w:tcW w:w="1418" w:type="dxa"/>
            <w:hideMark/>
          </w:tcPr>
          <w:p w:rsidR="003718C3" w:rsidRPr="00A92AF0" w:rsidRDefault="003718C3" w:rsidP="00A92AF0">
            <w:pPr>
              <w:spacing w:before="120"/>
              <w:rPr>
                <w:sz w:val="20"/>
                <w:szCs w:val="20"/>
              </w:rPr>
            </w:pPr>
            <w:r w:rsidRPr="00A92AF0">
              <w:rPr>
                <w:sz w:val="20"/>
                <w:szCs w:val="20"/>
              </w:rPr>
              <w:t>Relief Organization for Afghan Women and Children</w:t>
            </w:r>
          </w:p>
        </w:tc>
        <w:tc>
          <w:tcPr>
            <w:tcW w:w="3827" w:type="dxa"/>
            <w:hideMark/>
          </w:tcPr>
          <w:p w:rsidR="003718C3" w:rsidRPr="00A92AF0" w:rsidRDefault="003718C3" w:rsidP="00A92AF0">
            <w:pPr>
              <w:spacing w:before="120"/>
              <w:rPr>
                <w:sz w:val="20"/>
                <w:szCs w:val="20"/>
              </w:rPr>
            </w:pPr>
            <w:r w:rsidRPr="00A92AF0">
              <w:rPr>
                <w:sz w:val="20"/>
                <w:szCs w:val="20"/>
              </w:rPr>
              <w:t>Projekt přispěl k řešení problémů na dívčí střední škole s přinesl zkvalitnění podmínek ke studiu.</w:t>
            </w:r>
          </w:p>
        </w:tc>
        <w:tc>
          <w:tcPr>
            <w:tcW w:w="1134" w:type="dxa"/>
            <w:hideMark/>
          </w:tcPr>
          <w:p w:rsidR="003718C3" w:rsidRPr="00A92AF0" w:rsidRDefault="003718C3" w:rsidP="00A92AF0">
            <w:pPr>
              <w:spacing w:before="120"/>
              <w:rPr>
                <w:sz w:val="20"/>
                <w:szCs w:val="20"/>
              </w:rPr>
            </w:pPr>
            <w:r w:rsidRPr="00A92AF0">
              <w:rPr>
                <w:sz w:val="20"/>
                <w:szCs w:val="20"/>
              </w:rPr>
              <w:t>200 000</w:t>
            </w:r>
          </w:p>
        </w:tc>
      </w:tr>
      <w:tr w:rsidR="003718C3" w:rsidRPr="00A92AF0" w:rsidTr="00E76B71">
        <w:trPr>
          <w:trHeight w:val="1800"/>
        </w:trPr>
        <w:tc>
          <w:tcPr>
            <w:tcW w:w="1242" w:type="dxa"/>
            <w:hideMark/>
          </w:tcPr>
          <w:p w:rsidR="003718C3" w:rsidRPr="00A92AF0" w:rsidRDefault="003718C3" w:rsidP="00A92AF0">
            <w:pPr>
              <w:spacing w:before="120"/>
              <w:rPr>
                <w:sz w:val="20"/>
                <w:szCs w:val="20"/>
              </w:rPr>
            </w:pPr>
            <w:r w:rsidRPr="00A92AF0">
              <w:rPr>
                <w:sz w:val="20"/>
                <w:szCs w:val="20"/>
              </w:rPr>
              <w:t>Bangladéš</w:t>
            </w:r>
          </w:p>
        </w:tc>
        <w:tc>
          <w:tcPr>
            <w:tcW w:w="1701" w:type="dxa"/>
            <w:hideMark/>
          </w:tcPr>
          <w:p w:rsidR="003718C3" w:rsidRPr="00A92AF0" w:rsidRDefault="003718C3" w:rsidP="00A92AF0">
            <w:pPr>
              <w:spacing w:before="120"/>
              <w:rPr>
                <w:sz w:val="20"/>
                <w:szCs w:val="20"/>
              </w:rPr>
            </w:pPr>
            <w:r w:rsidRPr="00A92AF0">
              <w:rPr>
                <w:sz w:val="20"/>
                <w:szCs w:val="20"/>
              </w:rPr>
              <w:t>Zlepšení přístupu k zdravotnické péči nastávající a čerstvé matky a jejich děti prostřednictvím společenské mobilizace</w:t>
            </w:r>
          </w:p>
        </w:tc>
        <w:tc>
          <w:tcPr>
            <w:tcW w:w="1418" w:type="dxa"/>
            <w:hideMark/>
          </w:tcPr>
          <w:p w:rsidR="003718C3" w:rsidRPr="00A92AF0" w:rsidRDefault="003718C3" w:rsidP="00A92AF0">
            <w:pPr>
              <w:spacing w:before="120"/>
              <w:rPr>
                <w:sz w:val="20"/>
                <w:szCs w:val="20"/>
              </w:rPr>
            </w:pPr>
            <w:r w:rsidRPr="00A92AF0">
              <w:rPr>
                <w:sz w:val="20"/>
                <w:szCs w:val="20"/>
              </w:rPr>
              <w:t>Christian Service Society</w:t>
            </w:r>
          </w:p>
        </w:tc>
        <w:tc>
          <w:tcPr>
            <w:tcW w:w="3827" w:type="dxa"/>
            <w:hideMark/>
          </w:tcPr>
          <w:p w:rsidR="003718C3" w:rsidRPr="00A92AF0" w:rsidRDefault="003718C3" w:rsidP="00A92AF0">
            <w:pPr>
              <w:spacing w:before="120"/>
              <w:rPr>
                <w:sz w:val="20"/>
                <w:szCs w:val="20"/>
              </w:rPr>
            </w:pPr>
            <w:r w:rsidRPr="00A92AF0">
              <w:rPr>
                <w:sz w:val="20"/>
                <w:szCs w:val="20"/>
              </w:rPr>
              <w:t>Projekt poskytl výcvik skupiny dobrovolníků, kteří byli v kontaktu s nastávajícími matkami a vedli je k správnému zdravotnickému chování, zprostředkoval se jim potřební přístup k parentální i postnatální péči.</w:t>
            </w:r>
          </w:p>
        </w:tc>
        <w:tc>
          <w:tcPr>
            <w:tcW w:w="1134" w:type="dxa"/>
            <w:hideMark/>
          </w:tcPr>
          <w:p w:rsidR="003718C3" w:rsidRPr="00A92AF0" w:rsidRDefault="003718C3" w:rsidP="00A92AF0">
            <w:pPr>
              <w:spacing w:before="120"/>
              <w:rPr>
                <w:sz w:val="20"/>
                <w:szCs w:val="20"/>
              </w:rPr>
            </w:pPr>
            <w:r w:rsidRPr="00A92AF0">
              <w:rPr>
                <w:sz w:val="20"/>
                <w:szCs w:val="20"/>
              </w:rPr>
              <w:t>239 000</w:t>
            </w:r>
          </w:p>
        </w:tc>
      </w:tr>
      <w:tr w:rsidR="003718C3" w:rsidRPr="00A92AF0" w:rsidTr="00E76B71">
        <w:trPr>
          <w:trHeight w:val="1200"/>
        </w:trPr>
        <w:tc>
          <w:tcPr>
            <w:tcW w:w="1242" w:type="dxa"/>
            <w:hideMark/>
          </w:tcPr>
          <w:p w:rsidR="003718C3" w:rsidRPr="00A92AF0" w:rsidRDefault="003718C3" w:rsidP="00A92AF0">
            <w:pPr>
              <w:spacing w:before="120"/>
              <w:rPr>
                <w:sz w:val="20"/>
                <w:szCs w:val="20"/>
              </w:rPr>
            </w:pPr>
            <w:r w:rsidRPr="00A92AF0">
              <w:rPr>
                <w:sz w:val="20"/>
                <w:szCs w:val="20"/>
              </w:rPr>
              <w:t>Mongolsko</w:t>
            </w:r>
          </w:p>
        </w:tc>
        <w:tc>
          <w:tcPr>
            <w:tcW w:w="1701" w:type="dxa"/>
            <w:hideMark/>
          </w:tcPr>
          <w:p w:rsidR="003718C3" w:rsidRPr="00A92AF0" w:rsidRDefault="003718C3" w:rsidP="00A92AF0">
            <w:pPr>
              <w:spacing w:before="120"/>
              <w:rPr>
                <w:sz w:val="20"/>
                <w:szCs w:val="20"/>
              </w:rPr>
            </w:pPr>
            <w:r w:rsidRPr="00A92AF0">
              <w:rPr>
                <w:sz w:val="20"/>
                <w:szCs w:val="20"/>
              </w:rPr>
              <w:t>Zlepšení zdravotní péče pro rodičky v 1. porodnici v Ulánbátaru</w:t>
            </w:r>
          </w:p>
        </w:tc>
        <w:tc>
          <w:tcPr>
            <w:tcW w:w="1418" w:type="dxa"/>
            <w:hideMark/>
          </w:tcPr>
          <w:p w:rsidR="003718C3" w:rsidRPr="00A92AF0" w:rsidRDefault="003718C3" w:rsidP="00A92AF0">
            <w:pPr>
              <w:spacing w:before="120"/>
              <w:rPr>
                <w:sz w:val="20"/>
                <w:szCs w:val="20"/>
              </w:rPr>
            </w:pPr>
            <w:r w:rsidRPr="00A92AF0">
              <w:rPr>
                <w:sz w:val="20"/>
                <w:szCs w:val="20"/>
              </w:rPr>
              <w:t>Sain Uilsiin Zuv Zam NGO</w:t>
            </w:r>
          </w:p>
        </w:tc>
        <w:tc>
          <w:tcPr>
            <w:tcW w:w="3827" w:type="dxa"/>
            <w:hideMark/>
          </w:tcPr>
          <w:p w:rsidR="003718C3" w:rsidRPr="00A92AF0" w:rsidRDefault="003718C3" w:rsidP="00A92AF0">
            <w:pPr>
              <w:spacing w:before="120"/>
              <w:rPr>
                <w:sz w:val="20"/>
                <w:szCs w:val="20"/>
              </w:rPr>
            </w:pPr>
            <w:r w:rsidRPr="00A92AF0">
              <w:rPr>
                <w:sz w:val="20"/>
                <w:szCs w:val="20"/>
              </w:rPr>
              <w:t>Oprava rozbitých kolečkových židlí (invalidních vozíků) k potřebě První ulánbátarské porodnice.</w:t>
            </w:r>
          </w:p>
        </w:tc>
        <w:tc>
          <w:tcPr>
            <w:tcW w:w="1134" w:type="dxa"/>
            <w:hideMark/>
          </w:tcPr>
          <w:p w:rsidR="003718C3" w:rsidRPr="00A92AF0" w:rsidRDefault="003718C3" w:rsidP="00A92AF0">
            <w:pPr>
              <w:spacing w:before="120"/>
              <w:rPr>
                <w:sz w:val="20"/>
                <w:szCs w:val="20"/>
              </w:rPr>
            </w:pPr>
            <w:r w:rsidRPr="00A92AF0">
              <w:rPr>
                <w:sz w:val="20"/>
                <w:szCs w:val="20"/>
              </w:rPr>
              <w:t>193 000</w:t>
            </w:r>
          </w:p>
        </w:tc>
      </w:tr>
      <w:tr w:rsidR="003718C3" w:rsidRPr="00A92AF0" w:rsidTr="00E76B71">
        <w:trPr>
          <w:trHeight w:val="1320"/>
        </w:trPr>
        <w:tc>
          <w:tcPr>
            <w:tcW w:w="1242" w:type="dxa"/>
            <w:hideMark/>
          </w:tcPr>
          <w:p w:rsidR="003718C3" w:rsidRPr="00A92AF0" w:rsidRDefault="003718C3" w:rsidP="00A92AF0">
            <w:pPr>
              <w:spacing w:before="120"/>
              <w:rPr>
                <w:sz w:val="20"/>
                <w:szCs w:val="20"/>
              </w:rPr>
            </w:pPr>
            <w:r w:rsidRPr="00A92AF0">
              <w:rPr>
                <w:sz w:val="20"/>
                <w:szCs w:val="20"/>
              </w:rPr>
              <w:t>Pákistán</w:t>
            </w:r>
          </w:p>
        </w:tc>
        <w:tc>
          <w:tcPr>
            <w:tcW w:w="1701" w:type="dxa"/>
            <w:hideMark/>
          </w:tcPr>
          <w:p w:rsidR="003718C3" w:rsidRPr="00A92AF0" w:rsidRDefault="003718C3" w:rsidP="00A92AF0">
            <w:pPr>
              <w:spacing w:before="120"/>
              <w:rPr>
                <w:sz w:val="20"/>
                <w:szCs w:val="20"/>
              </w:rPr>
            </w:pPr>
            <w:r w:rsidRPr="00A92AF0">
              <w:rPr>
                <w:sz w:val="20"/>
                <w:szCs w:val="20"/>
              </w:rPr>
              <w:t>Přístup ke všeobecnému vzdělávání k udržitelné sociální spravedlnosti</w:t>
            </w:r>
          </w:p>
        </w:tc>
        <w:tc>
          <w:tcPr>
            <w:tcW w:w="1418" w:type="dxa"/>
            <w:hideMark/>
          </w:tcPr>
          <w:p w:rsidR="003718C3" w:rsidRPr="00A92AF0" w:rsidRDefault="003718C3" w:rsidP="00A92AF0">
            <w:pPr>
              <w:spacing w:before="120"/>
              <w:rPr>
                <w:sz w:val="20"/>
                <w:szCs w:val="20"/>
              </w:rPr>
            </w:pPr>
            <w:r w:rsidRPr="00A92AF0">
              <w:rPr>
                <w:sz w:val="20"/>
                <w:szCs w:val="20"/>
              </w:rPr>
              <w:t>Community for Common Good (CCG)</w:t>
            </w:r>
          </w:p>
        </w:tc>
        <w:tc>
          <w:tcPr>
            <w:tcW w:w="3827" w:type="dxa"/>
            <w:hideMark/>
          </w:tcPr>
          <w:p w:rsidR="003718C3" w:rsidRPr="00A92AF0" w:rsidRDefault="003718C3" w:rsidP="00A92AF0">
            <w:pPr>
              <w:spacing w:before="120"/>
              <w:rPr>
                <w:sz w:val="20"/>
                <w:szCs w:val="20"/>
              </w:rPr>
            </w:pPr>
            <w:r w:rsidRPr="00A92AF0">
              <w:rPr>
                <w:sz w:val="20"/>
                <w:szCs w:val="20"/>
              </w:rPr>
              <w:t>V rámci projektu bylo realizováno 10 osvětových seminářů pro cca 100 mladých dívek a žen zaměřených na osvětu a vzdělávaní venkovských žen v provincii Paňdžáb.</w:t>
            </w:r>
          </w:p>
        </w:tc>
        <w:tc>
          <w:tcPr>
            <w:tcW w:w="1134" w:type="dxa"/>
            <w:hideMark/>
          </w:tcPr>
          <w:p w:rsidR="003718C3" w:rsidRPr="00A92AF0" w:rsidRDefault="003718C3" w:rsidP="00A92AF0">
            <w:pPr>
              <w:spacing w:before="120"/>
              <w:rPr>
                <w:sz w:val="20"/>
                <w:szCs w:val="20"/>
              </w:rPr>
            </w:pPr>
            <w:r w:rsidRPr="00A92AF0">
              <w:rPr>
                <w:sz w:val="20"/>
                <w:szCs w:val="20"/>
              </w:rPr>
              <w:t>157 000</w:t>
            </w:r>
          </w:p>
        </w:tc>
      </w:tr>
      <w:tr w:rsidR="003718C3" w:rsidRPr="00A92AF0" w:rsidTr="00E76B71">
        <w:trPr>
          <w:trHeight w:val="1068"/>
        </w:trPr>
        <w:tc>
          <w:tcPr>
            <w:tcW w:w="1242" w:type="dxa"/>
            <w:hideMark/>
          </w:tcPr>
          <w:p w:rsidR="003718C3" w:rsidRPr="00A92AF0" w:rsidRDefault="003718C3" w:rsidP="00A92AF0">
            <w:pPr>
              <w:spacing w:before="120"/>
              <w:rPr>
                <w:sz w:val="20"/>
                <w:szCs w:val="20"/>
              </w:rPr>
            </w:pPr>
            <w:r w:rsidRPr="00A92AF0">
              <w:rPr>
                <w:sz w:val="20"/>
                <w:szCs w:val="20"/>
              </w:rPr>
              <w:t>Pákistán</w:t>
            </w:r>
          </w:p>
        </w:tc>
        <w:tc>
          <w:tcPr>
            <w:tcW w:w="1701" w:type="dxa"/>
            <w:hideMark/>
          </w:tcPr>
          <w:p w:rsidR="003718C3" w:rsidRPr="00A92AF0" w:rsidRDefault="003718C3" w:rsidP="00A92AF0">
            <w:pPr>
              <w:spacing w:before="120"/>
              <w:rPr>
                <w:sz w:val="20"/>
                <w:szCs w:val="20"/>
              </w:rPr>
            </w:pPr>
            <w:r w:rsidRPr="00A92AF0">
              <w:rPr>
                <w:sz w:val="20"/>
                <w:szCs w:val="20"/>
              </w:rPr>
              <w:t>Mashal Model School</w:t>
            </w:r>
          </w:p>
        </w:tc>
        <w:tc>
          <w:tcPr>
            <w:tcW w:w="1418" w:type="dxa"/>
            <w:hideMark/>
          </w:tcPr>
          <w:p w:rsidR="003718C3" w:rsidRPr="00A92AF0" w:rsidRDefault="003718C3" w:rsidP="00A92AF0">
            <w:pPr>
              <w:spacing w:before="120"/>
              <w:rPr>
                <w:sz w:val="20"/>
                <w:szCs w:val="20"/>
              </w:rPr>
            </w:pPr>
            <w:r w:rsidRPr="00A92AF0">
              <w:rPr>
                <w:sz w:val="20"/>
                <w:szCs w:val="20"/>
              </w:rPr>
              <w:t>Mashal Model School</w:t>
            </w:r>
          </w:p>
        </w:tc>
        <w:tc>
          <w:tcPr>
            <w:tcW w:w="3827" w:type="dxa"/>
            <w:hideMark/>
          </w:tcPr>
          <w:p w:rsidR="003718C3" w:rsidRPr="00A92AF0" w:rsidRDefault="003718C3" w:rsidP="00A92AF0">
            <w:pPr>
              <w:spacing w:before="120"/>
              <w:rPr>
                <w:sz w:val="20"/>
                <w:szCs w:val="20"/>
              </w:rPr>
            </w:pPr>
            <w:r w:rsidRPr="00A92AF0">
              <w:rPr>
                <w:sz w:val="20"/>
                <w:szCs w:val="20"/>
              </w:rPr>
              <w:t>Projekt realizoval aktivity pro výuku tesařských dovedností pro chlapce, výuku počítačové gramotnosti, kurzy šití pro dívky a výuku tělesné výchovy.</w:t>
            </w:r>
          </w:p>
        </w:tc>
        <w:tc>
          <w:tcPr>
            <w:tcW w:w="1134" w:type="dxa"/>
            <w:hideMark/>
          </w:tcPr>
          <w:p w:rsidR="003718C3" w:rsidRPr="00A92AF0" w:rsidRDefault="003718C3" w:rsidP="00A92AF0">
            <w:pPr>
              <w:spacing w:before="120"/>
              <w:rPr>
                <w:sz w:val="20"/>
                <w:szCs w:val="20"/>
              </w:rPr>
            </w:pPr>
            <w:r w:rsidRPr="00A92AF0">
              <w:rPr>
                <w:sz w:val="20"/>
                <w:szCs w:val="20"/>
              </w:rPr>
              <w:t>200 000</w:t>
            </w:r>
          </w:p>
        </w:tc>
      </w:tr>
      <w:tr w:rsidR="003718C3" w:rsidRPr="00A92AF0" w:rsidTr="00E76B71">
        <w:trPr>
          <w:trHeight w:val="1267"/>
        </w:trPr>
        <w:tc>
          <w:tcPr>
            <w:tcW w:w="1242" w:type="dxa"/>
            <w:hideMark/>
          </w:tcPr>
          <w:p w:rsidR="003718C3" w:rsidRPr="00A92AF0" w:rsidRDefault="003718C3" w:rsidP="00A92AF0">
            <w:pPr>
              <w:spacing w:before="120"/>
              <w:rPr>
                <w:sz w:val="20"/>
                <w:szCs w:val="20"/>
              </w:rPr>
            </w:pPr>
            <w:r w:rsidRPr="00A92AF0">
              <w:rPr>
                <w:sz w:val="20"/>
                <w:szCs w:val="20"/>
              </w:rPr>
              <w:t>Srí Lanka</w:t>
            </w:r>
          </w:p>
        </w:tc>
        <w:tc>
          <w:tcPr>
            <w:tcW w:w="1701" w:type="dxa"/>
            <w:hideMark/>
          </w:tcPr>
          <w:p w:rsidR="003718C3" w:rsidRPr="00A92AF0" w:rsidRDefault="003718C3" w:rsidP="00A92AF0">
            <w:pPr>
              <w:spacing w:before="120"/>
              <w:rPr>
                <w:sz w:val="20"/>
                <w:szCs w:val="20"/>
              </w:rPr>
            </w:pPr>
            <w:r w:rsidRPr="00A92AF0">
              <w:rPr>
                <w:sz w:val="20"/>
                <w:szCs w:val="20"/>
              </w:rPr>
              <w:t>Zlepšení pracovních podmínek a možností školení pro ženy</w:t>
            </w:r>
          </w:p>
        </w:tc>
        <w:tc>
          <w:tcPr>
            <w:tcW w:w="1418" w:type="dxa"/>
            <w:hideMark/>
          </w:tcPr>
          <w:p w:rsidR="003718C3" w:rsidRPr="00A92AF0" w:rsidRDefault="003718C3" w:rsidP="00A92AF0">
            <w:pPr>
              <w:spacing w:before="120"/>
              <w:rPr>
                <w:sz w:val="20"/>
                <w:szCs w:val="20"/>
              </w:rPr>
            </w:pPr>
            <w:r w:rsidRPr="00A92AF0">
              <w:rPr>
                <w:sz w:val="20"/>
                <w:szCs w:val="20"/>
              </w:rPr>
              <w:t>Nature Conservation Society (NCS)</w:t>
            </w:r>
          </w:p>
        </w:tc>
        <w:tc>
          <w:tcPr>
            <w:tcW w:w="3827" w:type="dxa"/>
            <w:hideMark/>
          </w:tcPr>
          <w:p w:rsidR="003718C3" w:rsidRPr="00A92AF0" w:rsidRDefault="003718C3" w:rsidP="00A92AF0">
            <w:pPr>
              <w:spacing w:before="120"/>
              <w:rPr>
                <w:sz w:val="20"/>
                <w:szCs w:val="20"/>
              </w:rPr>
            </w:pPr>
            <w:r w:rsidRPr="00A92AF0">
              <w:rPr>
                <w:sz w:val="20"/>
                <w:szCs w:val="20"/>
              </w:rPr>
              <w:t>Projekt se zaměřil na vybudování nového školícího centra, umožňujícího zvýšení počtu školených žen, a na pokračování v kurzech šití a výroby hraček.</w:t>
            </w:r>
          </w:p>
        </w:tc>
        <w:tc>
          <w:tcPr>
            <w:tcW w:w="1134" w:type="dxa"/>
            <w:hideMark/>
          </w:tcPr>
          <w:p w:rsidR="003718C3" w:rsidRPr="00A92AF0" w:rsidRDefault="003718C3" w:rsidP="00A92AF0">
            <w:pPr>
              <w:spacing w:before="120"/>
              <w:rPr>
                <w:sz w:val="20"/>
                <w:szCs w:val="20"/>
              </w:rPr>
            </w:pPr>
            <w:r w:rsidRPr="00A92AF0">
              <w:rPr>
                <w:sz w:val="20"/>
                <w:szCs w:val="20"/>
              </w:rPr>
              <w:t>225 000</w:t>
            </w:r>
          </w:p>
        </w:tc>
      </w:tr>
      <w:tr w:rsidR="003718C3" w:rsidRPr="00A92AF0" w:rsidTr="00E76B71">
        <w:trPr>
          <w:trHeight w:val="1500"/>
        </w:trPr>
        <w:tc>
          <w:tcPr>
            <w:tcW w:w="1242" w:type="dxa"/>
            <w:hideMark/>
          </w:tcPr>
          <w:p w:rsidR="003718C3" w:rsidRPr="00A92AF0" w:rsidRDefault="003718C3" w:rsidP="00A92AF0">
            <w:pPr>
              <w:spacing w:before="120"/>
              <w:rPr>
                <w:sz w:val="20"/>
                <w:szCs w:val="20"/>
              </w:rPr>
            </w:pPr>
            <w:r w:rsidRPr="00A92AF0">
              <w:rPr>
                <w:sz w:val="20"/>
                <w:szCs w:val="20"/>
              </w:rPr>
              <w:t>Alžírsko</w:t>
            </w:r>
          </w:p>
        </w:tc>
        <w:tc>
          <w:tcPr>
            <w:tcW w:w="1701" w:type="dxa"/>
            <w:hideMark/>
          </w:tcPr>
          <w:p w:rsidR="003718C3" w:rsidRPr="00A92AF0" w:rsidRDefault="003718C3" w:rsidP="00A92AF0">
            <w:pPr>
              <w:spacing w:before="120"/>
              <w:rPr>
                <w:sz w:val="20"/>
                <w:szCs w:val="20"/>
              </w:rPr>
            </w:pPr>
            <w:r w:rsidRPr="00A92AF0">
              <w:rPr>
                <w:sz w:val="20"/>
                <w:szCs w:val="20"/>
              </w:rPr>
              <w:t>Pomoc a podpora školního vzdělávání dětí a vzdělávání žen ve čtvrti Bab el Oued v Alžíru</w:t>
            </w:r>
          </w:p>
        </w:tc>
        <w:tc>
          <w:tcPr>
            <w:tcW w:w="1418" w:type="dxa"/>
            <w:hideMark/>
          </w:tcPr>
          <w:p w:rsidR="003718C3" w:rsidRPr="00A92AF0" w:rsidRDefault="003718C3" w:rsidP="00A92AF0">
            <w:pPr>
              <w:spacing w:before="120"/>
              <w:rPr>
                <w:sz w:val="20"/>
                <w:szCs w:val="20"/>
              </w:rPr>
            </w:pPr>
            <w:r w:rsidRPr="00A92AF0">
              <w:rPr>
                <w:sz w:val="20"/>
                <w:szCs w:val="20"/>
              </w:rPr>
              <w:t>Centre d´accueil et d´amitie de Soeurs Augustines de Bab el Oued</w:t>
            </w:r>
          </w:p>
        </w:tc>
        <w:tc>
          <w:tcPr>
            <w:tcW w:w="3827" w:type="dxa"/>
            <w:hideMark/>
          </w:tcPr>
          <w:p w:rsidR="003718C3" w:rsidRPr="00A92AF0" w:rsidRDefault="003718C3" w:rsidP="00A92AF0">
            <w:pPr>
              <w:spacing w:before="120"/>
              <w:rPr>
                <w:sz w:val="20"/>
                <w:szCs w:val="20"/>
              </w:rPr>
            </w:pPr>
            <w:r w:rsidRPr="00A92AF0">
              <w:rPr>
                <w:sz w:val="20"/>
                <w:szCs w:val="20"/>
              </w:rPr>
              <w:t>Projekt podpořil výchovu a vzdělávání v neúplných a sociálně znevýhodněných rodinách v jedné z výrazně chudších čtvrtí města Alžíru.</w:t>
            </w:r>
          </w:p>
        </w:tc>
        <w:tc>
          <w:tcPr>
            <w:tcW w:w="1134" w:type="dxa"/>
            <w:hideMark/>
          </w:tcPr>
          <w:p w:rsidR="003718C3" w:rsidRPr="00A92AF0" w:rsidRDefault="003718C3" w:rsidP="00A92AF0">
            <w:pPr>
              <w:spacing w:before="120"/>
              <w:rPr>
                <w:sz w:val="20"/>
                <w:szCs w:val="20"/>
              </w:rPr>
            </w:pPr>
            <w:r w:rsidRPr="00A92AF0">
              <w:rPr>
                <w:sz w:val="20"/>
                <w:szCs w:val="20"/>
              </w:rPr>
              <w:t>171 000</w:t>
            </w:r>
          </w:p>
        </w:tc>
      </w:tr>
      <w:tr w:rsidR="003718C3" w:rsidRPr="00A92AF0" w:rsidTr="00E76B71">
        <w:trPr>
          <w:trHeight w:val="1560"/>
        </w:trPr>
        <w:tc>
          <w:tcPr>
            <w:tcW w:w="1242" w:type="dxa"/>
            <w:hideMark/>
          </w:tcPr>
          <w:p w:rsidR="003718C3" w:rsidRPr="00A92AF0" w:rsidRDefault="003718C3" w:rsidP="00A92AF0">
            <w:pPr>
              <w:spacing w:before="120"/>
              <w:rPr>
                <w:sz w:val="20"/>
                <w:szCs w:val="20"/>
              </w:rPr>
            </w:pPr>
            <w:r w:rsidRPr="00A92AF0">
              <w:rPr>
                <w:sz w:val="20"/>
                <w:szCs w:val="20"/>
              </w:rPr>
              <w:t>Irán</w:t>
            </w:r>
          </w:p>
        </w:tc>
        <w:tc>
          <w:tcPr>
            <w:tcW w:w="1701" w:type="dxa"/>
            <w:hideMark/>
          </w:tcPr>
          <w:p w:rsidR="003718C3" w:rsidRPr="00A92AF0" w:rsidRDefault="003718C3" w:rsidP="00A92AF0">
            <w:pPr>
              <w:spacing w:before="120"/>
              <w:rPr>
                <w:sz w:val="20"/>
                <w:szCs w:val="20"/>
              </w:rPr>
            </w:pPr>
            <w:r w:rsidRPr="00A92AF0">
              <w:rPr>
                <w:sz w:val="20"/>
                <w:szCs w:val="20"/>
              </w:rPr>
              <w:t>Podpora vzdělávacích a sociálních center HAMI poskytujících služby uprchlickým ženám a dětem</w:t>
            </w:r>
          </w:p>
        </w:tc>
        <w:tc>
          <w:tcPr>
            <w:tcW w:w="1418" w:type="dxa"/>
            <w:hideMark/>
          </w:tcPr>
          <w:p w:rsidR="003718C3" w:rsidRPr="00A92AF0" w:rsidRDefault="003718C3" w:rsidP="00A92AF0">
            <w:pPr>
              <w:spacing w:before="120"/>
              <w:rPr>
                <w:sz w:val="20"/>
                <w:szCs w:val="20"/>
              </w:rPr>
            </w:pPr>
            <w:r w:rsidRPr="00A92AF0">
              <w:rPr>
                <w:sz w:val="20"/>
                <w:szCs w:val="20"/>
              </w:rPr>
              <w:t>Asociace na ochranu uprchlických žen a dětí (HAMI)</w:t>
            </w:r>
          </w:p>
        </w:tc>
        <w:tc>
          <w:tcPr>
            <w:tcW w:w="3827" w:type="dxa"/>
            <w:hideMark/>
          </w:tcPr>
          <w:p w:rsidR="003718C3" w:rsidRPr="00A92AF0" w:rsidRDefault="003718C3" w:rsidP="00A92AF0">
            <w:pPr>
              <w:spacing w:before="120"/>
              <w:rPr>
                <w:sz w:val="20"/>
                <w:szCs w:val="20"/>
              </w:rPr>
            </w:pPr>
            <w:r w:rsidRPr="00A92AF0">
              <w:rPr>
                <w:sz w:val="20"/>
                <w:szCs w:val="20"/>
              </w:rPr>
              <w:t>Projekt přispěl k většímu přístupu ke vzdělání a sociálním službám u nejvíce zranitelných skupin uprchlíků a zvýšil kvalitu služeb poskytovaných uprchlíkům ve vzdělávacích a sociálních centrech HAMI.</w:t>
            </w:r>
          </w:p>
        </w:tc>
        <w:tc>
          <w:tcPr>
            <w:tcW w:w="1134" w:type="dxa"/>
            <w:hideMark/>
          </w:tcPr>
          <w:p w:rsidR="003718C3" w:rsidRPr="00A92AF0" w:rsidRDefault="003718C3" w:rsidP="00A92AF0">
            <w:pPr>
              <w:spacing w:before="120"/>
              <w:rPr>
                <w:sz w:val="20"/>
                <w:szCs w:val="20"/>
              </w:rPr>
            </w:pPr>
            <w:r w:rsidRPr="00A92AF0">
              <w:rPr>
                <w:sz w:val="20"/>
                <w:szCs w:val="20"/>
              </w:rPr>
              <w:t>500 000</w:t>
            </w:r>
          </w:p>
        </w:tc>
      </w:tr>
      <w:tr w:rsidR="003718C3" w:rsidRPr="00A92AF0" w:rsidTr="00E76B71">
        <w:trPr>
          <w:trHeight w:val="1279"/>
        </w:trPr>
        <w:tc>
          <w:tcPr>
            <w:tcW w:w="1242" w:type="dxa"/>
            <w:hideMark/>
          </w:tcPr>
          <w:p w:rsidR="003718C3" w:rsidRPr="00A92AF0" w:rsidRDefault="003718C3" w:rsidP="00A92AF0">
            <w:pPr>
              <w:spacing w:before="120"/>
              <w:rPr>
                <w:sz w:val="20"/>
                <w:szCs w:val="20"/>
              </w:rPr>
            </w:pPr>
            <w:r w:rsidRPr="00A92AF0">
              <w:rPr>
                <w:sz w:val="20"/>
                <w:szCs w:val="20"/>
              </w:rPr>
              <w:t>Libanon</w:t>
            </w:r>
          </w:p>
        </w:tc>
        <w:tc>
          <w:tcPr>
            <w:tcW w:w="1701" w:type="dxa"/>
            <w:hideMark/>
          </w:tcPr>
          <w:p w:rsidR="003718C3" w:rsidRPr="00A92AF0" w:rsidRDefault="003718C3" w:rsidP="00A92AF0">
            <w:pPr>
              <w:spacing w:before="120"/>
              <w:rPr>
                <w:sz w:val="20"/>
                <w:szCs w:val="20"/>
              </w:rPr>
            </w:pPr>
            <w:r w:rsidRPr="00A92AF0">
              <w:rPr>
                <w:sz w:val="20"/>
                <w:szCs w:val="20"/>
              </w:rPr>
              <w:t>Zastřešení objektu dívčí muslimské školy v Tyru</w:t>
            </w:r>
          </w:p>
        </w:tc>
        <w:tc>
          <w:tcPr>
            <w:tcW w:w="1418" w:type="dxa"/>
            <w:hideMark/>
          </w:tcPr>
          <w:p w:rsidR="003718C3" w:rsidRPr="00A92AF0" w:rsidRDefault="003718C3" w:rsidP="00A92AF0">
            <w:pPr>
              <w:spacing w:before="120"/>
              <w:rPr>
                <w:sz w:val="20"/>
                <w:szCs w:val="20"/>
              </w:rPr>
            </w:pPr>
            <w:r w:rsidRPr="00A92AF0">
              <w:rPr>
                <w:sz w:val="20"/>
                <w:szCs w:val="20"/>
              </w:rPr>
              <w:t>Intermediate Official School for Girls</w:t>
            </w:r>
          </w:p>
        </w:tc>
        <w:tc>
          <w:tcPr>
            <w:tcW w:w="3827" w:type="dxa"/>
            <w:hideMark/>
          </w:tcPr>
          <w:p w:rsidR="003718C3" w:rsidRPr="00A92AF0" w:rsidRDefault="003718C3" w:rsidP="00A92AF0">
            <w:pPr>
              <w:spacing w:before="120"/>
              <w:rPr>
                <w:sz w:val="20"/>
                <w:szCs w:val="20"/>
              </w:rPr>
            </w:pPr>
            <w:r w:rsidRPr="00A92AF0">
              <w:rPr>
                <w:sz w:val="20"/>
                <w:szCs w:val="20"/>
              </w:rPr>
              <w:t>V rámci projektu byla vybudována ocelová konstrukce, na kterou se v případě potřeby upevní střecha tak, aby dosud málo využívaný dvůr bylo možno využívat během celého školního roku.</w:t>
            </w:r>
          </w:p>
        </w:tc>
        <w:tc>
          <w:tcPr>
            <w:tcW w:w="1134" w:type="dxa"/>
            <w:hideMark/>
          </w:tcPr>
          <w:p w:rsidR="003718C3" w:rsidRPr="00A92AF0" w:rsidRDefault="003718C3" w:rsidP="00A92AF0">
            <w:pPr>
              <w:spacing w:before="120"/>
              <w:rPr>
                <w:sz w:val="20"/>
                <w:szCs w:val="20"/>
              </w:rPr>
            </w:pPr>
            <w:r w:rsidRPr="00A92AF0">
              <w:rPr>
                <w:sz w:val="20"/>
                <w:szCs w:val="20"/>
              </w:rPr>
              <w:t>184 000</w:t>
            </w:r>
          </w:p>
        </w:tc>
      </w:tr>
    </w:tbl>
    <w:p w:rsidR="00BC536E" w:rsidRDefault="00BC536E" w:rsidP="00BC536E">
      <w:pPr>
        <w:autoSpaceDE w:val="0"/>
        <w:autoSpaceDN w:val="0"/>
        <w:adjustRightInd w:val="0"/>
      </w:pPr>
    </w:p>
    <w:p w:rsidR="00BC536E" w:rsidRDefault="00BC536E" w:rsidP="00BC536E">
      <w:pPr>
        <w:autoSpaceDE w:val="0"/>
        <w:autoSpaceDN w:val="0"/>
        <w:adjustRightInd w:val="0"/>
      </w:pPr>
    </w:p>
    <w:p w:rsidR="001C58F4" w:rsidRPr="0021359D" w:rsidRDefault="001C58F4" w:rsidP="000D195F">
      <w:pPr>
        <w:ind w:left="11328"/>
        <w:rPr>
          <w:b/>
          <w:sz w:val="22"/>
          <w:szCs w:val="22"/>
        </w:rPr>
      </w:pPr>
      <w:r w:rsidRPr="0021359D">
        <w:rPr>
          <w:b/>
          <w:sz w:val="22"/>
          <w:szCs w:val="22"/>
        </w:rPr>
        <w:t>2</w:t>
      </w:r>
    </w:p>
    <w:sectPr w:rsidR="001C58F4" w:rsidRPr="0021359D" w:rsidSect="007054B4">
      <w:footerReference w:type="default" r:id="rId24"/>
      <w:footerReference w:type="first" r:id="rId25"/>
      <w:pgSz w:w="11906" w:h="16838"/>
      <w:pgMar w:top="993" w:right="1418" w:bottom="1418" w:left="1418" w:header="0" w:footer="709" w:gutter="0"/>
      <w:pgNumType w:start="1"/>
      <w:cols w:space="708"/>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781" w:rsidRDefault="000B1781">
      <w:r>
        <w:separator/>
      </w:r>
    </w:p>
  </w:endnote>
  <w:endnote w:type="continuationSeparator" w:id="0">
    <w:p w:rsidR="000B1781" w:rsidRDefault="000B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Liberation Sans">
    <w:altName w:val="Arial"/>
    <w:charset w:val="EE"/>
    <w:family w:val="swiss"/>
    <w:pitch w:val="variable"/>
  </w:font>
  <w:font w:name="Lucida Sans Unicode">
    <w:panose1 w:val="020B0602030504020204"/>
    <w:charset w:val="EE"/>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Meiryo"/>
    <w:panose1 w:val="02020609040205080304"/>
    <w:charset w:val="80"/>
    <w:family w:val="roman"/>
    <w:notTrueType/>
    <w:pitch w:val="fixed"/>
    <w:sig w:usb0="00000000" w:usb1="08070000" w:usb2="00000010" w:usb3="00000000" w:csb0="00020000"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343463"/>
      <w:docPartObj>
        <w:docPartGallery w:val="Page Numbers (Bottom of Page)"/>
        <w:docPartUnique/>
      </w:docPartObj>
    </w:sdtPr>
    <w:sdtEndPr/>
    <w:sdtContent>
      <w:p w:rsidR="000B1781" w:rsidRDefault="000B1781">
        <w:pPr>
          <w:pStyle w:val="Zpat"/>
          <w:jc w:val="center"/>
        </w:pPr>
        <w:r>
          <w:rPr>
            <w:rFonts w:ascii="Arial" w:hAnsi="Arial" w:cs="Arial"/>
            <w:sz w:val="22"/>
            <w:szCs w:val="22"/>
          </w:rPr>
          <w:fldChar w:fldCharType="begin"/>
        </w:r>
        <w:r>
          <w:instrText>PAGE</w:instrText>
        </w:r>
        <w:r>
          <w:fldChar w:fldCharType="separate"/>
        </w:r>
        <w:r w:rsidR="00CB77F6">
          <w:rPr>
            <w:noProof/>
          </w:rPr>
          <w:t>3</w:t>
        </w:r>
        <w:r>
          <w:fldChar w:fldCharType="end"/>
        </w:r>
      </w:p>
      <w:p w:rsidR="000B1781" w:rsidRDefault="00CB77F6">
        <w:pPr>
          <w:pStyle w:val="Zpa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844728"/>
      <w:docPartObj>
        <w:docPartGallery w:val="Page Numbers (Bottom of Page)"/>
        <w:docPartUnique/>
      </w:docPartObj>
    </w:sdtPr>
    <w:sdtEndPr/>
    <w:sdtContent>
      <w:p w:rsidR="000B1781" w:rsidRDefault="000B1781">
        <w:pPr>
          <w:pStyle w:val="Zpat"/>
          <w:jc w:val="center"/>
        </w:pPr>
        <w:r>
          <w:t xml:space="preserve"> </w:t>
        </w:r>
      </w:p>
    </w:sdtContent>
  </w:sdt>
  <w:p w:rsidR="000B1781" w:rsidRDefault="000B17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781" w:rsidRDefault="000B1781">
      <w:r>
        <w:separator/>
      </w:r>
    </w:p>
  </w:footnote>
  <w:footnote w:type="continuationSeparator" w:id="0">
    <w:p w:rsidR="000B1781" w:rsidRDefault="000B1781">
      <w:r>
        <w:continuationSeparator/>
      </w:r>
    </w:p>
  </w:footnote>
  <w:footnote w:id="1">
    <w:p w:rsidR="000B1781" w:rsidRDefault="000B1781">
      <w:pPr>
        <w:pStyle w:val="Textpoznpodarou"/>
      </w:pPr>
      <w:r>
        <w:rPr>
          <w:rStyle w:val="Znakapoznpodarou"/>
        </w:rPr>
        <w:footnoteRef/>
      </w:r>
      <w:r>
        <w:t xml:space="preserve"> </w:t>
      </w:r>
      <w:r w:rsidRPr="00EE277E">
        <w:rPr>
          <w:sz w:val="16"/>
          <w:szCs w:val="16"/>
        </w:rPr>
        <w:t xml:space="preserve">Údaj z dubna 2018 </w:t>
      </w:r>
      <w:r>
        <w:rPr>
          <w:sz w:val="16"/>
          <w:szCs w:val="16"/>
        </w:rPr>
        <w:t xml:space="preserve">- </w:t>
      </w:r>
      <w:hyperlink r:id="rId1" w:history="1">
        <w:r w:rsidRPr="00EE277E">
          <w:rPr>
            <w:rStyle w:val="Hypertextovodkaz"/>
            <w:sz w:val="16"/>
            <w:szCs w:val="16"/>
            <w:lang w:val="en-AU"/>
          </w:rPr>
          <w:t xml:space="preserve">Women´s International League for Peace and Freedom </w:t>
        </w:r>
      </w:hyperlink>
      <w:r>
        <w:rPr>
          <w:sz w:val="16"/>
          <w:szCs w:val="16"/>
          <w:lang w:val="en-AU"/>
        </w:rPr>
        <w:t xml:space="preserve"> </w:t>
      </w:r>
    </w:p>
  </w:footnote>
  <w:footnote w:id="2">
    <w:p w:rsidR="000B1781" w:rsidRPr="003C137B" w:rsidRDefault="000B1781" w:rsidP="003C137B">
      <w:pPr>
        <w:jc w:val="both"/>
        <w:rPr>
          <w:i/>
          <w:sz w:val="20"/>
          <w:szCs w:val="20"/>
        </w:rPr>
      </w:pPr>
      <w:r w:rsidRPr="003C137B">
        <w:rPr>
          <w:rStyle w:val="Znakapoznpodarou"/>
          <w:sz w:val="20"/>
          <w:szCs w:val="20"/>
        </w:rPr>
        <w:footnoteRef/>
      </w:r>
      <w:r w:rsidRPr="003C137B">
        <w:rPr>
          <w:sz w:val="20"/>
          <w:szCs w:val="20"/>
        </w:rPr>
        <w:t xml:space="preserve"> </w:t>
      </w:r>
      <w:r w:rsidRPr="003C137B">
        <w:rPr>
          <w:i/>
          <w:sz w:val="20"/>
          <w:szCs w:val="20"/>
        </w:rPr>
        <w:t xml:space="preserve">Podíl žen v zahraničních operacích a pozorovatelských misích OSN zahrnuje vojákyně, které v období 1. 1. 2017 – 31. 12. 2017 působily na misi. Některé z těchto vojákyň byly do mise vyslány již v roce 2016 nebo ukončily (ukončí) své působení až v roce 2018. Rozbor nezahrnuje vojákyně Vojenského zpravodajství. </w:t>
      </w:r>
    </w:p>
    <w:p w:rsidR="000B1781" w:rsidRDefault="000B1781">
      <w:pPr>
        <w:pStyle w:val="Textpoznpodarou"/>
      </w:pPr>
    </w:p>
  </w:footnote>
  <w:footnote w:id="3">
    <w:p w:rsidR="000B1781" w:rsidRPr="00C82D44" w:rsidRDefault="000B1781" w:rsidP="007C4D98">
      <w:pPr>
        <w:pStyle w:val="Textpoznpodarou"/>
        <w:rPr>
          <w:i/>
        </w:rPr>
      </w:pPr>
      <w:r>
        <w:rPr>
          <w:rStyle w:val="Znakapoznpodarou"/>
        </w:rPr>
        <w:footnoteRef/>
      </w:r>
      <w:r>
        <w:t xml:space="preserve"> </w:t>
      </w:r>
      <w:r w:rsidRPr="00C82D44">
        <w:rPr>
          <w:i/>
        </w:rPr>
        <w:t>Strategie pro uplatňování českých občanů v mezinárodních organiz</w:t>
      </w:r>
      <w:r>
        <w:rPr>
          <w:i/>
        </w:rPr>
        <w:t>acích byla přijata u</w:t>
      </w:r>
      <w:r w:rsidRPr="00C82D44">
        <w:rPr>
          <w:i/>
        </w:rPr>
        <w:t>snesení</w:t>
      </w:r>
      <w:r>
        <w:rPr>
          <w:i/>
        </w:rPr>
        <w:t>m</w:t>
      </w:r>
      <w:r w:rsidRPr="00C82D44">
        <w:rPr>
          <w:i/>
        </w:rPr>
        <w:t xml:space="preserve"> vlády č. 578 ze dne 21. 8. 2017</w:t>
      </w:r>
    </w:p>
  </w:footnote>
  <w:footnote w:id="4">
    <w:p w:rsidR="000B1781" w:rsidRPr="0048202D" w:rsidRDefault="000B1781" w:rsidP="00380910">
      <w:pPr>
        <w:pStyle w:val="Textpoznpodarou"/>
        <w:rPr>
          <w:i/>
        </w:rPr>
      </w:pPr>
      <w:r>
        <w:rPr>
          <w:rStyle w:val="Znakapoznpodarou"/>
        </w:rPr>
        <w:footnoteRef/>
      </w:r>
      <w:r>
        <w:t xml:space="preserve"> </w:t>
      </w:r>
      <w:r w:rsidRPr="0048202D">
        <w:rPr>
          <w:i/>
        </w:rPr>
        <w:t>MPSV, tiskové prohlášení ke konferenci 22% k rovnosti konané v Černínském paláci dne 8. 3. 2017</w:t>
      </w:r>
    </w:p>
  </w:footnote>
  <w:footnote w:id="5">
    <w:p w:rsidR="000B1781" w:rsidRPr="0048202D" w:rsidRDefault="000B1781" w:rsidP="007C3888">
      <w:pPr>
        <w:spacing w:before="120"/>
        <w:jc w:val="both"/>
        <w:rPr>
          <w:i/>
          <w:sz w:val="20"/>
          <w:szCs w:val="20"/>
        </w:rPr>
      </w:pPr>
      <w:r w:rsidRPr="0048202D">
        <w:rPr>
          <w:rStyle w:val="Znakapoznpodarou"/>
          <w:i/>
          <w:sz w:val="20"/>
          <w:szCs w:val="20"/>
        </w:rPr>
        <w:footnoteRef/>
      </w:r>
      <w:r w:rsidRPr="0048202D">
        <w:rPr>
          <w:i/>
          <w:sz w:val="20"/>
          <w:szCs w:val="20"/>
        </w:rPr>
        <w:t xml:space="preserve"> Průměr vyplacené složky platu na 1 muže/měsíc a 1 ženu/měsíc v členění tarifní plat, hodnostní příplatky, příplatky za vedení, osobní příplatky, ostatní zvláštní příplatky, příplatky za práci v noci+so+ne, příplatky za práci přesčas a ve svátek, příplatky z pracovní pohotovosti, odměny mimořádné, jubilejní a první odchod do důchodu, náhrady platu. </w:t>
      </w:r>
    </w:p>
  </w:footnote>
  <w:footnote w:id="6">
    <w:p w:rsidR="000B1781" w:rsidRPr="0048202D" w:rsidRDefault="000B1781" w:rsidP="00F160F1">
      <w:pPr>
        <w:rPr>
          <w:i/>
          <w:sz w:val="20"/>
          <w:szCs w:val="20"/>
        </w:rPr>
      </w:pPr>
      <w:r w:rsidRPr="0048202D">
        <w:rPr>
          <w:rStyle w:val="Znakapoznpodarou"/>
          <w:i/>
          <w:sz w:val="20"/>
          <w:szCs w:val="20"/>
        </w:rPr>
        <w:footnoteRef/>
      </w:r>
      <w:r w:rsidRPr="0048202D">
        <w:rPr>
          <w:i/>
          <w:sz w:val="20"/>
          <w:szCs w:val="20"/>
        </w:rPr>
        <w:t xml:space="preserve"> Průměrný vyplacený služební plat za rok 2017 činil u vojáků 33.445,--  a  u vojákyň 34.169,--  (vojáci jsou převážně v základních pozicích, zatímco vojákyně naopak ve vyšších pozicích, resp. na pozicích s vysokoškolským vzděláním). </w:t>
      </w:r>
    </w:p>
    <w:p w:rsidR="000B1781" w:rsidRPr="0048202D" w:rsidRDefault="000B1781">
      <w:pPr>
        <w:pStyle w:val="Textpoznpodarou"/>
        <w:rPr>
          <w:i/>
        </w:rPr>
      </w:pPr>
    </w:p>
    <w:p w:rsidR="000B1781" w:rsidRPr="00F160F1" w:rsidRDefault="000B1781">
      <w:pPr>
        <w:pStyle w:val="Textpoznpodarou"/>
      </w:pPr>
      <w:r>
        <w:t xml:space="preserve"> </w:t>
      </w:r>
    </w:p>
  </w:footnote>
  <w:footnote w:id="7">
    <w:p w:rsidR="000B1781" w:rsidRPr="00185889" w:rsidRDefault="000B1781" w:rsidP="00F147DD">
      <w:pPr>
        <w:pStyle w:val="Textpoznpodarou"/>
        <w:jc w:val="both"/>
        <w:rPr>
          <w:i/>
          <w:sz w:val="16"/>
          <w:szCs w:val="16"/>
        </w:rPr>
      </w:pPr>
      <w:r w:rsidRPr="004A1E42">
        <w:rPr>
          <w:rStyle w:val="Znakapoznpodarou"/>
          <w:i/>
        </w:rPr>
        <w:footnoteRef/>
      </w:r>
      <w:r w:rsidRPr="004A1E42">
        <w:rPr>
          <w:i/>
        </w:rPr>
        <w:t xml:space="preserve"> </w:t>
      </w:r>
      <w:r w:rsidRPr="00185889">
        <w:rPr>
          <w:i/>
          <w:sz w:val="16"/>
          <w:szCs w:val="16"/>
        </w:rPr>
        <w:t xml:space="preserve">Sledovány jsou počty zaměstnanců (ve služebním i pracovním poměru), ve vedoucích systemizovaných místech, v základních velitelských stupních, v hodnostech poručík a výše a  štábní praporčík a nižší, dále pak délka trvání služebního poměru žen a mužů, vzdělání žen a mužů, plnění/neplnění kvalifikačních předpokladů vzdělání žen a mužů v pracovním poměru, počty studujících na vojenských školách, počty žen a mužů (v členění zájemce, uchazeč, přijat) v rámci výběru personálu – náboru do AČR, počty žen a mužů ve strukturách NATO a EU a v zahraničních operacích, věk žen a mužů na systemizovaných místech i na vedoucích systemizovaných místech, počty žen a mužů na mateřské a rodičovské dovolené, ve vojenských odbornostech, v platových třídách a stupních, sleduje se i průměrná vyplacená složka platu žen a mužů na 1 osobu/měsíc. </w:t>
      </w:r>
    </w:p>
  </w:footnote>
  <w:footnote w:id="8">
    <w:p w:rsidR="000B1781" w:rsidRDefault="000B1781" w:rsidP="00573FFC">
      <w:pPr>
        <w:pStyle w:val="Textpoznpodarou"/>
      </w:pPr>
      <w:r>
        <w:rPr>
          <w:rStyle w:val="Znakapoznpodarou"/>
        </w:rPr>
        <w:footnoteRef/>
      </w:r>
      <w:r>
        <w:t xml:space="preserve"> </w:t>
      </w:r>
      <w:r>
        <w:rPr>
          <w:i/>
        </w:rPr>
        <w:t xml:space="preserve">Metodika </w:t>
      </w:r>
      <w:r w:rsidRPr="009C6DF0">
        <w:rPr>
          <w:i/>
        </w:rPr>
        <w:t>uvolňování finančních prostředků pro vysílání občanů České republiky do civilních struktur Evropské unie a dalších mezinárodních vládních organizací a do volebních pozorovatelských misí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7B9A"/>
    <w:multiLevelType w:val="hybridMultilevel"/>
    <w:tmpl w:val="217274B4"/>
    <w:lvl w:ilvl="0" w:tplc="04050001">
      <w:start w:val="1"/>
      <w:numFmt w:val="bullet"/>
      <w:lvlText w:val=""/>
      <w:lvlJc w:val="left"/>
      <w:pPr>
        <w:ind w:left="720" w:hanging="360"/>
      </w:pPr>
      <w:rPr>
        <w:rFonts w:ascii="Symbol" w:hAnsi="Symbol" w:hint="default"/>
      </w:rPr>
    </w:lvl>
    <w:lvl w:ilvl="1" w:tplc="5A6A2994">
      <w:numFmt w:val="bullet"/>
      <w:lvlText w:val="•"/>
      <w:lvlJc w:val="left"/>
      <w:pPr>
        <w:ind w:left="1790" w:hanging="71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610032"/>
    <w:multiLevelType w:val="hybridMultilevel"/>
    <w:tmpl w:val="5BC4C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77247D"/>
    <w:multiLevelType w:val="hybridMultilevel"/>
    <w:tmpl w:val="3B545C1C"/>
    <w:lvl w:ilvl="0" w:tplc="AF1691BC">
      <w:start w:val="2"/>
      <w:numFmt w:val="bullet"/>
      <w:lvlText w:val="-"/>
      <w:lvlJc w:val="left"/>
      <w:pPr>
        <w:ind w:left="720" w:hanging="360"/>
      </w:pPr>
      <w:rPr>
        <w:rFonts w:ascii="Times New Roman" w:eastAsia="Times New Roman" w:hAnsi="Times New Roman"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14E1C95"/>
    <w:multiLevelType w:val="hybridMultilevel"/>
    <w:tmpl w:val="62B2BD90"/>
    <w:lvl w:ilvl="0" w:tplc="0AE42B9C">
      <w:start w:val="4"/>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159C412A"/>
    <w:multiLevelType w:val="hybridMultilevel"/>
    <w:tmpl w:val="66D6B6B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5">
    <w:nsid w:val="17252B0E"/>
    <w:multiLevelType w:val="hybridMultilevel"/>
    <w:tmpl w:val="F41EE0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B85B19"/>
    <w:multiLevelType w:val="hybridMultilevel"/>
    <w:tmpl w:val="DCCC3754"/>
    <w:lvl w:ilvl="0" w:tplc="C256F8C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2F7171E"/>
    <w:multiLevelType w:val="multilevel"/>
    <w:tmpl w:val="39F6F7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1553E1"/>
    <w:multiLevelType w:val="hybridMultilevel"/>
    <w:tmpl w:val="384899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DAC4EE0"/>
    <w:multiLevelType w:val="hybridMultilevel"/>
    <w:tmpl w:val="F53EEBA4"/>
    <w:lvl w:ilvl="0" w:tplc="D2BAE948">
      <w:start w:val="1"/>
      <w:numFmt w:val="upperRoman"/>
      <w:lvlText w:val="%1."/>
      <w:lvlJc w:val="left"/>
      <w:pPr>
        <w:ind w:left="1080" w:hanging="72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D7659C"/>
    <w:multiLevelType w:val="hybridMultilevel"/>
    <w:tmpl w:val="628ABCB6"/>
    <w:lvl w:ilvl="0" w:tplc="4D7C209E">
      <w:start w:val="1"/>
      <w:numFmt w:val="decimal"/>
      <w:lvlText w:val="%1."/>
      <w:lvlJc w:val="left"/>
      <w:pPr>
        <w:ind w:left="2345" w:hanging="360"/>
      </w:pPr>
      <w:rPr>
        <w:rFonts w:hint="default"/>
        <w:b/>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11">
    <w:nsid w:val="38EB4F24"/>
    <w:multiLevelType w:val="hybridMultilevel"/>
    <w:tmpl w:val="883851AC"/>
    <w:lvl w:ilvl="0" w:tplc="6A78F98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9BD5770"/>
    <w:multiLevelType w:val="hybridMultilevel"/>
    <w:tmpl w:val="621A0B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9CD28ED"/>
    <w:multiLevelType w:val="hybridMultilevel"/>
    <w:tmpl w:val="82DC9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B7956BF"/>
    <w:multiLevelType w:val="hybridMultilevel"/>
    <w:tmpl w:val="AFBC4D7E"/>
    <w:lvl w:ilvl="0" w:tplc="FEE4036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65F60B6"/>
    <w:multiLevelType w:val="hybridMultilevel"/>
    <w:tmpl w:val="EABCC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1951056"/>
    <w:multiLevelType w:val="hybridMultilevel"/>
    <w:tmpl w:val="66BEF8E6"/>
    <w:lvl w:ilvl="0" w:tplc="D6B2E55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4A515BC"/>
    <w:multiLevelType w:val="hybridMultilevel"/>
    <w:tmpl w:val="014C038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nsid w:val="55EB608F"/>
    <w:multiLevelType w:val="hybridMultilevel"/>
    <w:tmpl w:val="422882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65F53DB"/>
    <w:multiLevelType w:val="hybridMultilevel"/>
    <w:tmpl w:val="83F6D4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7286191"/>
    <w:multiLevelType w:val="hybridMultilevel"/>
    <w:tmpl w:val="804417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8E34D1D"/>
    <w:multiLevelType w:val="hybridMultilevel"/>
    <w:tmpl w:val="3D9E20E6"/>
    <w:lvl w:ilvl="0" w:tplc="4B8CBEA4">
      <w:start w:val="1"/>
      <w:numFmt w:val="upperRoman"/>
      <w:lvlText w:val="%1."/>
      <w:lvlJc w:val="left"/>
      <w:pPr>
        <w:ind w:left="1080" w:hanging="72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9427ACB"/>
    <w:multiLevelType w:val="hybridMultilevel"/>
    <w:tmpl w:val="11684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A97176F"/>
    <w:multiLevelType w:val="hybridMultilevel"/>
    <w:tmpl w:val="9FA625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DAB43F5"/>
    <w:multiLevelType w:val="hybridMultilevel"/>
    <w:tmpl w:val="B656B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1345CDC"/>
    <w:multiLevelType w:val="hybridMultilevel"/>
    <w:tmpl w:val="3EEA0BEC"/>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080"/>
        </w:tabs>
        <w:ind w:left="1080" w:hanging="360"/>
      </w:pPr>
    </w:lvl>
    <w:lvl w:ilvl="2" w:tplc="04050005">
      <w:start w:val="1"/>
      <w:numFmt w:val="decimal"/>
      <w:lvlText w:val="%3."/>
      <w:lvlJc w:val="left"/>
      <w:pPr>
        <w:tabs>
          <w:tab w:val="num" w:pos="1800"/>
        </w:tabs>
        <w:ind w:left="1800" w:hanging="360"/>
      </w:pPr>
    </w:lvl>
    <w:lvl w:ilvl="3" w:tplc="04050001">
      <w:start w:val="1"/>
      <w:numFmt w:val="decimal"/>
      <w:lvlText w:val="%4."/>
      <w:lvlJc w:val="left"/>
      <w:pPr>
        <w:tabs>
          <w:tab w:val="num" w:pos="2520"/>
        </w:tabs>
        <w:ind w:left="2520" w:hanging="360"/>
      </w:pPr>
    </w:lvl>
    <w:lvl w:ilvl="4" w:tplc="04050003">
      <w:start w:val="1"/>
      <w:numFmt w:val="decimal"/>
      <w:lvlText w:val="%5."/>
      <w:lvlJc w:val="left"/>
      <w:pPr>
        <w:tabs>
          <w:tab w:val="num" w:pos="3240"/>
        </w:tabs>
        <w:ind w:left="3240" w:hanging="360"/>
      </w:pPr>
    </w:lvl>
    <w:lvl w:ilvl="5" w:tplc="04050005">
      <w:start w:val="1"/>
      <w:numFmt w:val="decimal"/>
      <w:lvlText w:val="%6."/>
      <w:lvlJc w:val="left"/>
      <w:pPr>
        <w:tabs>
          <w:tab w:val="num" w:pos="3960"/>
        </w:tabs>
        <w:ind w:left="3960" w:hanging="360"/>
      </w:pPr>
    </w:lvl>
    <w:lvl w:ilvl="6" w:tplc="04050001">
      <w:start w:val="1"/>
      <w:numFmt w:val="decimal"/>
      <w:lvlText w:val="%7."/>
      <w:lvlJc w:val="left"/>
      <w:pPr>
        <w:tabs>
          <w:tab w:val="num" w:pos="4680"/>
        </w:tabs>
        <w:ind w:left="4680" w:hanging="360"/>
      </w:pPr>
    </w:lvl>
    <w:lvl w:ilvl="7" w:tplc="04050003">
      <w:start w:val="1"/>
      <w:numFmt w:val="decimal"/>
      <w:lvlText w:val="%8."/>
      <w:lvlJc w:val="left"/>
      <w:pPr>
        <w:tabs>
          <w:tab w:val="num" w:pos="5400"/>
        </w:tabs>
        <w:ind w:left="5400" w:hanging="360"/>
      </w:pPr>
    </w:lvl>
    <w:lvl w:ilvl="8" w:tplc="04050005">
      <w:start w:val="1"/>
      <w:numFmt w:val="decimal"/>
      <w:lvlText w:val="%9."/>
      <w:lvlJc w:val="left"/>
      <w:pPr>
        <w:tabs>
          <w:tab w:val="num" w:pos="6120"/>
        </w:tabs>
        <w:ind w:left="6120" w:hanging="360"/>
      </w:pPr>
    </w:lvl>
  </w:abstractNum>
  <w:abstractNum w:abstractNumId="26">
    <w:nsid w:val="65F4115F"/>
    <w:multiLevelType w:val="hybridMultilevel"/>
    <w:tmpl w:val="170C9166"/>
    <w:lvl w:ilvl="0" w:tplc="986CEF6C">
      <w:numFmt w:val="bullet"/>
      <w:lvlText w:val="-"/>
      <w:lvlJc w:val="left"/>
      <w:pPr>
        <w:ind w:left="720" w:hanging="360"/>
      </w:pPr>
      <w:rPr>
        <w:rFonts w:ascii="Calibri" w:eastAsia="Calibri" w:hAnsi="Calibri" w:cs="Times New Roman" w:hint="default"/>
      </w:rPr>
    </w:lvl>
    <w:lvl w:ilvl="1" w:tplc="8196ECA4">
      <w:numFmt w:val="bullet"/>
      <w:lvlText w:val="–"/>
      <w:lvlJc w:val="left"/>
      <w:pPr>
        <w:ind w:left="1440" w:hanging="360"/>
      </w:pPr>
      <w:rPr>
        <w:rFonts w:ascii="Times New Roman" w:eastAsia="Calibri" w:hAnsi="Times New Roman" w:cs="Times New Roman" w:hint="default"/>
        <w:b/>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95E7E2F"/>
    <w:multiLevelType w:val="hybridMultilevel"/>
    <w:tmpl w:val="5D84F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0FB28D8"/>
    <w:multiLevelType w:val="hybridMultilevel"/>
    <w:tmpl w:val="635ACE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36408B3"/>
    <w:multiLevelType w:val="hybridMultilevel"/>
    <w:tmpl w:val="A71EDDBC"/>
    <w:lvl w:ilvl="0" w:tplc="04050001">
      <w:start w:val="1"/>
      <w:numFmt w:val="bullet"/>
      <w:lvlText w:val=""/>
      <w:lvlJc w:val="left"/>
      <w:pPr>
        <w:tabs>
          <w:tab w:val="num" w:pos="360"/>
        </w:tabs>
        <w:ind w:left="360" w:hanging="360"/>
      </w:pPr>
      <w:rPr>
        <w:rFonts w:ascii="Symbol" w:hAnsi="Symbol" w:hint="default"/>
        <w:b/>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0">
    <w:nsid w:val="77E616C7"/>
    <w:multiLevelType w:val="hybridMultilevel"/>
    <w:tmpl w:val="156888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9D112A4"/>
    <w:multiLevelType w:val="hybridMultilevel"/>
    <w:tmpl w:val="A7AAB1D8"/>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32">
    <w:nsid w:val="7EC94C0A"/>
    <w:multiLevelType w:val="hybridMultilevel"/>
    <w:tmpl w:val="C616E02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F1055CC"/>
    <w:multiLevelType w:val="hybridMultilevel"/>
    <w:tmpl w:val="6988F4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2"/>
  </w:num>
  <w:num w:numId="4">
    <w:abstractNumId w:val="3"/>
  </w:num>
  <w:num w:numId="5">
    <w:abstractNumId w:val="24"/>
  </w:num>
  <w:num w:numId="6">
    <w:abstractNumId w:val="23"/>
  </w:num>
  <w:num w:numId="7">
    <w:abstractNumId w:val="30"/>
  </w:num>
  <w:num w:numId="8">
    <w:abstractNumId w:val="1"/>
  </w:num>
  <w:num w:numId="9">
    <w:abstractNumId w:val="20"/>
  </w:num>
  <w:num w:numId="10">
    <w:abstractNumId w:val="18"/>
  </w:num>
  <w:num w:numId="11">
    <w:abstractNumId w:val="22"/>
  </w:num>
  <w:num w:numId="12">
    <w:abstractNumId w:val="31"/>
  </w:num>
  <w:num w:numId="13">
    <w:abstractNumId w:val="17"/>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num>
  <w:num w:numId="18">
    <w:abstractNumId w:val="32"/>
  </w:num>
  <w:num w:numId="19">
    <w:abstractNumId w:val="0"/>
  </w:num>
  <w:num w:numId="20">
    <w:abstractNumId w:val="13"/>
  </w:num>
  <w:num w:numId="21">
    <w:abstractNumId w:val="28"/>
  </w:num>
  <w:num w:numId="22">
    <w:abstractNumId w:val="15"/>
  </w:num>
  <w:num w:numId="23">
    <w:abstractNumId w:val="27"/>
  </w:num>
  <w:num w:numId="24">
    <w:abstractNumId w:val="12"/>
  </w:num>
  <w:num w:numId="25">
    <w:abstractNumId w:val="8"/>
  </w:num>
  <w:num w:numId="26">
    <w:abstractNumId w:val="33"/>
  </w:num>
  <w:num w:numId="27">
    <w:abstractNumId w:val="19"/>
  </w:num>
  <w:num w:numId="28">
    <w:abstractNumId w:val="9"/>
  </w:num>
  <w:num w:numId="29">
    <w:abstractNumId w:val="21"/>
  </w:num>
  <w:num w:numId="30">
    <w:abstractNumId w:val="14"/>
  </w:num>
  <w:num w:numId="31">
    <w:abstractNumId w:val="7"/>
  </w:num>
  <w:num w:numId="32">
    <w:abstractNumId w:val="16"/>
  </w:num>
  <w:num w:numId="33">
    <w:abstractNumId w:val="11"/>
  </w:num>
  <w:num w:numId="3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7E"/>
    <w:rsid w:val="00000D12"/>
    <w:rsid w:val="00001713"/>
    <w:rsid w:val="000050A5"/>
    <w:rsid w:val="00010E2C"/>
    <w:rsid w:val="00011346"/>
    <w:rsid w:val="00015421"/>
    <w:rsid w:val="000179A9"/>
    <w:rsid w:val="00017C12"/>
    <w:rsid w:val="000212A8"/>
    <w:rsid w:val="000229E1"/>
    <w:rsid w:val="000234FB"/>
    <w:rsid w:val="00024BE8"/>
    <w:rsid w:val="00026490"/>
    <w:rsid w:val="00026623"/>
    <w:rsid w:val="00033A3F"/>
    <w:rsid w:val="00033D69"/>
    <w:rsid w:val="00033D9F"/>
    <w:rsid w:val="00034188"/>
    <w:rsid w:val="0003490B"/>
    <w:rsid w:val="00035B70"/>
    <w:rsid w:val="000365DA"/>
    <w:rsid w:val="00036976"/>
    <w:rsid w:val="000404E4"/>
    <w:rsid w:val="00040532"/>
    <w:rsid w:val="00044051"/>
    <w:rsid w:val="0004723F"/>
    <w:rsid w:val="00051154"/>
    <w:rsid w:val="00054292"/>
    <w:rsid w:val="00054A72"/>
    <w:rsid w:val="000609BA"/>
    <w:rsid w:val="0006433D"/>
    <w:rsid w:val="00064736"/>
    <w:rsid w:val="0006624F"/>
    <w:rsid w:val="00067E15"/>
    <w:rsid w:val="00067EF1"/>
    <w:rsid w:val="00070464"/>
    <w:rsid w:val="00070981"/>
    <w:rsid w:val="00074C1A"/>
    <w:rsid w:val="0007564A"/>
    <w:rsid w:val="00075BB4"/>
    <w:rsid w:val="00077263"/>
    <w:rsid w:val="00077559"/>
    <w:rsid w:val="00083B90"/>
    <w:rsid w:val="00087B9B"/>
    <w:rsid w:val="00091135"/>
    <w:rsid w:val="00091D12"/>
    <w:rsid w:val="000A102A"/>
    <w:rsid w:val="000A1D88"/>
    <w:rsid w:val="000A23FB"/>
    <w:rsid w:val="000B1781"/>
    <w:rsid w:val="000B2FDB"/>
    <w:rsid w:val="000B4B91"/>
    <w:rsid w:val="000B65F5"/>
    <w:rsid w:val="000C00AF"/>
    <w:rsid w:val="000C7BD3"/>
    <w:rsid w:val="000D0931"/>
    <w:rsid w:val="000D0E61"/>
    <w:rsid w:val="000D184F"/>
    <w:rsid w:val="000D195F"/>
    <w:rsid w:val="000D1C2D"/>
    <w:rsid w:val="000D2658"/>
    <w:rsid w:val="000D29F0"/>
    <w:rsid w:val="000D3318"/>
    <w:rsid w:val="000D5200"/>
    <w:rsid w:val="000D7267"/>
    <w:rsid w:val="000D7341"/>
    <w:rsid w:val="000D7876"/>
    <w:rsid w:val="000E1252"/>
    <w:rsid w:val="000E16DF"/>
    <w:rsid w:val="000E2419"/>
    <w:rsid w:val="000E5E0B"/>
    <w:rsid w:val="000E7470"/>
    <w:rsid w:val="000F38FD"/>
    <w:rsid w:val="000F6EE5"/>
    <w:rsid w:val="00101BF7"/>
    <w:rsid w:val="0010240F"/>
    <w:rsid w:val="001025F7"/>
    <w:rsid w:val="00106F26"/>
    <w:rsid w:val="00110493"/>
    <w:rsid w:val="0011270B"/>
    <w:rsid w:val="00113296"/>
    <w:rsid w:val="00114349"/>
    <w:rsid w:val="0011443E"/>
    <w:rsid w:val="001179BC"/>
    <w:rsid w:val="001216E4"/>
    <w:rsid w:val="00121B33"/>
    <w:rsid w:val="0012365E"/>
    <w:rsid w:val="001236A6"/>
    <w:rsid w:val="00123835"/>
    <w:rsid w:val="001243AF"/>
    <w:rsid w:val="00125D64"/>
    <w:rsid w:val="00131028"/>
    <w:rsid w:val="001319C5"/>
    <w:rsid w:val="00131B11"/>
    <w:rsid w:val="00132305"/>
    <w:rsid w:val="00132310"/>
    <w:rsid w:val="001361A2"/>
    <w:rsid w:val="0014079E"/>
    <w:rsid w:val="0014082A"/>
    <w:rsid w:val="00141EF4"/>
    <w:rsid w:val="001442ED"/>
    <w:rsid w:val="00145D88"/>
    <w:rsid w:val="00146BFA"/>
    <w:rsid w:val="0015078F"/>
    <w:rsid w:val="00151B67"/>
    <w:rsid w:val="00151EDB"/>
    <w:rsid w:val="00154AF5"/>
    <w:rsid w:val="0015643C"/>
    <w:rsid w:val="00157E8B"/>
    <w:rsid w:val="00160E33"/>
    <w:rsid w:val="00161C49"/>
    <w:rsid w:val="00161EFA"/>
    <w:rsid w:val="0016251B"/>
    <w:rsid w:val="00165536"/>
    <w:rsid w:val="00165A75"/>
    <w:rsid w:val="00166B93"/>
    <w:rsid w:val="00170FAA"/>
    <w:rsid w:val="00173E55"/>
    <w:rsid w:val="00174C4A"/>
    <w:rsid w:val="00175EAC"/>
    <w:rsid w:val="00182287"/>
    <w:rsid w:val="00183C94"/>
    <w:rsid w:val="001852DA"/>
    <w:rsid w:val="00185889"/>
    <w:rsid w:val="00185CCD"/>
    <w:rsid w:val="001877CB"/>
    <w:rsid w:val="0019026F"/>
    <w:rsid w:val="00190CFA"/>
    <w:rsid w:val="00195BE6"/>
    <w:rsid w:val="001961F8"/>
    <w:rsid w:val="00197513"/>
    <w:rsid w:val="001A0529"/>
    <w:rsid w:val="001A0922"/>
    <w:rsid w:val="001A7784"/>
    <w:rsid w:val="001B024D"/>
    <w:rsid w:val="001B0BEF"/>
    <w:rsid w:val="001B27C6"/>
    <w:rsid w:val="001B3489"/>
    <w:rsid w:val="001B4CDA"/>
    <w:rsid w:val="001B596F"/>
    <w:rsid w:val="001B6169"/>
    <w:rsid w:val="001C0F72"/>
    <w:rsid w:val="001C160F"/>
    <w:rsid w:val="001C2532"/>
    <w:rsid w:val="001C32DE"/>
    <w:rsid w:val="001C417B"/>
    <w:rsid w:val="001C459F"/>
    <w:rsid w:val="001C58F4"/>
    <w:rsid w:val="001C6E96"/>
    <w:rsid w:val="001C775B"/>
    <w:rsid w:val="001D0854"/>
    <w:rsid w:val="001D3EDF"/>
    <w:rsid w:val="001D7CC3"/>
    <w:rsid w:val="001E01CB"/>
    <w:rsid w:val="001E17A3"/>
    <w:rsid w:val="001E1E73"/>
    <w:rsid w:val="001E3412"/>
    <w:rsid w:val="001E6792"/>
    <w:rsid w:val="001E6DCD"/>
    <w:rsid w:val="001F0076"/>
    <w:rsid w:val="001F0BEE"/>
    <w:rsid w:val="001F0EB8"/>
    <w:rsid w:val="001F381B"/>
    <w:rsid w:val="001F4DBA"/>
    <w:rsid w:val="001F5754"/>
    <w:rsid w:val="001F75BD"/>
    <w:rsid w:val="00201A6E"/>
    <w:rsid w:val="00204B1F"/>
    <w:rsid w:val="0020702D"/>
    <w:rsid w:val="00207319"/>
    <w:rsid w:val="0021237C"/>
    <w:rsid w:val="0021359D"/>
    <w:rsid w:val="00213FBE"/>
    <w:rsid w:val="00214FCD"/>
    <w:rsid w:val="002168B9"/>
    <w:rsid w:val="00217B34"/>
    <w:rsid w:val="00224792"/>
    <w:rsid w:val="002256CB"/>
    <w:rsid w:val="002300B1"/>
    <w:rsid w:val="00230DEA"/>
    <w:rsid w:val="002346D6"/>
    <w:rsid w:val="00235BF6"/>
    <w:rsid w:val="00235EC1"/>
    <w:rsid w:val="00241105"/>
    <w:rsid w:val="00241DA6"/>
    <w:rsid w:val="00241DFD"/>
    <w:rsid w:val="00243AB0"/>
    <w:rsid w:val="00246268"/>
    <w:rsid w:val="00247906"/>
    <w:rsid w:val="00253EC8"/>
    <w:rsid w:val="00256299"/>
    <w:rsid w:val="00256F9F"/>
    <w:rsid w:val="00260655"/>
    <w:rsid w:val="0026277A"/>
    <w:rsid w:val="00263510"/>
    <w:rsid w:val="00271345"/>
    <w:rsid w:val="00271D8A"/>
    <w:rsid w:val="002741F6"/>
    <w:rsid w:val="00274B3A"/>
    <w:rsid w:val="00275CFC"/>
    <w:rsid w:val="002762AF"/>
    <w:rsid w:val="002765B5"/>
    <w:rsid w:val="00277851"/>
    <w:rsid w:val="00292D64"/>
    <w:rsid w:val="00294A53"/>
    <w:rsid w:val="002953B7"/>
    <w:rsid w:val="002A2A72"/>
    <w:rsid w:val="002A4E67"/>
    <w:rsid w:val="002A5F8A"/>
    <w:rsid w:val="002B2182"/>
    <w:rsid w:val="002B5BF4"/>
    <w:rsid w:val="002B6E00"/>
    <w:rsid w:val="002B737D"/>
    <w:rsid w:val="002C00B1"/>
    <w:rsid w:val="002C21D9"/>
    <w:rsid w:val="002C3250"/>
    <w:rsid w:val="002C54A4"/>
    <w:rsid w:val="002D4D66"/>
    <w:rsid w:val="002D6368"/>
    <w:rsid w:val="002E0B0D"/>
    <w:rsid w:val="002E0E29"/>
    <w:rsid w:val="002E4698"/>
    <w:rsid w:val="002E4A2B"/>
    <w:rsid w:val="002E5A87"/>
    <w:rsid w:val="002E5E43"/>
    <w:rsid w:val="002E60B4"/>
    <w:rsid w:val="002E6AC3"/>
    <w:rsid w:val="002E795F"/>
    <w:rsid w:val="002F301B"/>
    <w:rsid w:val="002F6C97"/>
    <w:rsid w:val="003002E8"/>
    <w:rsid w:val="0030574C"/>
    <w:rsid w:val="00307E3F"/>
    <w:rsid w:val="00310B32"/>
    <w:rsid w:val="00313473"/>
    <w:rsid w:val="00313C66"/>
    <w:rsid w:val="00314EE7"/>
    <w:rsid w:val="003168C0"/>
    <w:rsid w:val="00321C65"/>
    <w:rsid w:val="003267B9"/>
    <w:rsid w:val="00326AC8"/>
    <w:rsid w:val="003327B8"/>
    <w:rsid w:val="003333FE"/>
    <w:rsid w:val="00333DB2"/>
    <w:rsid w:val="003418A1"/>
    <w:rsid w:val="003423D5"/>
    <w:rsid w:val="00343C17"/>
    <w:rsid w:val="00343D05"/>
    <w:rsid w:val="00344C97"/>
    <w:rsid w:val="00344F62"/>
    <w:rsid w:val="0034727A"/>
    <w:rsid w:val="003500F2"/>
    <w:rsid w:val="0035078D"/>
    <w:rsid w:val="00351EEE"/>
    <w:rsid w:val="00354CE2"/>
    <w:rsid w:val="00355B7A"/>
    <w:rsid w:val="00356C09"/>
    <w:rsid w:val="00362CA2"/>
    <w:rsid w:val="0036436C"/>
    <w:rsid w:val="00364D84"/>
    <w:rsid w:val="00367D81"/>
    <w:rsid w:val="00370C78"/>
    <w:rsid w:val="003718C3"/>
    <w:rsid w:val="00374CF1"/>
    <w:rsid w:val="00375AEC"/>
    <w:rsid w:val="003777FD"/>
    <w:rsid w:val="00380910"/>
    <w:rsid w:val="0038376C"/>
    <w:rsid w:val="00385AE4"/>
    <w:rsid w:val="00387CCB"/>
    <w:rsid w:val="00390699"/>
    <w:rsid w:val="00391117"/>
    <w:rsid w:val="003922F4"/>
    <w:rsid w:val="003933AD"/>
    <w:rsid w:val="00394719"/>
    <w:rsid w:val="0039594E"/>
    <w:rsid w:val="00397506"/>
    <w:rsid w:val="003A0987"/>
    <w:rsid w:val="003A1418"/>
    <w:rsid w:val="003A15DB"/>
    <w:rsid w:val="003A1C37"/>
    <w:rsid w:val="003A7350"/>
    <w:rsid w:val="003B0C57"/>
    <w:rsid w:val="003B2549"/>
    <w:rsid w:val="003B6C6E"/>
    <w:rsid w:val="003C137B"/>
    <w:rsid w:val="003C2B67"/>
    <w:rsid w:val="003C6253"/>
    <w:rsid w:val="003D1770"/>
    <w:rsid w:val="003D28E1"/>
    <w:rsid w:val="003D4377"/>
    <w:rsid w:val="003D48B4"/>
    <w:rsid w:val="003D4BB5"/>
    <w:rsid w:val="003D5801"/>
    <w:rsid w:val="003E3338"/>
    <w:rsid w:val="003E3685"/>
    <w:rsid w:val="003E6E68"/>
    <w:rsid w:val="003E7780"/>
    <w:rsid w:val="003F19B6"/>
    <w:rsid w:val="003F40D5"/>
    <w:rsid w:val="003F46DA"/>
    <w:rsid w:val="003F4795"/>
    <w:rsid w:val="003F55A9"/>
    <w:rsid w:val="003F6294"/>
    <w:rsid w:val="003F65AA"/>
    <w:rsid w:val="003F71E0"/>
    <w:rsid w:val="00404CE1"/>
    <w:rsid w:val="00405846"/>
    <w:rsid w:val="004102CB"/>
    <w:rsid w:val="004115D0"/>
    <w:rsid w:val="00413F17"/>
    <w:rsid w:val="004140A3"/>
    <w:rsid w:val="00415368"/>
    <w:rsid w:val="0041554F"/>
    <w:rsid w:val="00421002"/>
    <w:rsid w:val="00421A19"/>
    <w:rsid w:val="004239A0"/>
    <w:rsid w:val="00424AE8"/>
    <w:rsid w:val="0042504D"/>
    <w:rsid w:val="00425338"/>
    <w:rsid w:val="004278CD"/>
    <w:rsid w:val="00430400"/>
    <w:rsid w:val="0043290B"/>
    <w:rsid w:val="00434EEE"/>
    <w:rsid w:val="00437599"/>
    <w:rsid w:val="00437BC9"/>
    <w:rsid w:val="004401FC"/>
    <w:rsid w:val="00441184"/>
    <w:rsid w:val="0044379F"/>
    <w:rsid w:val="004439C9"/>
    <w:rsid w:val="00443C56"/>
    <w:rsid w:val="00444065"/>
    <w:rsid w:val="0045520C"/>
    <w:rsid w:val="004564A4"/>
    <w:rsid w:val="00460602"/>
    <w:rsid w:val="00461387"/>
    <w:rsid w:val="00461734"/>
    <w:rsid w:val="00462400"/>
    <w:rsid w:val="0046272B"/>
    <w:rsid w:val="004631E5"/>
    <w:rsid w:val="0046414D"/>
    <w:rsid w:val="0046685D"/>
    <w:rsid w:val="004679EC"/>
    <w:rsid w:val="00470C34"/>
    <w:rsid w:val="0047311C"/>
    <w:rsid w:val="00475CAE"/>
    <w:rsid w:val="0047613A"/>
    <w:rsid w:val="00480AD0"/>
    <w:rsid w:val="00481306"/>
    <w:rsid w:val="0048202D"/>
    <w:rsid w:val="00483509"/>
    <w:rsid w:val="00483924"/>
    <w:rsid w:val="00487D82"/>
    <w:rsid w:val="004908B3"/>
    <w:rsid w:val="00490F16"/>
    <w:rsid w:val="00491D13"/>
    <w:rsid w:val="00492989"/>
    <w:rsid w:val="00492D7D"/>
    <w:rsid w:val="0049447A"/>
    <w:rsid w:val="00496160"/>
    <w:rsid w:val="004A1243"/>
    <w:rsid w:val="004A1E42"/>
    <w:rsid w:val="004A3C4A"/>
    <w:rsid w:val="004A497E"/>
    <w:rsid w:val="004B2FBF"/>
    <w:rsid w:val="004B58D8"/>
    <w:rsid w:val="004C11D3"/>
    <w:rsid w:val="004C21A6"/>
    <w:rsid w:val="004C705D"/>
    <w:rsid w:val="004C7351"/>
    <w:rsid w:val="004D018B"/>
    <w:rsid w:val="004D083C"/>
    <w:rsid w:val="004D0B79"/>
    <w:rsid w:val="004D0C40"/>
    <w:rsid w:val="004D0F1A"/>
    <w:rsid w:val="004D15A6"/>
    <w:rsid w:val="004D173C"/>
    <w:rsid w:val="004D7502"/>
    <w:rsid w:val="004E1235"/>
    <w:rsid w:val="004E2B87"/>
    <w:rsid w:val="004E2E3D"/>
    <w:rsid w:val="004E38FC"/>
    <w:rsid w:val="004E652D"/>
    <w:rsid w:val="004E67C2"/>
    <w:rsid w:val="004E69F1"/>
    <w:rsid w:val="004E7359"/>
    <w:rsid w:val="004F3AF4"/>
    <w:rsid w:val="004F40EB"/>
    <w:rsid w:val="004F793D"/>
    <w:rsid w:val="00503439"/>
    <w:rsid w:val="005052B4"/>
    <w:rsid w:val="00506782"/>
    <w:rsid w:val="005105F2"/>
    <w:rsid w:val="005110A1"/>
    <w:rsid w:val="00512AD0"/>
    <w:rsid w:val="00512C09"/>
    <w:rsid w:val="00514607"/>
    <w:rsid w:val="0051665C"/>
    <w:rsid w:val="00521E86"/>
    <w:rsid w:val="00523A2D"/>
    <w:rsid w:val="00524DED"/>
    <w:rsid w:val="00524FDA"/>
    <w:rsid w:val="00525C7B"/>
    <w:rsid w:val="00531478"/>
    <w:rsid w:val="00536B87"/>
    <w:rsid w:val="00540295"/>
    <w:rsid w:val="005403C5"/>
    <w:rsid w:val="00540DE3"/>
    <w:rsid w:val="00541702"/>
    <w:rsid w:val="00542301"/>
    <w:rsid w:val="00543D16"/>
    <w:rsid w:val="00544258"/>
    <w:rsid w:val="00544C75"/>
    <w:rsid w:val="00544F02"/>
    <w:rsid w:val="0054599C"/>
    <w:rsid w:val="0054706C"/>
    <w:rsid w:val="00547255"/>
    <w:rsid w:val="00553F26"/>
    <w:rsid w:val="00553FC1"/>
    <w:rsid w:val="005549CA"/>
    <w:rsid w:val="00554A7D"/>
    <w:rsid w:val="0055527D"/>
    <w:rsid w:val="005560D8"/>
    <w:rsid w:val="0055611C"/>
    <w:rsid w:val="005564B1"/>
    <w:rsid w:val="00557AC4"/>
    <w:rsid w:val="0056375F"/>
    <w:rsid w:val="00563F65"/>
    <w:rsid w:val="00573FFC"/>
    <w:rsid w:val="00574094"/>
    <w:rsid w:val="005741A7"/>
    <w:rsid w:val="00574432"/>
    <w:rsid w:val="00580008"/>
    <w:rsid w:val="005805E6"/>
    <w:rsid w:val="00583813"/>
    <w:rsid w:val="00583897"/>
    <w:rsid w:val="00584554"/>
    <w:rsid w:val="00585927"/>
    <w:rsid w:val="00586837"/>
    <w:rsid w:val="00590E8D"/>
    <w:rsid w:val="005914B9"/>
    <w:rsid w:val="0059171D"/>
    <w:rsid w:val="005948F0"/>
    <w:rsid w:val="00595BEE"/>
    <w:rsid w:val="0059614D"/>
    <w:rsid w:val="005A0B51"/>
    <w:rsid w:val="005A0E4D"/>
    <w:rsid w:val="005A0F24"/>
    <w:rsid w:val="005A1809"/>
    <w:rsid w:val="005A1EF6"/>
    <w:rsid w:val="005A6DA4"/>
    <w:rsid w:val="005B1C60"/>
    <w:rsid w:val="005B2DC4"/>
    <w:rsid w:val="005B47EF"/>
    <w:rsid w:val="005B65E2"/>
    <w:rsid w:val="005C4007"/>
    <w:rsid w:val="005C6EDB"/>
    <w:rsid w:val="005C79B6"/>
    <w:rsid w:val="005D003E"/>
    <w:rsid w:val="005D08CE"/>
    <w:rsid w:val="005D24FF"/>
    <w:rsid w:val="005D504F"/>
    <w:rsid w:val="005E17E8"/>
    <w:rsid w:val="005E45B9"/>
    <w:rsid w:val="005E561B"/>
    <w:rsid w:val="005F0BAC"/>
    <w:rsid w:val="005F74FA"/>
    <w:rsid w:val="005F77F9"/>
    <w:rsid w:val="005F7E1E"/>
    <w:rsid w:val="0060081D"/>
    <w:rsid w:val="00600B03"/>
    <w:rsid w:val="00604AE0"/>
    <w:rsid w:val="00604C8B"/>
    <w:rsid w:val="00606E9D"/>
    <w:rsid w:val="006075FB"/>
    <w:rsid w:val="006109B9"/>
    <w:rsid w:val="0061323A"/>
    <w:rsid w:val="00614988"/>
    <w:rsid w:val="00616F6F"/>
    <w:rsid w:val="0062105B"/>
    <w:rsid w:val="00624846"/>
    <w:rsid w:val="00624BA2"/>
    <w:rsid w:val="00627A71"/>
    <w:rsid w:val="00632053"/>
    <w:rsid w:val="00633138"/>
    <w:rsid w:val="00633F34"/>
    <w:rsid w:val="006357CD"/>
    <w:rsid w:val="00635B9F"/>
    <w:rsid w:val="0063624B"/>
    <w:rsid w:val="006377F4"/>
    <w:rsid w:val="0064122B"/>
    <w:rsid w:val="00642EE0"/>
    <w:rsid w:val="00647100"/>
    <w:rsid w:val="00647C80"/>
    <w:rsid w:val="00653186"/>
    <w:rsid w:val="006541A3"/>
    <w:rsid w:val="006554CB"/>
    <w:rsid w:val="00656449"/>
    <w:rsid w:val="0065728F"/>
    <w:rsid w:val="00657565"/>
    <w:rsid w:val="00657688"/>
    <w:rsid w:val="006641B1"/>
    <w:rsid w:val="006643B9"/>
    <w:rsid w:val="00666581"/>
    <w:rsid w:val="00670BC8"/>
    <w:rsid w:val="0067108D"/>
    <w:rsid w:val="0067184C"/>
    <w:rsid w:val="006723F9"/>
    <w:rsid w:val="00673309"/>
    <w:rsid w:val="0067393B"/>
    <w:rsid w:val="006755D6"/>
    <w:rsid w:val="00675ADC"/>
    <w:rsid w:val="00681CD0"/>
    <w:rsid w:val="0068336F"/>
    <w:rsid w:val="0068426B"/>
    <w:rsid w:val="006873A3"/>
    <w:rsid w:val="00693C69"/>
    <w:rsid w:val="00697B6A"/>
    <w:rsid w:val="00697C90"/>
    <w:rsid w:val="00697E36"/>
    <w:rsid w:val="006A0057"/>
    <w:rsid w:val="006A0405"/>
    <w:rsid w:val="006A1D84"/>
    <w:rsid w:val="006A639D"/>
    <w:rsid w:val="006A6D70"/>
    <w:rsid w:val="006B0469"/>
    <w:rsid w:val="006B54C3"/>
    <w:rsid w:val="006C0074"/>
    <w:rsid w:val="006C094B"/>
    <w:rsid w:val="006C0A57"/>
    <w:rsid w:val="006C1A79"/>
    <w:rsid w:val="006C1B35"/>
    <w:rsid w:val="006C1EA2"/>
    <w:rsid w:val="006D1CC3"/>
    <w:rsid w:val="006D485C"/>
    <w:rsid w:val="006D4EB5"/>
    <w:rsid w:val="006D656F"/>
    <w:rsid w:val="006D6B46"/>
    <w:rsid w:val="006D6E0F"/>
    <w:rsid w:val="006D7B34"/>
    <w:rsid w:val="006E4F71"/>
    <w:rsid w:val="006F4CEA"/>
    <w:rsid w:val="00700051"/>
    <w:rsid w:val="00703F55"/>
    <w:rsid w:val="007054B4"/>
    <w:rsid w:val="0070696B"/>
    <w:rsid w:val="00707E28"/>
    <w:rsid w:val="00714359"/>
    <w:rsid w:val="007149DA"/>
    <w:rsid w:val="00715A23"/>
    <w:rsid w:val="00717D3D"/>
    <w:rsid w:val="0072169B"/>
    <w:rsid w:val="007250C5"/>
    <w:rsid w:val="00725D46"/>
    <w:rsid w:val="0073006D"/>
    <w:rsid w:val="00730BDB"/>
    <w:rsid w:val="007325DB"/>
    <w:rsid w:val="007349C0"/>
    <w:rsid w:val="00737BD5"/>
    <w:rsid w:val="0074258B"/>
    <w:rsid w:val="00742877"/>
    <w:rsid w:val="00742A96"/>
    <w:rsid w:val="00747CBB"/>
    <w:rsid w:val="0075003F"/>
    <w:rsid w:val="00751BEE"/>
    <w:rsid w:val="00753FEC"/>
    <w:rsid w:val="0075463F"/>
    <w:rsid w:val="00755695"/>
    <w:rsid w:val="007556EE"/>
    <w:rsid w:val="00757CA8"/>
    <w:rsid w:val="007609FF"/>
    <w:rsid w:val="00761160"/>
    <w:rsid w:val="007612DE"/>
    <w:rsid w:val="00763BF7"/>
    <w:rsid w:val="00763DF1"/>
    <w:rsid w:val="00776273"/>
    <w:rsid w:val="00783B4A"/>
    <w:rsid w:val="0078738D"/>
    <w:rsid w:val="007878C8"/>
    <w:rsid w:val="007908F5"/>
    <w:rsid w:val="00794338"/>
    <w:rsid w:val="00794C3E"/>
    <w:rsid w:val="007953A0"/>
    <w:rsid w:val="00797455"/>
    <w:rsid w:val="00797833"/>
    <w:rsid w:val="007A1B9C"/>
    <w:rsid w:val="007A7934"/>
    <w:rsid w:val="007B0020"/>
    <w:rsid w:val="007B4D44"/>
    <w:rsid w:val="007B4FBB"/>
    <w:rsid w:val="007B5E93"/>
    <w:rsid w:val="007C1F6F"/>
    <w:rsid w:val="007C27BE"/>
    <w:rsid w:val="007C3888"/>
    <w:rsid w:val="007C4858"/>
    <w:rsid w:val="007C4922"/>
    <w:rsid w:val="007C4D98"/>
    <w:rsid w:val="007C4FA0"/>
    <w:rsid w:val="007C58AB"/>
    <w:rsid w:val="007C64D7"/>
    <w:rsid w:val="007D2DF5"/>
    <w:rsid w:val="007D37F1"/>
    <w:rsid w:val="007D502C"/>
    <w:rsid w:val="007D58B8"/>
    <w:rsid w:val="007D6383"/>
    <w:rsid w:val="007E0509"/>
    <w:rsid w:val="007E2F39"/>
    <w:rsid w:val="007E419C"/>
    <w:rsid w:val="007E57A9"/>
    <w:rsid w:val="007E7D84"/>
    <w:rsid w:val="007F32D2"/>
    <w:rsid w:val="007F5A3D"/>
    <w:rsid w:val="007F7EF4"/>
    <w:rsid w:val="008023F9"/>
    <w:rsid w:val="00804CE5"/>
    <w:rsid w:val="008103A7"/>
    <w:rsid w:val="00811141"/>
    <w:rsid w:val="008120C8"/>
    <w:rsid w:val="0081486E"/>
    <w:rsid w:val="00815327"/>
    <w:rsid w:val="00816420"/>
    <w:rsid w:val="00816E6E"/>
    <w:rsid w:val="00817C3E"/>
    <w:rsid w:val="0082006B"/>
    <w:rsid w:val="00824901"/>
    <w:rsid w:val="008256CA"/>
    <w:rsid w:val="008275F9"/>
    <w:rsid w:val="0082771D"/>
    <w:rsid w:val="008302F3"/>
    <w:rsid w:val="008315DF"/>
    <w:rsid w:val="00831FCD"/>
    <w:rsid w:val="00832479"/>
    <w:rsid w:val="00833BD3"/>
    <w:rsid w:val="00833DD7"/>
    <w:rsid w:val="00834386"/>
    <w:rsid w:val="00835C75"/>
    <w:rsid w:val="008401B4"/>
    <w:rsid w:val="008406F6"/>
    <w:rsid w:val="00842874"/>
    <w:rsid w:val="00844062"/>
    <w:rsid w:val="00844376"/>
    <w:rsid w:val="0084465F"/>
    <w:rsid w:val="00844860"/>
    <w:rsid w:val="00844FD2"/>
    <w:rsid w:val="008477D3"/>
    <w:rsid w:val="008479A1"/>
    <w:rsid w:val="00852A0C"/>
    <w:rsid w:val="00852E35"/>
    <w:rsid w:val="00854A13"/>
    <w:rsid w:val="008561E6"/>
    <w:rsid w:val="00860DF9"/>
    <w:rsid w:val="00863314"/>
    <w:rsid w:val="008665FD"/>
    <w:rsid w:val="0086778F"/>
    <w:rsid w:val="008723AB"/>
    <w:rsid w:val="00872DB5"/>
    <w:rsid w:val="00873546"/>
    <w:rsid w:val="00873C29"/>
    <w:rsid w:val="008748A5"/>
    <w:rsid w:val="00875AD2"/>
    <w:rsid w:val="00875D07"/>
    <w:rsid w:val="00877681"/>
    <w:rsid w:val="008778B9"/>
    <w:rsid w:val="00877E3C"/>
    <w:rsid w:val="00881D52"/>
    <w:rsid w:val="008820D7"/>
    <w:rsid w:val="008854D3"/>
    <w:rsid w:val="0088723E"/>
    <w:rsid w:val="00887448"/>
    <w:rsid w:val="00887941"/>
    <w:rsid w:val="00887FF0"/>
    <w:rsid w:val="00895DCB"/>
    <w:rsid w:val="00896249"/>
    <w:rsid w:val="00896FD6"/>
    <w:rsid w:val="00897B4A"/>
    <w:rsid w:val="008A240C"/>
    <w:rsid w:val="008A26BF"/>
    <w:rsid w:val="008A775A"/>
    <w:rsid w:val="008B0926"/>
    <w:rsid w:val="008B1F36"/>
    <w:rsid w:val="008B3440"/>
    <w:rsid w:val="008B3A9C"/>
    <w:rsid w:val="008B46B5"/>
    <w:rsid w:val="008B4BD4"/>
    <w:rsid w:val="008B5FDE"/>
    <w:rsid w:val="008C0044"/>
    <w:rsid w:val="008C1538"/>
    <w:rsid w:val="008C1E2F"/>
    <w:rsid w:val="008C5FA5"/>
    <w:rsid w:val="008C7410"/>
    <w:rsid w:val="008C7855"/>
    <w:rsid w:val="008C7D4F"/>
    <w:rsid w:val="008D0909"/>
    <w:rsid w:val="008D1D5F"/>
    <w:rsid w:val="008D439F"/>
    <w:rsid w:val="008D6CEE"/>
    <w:rsid w:val="008D7553"/>
    <w:rsid w:val="008D7934"/>
    <w:rsid w:val="008E0084"/>
    <w:rsid w:val="008E012A"/>
    <w:rsid w:val="008E22C0"/>
    <w:rsid w:val="008E312D"/>
    <w:rsid w:val="008E6C5B"/>
    <w:rsid w:val="008F1366"/>
    <w:rsid w:val="008F191E"/>
    <w:rsid w:val="008F25A0"/>
    <w:rsid w:val="008F3F6A"/>
    <w:rsid w:val="0090034B"/>
    <w:rsid w:val="009004F4"/>
    <w:rsid w:val="00905636"/>
    <w:rsid w:val="00907E15"/>
    <w:rsid w:val="0091024A"/>
    <w:rsid w:val="0091161F"/>
    <w:rsid w:val="0091264C"/>
    <w:rsid w:val="00912FD4"/>
    <w:rsid w:val="009140D6"/>
    <w:rsid w:val="00914DAF"/>
    <w:rsid w:val="00914FDD"/>
    <w:rsid w:val="009163FB"/>
    <w:rsid w:val="00921159"/>
    <w:rsid w:val="0092174F"/>
    <w:rsid w:val="009227DF"/>
    <w:rsid w:val="00922A68"/>
    <w:rsid w:val="009243BB"/>
    <w:rsid w:val="00924D92"/>
    <w:rsid w:val="00925595"/>
    <w:rsid w:val="0092561C"/>
    <w:rsid w:val="00927131"/>
    <w:rsid w:val="00930EDD"/>
    <w:rsid w:val="00930FFB"/>
    <w:rsid w:val="00931503"/>
    <w:rsid w:val="00933F86"/>
    <w:rsid w:val="00934D57"/>
    <w:rsid w:val="00936A68"/>
    <w:rsid w:val="009374EA"/>
    <w:rsid w:val="00937A3E"/>
    <w:rsid w:val="009431B5"/>
    <w:rsid w:val="009456F9"/>
    <w:rsid w:val="009467DE"/>
    <w:rsid w:val="00946B76"/>
    <w:rsid w:val="00946BF8"/>
    <w:rsid w:val="00946DDB"/>
    <w:rsid w:val="0094703E"/>
    <w:rsid w:val="0095275A"/>
    <w:rsid w:val="0095337B"/>
    <w:rsid w:val="0095399B"/>
    <w:rsid w:val="00953DE5"/>
    <w:rsid w:val="009564EE"/>
    <w:rsid w:val="00957FDA"/>
    <w:rsid w:val="00961602"/>
    <w:rsid w:val="009703AC"/>
    <w:rsid w:val="00970CF6"/>
    <w:rsid w:val="0097306C"/>
    <w:rsid w:val="00974083"/>
    <w:rsid w:val="00975B2B"/>
    <w:rsid w:val="009762B3"/>
    <w:rsid w:val="0097696F"/>
    <w:rsid w:val="00977DE7"/>
    <w:rsid w:val="0098004E"/>
    <w:rsid w:val="009807B9"/>
    <w:rsid w:val="00980967"/>
    <w:rsid w:val="00980B30"/>
    <w:rsid w:val="00980BB5"/>
    <w:rsid w:val="0098158D"/>
    <w:rsid w:val="009825FE"/>
    <w:rsid w:val="0098365D"/>
    <w:rsid w:val="00984825"/>
    <w:rsid w:val="00985297"/>
    <w:rsid w:val="009855A0"/>
    <w:rsid w:val="00995414"/>
    <w:rsid w:val="009A0DEE"/>
    <w:rsid w:val="009A1F5D"/>
    <w:rsid w:val="009A3AA4"/>
    <w:rsid w:val="009A4D5B"/>
    <w:rsid w:val="009A4F35"/>
    <w:rsid w:val="009A5558"/>
    <w:rsid w:val="009A639F"/>
    <w:rsid w:val="009A6BAE"/>
    <w:rsid w:val="009A6EC9"/>
    <w:rsid w:val="009B134F"/>
    <w:rsid w:val="009B3479"/>
    <w:rsid w:val="009B34AF"/>
    <w:rsid w:val="009B3848"/>
    <w:rsid w:val="009B501B"/>
    <w:rsid w:val="009C177A"/>
    <w:rsid w:val="009C2FF9"/>
    <w:rsid w:val="009C44FC"/>
    <w:rsid w:val="009C5619"/>
    <w:rsid w:val="009D0F49"/>
    <w:rsid w:val="009D5896"/>
    <w:rsid w:val="009D5EFF"/>
    <w:rsid w:val="009E0C3D"/>
    <w:rsid w:val="009E4062"/>
    <w:rsid w:val="009E6C35"/>
    <w:rsid w:val="009F2B45"/>
    <w:rsid w:val="009F2EE1"/>
    <w:rsid w:val="009F2FDD"/>
    <w:rsid w:val="009F313D"/>
    <w:rsid w:val="009F6633"/>
    <w:rsid w:val="009F6A02"/>
    <w:rsid w:val="009F6C4D"/>
    <w:rsid w:val="00A02482"/>
    <w:rsid w:val="00A0257B"/>
    <w:rsid w:val="00A049F2"/>
    <w:rsid w:val="00A0593B"/>
    <w:rsid w:val="00A11D5D"/>
    <w:rsid w:val="00A12097"/>
    <w:rsid w:val="00A122C1"/>
    <w:rsid w:val="00A14641"/>
    <w:rsid w:val="00A14FA2"/>
    <w:rsid w:val="00A16F99"/>
    <w:rsid w:val="00A1722D"/>
    <w:rsid w:val="00A236EC"/>
    <w:rsid w:val="00A3088C"/>
    <w:rsid w:val="00A308D2"/>
    <w:rsid w:val="00A31293"/>
    <w:rsid w:val="00A3407A"/>
    <w:rsid w:val="00A34DAF"/>
    <w:rsid w:val="00A35E11"/>
    <w:rsid w:val="00A40FFD"/>
    <w:rsid w:val="00A417E2"/>
    <w:rsid w:val="00A467F7"/>
    <w:rsid w:val="00A502E5"/>
    <w:rsid w:val="00A50994"/>
    <w:rsid w:val="00A51BFB"/>
    <w:rsid w:val="00A52D41"/>
    <w:rsid w:val="00A5362A"/>
    <w:rsid w:val="00A53F93"/>
    <w:rsid w:val="00A54480"/>
    <w:rsid w:val="00A55C1E"/>
    <w:rsid w:val="00A56E63"/>
    <w:rsid w:val="00A62F2E"/>
    <w:rsid w:val="00A63442"/>
    <w:rsid w:val="00A636C7"/>
    <w:rsid w:val="00A658C7"/>
    <w:rsid w:val="00A65E2A"/>
    <w:rsid w:val="00A6668F"/>
    <w:rsid w:val="00A70866"/>
    <w:rsid w:val="00A723DA"/>
    <w:rsid w:val="00A73909"/>
    <w:rsid w:val="00A739C1"/>
    <w:rsid w:val="00A73EAD"/>
    <w:rsid w:val="00A73F20"/>
    <w:rsid w:val="00A7533F"/>
    <w:rsid w:val="00A776C2"/>
    <w:rsid w:val="00A80F14"/>
    <w:rsid w:val="00A818C3"/>
    <w:rsid w:val="00A81996"/>
    <w:rsid w:val="00A848BB"/>
    <w:rsid w:val="00A87E92"/>
    <w:rsid w:val="00A91EC4"/>
    <w:rsid w:val="00A92AF0"/>
    <w:rsid w:val="00A93D41"/>
    <w:rsid w:val="00A94099"/>
    <w:rsid w:val="00A943FE"/>
    <w:rsid w:val="00A966DA"/>
    <w:rsid w:val="00AA122A"/>
    <w:rsid w:val="00AA412D"/>
    <w:rsid w:val="00AA4BEB"/>
    <w:rsid w:val="00AA4F9C"/>
    <w:rsid w:val="00AA7607"/>
    <w:rsid w:val="00AA7B9F"/>
    <w:rsid w:val="00AB1241"/>
    <w:rsid w:val="00AB3865"/>
    <w:rsid w:val="00AB4392"/>
    <w:rsid w:val="00AB5009"/>
    <w:rsid w:val="00AB7A75"/>
    <w:rsid w:val="00AB7E71"/>
    <w:rsid w:val="00AC3A16"/>
    <w:rsid w:val="00AC44C9"/>
    <w:rsid w:val="00AC733F"/>
    <w:rsid w:val="00AD1C2B"/>
    <w:rsid w:val="00AD440F"/>
    <w:rsid w:val="00AD5577"/>
    <w:rsid w:val="00AD5DAA"/>
    <w:rsid w:val="00AE04A0"/>
    <w:rsid w:val="00AE12D1"/>
    <w:rsid w:val="00AE32D0"/>
    <w:rsid w:val="00AE3665"/>
    <w:rsid w:val="00AE3CCD"/>
    <w:rsid w:val="00AE722E"/>
    <w:rsid w:val="00AE7ED9"/>
    <w:rsid w:val="00AF05FE"/>
    <w:rsid w:val="00AF0F7A"/>
    <w:rsid w:val="00AF1330"/>
    <w:rsid w:val="00AF44CC"/>
    <w:rsid w:val="00AF6209"/>
    <w:rsid w:val="00AF7DB6"/>
    <w:rsid w:val="00AF7EAB"/>
    <w:rsid w:val="00B00A0B"/>
    <w:rsid w:val="00B0275C"/>
    <w:rsid w:val="00B027C0"/>
    <w:rsid w:val="00B0388D"/>
    <w:rsid w:val="00B03B4D"/>
    <w:rsid w:val="00B03C62"/>
    <w:rsid w:val="00B06F04"/>
    <w:rsid w:val="00B109CA"/>
    <w:rsid w:val="00B12DA6"/>
    <w:rsid w:val="00B1409E"/>
    <w:rsid w:val="00B151DE"/>
    <w:rsid w:val="00B165B9"/>
    <w:rsid w:val="00B16BC3"/>
    <w:rsid w:val="00B17E3F"/>
    <w:rsid w:val="00B17EEE"/>
    <w:rsid w:val="00B217C1"/>
    <w:rsid w:val="00B22B2C"/>
    <w:rsid w:val="00B234DE"/>
    <w:rsid w:val="00B26E2A"/>
    <w:rsid w:val="00B35BFD"/>
    <w:rsid w:val="00B402A5"/>
    <w:rsid w:val="00B405FD"/>
    <w:rsid w:val="00B42202"/>
    <w:rsid w:val="00B458B5"/>
    <w:rsid w:val="00B5066A"/>
    <w:rsid w:val="00B5212F"/>
    <w:rsid w:val="00B535DC"/>
    <w:rsid w:val="00B57C78"/>
    <w:rsid w:val="00B57ED5"/>
    <w:rsid w:val="00B62514"/>
    <w:rsid w:val="00B62C20"/>
    <w:rsid w:val="00B6305E"/>
    <w:rsid w:val="00B63519"/>
    <w:rsid w:val="00B663E6"/>
    <w:rsid w:val="00B70A64"/>
    <w:rsid w:val="00B71E10"/>
    <w:rsid w:val="00B7771E"/>
    <w:rsid w:val="00B831B7"/>
    <w:rsid w:val="00B86A65"/>
    <w:rsid w:val="00B87A19"/>
    <w:rsid w:val="00B935FD"/>
    <w:rsid w:val="00B939B4"/>
    <w:rsid w:val="00B943C4"/>
    <w:rsid w:val="00BA0239"/>
    <w:rsid w:val="00BA02DA"/>
    <w:rsid w:val="00BA5DFC"/>
    <w:rsid w:val="00BA7E1E"/>
    <w:rsid w:val="00BA7F56"/>
    <w:rsid w:val="00BB0183"/>
    <w:rsid w:val="00BB4084"/>
    <w:rsid w:val="00BC3A29"/>
    <w:rsid w:val="00BC4E0A"/>
    <w:rsid w:val="00BC536E"/>
    <w:rsid w:val="00BC7277"/>
    <w:rsid w:val="00BC7A33"/>
    <w:rsid w:val="00BD0612"/>
    <w:rsid w:val="00BD0D87"/>
    <w:rsid w:val="00BD267D"/>
    <w:rsid w:val="00BD28C4"/>
    <w:rsid w:val="00BD33CD"/>
    <w:rsid w:val="00BD5279"/>
    <w:rsid w:val="00BE0B07"/>
    <w:rsid w:val="00BE0C14"/>
    <w:rsid w:val="00BE1B1C"/>
    <w:rsid w:val="00BE2613"/>
    <w:rsid w:val="00BE332D"/>
    <w:rsid w:val="00BE5B72"/>
    <w:rsid w:val="00BE5F39"/>
    <w:rsid w:val="00BF039F"/>
    <w:rsid w:val="00BF63D5"/>
    <w:rsid w:val="00C00154"/>
    <w:rsid w:val="00C01067"/>
    <w:rsid w:val="00C0146E"/>
    <w:rsid w:val="00C01931"/>
    <w:rsid w:val="00C02648"/>
    <w:rsid w:val="00C0314A"/>
    <w:rsid w:val="00C03628"/>
    <w:rsid w:val="00C03EA4"/>
    <w:rsid w:val="00C04816"/>
    <w:rsid w:val="00C056B6"/>
    <w:rsid w:val="00C05ED8"/>
    <w:rsid w:val="00C06E0E"/>
    <w:rsid w:val="00C11611"/>
    <w:rsid w:val="00C1211E"/>
    <w:rsid w:val="00C137E2"/>
    <w:rsid w:val="00C17212"/>
    <w:rsid w:val="00C21405"/>
    <w:rsid w:val="00C24C2E"/>
    <w:rsid w:val="00C257A2"/>
    <w:rsid w:val="00C27495"/>
    <w:rsid w:val="00C32238"/>
    <w:rsid w:val="00C33A41"/>
    <w:rsid w:val="00C35F8F"/>
    <w:rsid w:val="00C40E18"/>
    <w:rsid w:val="00C4160D"/>
    <w:rsid w:val="00C4266F"/>
    <w:rsid w:val="00C429E3"/>
    <w:rsid w:val="00C44A56"/>
    <w:rsid w:val="00C465A2"/>
    <w:rsid w:val="00C4698C"/>
    <w:rsid w:val="00C47030"/>
    <w:rsid w:val="00C526B8"/>
    <w:rsid w:val="00C547D8"/>
    <w:rsid w:val="00C55016"/>
    <w:rsid w:val="00C5654C"/>
    <w:rsid w:val="00C57898"/>
    <w:rsid w:val="00C57DE9"/>
    <w:rsid w:val="00C645D2"/>
    <w:rsid w:val="00C65E8F"/>
    <w:rsid w:val="00C67AC7"/>
    <w:rsid w:val="00C67B80"/>
    <w:rsid w:val="00C70917"/>
    <w:rsid w:val="00C71713"/>
    <w:rsid w:val="00C71CDD"/>
    <w:rsid w:val="00C74D48"/>
    <w:rsid w:val="00C7523F"/>
    <w:rsid w:val="00C77F6E"/>
    <w:rsid w:val="00C82258"/>
    <w:rsid w:val="00C82D44"/>
    <w:rsid w:val="00C83C71"/>
    <w:rsid w:val="00C84DAB"/>
    <w:rsid w:val="00C87A9A"/>
    <w:rsid w:val="00C926CA"/>
    <w:rsid w:val="00C92DA3"/>
    <w:rsid w:val="00C94643"/>
    <w:rsid w:val="00C95BAD"/>
    <w:rsid w:val="00C96FBB"/>
    <w:rsid w:val="00CA0CEC"/>
    <w:rsid w:val="00CA1F2F"/>
    <w:rsid w:val="00CA450E"/>
    <w:rsid w:val="00CA54C2"/>
    <w:rsid w:val="00CA5758"/>
    <w:rsid w:val="00CA6A7C"/>
    <w:rsid w:val="00CB2ADE"/>
    <w:rsid w:val="00CB5EB6"/>
    <w:rsid w:val="00CB7150"/>
    <w:rsid w:val="00CB77F6"/>
    <w:rsid w:val="00CC0111"/>
    <w:rsid w:val="00CC0C73"/>
    <w:rsid w:val="00CC10C6"/>
    <w:rsid w:val="00CC2B2E"/>
    <w:rsid w:val="00CC4879"/>
    <w:rsid w:val="00CC5337"/>
    <w:rsid w:val="00CC70E1"/>
    <w:rsid w:val="00CD24CD"/>
    <w:rsid w:val="00CD53EB"/>
    <w:rsid w:val="00CD620A"/>
    <w:rsid w:val="00CE2C17"/>
    <w:rsid w:val="00CE30CF"/>
    <w:rsid w:val="00CE49BE"/>
    <w:rsid w:val="00CE4E5F"/>
    <w:rsid w:val="00CE6AC8"/>
    <w:rsid w:val="00CF0CAE"/>
    <w:rsid w:val="00CF473E"/>
    <w:rsid w:val="00CF58FD"/>
    <w:rsid w:val="00CF7BBF"/>
    <w:rsid w:val="00D008AF"/>
    <w:rsid w:val="00D04A50"/>
    <w:rsid w:val="00D103B4"/>
    <w:rsid w:val="00D10CF6"/>
    <w:rsid w:val="00D117ED"/>
    <w:rsid w:val="00D13A8B"/>
    <w:rsid w:val="00D1438A"/>
    <w:rsid w:val="00D152B5"/>
    <w:rsid w:val="00D15B04"/>
    <w:rsid w:val="00D16DC4"/>
    <w:rsid w:val="00D17F5A"/>
    <w:rsid w:val="00D21630"/>
    <w:rsid w:val="00D216C2"/>
    <w:rsid w:val="00D246FE"/>
    <w:rsid w:val="00D2631F"/>
    <w:rsid w:val="00D27133"/>
    <w:rsid w:val="00D30761"/>
    <w:rsid w:val="00D32948"/>
    <w:rsid w:val="00D33147"/>
    <w:rsid w:val="00D33F7B"/>
    <w:rsid w:val="00D359DE"/>
    <w:rsid w:val="00D37619"/>
    <w:rsid w:val="00D37AEA"/>
    <w:rsid w:val="00D41FB6"/>
    <w:rsid w:val="00D42E22"/>
    <w:rsid w:val="00D4453B"/>
    <w:rsid w:val="00D45922"/>
    <w:rsid w:val="00D516CC"/>
    <w:rsid w:val="00D51CF7"/>
    <w:rsid w:val="00D53362"/>
    <w:rsid w:val="00D5360A"/>
    <w:rsid w:val="00D5440D"/>
    <w:rsid w:val="00D56435"/>
    <w:rsid w:val="00D56B02"/>
    <w:rsid w:val="00D634CB"/>
    <w:rsid w:val="00D6799C"/>
    <w:rsid w:val="00D73C65"/>
    <w:rsid w:val="00D743BF"/>
    <w:rsid w:val="00D74B8C"/>
    <w:rsid w:val="00D74EBF"/>
    <w:rsid w:val="00D75B6D"/>
    <w:rsid w:val="00D762AD"/>
    <w:rsid w:val="00D77365"/>
    <w:rsid w:val="00D81806"/>
    <w:rsid w:val="00D837B9"/>
    <w:rsid w:val="00D8637B"/>
    <w:rsid w:val="00D875F1"/>
    <w:rsid w:val="00D878B6"/>
    <w:rsid w:val="00D91D50"/>
    <w:rsid w:val="00D91FB7"/>
    <w:rsid w:val="00D92932"/>
    <w:rsid w:val="00D93EAA"/>
    <w:rsid w:val="00D9446C"/>
    <w:rsid w:val="00D953FD"/>
    <w:rsid w:val="00D95D94"/>
    <w:rsid w:val="00DA3037"/>
    <w:rsid w:val="00DA6650"/>
    <w:rsid w:val="00DA7917"/>
    <w:rsid w:val="00DB377B"/>
    <w:rsid w:val="00DB6439"/>
    <w:rsid w:val="00DC09A6"/>
    <w:rsid w:val="00DC200E"/>
    <w:rsid w:val="00DC3DF9"/>
    <w:rsid w:val="00DC3FD5"/>
    <w:rsid w:val="00DC4E2C"/>
    <w:rsid w:val="00DC5852"/>
    <w:rsid w:val="00DD010B"/>
    <w:rsid w:val="00DD091B"/>
    <w:rsid w:val="00DD1470"/>
    <w:rsid w:val="00DD1B79"/>
    <w:rsid w:val="00DD320A"/>
    <w:rsid w:val="00DD3271"/>
    <w:rsid w:val="00DD34A7"/>
    <w:rsid w:val="00DD6B05"/>
    <w:rsid w:val="00DD6E05"/>
    <w:rsid w:val="00DD7B5F"/>
    <w:rsid w:val="00DE1582"/>
    <w:rsid w:val="00DE2DF4"/>
    <w:rsid w:val="00DE3806"/>
    <w:rsid w:val="00DE40C7"/>
    <w:rsid w:val="00DE509C"/>
    <w:rsid w:val="00DE6BC7"/>
    <w:rsid w:val="00DE70C5"/>
    <w:rsid w:val="00DF00E2"/>
    <w:rsid w:val="00DF2B4B"/>
    <w:rsid w:val="00DF5174"/>
    <w:rsid w:val="00E0114F"/>
    <w:rsid w:val="00E024F8"/>
    <w:rsid w:val="00E0427E"/>
    <w:rsid w:val="00E06509"/>
    <w:rsid w:val="00E0670A"/>
    <w:rsid w:val="00E06B8D"/>
    <w:rsid w:val="00E0747F"/>
    <w:rsid w:val="00E139B8"/>
    <w:rsid w:val="00E156E7"/>
    <w:rsid w:val="00E220AF"/>
    <w:rsid w:val="00E23362"/>
    <w:rsid w:val="00E23DC3"/>
    <w:rsid w:val="00E24A85"/>
    <w:rsid w:val="00E301ED"/>
    <w:rsid w:val="00E310C5"/>
    <w:rsid w:val="00E3142B"/>
    <w:rsid w:val="00E33B82"/>
    <w:rsid w:val="00E40869"/>
    <w:rsid w:val="00E40DE9"/>
    <w:rsid w:val="00E41175"/>
    <w:rsid w:val="00E42C5B"/>
    <w:rsid w:val="00E43F3A"/>
    <w:rsid w:val="00E44F24"/>
    <w:rsid w:val="00E474D8"/>
    <w:rsid w:val="00E50114"/>
    <w:rsid w:val="00E51E34"/>
    <w:rsid w:val="00E52039"/>
    <w:rsid w:val="00E532B6"/>
    <w:rsid w:val="00E54BF2"/>
    <w:rsid w:val="00E55FDA"/>
    <w:rsid w:val="00E56A1F"/>
    <w:rsid w:val="00E61196"/>
    <w:rsid w:val="00E642DF"/>
    <w:rsid w:val="00E659AD"/>
    <w:rsid w:val="00E665B3"/>
    <w:rsid w:val="00E6718E"/>
    <w:rsid w:val="00E71A4F"/>
    <w:rsid w:val="00E7303B"/>
    <w:rsid w:val="00E73DCC"/>
    <w:rsid w:val="00E73E51"/>
    <w:rsid w:val="00E76B71"/>
    <w:rsid w:val="00E819A5"/>
    <w:rsid w:val="00E849E8"/>
    <w:rsid w:val="00E91336"/>
    <w:rsid w:val="00E9344B"/>
    <w:rsid w:val="00E94FC2"/>
    <w:rsid w:val="00E96DFF"/>
    <w:rsid w:val="00E97076"/>
    <w:rsid w:val="00EA05C7"/>
    <w:rsid w:val="00EA1346"/>
    <w:rsid w:val="00EA1BF7"/>
    <w:rsid w:val="00EA3464"/>
    <w:rsid w:val="00EA4DC0"/>
    <w:rsid w:val="00EA65E5"/>
    <w:rsid w:val="00EA665D"/>
    <w:rsid w:val="00EA74B9"/>
    <w:rsid w:val="00EB0344"/>
    <w:rsid w:val="00EB0C31"/>
    <w:rsid w:val="00EB10EE"/>
    <w:rsid w:val="00EB1B76"/>
    <w:rsid w:val="00EB1C34"/>
    <w:rsid w:val="00EB3F5C"/>
    <w:rsid w:val="00EC2CF8"/>
    <w:rsid w:val="00EC7F6F"/>
    <w:rsid w:val="00ED08D8"/>
    <w:rsid w:val="00ED3363"/>
    <w:rsid w:val="00ED3BCD"/>
    <w:rsid w:val="00ED3D1A"/>
    <w:rsid w:val="00EE0C04"/>
    <w:rsid w:val="00EE1693"/>
    <w:rsid w:val="00EE277E"/>
    <w:rsid w:val="00EE6B98"/>
    <w:rsid w:val="00EE79D9"/>
    <w:rsid w:val="00EF1DD0"/>
    <w:rsid w:val="00EF3309"/>
    <w:rsid w:val="00EF34D8"/>
    <w:rsid w:val="00EF5B13"/>
    <w:rsid w:val="00EF7D8F"/>
    <w:rsid w:val="00F04005"/>
    <w:rsid w:val="00F06267"/>
    <w:rsid w:val="00F11122"/>
    <w:rsid w:val="00F12807"/>
    <w:rsid w:val="00F147DD"/>
    <w:rsid w:val="00F160F1"/>
    <w:rsid w:val="00F174B3"/>
    <w:rsid w:val="00F21974"/>
    <w:rsid w:val="00F23C57"/>
    <w:rsid w:val="00F26120"/>
    <w:rsid w:val="00F318DA"/>
    <w:rsid w:val="00F337C4"/>
    <w:rsid w:val="00F33F3F"/>
    <w:rsid w:val="00F34EDD"/>
    <w:rsid w:val="00F36D8F"/>
    <w:rsid w:val="00F424AD"/>
    <w:rsid w:val="00F42C53"/>
    <w:rsid w:val="00F46F0E"/>
    <w:rsid w:val="00F4781A"/>
    <w:rsid w:val="00F50E2D"/>
    <w:rsid w:val="00F513D1"/>
    <w:rsid w:val="00F5320E"/>
    <w:rsid w:val="00F534DB"/>
    <w:rsid w:val="00F53C79"/>
    <w:rsid w:val="00F54822"/>
    <w:rsid w:val="00F5484F"/>
    <w:rsid w:val="00F548B5"/>
    <w:rsid w:val="00F64411"/>
    <w:rsid w:val="00F65BF1"/>
    <w:rsid w:val="00F661C8"/>
    <w:rsid w:val="00F679FF"/>
    <w:rsid w:val="00F7150F"/>
    <w:rsid w:val="00F723EA"/>
    <w:rsid w:val="00F728A3"/>
    <w:rsid w:val="00F731A9"/>
    <w:rsid w:val="00F7499D"/>
    <w:rsid w:val="00F80D2E"/>
    <w:rsid w:val="00F812E4"/>
    <w:rsid w:val="00F82D64"/>
    <w:rsid w:val="00F843DB"/>
    <w:rsid w:val="00F878E5"/>
    <w:rsid w:val="00F90E73"/>
    <w:rsid w:val="00F95DC1"/>
    <w:rsid w:val="00F9626D"/>
    <w:rsid w:val="00FA19A5"/>
    <w:rsid w:val="00FA4610"/>
    <w:rsid w:val="00FA75FE"/>
    <w:rsid w:val="00FA7BEE"/>
    <w:rsid w:val="00FB0752"/>
    <w:rsid w:val="00FB199A"/>
    <w:rsid w:val="00FB2ADF"/>
    <w:rsid w:val="00FB37AD"/>
    <w:rsid w:val="00FB442B"/>
    <w:rsid w:val="00FB5F5F"/>
    <w:rsid w:val="00FB6602"/>
    <w:rsid w:val="00FC48F5"/>
    <w:rsid w:val="00FC5493"/>
    <w:rsid w:val="00FC6312"/>
    <w:rsid w:val="00FD4DDD"/>
    <w:rsid w:val="00FD4FB3"/>
    <w:rsid w:val="00FD5CFB"/>
    <w:rsid w:val="00FE11C2"/>
    <w:rsid w:val="00FE2224"/>
    <w:rsid w:val="00FE2EE9"/>
    <w:rsid w:val="00FE44D4"/>
    <w:rsid w:val="00FE76C5"/>
    <w:rsid w:val="00FF0B5A"/>
    <w:rsid w:val="00FF2B6F"/>
    <w:rsid w:val="00FF584F"/>
    <w:rsid w:val="00FF5F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5FA5"/>
    <w:pPr>
      <w:spacing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034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1"/>
    <w:uiPriority w:val="9"/>
    <w:unhideWhenUsed/>
    <w:qFormat/>
    <w:rsid w:val="00C65527"/>
    <w:pPr>
      <w:keepNext/>
      <w:keepLines/>
      <w:spacing w:before="200" w:line="276" w:lineRule="auto"/>
      <w:outlineLvl w:val="1"/>
    </w:pPr>
    <w:rPr>
      <w:b/>
      <w:bCs/>
      <w:sz w:val="22"/>
      <w:szCs w:val="26"/>
      <w:lang w:eastAsia="en-US"/>
    </w:rPr>
  </w:style>
  <w:style w:type="paragraph" w:styleId="Nadpis3">
    <w:name w:val="heading 3"/>
    <w:basedOn w:val="Normln"/>
    <w:link w:val="Nadpis3Char"/>
    <w:uiPriority w:val="9"/>
    <w:unhideWhenUsed/>
    <w:qFormat/>
    <w:rsid w:val="00D80CD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9C56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236156"/>
    <w:rPr>
      <w:rFonts w:ascii="Tahoma" w:eastAsia="Times New Roman" w:hAnsi="Tahoma" w:cs="Tahoma"/>
      <w:sz w:val="16"/>
      <w:szCs w:val="16"/>
      <w:lang w:eastAsia="cs-CZ"/>
    </w:rPr>
  </w:style>
  <w:style w:type="character" w:customStyle="1" w:styleId="Nadpis2Char1">
    <w:name w:val="Nadpis 2 Char1"/>
    <w:link w:val="Nadpis2"/>
    <w:qFormat/>
    <w:rsid w:val="00236156"/>
    <w:rPr>
      <w:rFonts w:ascii="Times New Roman" w:eastAsia="Times New Roman" w:hAnsi="Times New Roman" w:cs="Times New Roman"/>
      <w:b/>
      <w:sz w:val="23"/>
      <w:szCs w:val="23"/>
    </w:rPr>
  </w:style>
  <w:style w:type="character" w:customStyle="1" w:styleId="Nadpis2Char">
    <w:name w:val="Nadpis 2 Char"/>
    <w:basedOn w:val="Standardnpsmoodstavce"/>
    <w:uiPriority w:val="9"/>
    <w:qFormat/>
    <w:rsid w:val="00C65527"/>
    <w:rPr>
      <w:rFonts w:ascii="Times New Roman" w:eastAsia="Times New Roman" w:hAnsi="Times New Roman" w:cs="Times New Roman"/>
      <w:b/>
      <w:bCs/>
      <w:szCs w:val="26"/>
    </w:rPr>
  </w:style>
  <w:style w:type="character" w:styleId="Siln">
    <w:name w:val="Strong"/>
    <w:qFormat/>
    <w:rsid w:val="002D1D00"/>
    <w:rPr>
      <w:b/>
      <w:bCs/>
    </w:rPr>
  </w:style>
  <w:style w:type="character" w:customStyle="1" w:styleId="Nadpis3Char">
    <w:name w:val="Nadpis 3 Char"/>
    <w:basedOn w:val="Standardnpsmoodstavce"/>
    <w:link w:val="Nadpis3"/>
    <w:uiPriority w:val="9"/>
    <w:qFormat/>
    <w:rsid w:val="00D80CD8"/>
    <w:rPr>
      <w:rFonts w:asciiTheme="majorHAnsi" w:eastAsiaTheme="majorEastAsia" w:hAnsiTheme="majorHAnsi" w:cstheme="majorBidi"/>
      <w:b/>
      <w:bCs/>
      <w:color w:val="4F81BD" w:themeColor="accent1"/>
      <w:sz w:val="24"/>
      <w:szCs w:val="24"/>
      <w:lang w:eastAsia="cs-CZ"/>
    </w:rPr>
  </w:style>
  <w:style w:type="character" w:customStyle="1" w:styleId="ZhlavChar">
    <w:name w:val="Záhlaví Char"/>
    <w:basedOn w:val="Standardnpsmoodstavce"/>
    <w:link w:val="Zhlav"/>
    <w:qFormat/>
    <w:rsid w:val="00BF77C5"/>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BF77C5"/>
    <w:rPr>
      <w:rFonts w:ascii="Times New Roman" w:eastAsia="Times New Roman" w:hAnsi="Times New Roman" w:cs="Times New Roman"/>
      <w:sz w:val="24"/>
      <w:szCs w:val="24"/>
      <w:lang w:eastAsia="cs-CZ"/>
    </w:rPr>
  </w:style>
  <w:style w:type="character" w:customStyle="1" w:styleId="TextpoznpodarouChar">
    <w:name w:val="Text pozn. pod čarou Char"/>
    <w:aliases w:val="5_G Char,nota Char,pie Char,independiente Char,Letrero Char,margen Char,fn Char,Footnote Text Char Char Char Char1,FA Fu Char,FA Fußnotentext Char,Footnote reference Char,FA Fuﬂnotentext Char,ﬂnotentext Char,f Char,FA Char"/>
    <w:basedOn w:val="Standardnpsmoodstavce"/>
    <w:link w:val="Textpoznpodarou"/>
    <w:uiPriority w:val="99"/>
    <w:qFormat/>
    <w:rsid w:val="00B92B57"/>
    <w:rPr>
      <w:rFonts w:ascii="Times New Roman" w:eastAsia="Times New Roman" w:hAnsi="Times New Roman" w:cs="Times New Roman"/>
      <w:sz w:val="20"/>
      <w:szCs w:val="20"/>
      <w:lang w:eastAsia="cs-CZ"/>
    </w:rPr>
  </w:style>
  <w:style w:type="character" w:styleId="Znakapoznpodarou">
    <w:name w:val="footnote reference"/>
    <w:aliases w:val="4_G,Footnote,Footnotes refss,Footnote Ref,16 Point,Superscript 6 Point,ftref,Ref,de nota al pie,referencia nota al pie,BVI fnr,Footnote text,Superscript 10 Point,Footnote Reference Superscript,Ref1,de nota al pie1,Ref2"/>
    <w:basedOn w:val="Standardnpsmoodstavce"/>
    <w:uiPriority w:val="99"/>
    <w:unhideWhenUsed/>
    <w:qFormat/>
    <w:rsid w:val="00B92B57"/>
    <w:rPr>
      <w:vertAlign w:val="superscript"/>
    </w:rPr>
  </w:style>
  <w:style w:type="character" w:styleId="Zstupntext">
    <w:name w:val="Placeholder Text"/>
    <w:basedOn w:val="Standardnpsmoodstavce"/>
    <w:uiPriority w:val="99"/>
    <w:semiHidden/>
    <w:qFormat/>
    <w:rsid w:val="00CD0087"/>
    <w:rPr>
      <w:color w:val="808080"/>
    </w:rPr>
  </w:style>
  <w:style w:type="character" w:customStyle="1" w:styleId="Nadpis1Char">
    <w:name w:val="Nadpis 1 Char"/>
    <w:basedOn w:val="Standardnpsmoodstavce"/>
    <w:link w:val="Nadpis1"/>
    <w:uiPriority w:val="9"/>
    <w:qFormat/>
    <w:rsid w:val="00034BFC"/>
    <w:rPr>
      <w:rFonts w:asciiTheme="majorHAnsi" w:eastAsiaTheme="majorEastAsia" w:hAnsiTheme="majorHAnsi" w:cstheme="majorBidi"/>
      <w:b/>
      <w:bCs/>
      <w:color w:val="365F91" w:themeColor="accent1" w:themeShade="BF"/>
      <w:sz w:val="28"/>
      <w:szCs w:val="28"/>
      <w:lang w:eastAsia="cs-CZ"/>
    </w:rPr>
  </w:style>
  <w:style w:type="character" w:customStyle="1" w:styleId="ListLabel1">
    <w:name w:val="ListLabel 1"/>
    <w:qFormat/>
    <w:rsid w:val="00C44A56"/>
    <w:rPr>
      <w:rFonts w:cs="Arial"/>
      <w:b/>
      <w:color w:val="00000A"/>
      <w:sz w:val="22"/>
    </w:rPr>
  </w:style>
  <w:style w:type="character" w:customStyle="1" w:styleId="ListLabel2">
    <w:name w:val="ListLabel 2"/>
    <w:qFormat/>
    <w:rsid w:val="00C44A56"/>
    <w:rPr>
      <w:rFonts w:ascii="Arial" w:hAnsi="Arial"/>
      <w:b/>
      <w:i w:val="0"/>
      <w:color w:val="00000A"/>
      <w:sz w:val="22"/>
    </w:rPr>
  </w:style>
  <w:style w:type="character" w:customStyle="1" w:styleId="ListLabel3">
    <w:name w:val="ListLabel 3"/>
    <w:qFormat/>
    <w:rsid w:val="00C44A56"/>
    <w:rPr>
      <w:rFonts w:ascii="Arial" w:hAnsi="Arial"/>
      <w:b/>
      <w:sz w:val="22"/>
    </w:rPr>
  </w:style>
  <w:style w:type="character" w:customStyle="1" w:styleId="ListLabel4">
    <w:name w:val="ListLabel 4"/>
    <w:qFormat/>
    <w:rsid w:val="00C44A56"/>
    <w:rPr>
      <w:rFonts w:ascii="Arial" w:eastAsia="Times New Roman" w:hAnsi="Arial" w:cs="Arial"/>
      <w:sz w:val="20"/>
    </w:rPr>
  </w:style>
  <w:style w:type="character" w:customStyle="1" w:styleId="ListLabel5">
    <w:name w:val="ListLabel 5"/>
    <w:qFormat/>
    <w:rsid w:val="00C44A56"/>
    <w:rPr>
      <w:rFonts w:cs="Courier New"/>
    </w:rPr>
  </w:style>
  <w:style w:type="character" w:customStyle="1" w:styleId="ListLabel6">
    <w:name w:val="ListLabel 6"/>
    <w:qFormat/>
    <w:rsid w:val="00C44A56"/>
    <w:rPr>
      <w:rFonts w:ascii="Arial" w:hAnsi="Arial"/>
      <w:b/>
      <w:sz w:val="18"/>
      <w:szCs w:val="22"/>
    </w:rPr>
  </w:style>
  <w:style w:type="character" w:customStyle="1" w:styleId="ListLabel7">
    <w:name w:val="ListLabel 7"/>
    <w:qFormat/>
    <w:rsid w:val="00C44A56"/>
    <w:rPr>
      <w:rFonts w:ascii="Arial" w:hAnsi="Arial"/>
      <w:b/>
      <w:i w:val="0"/>
      <w:color w:val="000000"/>
      <w:sz w:val="22"/>
    </w:rPr>
  </w:style>
  <w:style w:type="character" w:customStyle="1" w:styleId="ListLabel8">
    <w:name w:val="ListLabel 8"/>
    <w:qFormat/>
    <w:rsid w:val="00C44A56"/>
    <w:rPr>
      <w:rFonts w:cs="Arial"/>
    </w:rPr>
  </w:style>
  <w:style w:type="character" w:customStyle="1" w:styleId="ListLabel9">
    <w:name w:val="ListLabel 9"/>
    <w:qFormat/>
    <w:rsid w:val="00C44A56"/>
    <w:rPr>
      <w:rFonts w:ascii="Arial" w:hAnsi="Arial" w:cs="Arial"/>
      <w:b/>
      <w:sz w:val="22"/>
    </w:rPr>
  </w:style>
  <w:style w:type="character" w:customStyle="1" w:styleId="ListLabel10">
    <w:name w:val="ListLabel 10"/>
    <w:qFormat/>
    <w:rsid w:val="00C44A56"/>
    <w:rPr>
      <w:rFonts w:cs="Arial"/>
    </w:rPr>
  </w:style>
  <w:style w:type="character" w:customStyle="1" w:styleId="ListLabel11">
    <w:name w:val="ListLabel 11"/>
    <w:qFormat/>
    <w:rsid w:val="00C44A56"/>
    <w:rPr>
      <w:b w:val="0"/>
    </w:rPr>
  </w:style>
  <w:style w:type="character" w:customStyle="1" w:styleId="Ukotvenpoznmkypodarou">
    <w:name w:val="Ukotvení poznámky pod čarou"/>
    <w:rsid w:val="00C44A56"/>
    <w:rPr>
      <w:vertAlign w:val="superscript"/>
    </w:rPr>
  </w:style>
  <w:style w:type="character" w:customStyle="1" w:styleId="Znakypropoznmkupodarou">
    <w:name w:val="Znaky pro poznámku pod čarou"/>
    <w:qFormat/>
    <w:rsid w:val="00C44A56"/>
  </w:style>
  <w:style w:type="character" w:customStyle="1" w:styleId="Ukotvenvysvtlivky">
    <w:name w:val="Ukotvení vysvětlivky"/>
    <w:rsid w:val="00C44A56"/>
    <w:rPr>
      <w:vertAlign w:val="superscript"/>
    </w:rPr>
  </w:style>
  <w:style w:type="character" w:customStyle="1" w:styleId="Znakyprovysvtlivky">
    <w:name w:val="Znaky pro vysvětlivky"/>
    <w:qFormat/>
    <w:rsid w:val="00C44A56"/>
  </w:style>
  <w:style w:type="paragraph" w:customStyle="1" w:styleId="Nadpis">
    <w:name w:val="Nadpis"/>
    <w:basedOn w:val="Normln"/>
    <w:next w:val="Tlotextu"/>
    <w:qFormat/>
    <w:rsid w:val="00C44A56"/>
    <w:pPr>
      <w:keepNext/>
      <w:spacing w:before="240" w:after="120"/>
    </w:pPr>
    <w:rPr>
      <w:rFonts w:ascii="Liberation Sans" w:eastAsia="Lucida Sans Unicode" w:hAnsi="Liberation Sans" w:cs="Mangal"/>
      <w:sz w:val="28"/>
      <w:szCs w:val="28"/>
    </w:rPr>
  </w:style>
  <w:style w:type="paragraph" w:customStyle="1" w:styleId="Tlotextu">
    <w:name w:val="Tělo textu"/>
    <w:basedOn w:val="Normln"/>
    <w:rsid w:val="00C44A56"/>
    <w:pPr>
      <w:spacing w:after="140" w:line="288" w:lineRule="auto"/>
    </w:pPr>
  </w:style>
  <w:style w:type="paragraph" w:styleId="Seznam">
    <w:name w:val="List"/>
    <w:basedOn w:val="Tlotextu"/>
    <w:rsid w:val="00C44A56"/>
    <w:rPr>
      <w:rFonts w:cs="Mangal"/>
    </w:rPr>
  </w:style>
  <w:style w:type="paragraph" w:customStyle="1" w:styleId="Popisek">
    <w:name w:val="Popisek"/>
    <w:basedOn w:val="Normln"/>
    <w:rsid w:val="00C44A56"/>
    <w:pPr>
      <w:suppressLineNumbers/>
      <w:spacing w:before="120" w:after="120"/>
    </w:pPr>
    <w:rPr>
      <w:rFonts w:cs="Mangal"/>
      <w:i/>
      <w:iCs/>
    </w:rPr>
  </w:style>
  <w:style w:type="paragraph" w:customStyle="1" w:styleId="Rejstk">
    <w:name w:val="Rejstřík"/>
    <w:basedOn w:val="Normln"/>
    <w:qFormat/>
    <w:rsid w:val="00C44A56"/>
    <w:pPr>
      <w:suppressLineNumbers/>
    </w:pPr>
    <w:rPr>
      <w:rFonts w:cs="Mangal"/>
    </w:rPr>
  </w:style>
  <w:style w:type="paragraph" w:customStyle="1" w:styleId="CharCharChar">
    <w:name w:val="Char Char Char"/>
    <w:basedOn w:val="Normln"/>
    <w:qFormat/>
    <w:rsid w:val="00D80CD8"/>
    <w:pPr>
      <w:spacing w:after="160" w:line="240" w:lineRule="exact"/>
    </w:pPr>
    <w:rPr>
      <w:rFonts w:ascii="Times New Roman Bold" w:hAnsi="Times New Roman Bold"/>
      <w:sz w:val="22"/>
      <w:szCs w:val="26"/>
      <w:lang w:val="sk-SK" w:eastAsia="en-US"/>
    </w:rPr>
  </w:style>
  <w:style w:type="paragraph" w:styleId="Odstavecseseznamem">
    <w:name w:val="List Paragraph"/>
    <w:aliases w:val="Dot pt,F5 List Paragraph,List Paragraph1,No Spacing1,List Paragraph Char Char Char,Indicator Text,Numbered Para 1,Colorful List - Accent 11,Bullet 1,Bullet Points,Párrafo de lista,MAIN CONTENT,Recommendation,List Paragraph2"/>
    <w:basedOn w:val="Normln"/>
    <w:link w:val="OdstavecseseznamemChar"/>
    <w:uiPriority w:val="34"/>
    <w:qFormat/>
    <w:rsid w:val="00184EEE"/>
    <w:pPr>
      <w:ind w:left="720"/>
      <w:contextualSpacing/>
    </w:pPr>
  </w:style>
  <w:style w:type="paragraph" w:styleId="Textbubliny">
    <w:name w:val="Balloon Text"/>
    <w:basedOn w:val="Normln"/>
    <w:link w:val="TextbublinyChar"/>
    <w:uiPriority w:val="99"/>
    <w:semiHidden/>
    <w:unhideWhenUsed/>
    <w:qFormat/>
    <w:rsid w:val="00236156"/>
    <w:rPr>
      <w:rFonts w:ascii="Tahoma" w:hAnsi="Tahoma" w:cs="Tahoma"/>
      <w:sz w:val="16"/>
      <w:szCs w:val="16"/>
    </w:rPr>
  </w:style>
  <w:style w:type="paragraph" w:customStyle="1" w:styleId="Nadpis20">
    <w:name w:val="Nadpis2"/>
    <w:basedOn w:val="Odstavecseseznamem"/>
    <w:qFormat/>
    <w:rsid w:val="00236156"/>
    <w:pPr>
      <w:spacing w:before="200" w:after="120"/>
      <w:jc w:val="both"/>
    </w:pPr>
    <w:rPr>
      <w:b/>
      <w:sz w:val="23"/>
      <w:szCs w:val="23"/>
      <w:lang w:eastAsia="en-US"/>
    </w:rPr>
  </w:style>
  <w:style w:type="paragraph" w:customStyle="1" w:styleId="Nadpis30">
    <w:name w:val="Nadpis3"/>
    <w:basedOn w:val="Odstavecseseznamem"/>
    <w:qFormat/>
    <w:rsid w:val="00236156"/>
    <w:pPr>
      <w:spacing w:before="200" w:after="120"/>
      <w:jc w:val="both"/>
    </w:pPr>
    <w:rPr>
      <w:rFonts w:eastAsia="Calibri"/>
      <w:b/>
      <w:sz w:val="23"/>
      <w:szCs w:val="23"/>
      <w:lang w:eastAsia="en-US"/>
    </w:rPr>
  </w:style>
  <w:style w:type="paragraph" w:customStyle="1" w:styleId="CharChar">
    <w:name w:val="Char Char"/>
    <w:basedOn w:val="Normln"/>
    <w:qFormat/>
    <w:rsid w:val="00997952"/>
    <w:pPr>
      <w:widowControl w:val="0"/>
      <w:suppressAutoHyphens/>
      <w:spacing w:after="160" w:line="240" w:lineRule="exact"/>
      <w:jc w:val="both"/>
    </w:pPr>
    <w:rPr>
      <w:rFonts w:ascii="Tahoma" w:hAnsi="Tahoma" w:cs="Tahoma"/>
      <w:sz w:val="20"/>
      <w:szCs w:val="20"/>
      <w:lang w:val="en-US" w:eastAsia="en-US"/>
    </w:rPr>
  </w:style>
  <w:style w:type="paragraph" w:styleId="Zhlav">
    <w:name w:val="header"/>
    <w:basedOn w:val="Normln"/>
    <w:link w:val="ZhlavChar"/>
    <w:unhideWhenUsed/>
    <w:rsid w:val="00BF77C5"/>
    <w:pPr>
      <w:tabs>
        <w:tab w:val="center" w:pos="4536"/>
        <w:tab w:val="right" w:pos="9072"/>
      </w:tabs>
    </w:pPr>
  </w:style>
  <w:style w:type="paragraph" w:styleId="Zpat">
    <w:name w:val="footer"/>
    <w:basedOn w:val="Normln"/>
    <w:link w:val="ZpatChar"/>
    <w:uiPriority w:val="99"/>
    <w:unhideWhenUsed/>
    <w:rsid w:val="00BF77C5"/>
    <w:pPr>
      <w:tabs>
        <w:tab w:val="center" w:pos="4536"/>
        <w:tab w:val="right" w:pos="9072"/>
      </w:tabs>
    </w:pPr>
  </w:style>
  <w:style w:type="paragraph" w:customStyle="1" w:styleId="Default">
    <w:name w:val="Default"/>
    <w:uiPriority w:val="99"/>
    <w:qFormat/>
    <w:rsid w:val="00F110AD"/>
    <w:pPr>
      <w:spacing w:line="240" w:lineRule="auto"/>
    </w:pPr>
    <w:rPr>
      <w:rFonts w:ascii="Arial" w:eastAsia="Calibri" w:hAnsi="Arial" w:cs="Arial"/>
      <w:color w:val="000000"/>
      <w:sz w:val="24"/>
      <w:szCs w:val="24"/>
    </w:rPr>
  </w:style>
  <w:style w:type="paragraph" w:styleId="Textpoznpodarou">
    <w:name w:val="footnote text"/>
    <w:aliases w:val="5_G,nota,pie,independiente,Letrero,margen,fn,Footnote Text Char Char Char,FA Fu,FA Fußnotentext,Footnote reference,FA Fuﬂnotentext,ﬂnotentext,Footnote Text Char Char Char Char,Footnote Text Char1,Footnote Text Char Char,f,FA"/>
    <w:basedOn w:val="Normln"/>
    <w:link w:val="TextpoznpodarouChar"/>
    <w:uiPriority w:val="99"/>
    <w:unhideWhenUsed/>
    <w:qFormat/>
    <w:rsid w:val="00B92B57"/>
    <w:rPr>
      <w:sz w:val="20"/>
      <w:szCs w:val="20"/>
    </w:rPr>
  </w:style>
  <w:style w:type="paragraph" w:customStyle="1" w:styleId="Poznmkapodarou">
    <w:name w:val="Poznámka pod čarou"/>
    <w:basedOn w:val="Normln"/>
    <w:rsid w:val="00C44A56"/>
  </w:style>
  <w:style w:type="character" w:styleId="Hypertextovodkaz">
    <w:name w:val="Hyperlink"/>
    <w:uiPriority w:val="99"/>
    <w:rsid w:val="004E2E3D"/>
    <w:rPr>
      <w:color w:val="0000FF"/>
      <w:u w:val="single"/>
    </w:rPr>
  </w:style>
  <w:style w:type="paragraph" w:customStyle="1" w:styleId="Standard">
    <w:name w:val="Standard"/>
    <w:rsid w:val="007E2F39"/>
    <w:pPr>
      <w:suppressAutoHyphens/>
      <w:autoSpaceDN w:val="0"/>
      <w:spacing w:line="240" w:lineRule="auto"/>
      <w:textAlignment w:val="baseline"/>
    </w:pPr>
    <w:rPr>
      <w:rFonts w:ascii="Times New Roman" w:eastAsia="Times New Roman" w:hAnsi="Times New Roman" w:cs="Times New Roman"/>
      <w:kern w:val="3"/>
      <w:sz w:val="24"/>
      <w:szCs w:val="24"/>
      <w:lang w:eastAsia="zh-CN"/>
    </w:rPr>
  </w:style>
  <w:style w:type="paragraph" w:styleId="Zkladntextodsazen2">
    <w:name w:val="Body Text Indent 2"/>
    <w:basedOn w:val="Normln"/>
    <w:link w:val="Zkladntextodsazen2Char"/>
    <w:unhideWhenUsed/>
    <w:rsid w:val="00707E28"/>
    <w:pPr>
      <w:spacing w:after="120" w:line="480" w:lineRule="auto"/>
      <w:ind w:left="283"/>
    </w:pPr>
  </w:style>
  <w:style w:type="character" w:customStyle="1" w:styleId="Zkladntextodsazen2Char">
    <w:name w:val="Základní text odsazený 2 Char"/>
    <w:basedOn w:val="Standardnpsmoodstavce"/>
    <w:link w:val="Zkladntextodsazen2"/>
    <w:rsid w:val="00707E28"/>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CD24CD"/>
    <w:pPr>
      <w:spacing w:after="120"/>
      <w:ind w:left="283"/>
    </w:pPr>
  </w:style>
  <w:style w:type="character" w:customStyle="1" w:styleId="ZkladntextodsazenChar">
    <w:name w:val="Základní text odsazený Char"/>
    <w:basedOn w:val="Standardnpsmoodstavce"/>
    <w:link w:val="Zkladntextodsazen"/>
    <w:rsid w:val="00CD24CD"/>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unhideWhenUsed/>
    <w:rsid w:val="00C82258"/>
    <w:pPr>
      <w:spacing w:after="120"/>
    </w:pPr>
  </w:style>
  <w:style w:type="character" w:customStyle="1" w:styleId="ZkladntextChar">
    <w:name w:val="Základní text Char"/>
    <w:basedOn w:val="Standardnpsmoodstavce"/>
    <w:link w:val="Zkladntext"/>
    <w:uiPriority w:val="99"/>
    <w:rsid w:val="00C82258"/>
    <w:rPr>
      <w:rFonts w:ascii="Times New Roman" w:eastAsia="Times New Roman" w:hAnsi="Times New Roman" w:cs="Times New Roman"/>
      <w:sz w:val="24"/>
      <w:szCs w:val="24"/>
      <w:lang w:eastAsia="cs-CZ"/>
    </w:rPr>
  </w:style>
  <w:style w:type="paragraph" w:customStyle="1" w:styleId="Textodstavce">
    <w:name w:val="Text odstavce"/>
    <w:basedOn w:val="Normln"/>
    <w:rsid w:val="00C82258"/>
    <w:pPr>
      <w:tabs>
        <w:tab w:val="left" w:pos="360"/>
        <w:tab w:val="left" w:pos="851"/>
      </w:tabs>
      <w:overflowPunct w:val="0"/>
      <w:autoSpaceDE w:val="0"/>
      <w:autoSpaceDN w:val="0"/>
      <w:adjustRightInd w:val="0"/>
      <w:spacing w:before="120" w:after="120"/>
      <w:jc w:val="both"/>
      <w:textAlignment w:val="baseline"/>
    </w:pPr>
    <w:rPr>
      <w:szCs w:val="20"/>
    </w:rPr>
  </w:style>
  <w:style w:type="paragraph" w:styleId="Zkladntext3">
    <w:name w:val="Body Text 3"/>
    <w:basedOn w:val="Normln"/>
    <w:link w:val="Zkladntext3Char"/>
    <w:uiPriority w:val="99"/>
    <w:unhideWhenUsed/>
    <w:rsid w:val="0072169B"/>
    <w:pPr>
      <w:spacing w:after="120"/>
    </w:pPr>
    <w:rPr>
      <w:sz w:val="16"/>
      <w:szCs w:val="16"/>
    </w:rPr>
  </w:style>
  <w:style w:type="character" w:customStyle="1" w:styleId="Zkladntext3Char">
    <w:name w:val="Základní text 3 Char"/>
    <w:basedOn w:val="Standardnpsmoodstavce"/>
    <w:link w:val="Zkladntext3"/>
    <w:uiPriority w:val="99"/>
    <w:rsid w:val="0072169B"/>
    <w:rPr>
      <w:rFonts w:ascii="Times New Roman" w:eastAsia="Times New Roman" w:hAnsi="Times New Roman" w:cs="Times New Roman"/>
      <w:sz w:val="16"/>
      <w:szCs w:val="16"/>
      <w:lang w:eastAsia="cs-CZ"/>
    </w:rPr>
  </w:style>
  <w:style w:type="character" w:customStyle="1" w:styleId="st1">
    <w:name w:val="st1"/>
    <w:rsid w:val="0041554F"/>
    <w:rPr>
      <w:rFonts w:cs="Times New Roman"/>
    </w:rPr>
  </w:style>
  <w:style w:type="paragraph" w:styleId="Bezmezer">
    <w:name w:val="No Spacing"/>
    <w:uiPriority w:val="1"/>
    <w:qFormat/>
    <w:rsid w:val="00D13A8B"/>
    <w:pPr>
      <w:spacing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rsid w:val="009C5619"/>
    <w:rPr>
      <w:rFonts w:asciiTheme="majorHAnsi" w:eastAsiaTheme="majorEastAsia" w:hAnsiTheme="majorHAnsi" w:cstheme="majorBidi"/>
      <w:b/>
      <w:bCs/>
      <w:i/>
      <w:iCs/>
      <w:color w:val="4F81BD" w:themeColor="accent1"/>
      <w:sz w:val="24"/>
      <w:szCs w:val="24"/>
      <w:lang w:eastAsia="cs-CZ"/>
    </w:rPr>
  </w:style>
  <w:style w:type="table" w:styleId="Mkatabulky">
    <w:name w:val="Table Grid"/>
    <w:basedOn w:val="Normlntabulka"/>
    <w:uiPriority w:val="59"/>
    <w:rsid w:val="001C45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2">
    <w:name w:val="Character Style 2"/>
    <w:basedOn w:val="Standardnpsmoodstavce"/>
    <w:uiPriority w:val="99"/>
    <w:rsid w:val="003A15DB"/>
  </w:style>
  <w:style w:type="paragraph" w:styleId="Textkomente">
    <w:name w:val="annotation text"/>
    <w:basedOn w:val="Normln"/>
    <w:link w:val="TextkomenteChar"/>
    <w:uiPriority w:val="99"/>
    <w:unhideWhenUsed/>
    <w:rsid w:val="001C0F72"/>
    <w:pPr>
      <w:suppressAutoHyphens/>
      <w:spacing w:after="200" w:line="276" w:lineRule="auto"/>
    </w:pPr>
    <w:rPr>
      <w:rFonts w:ascii="Calibri" w:eastAsia="SimSun" w:hAnsi="Calibri" w:cs="Calibri"/>
      <w:sz w:val="20"/>
      <w:szCs w:val="20"/>
      <w:lang w:eastAsia="zh-CN"/>
    </w:rPr>
  </w:style>
  <w:style w:type="character" w:customStyle="1" w:styleId="TextkomenteChar">
    <w:name w:val="Text komentáře Char"/>
    <w:basedOn w:val="Standardnpsmoodstavce"/>
    <w:link w:val="Textkomente"/>
    <w:uiPriority w:val="99"/>
    <w:rsid w:val="001C0F72"/>
    <w:rPr>
      <w:rFonts w:ascii="Calibri" w:eastAsia="SimSun" w:hAnsi="Calibri" w:cs="Calibri"/>
      <w:szCs w:val="20"/>
      <w:lang w:eastAsia="zh-CN"/>
    </w:rPr>
  </w:style>
  <w:style w:type="character" w:styleId="Sledovanodkaz">
    <w:name w:val="FollowedHyperlink"/>
    <w:basedOn w:val="Standardnpsmoodstavce"/>
    <w:uiPriority w:val="99"/>
    <w:semiHidden/>
    <w:unhideWhenUsed/>
    <w:rsid w:val="00C83C71"/>
    <w:rPr>
      <w:color w:val="800080" w:themeColor="followedHyperlink"/>
      <w:u w:val="single"/>
    </w:rPr>
  </w:style>
  <w:style w:type="character" w:customStyle="1" w:styleId="OdstavecseseznamemChar">
    <w:name w:val="Odstavec se seznamem Char"/>
    <w:aliases w:val="Dot pt Char,F5 List Paragraph Char,List Paragraph1 Char,No Spacing1 Char,List Paragraph Char Char Char Char,Indicator Text Char,Numbered Para 1 Char,Colorful List - Accent 11 Char,Bullet 1 Char,Bullet Points Char"/>
    <w:link w:val="Odstavecseseznamem"/>
    <w:uiPriority w:val="34"/>
    <w:qFormat/>
    <w:locked/>
    <w:rsid w:val="004E38FC"/>
    <w:rPr>
      <w:rFonts w:ascii="Times New Roman" w:eastAsia="Times New Roman" w:hAnsi="Times New Roman" w:cs="Times New Roman"/>
      <w:sz w:val="24"/>
      <w:szCs w:val="24"/>
      <w:lang w:eastAsia="cs-CZ"/>
    </w:rPr>
  </w:style>
  <w:style w:type="character" w:customStyle="1" w:styleId="apple-converted-space">
    <w:name w:val="apple-converted-space"/>
    <w:rsid w:val="004E38FC"/>
    <w:rPr>
      <w:rFonts w:ascii="Times New Roman" w:hAnsi="Times New Roman" w:cs="Times New Roman" w:hint="default"/>
    </w:rPr>
  </w:style>
  <w:style w:type="paragraph" w:styleId="Obsah3">
    <w:name w:val="toc 3"/>
    <w:basedOn w:val="Normln"/>
    <w:next w:val="Normln"/>
    <w:autoRedefine/>
    <w:uiPriority w:val="39"/>
    <w:unhideWhenUsed/>
    <w:rsid w:val="008B0926"/>
    <w:pPr>
      <w:spacing w:after="200" w:line="276" w:lineRule="auto"/>
      <w:ind w:left="440"/>
    </w:pPr>
    <w:rPr>
      <w:rFonts w:ascii="Calibri" w:eastAsia="SimSun" w:hAnsi="Calibri"/>
      <w:sz w:val="22"/>
      <w:szCs w:val="22"/>
      <w:lang w:eastAsia="zh-CN"/>
    </w:rPr>
  </w:style>
  <w:style w:type="paragraph" w:styleId="Nzev">
    <w:name w:val="Title"/>
    <w:basedOn w:val="Normln"/>
    <w:next w:val="Normln"/>
    <w:link w:val="NzevChar"/>
    <w:uiPriority w:val="10"/>
    <w:qFormat/>
    <w:rsid w:val="00FC54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C5493"/>
    <w:rPr>
      <w:rFonts w:asciiTheme="majorHAnsi" w:eastAsiaTheme="majorEastAsia" w:hAnsiTheme="majorHAnsi" w:cstheme="majorBidi"/>
      <w:color w:val="17365D" w:themeColor="text2" w:themeShade="BF"/>
      <w:spacing w:val="5"/>
      <w:kern w:val="28"/>
      <w:sz w:val="52"/>
      <w:szCs w:val="52"/>
      <w:lang w:eastAsia="cs-CZ"/>
    </w:rPr>
  </w:style>
  <w:style w:type="character" w:styleId="Nzevknihy">
    <w:name w:val="Book Title"/>
    <w:basedOn w:val="Standardnpsmoodstavce"/>
    <w:uiPriority w:val="33"/>
    <w:qFormat/>
    <w:rsid w:val="00FC5493"/>
    <w:rPr>
      <w:b/>
      <w:bCs/>
      <w:smallCaps/>
      <w:spacing w:val="5"/>
    </w:rPr>
  </w:style>
  <w:style w:type="paragraph" w:styleId="Citt">
    <w:name w:val="Quote"/>
    <w:basedOn w:val="Normln"/>
    <w:next w:val="Normln"/>
    <w:link w:val="CittChar"/>
    <w:uiPriority w:val="29"/>
    <w:qFormat/>
    <w:rsid w:val="00DD1B79"/>
    <w:rPr>
      <w:i/>
      <w:iCs/>
      <w:color w:val="000000" w:themeColor="text1"/>
    </w:rPr>
  </w:style>
  <w:style w:type="character" w:customStyle="1" w:styleId="CittChar">
    <w:name w:val="Citát Char"/>
    <w:basedOn w:val="Standardnpsmoodstavce"/>
    <w:link w:val="Citt"/>
    <w:uiPriority w:val="29"/>
    <w:rsid w:val="00DD1B79"/>
    <w:rPr>
      <w:rFonts w:ascii="Times New Roman" w:eastAsia="Times New Roman" w:hAnsi="Times New Roman" w:cs="Times New Roman"/>
      <w:i/>
      <w:iCs/>
      <w:color w:val="000000" w:themeColor="text1"/>
      <w:sz w:val="24"/>
      <w:szCs w:val="24"/>
      <w:lang w:eastAsia="cs-CZ"/>
    </w:rPr>
  </w:style>
  <w:style w:type="paragraph" w:styleId="Nadpisobsahu">
    <w:name w:val="TOC Heading"/>
    <w:basedOn w:val="Nadpis1"/>
    <w:next w:val="Normln"/>
    <w:uiPriority w:val="39"/>
    <w:semiHidden/>
    <w:unhideWhenUsed/>
    <w:qFormat/>
    <w:rsid w:val="00725D46"/>
    <w:pPr>
      <w:spacing w:line="276" w:lineRule="auto"/>
      <w:outlineLvl w:val="9"/>
    </w:pPr>
    <w:rPr>
      <w:lang w:eastAsia="en-US"/>
    </w:rPr>
  </w:style>
  <w:style w:type="paragraph" w:styleId="Obsah1">
    <w:name w:val="toc 1"/>
    <w:basedOn w:val="Normln"/>
    <w:next w:val="Normln"/>
    <w:autoRedefine/>
    <w:uiPriority w:val="39"/>
    <w:unhideWhenUsed/>
    <w:rsid w:val="00725D46"/>
    <w:pPr>
      <w:spacing w:after="100"/>
    </w:pPr>
  </w:style>
  <w:style w:type="paragraph" w:styleId="Obsah2">
    <w:name w:val="toc 2"/>
    <w:basedOn w:val="Normln"/>
    <w:next w:val="Normln"/>
    <w:autoRedefine/>
    <w:uiPriority w:val="39"/>
    <w:unhideWhenUsed/>
    <w:rsid w:val="00725D46"/>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5FA5"/>
    <w:pPr>
      <w:spacing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034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1"/>
    <w:uiPriority w:val="9"/>
    <w:unhideWhenUsed/>
    <w:qFormat/>
    <w:rsid w:val="00C65527"/>
    <w:pPr>
      <w:keepNext/>
      <w:keepLines/>
      <w:spacing w:before="200" w:line="276" w:lineRule="auto"/>
      <w:outlineLvl w:val="1"/>
    </w:pPr>
    <w:rPr>
      <w:b/>
      <w:bCs/>
      <w:sz w:val="22"/>
      <w:szCs w:val="26"/>
      <w:lang w:eastAsia="en-US"/>
    </w:rPr>
  </w:style>
  <w:style w:type="paragraph" w:styleId="Nadpis3">
    <w:name w:val="heading 3"/>
    <w:basedOn w:val="Normln"/>
    <w:link w:val="Nadpis3Char"/>
    <w:uiPriority w:val="9"/>
    <w:unhideWhenUsed/>
    <w:qFormat/>
    <w:rsid w:val="00D80CD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9C561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236156"/>
    <w:rPr>
      <w:rFonts w:ascii="Tahoma" w:eastAsia="Times New Roman" w:hAnsi="Tahoma" w:cs="Tahoma"/>
      <w:sz w:val="16"/>
      <w:szCs w:val="16"/>
      <w:lang w:eastAsia="cs-CZ"/>
    </w:rPr>
  </w:style>
  <w:style w:type="character" w:customStyle="1" w:styleId="Nadpis2Char1">
    <w:name w:val="Nadpis 2 Char1"/>
    <w:link w:val="Nadpis2"/>
    <w:qFormat/>
    <w:rsid w:val="00236156"/>
    <w:rPr>
      <w:rFonts w:ascii="Times New Roman" w:eastAsia="Times New Roman" w:hAnsi="Times New Roman" w:cs="Times New Roman"/>
      <w:b/>
      <w:sz w:val="23"/>
      <w:szCs w:val="23"/>
    </w:rPr>
  </w:style>
  <w:style w:type="character" w:customStyle="1" w:styleId="Nadpis2Char">
    <w:name w:val="Nadpis 2 Char"/>
    <w:basedOn w:val="Standardnpsmoodstavce"/>
    <w:uiPriority w:val="9"/>
    <w:qFormat/>
    <w:rsid w:val="00C65527"/>
    <w:rPr>
      <w:rFonts w:ascii="Times New Roman" w:eastAsia="Times New Roman" w:hAnsi="Times New Roman" w:cs="Times New Roman"/>
      <w:b/>
      <w:bCs/>
      <w:szCs w:val="26"/>
    </w:rPr>
  </w:style>
  <w:style w:type="character" w:styleId="Siln">
    <w:name w:val="Strong"/>
    <w:qFormat/>
    <w:rsid w:val="002D1D00"/>
    <w:rPr>
      <w:b/>
      <w:bCs/>
    </w:rPr>
  </w:style>
  <w:style w:type="character" w:customStyle="1" w:styleId="Nadpis3Char">
    <w:name w:val="Nadpis 3 Char"/>
    <w:basedOn w:val="Standardnpsmoodstavce"/>
    <w:link w:val="Nadpis3"/>
    <w:uiPriority w:val="9"/>
    <w:qFormat/>
    <w:rsid w:val="00D80CD8"/>
    <w:rPr>
      <w:rFonts w:asciiTheme="majorHAnsi" w:eastAsiaTheme="majorEastAsia" w:hAnsiTheme="majorHAnsi" w:cstheme="majorBidi"/>
      <w:b/>
      <w:bCs/>
      <w:color w:val="4F81BD" w:themeColor="accent1"/>
      <w:sz w:val="24"/>
      <w:szCs w:val="24"/>
      <w:lang w:eastAsia="cs-CZ"/>
    </w:rPr>
  </w:style>
  <w:style w:type="character" w:customStyle="1" w:styleId="ZhlavChar">
    <w:name w:val="Záhlaví Char"/>
    <w:basedOn w:val="Standardnpsmoodstavce"/>
    <w:link w:val="Zhlav"/>
    <w:qFormat/>
    <w:rsid w:val="00BF77C5"/>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BF77C5"/>
    <w:rPr>
      <w:rFonts w:ascii="Times New Roman" w:eastAsia="Times New Roman" w:hAnsi="Times New Roman" w:cs="Times New Roman"/>
      <w:sz w:val="24"/>
      <w:szCs w:val="24"/>
      <w:lang w:eastAsia="cs-CZ"/>
    </w:rPr>
  </w:style>
  <w:style w:type="character" w:customStyle="1" w:styleId="TextpoznpodarouChar">
    <w:name w:val="Text pozn. pod čarou Char"/>
    <w:aliases w:val="5_G Char,nota Char,pie Char,independiente Char,Letrero Char,margen Char,fn Char,Footnote Text Char Char Char Char1,FA Fu Char,FA Fußnotentext Char,Footnote reference Char,FA Fuﬂnotentext Char,ﬂnotentext Char,f Char,FA Char"/>
    <w:basedOn w:val="Standardnpsmoodstavce"/>
    <w:link w:val="Textpoznpodarou"/>
    <w:uiPriority w:val="99"/>
    <w:qFormat/>
    <w:rsid w:val="00B92B57"/>
    <w:rPr>
      <w:rFonts w:ascii="Times New Roman" w:eastAsia="Times New Roman" w:hAnsi="Times New Roman" w:cs="Times New Roman"/>
      <w:sz w:val="20"/>
      <w:szCs w:val="20"/>
      <w:lang w:eastAsia="cs-CZ"/>
    </w:rPr>
  </w:style>
  <w:style w:type="character" w:styleId="Znakapoznpodarou">
    <w:name w:val="footnote reference"/>
    <w:aliases w:val="4_G,Footnote,Footnotes refss,Footnote Ref,16 Point,Superscript 6 Point,ftref,Ref,de nota al pie,referencia nota al pie,BVI fnr,Footnote text,Superscript 10 Point,Footnote Reference Superscript,Ref1,de nota al pie1,Ref2"/>
    <w:basedOn w:val="Standardnpsmoodstavce"/>
    <w:uiPriority w:val="99"/>
    <w:unhideWhenUsed/>
    <w:qFormat/>
    <w:rsid w:val="00B92B57"/>
    <w:rPr>
      <w:vertAlign w:val="superscript"/>
    </w:rPr>
  </w:style>
  <w:style w:type="character" w:styleId="Zstupntext">
    <w:name w:val="Placeholder Text"/>
    <w:basedOn w:val="Standardnpsmoodstavce"/>
    <w:uiPriority w:val="99"/>
    <w:semiHidden/>
    <w:qFormat/>
    <w:rsid w:val="00CD0087"/>
    <w:rPr>
      <w:color w:val="808080"/>
    </w:rPr>
  </w:style>
  <w:style w:type="character" w:customStyle="1" w:styleId="Nadpis1Char">
    <w:name w:val="Nadpis 1 Char"/>
    <w:basedOn w:val="Standardnpsmoodstavce"/>
    <w:link w:val="Nadpis1"/>
    <w:uiPriority w:val="9"/>
    <w:qFormat/>
    <w:rsid w:val="00034BFC"/>
    <w:rPr>
      <w:rFonts w:asciiTheme="majorHAnsi" w:eastAsiaTheme="majorEastAsia" w:hAnsiTheme="majorHAnsi" w:cstheme="majorBidi"/>
      <w:b/>
      <w:bCs/>
      <w:color w:val="365F91" w:themeColor="accent1" w:themeShade="BF"/>
      <w:sz w:val="28"/>
      <w:szCs w:val="28"/>
      <w:lang w:eastAsia="cs-CZ"/>
    </w:rPr>
  </w:style>
  <w:style w:type="character" w:customStyle="1" w:styleId="ListLabel1">
    <w:name w:val="ListLabel 1"/>
    <w:qFormat/>
    <w:rsid w:val="00C44A56"/>
    <w:rPr>
      <w:rFonts w:cs="Arial"/>
      <w:b/>
      <w:color w:val="00000A"/>
      <w:sz w:val="22"/>
    </w:rPr>
  </w:style>
  <w:style w:type="character" w:customStyle="1" w:styleId="ListLabel2">
    <w:name w:val="ListLabel 2"/>
    <w:qFormat/>
    <w:rsid w:val="00C44A56"/>
    <w:rPr>
      <w:rFonts w:ascii="Arial" w:hAnsi="Arial"/>
      <w:b/>
      <w:i w:val="0"/>
      <w:color w:val="00000A"/>
      <w:sz w:val="22"/>
    </w:rPr>
  </w:style>
  <w:style w:type="character" w:customStyle="1" w:styleId="ListLabel3">
    <w:name w:val="ListLabel 3"/>
    <w:qFormat/>
    <w:rsid w:val="00C44A56"/>
    <w:rPr>
      <w:rFonts w:ascii="Arial" w:hAnsi="Arial"/>
      <w:b/>
      <w:sz w:val="22"/>
    </w:rPr>
  </w:style>
  <w:style w:type="character" w:customStyle="1" w:styleId="ListLabel4">
    <w:name w:val="ListLabel 4"/>
    <w:qFormat/>
    <w:rsid w:val="00C44A56"/>
    <w:rPr>
      <w:rFonts w:ascii="Arial" w:eastAsia="Times New Roman" w:hAnsi="Arial" w:cs="Arial"/>
      <w:sz w:val="20"/>
    </w:rPr>
  </w:style>
  <w:style w:type="character" w:customStyle="1" w:styleId="ListLabel5">
    <w:name w:val="ListLabel 5"/>
    <w:qFormat/>
    <w:rsid w:val="00C44A56"/>
    <w:rPr>
      <w:rFonts w:cs="Courier New"/>
    </w:rPr>
  </w:style>
  <w:style w:type="character" w:customStyle="1" w:styleId="ListLabel6">
    <w:name w:val="ListLabel 6"/>
    <w:qFormat/>
    <w:rsid w:val="00C44A56"/>
    <w:rPr>
      <w:rFonts w:ascii="Arial" w:hAnsi="Arial"/>
      <w:b/>
      <w:sz w:val="18"/>
      <w:szCs w:val="22"/>
    </w:rPr>
  </w:style>
  <w:style w:type="character" w:customStyle="1" w:styleId="ListLabel7">
    <w:name w:val="ListLabel 7"/>
    <w:qFormat/>
    <w:rsid w:val="00C44A56"/>
    <w:rPr>
      <w:rFonts w:ascii="Arial" w:hAnsi="Arial"/>
      <w:b/>
      <w:i w:val="0"/>
      <w:color w:val="000000"/>
      <w:sz w:val="22"/>
    </w:rPr>
  </w:style>
  <w:style w:type="character" w:customStyle="1" w:styleId="ListLabel8">
    <w:name w:val="ListLabel 8"/>
    <w:qFormat/>
    <w:rsid w:val="00C44A56"/>
    <w:rPr>
      <w:rFonts w:cs="Arial"/>
    </w:rPr>
  </w:style>
  <w:style w:type="character" w:customStyle="1" w:styleId="ListLabel9">
    <w:name w:val="ListLabel 9"/>
    <w:qFormat/>
    <w:rsid w:val="00C44A56"/>
    <w:rPr>
      <w:rFonts w:ascii="Arial" w:hAnsi="Arial" w:cs="Arial"/>
      <w:b/>
      <w:sz w:val="22"/>
    </w:rPr>
  </w:style>
  <w:style w:type="character" w:customStyle="1" w:styleId="ListLabel10">
    <w:name w:val="ListLabel 10"/>
    <w:qFormat/>
    <w:rsid w:val="00C44A56"/>
    <w:rPr>
      <w:rFonts w:cs="Arial"/>
    </w:rPr>
  </w:style>
  <w:style w:type="character" w:customStyle="1" w:styleId="ListLabel11">
    <w:name w:val="ListLabel 11"/>
    <w:qFormat/>
    <w:rsid w:val="00C44A56"/>
    <w:rPr>
      <w:b w:val="0"/>
    </w:rPr>
  </w:style>
  <w:style w:type="character" w:customStyle="1" w:styleId="Ukotvenpoznmkypodarou">
    <w:name w:val="Ukotvení poznámky pod čarou"/>
    <w:rsid w:val="00C44A56"/>
    <w:rPr>
      <w:vertAlign w:val="superscript"/>
    </w:rPr>
  </w:style>
  <w:style w:type="character" w:customStyle="1" w:styleId="Znakypropoznmkupodarou">
    <w:name w:val="Znaky pro poznámku pod čarou"/>
    <w:qFormat/>
    <w:rsid w:val="00C44A56"/>
  </w:style>
  <w:style w:type="character" w:customStyle="1" w:styleId="Ukotvenvysvtlivky">
    <w:name w:val="Ukotvení vysvětlivky"/>
    <w:rsid w:val="00C44A56"/>
    <w:rPr>
      <w:vertAlign w:val="superscript"/>
    </w:rPr>
  </w:style>
  <w:style w:type="character" w:customStyle="1" w:styleId="Znakyprovysvtlivky">
    <w:name w:val="Znaky pro vysvětlivky"/>
    <w:qFormat/>
    <w:rsid w:val="00C44A56"/>
  </w:style>
  <w:style w:type="paragraph" w:customStyle="1" w:styleId="Nadpis">
    <w:name w:val="Nadpis"/>
    <w:basedOn w:val="Normln"/>
    <w:next w:val="Tlotextu"/>
    <w:qFormat/>
    <w:rsid w:val="00C44A56"/>
    <w:pPr>
      <w:keepNext/>
      <w:spacing w:before="240" w:after="120"/>
    </w:pPr>
    <w:rPr>
      <w:rFonts w:ascii="Liberation Sans" w:eastAsia="Lucida Sans Unicode" w:hAnsi="Liberation Sans" w:cs="Mangal"/>
      <w:sz w:val="28"/>
      <w:szCs w:val="28"/>
    </w:rPr>
  </w:style>
  <w:style w:type="paragraph" w:customStyle="1" w:styleId="Tlotextu">
    <w:name w:val="Tělo textu"/>
    <w:basedOn w:val="Normln"/>
    <w:rsid w:val="00C44A56"/>
    <w:pPr>
      <w:spacing w:after="140" w:line="288" w:lineRule="auto"/>
    </w:pPr>
  </w:style>
  <w:style w:type="paragraph" w:styleId="Seznam">
    <w:name w:val="List"/>
    <w:basedOn w:val="Tlotextu"/>
    <w:rsid w:val="00C44A56"/>
    <w:rPr>
      <w:rFonts w:cs="Mangal"/>
    </w:rPr>
  </w:style>
  <w:style w:type="paragraph" w:customStyle="1" w:styleId="Popisek">
    <w:name w:val="Popisek"/>
    <w:basedOn w:val="Normln"/>
    <w:rsid w:val="00C44A56"/>
    <w:pPr>
      <w:suppressLineNumbers/>
      <w:spacing w:before="120" w:after="120"/>
    </w:pPr>
    <w:rPr>
      <w:rFonts w:cs="Mangal"/>
      <w:i/>
      <w:iCs/>
    </w:rPr>
  </w:style>
  <w:style w:type="paragraph" w:customStyle="1" w:styleId="Rejstk">
    <w:name w:val="Rejstřík"/>
    <w:basedOn w:val="Normln"/>
    <w:qFormat/>
    <w:rsid w:val="00C44A56"/>
    <w:pPr>
      <w:suppressLineNumbers/>
    </w:pPr>
    <w:rPr>
      <w:rFonts w:cs="Mangal"/>
    </w:rPr>
  </w:style>
  <w:style w:type="paragraph" w:customStyle="1" w:styleId="CharCharChar">
    <w:name w:val="Char Char Char"/>
    <w:basedOn w:val="Normln"/>
    <w:qFormat/>
    <w:rsid w:val="00D80CD8"/>
    <w:pPr>
      <w:spacing w:after="160" w:line="240" w:lineRule="exact"/>
    </w:pPr>
    <w:rPr>
      <w:rFonts w:ascii="Times New Roman Bold" w:hAnsi="Times New Roman Bold"/>
      <w:sz w:val="22"/>
      <w:szCs w:val="26"/>
      <w:lang w:val="sk-SK" w:eastAsia="en-US"/>
    </w:rPr>
  </w:style>
  <w:style w:type="paragraph" w:styleId="Odstavecseseznamem">
    <w:name w:val="List Paragraph"/>
    <w:aliases w:val="Dot pt,F5 List Paragraph,List Paragraph1,No Spacing1,List Paragraph Char Char Char,Indicator Text,Numbered Para 1,Colorful List - Accent 11,Bullet 1,Bullet Points,Párrafo de lista,MAIN CONTENT,Recommendation,List Paragraph2"/>
    <w:basedOn w:val="Normln"/>
    <w:link w:val="OdstavecseseznamemChar"/>
    <w:uiPriority w:val="34"/>
    <w:qFormat/>
    <w:rsid w:val="00184EEE"/>
    <w:pPr>
      <w:ind w:left="720"/>
      <w:contextualSpacing/>
    </w:pPr>
  </w:style>
  <w:style w:type="paragraph" w:styleId="Textbubliny">
    <w:name w:val="Balloon Text"/>
    <w:basedOn w:val="Normln"/>
    <w:link w:val="TextbublinyChar"/>
    <w:uiPriority w:val="99"/>
    <w:semiHidden/>
    <w:unhideWhenUsed/>
    <w:qFormat/>
    <w:rsid w:val="00236156"/>
    <w:rPr>
      <w:rFonts w:ascii="Tahoma" w:hAnsi="Tahoma" w:cs="Tahoma"/>
      <w:sz w:val="16"/>
      <w:szCs w:val="16"/>
    </w:rPr>
  </w:style>
  <w:style w:type="paragraph" w:customStyle="1" w:styleId="Nadpis20">
    <w:name w:val="Nadpis2"/>
    <w:basedOn w:val="Odstavecseseznamem"/>
    <w:qFormat/>
    <w:rsid w:val="00236156"/>
    <w:pPr>
      <w:spacing w:before="200" w:after="120"/>
      <w:jc w:val="both"/>
    </w:pPr>
    <w:rPr>
      <w:b/>
      <w:sz w:val="23"/>
      <w:szCs w:val="23"/>
      <w:lang w:eastAsia="en-US"/>
    </w:rPr>
  </w:style>
  <w:style w:type="paragraph" w:customStyle="1" w:styleId="Nadpis30">
    <w:name w:val="Nadpis3"/>
    <w:basedOn w:val="Odstavecseseznamem"/>
    <w:qFormat/>
    <w:rsid w:val="00236156"/>
    <w:pPr>
      <w:spacing w:before="200" w:after="120"/>
      <w:jc w:val="both"/>
    </w:pPr>
    <w:rPr>
      <w:rFonts w:eastAsia="Calibri"/>
      <w:b/>
      <w:sz w:val="23"/>
      <w:szCs w:val="23"/>
      <w:lang w:eastAsia="en-US"/>
    </w:rPr>
  </w:style>
  <w:style w:type="paragraph" w:customStyle="1" w:styleId="CharChar">
    <w:name w:val="Char Char"/>
    <w:basedOn w:val="Normln"/>
    <w:qFormat/>
    <w:rsid w:val="00997952"/>
    <w:pPr>
      <w:widowControl w:val="0"/>
      <w:suppressAutoHyphens/>
      <w:spacing w:after="160" w:line="240" w:lineRule="exact"/>
      <w:jc w:val="both"/>
    </w:pPr>
    <w:rPr>
      <w:rFonts w:ascii="Tahoma" w:hAnsi="Tahoma" w:cs="Tahoma"/>
      <w:sz w:val="20"/>
      <w:szCs w:val="20"/>
      <w:lang w:val="en-US" w:eastAsia="en-US"/>
    </w:rPr>
  </w:style>
  <w:style w:type="paragraph" w:styleId="Zhlav">
    <w:name w:val="header"/>
    <w:basedOn w:val="Normln"/>
    <w:link w:val="ZhlavChar"/>
    <w:unhideWhenUsed/>
    <w:rsid w:val="00BF77C5"/>
    <w:pPr>
      <w:tabs>
        <w:tab w:val="center" w:pos="4536"/>
        <w:tab w:val="right" w:pos="9072"/>
      </w:tabs>
    </w:pPr>
  </w:style>
  <w:style w:type="paragraph" w:styleId="Zpat">
    <w:name w:val="footer"/>
    <w:basedOn w:val="Normln"/>
    <w:link w:val="ZpatChar"/>
    <w:uiPriority w:val="99"/>
    <w:unhideWhenUsed/>
    <w:rsid w:val="00BF77C5"/>
    <w:pPr>
      <w:tabs>
        <w:tab w:val="center" w:pos="4536"/>
        <w:tab w:val="right" w:pos="9072"/>
      </w:tabs>
    </w:pPr>
  </w:style>
  <w:style w:type="paragraph" w:customStyle="1" w:styleId="Default">
    <w:name w:val="Default"/>
    <w:uiPriority w:val="99"/>
    <w:qFormat/>
    <w:rsid w:val="00F110AD"/>
    <w:pPr>
      <w:spacing w:line="240" w:lineRule="auto"/>
    </w:pPr>
    <w:rPr>
      <w:rFonts w:ascii="Arial" w:eastAsia="Calibri" w:hAnsi="Arial" w:cs="Arial"/>
      <w:color w:val="000000"/>
      <w:sz w:val="24"/>
      <w:szCs w:val="24"/>
    </w:rPr>
  </w:style>
  <w:style w:type="paragraph" w:styleId="Textpoznpodarou">
    <w:name w:val="footnote text"/>
    <w:aliases w:val="5_G,nota,pie,independiente,Letrero,margen,fn,Footnote Text Char Char Char,FA Fu,FA Fußnotentext,Footnote reference,FA Fuﬂnotentext,ﬂnotentext,Footnote Text Char Char Char Char,Footnote Text Char1,Footnote Text Char Char,f,FA"/>
    <w:basedOn w:val="Normln"/>
    <w:link w:val="TextpoznpodarouChar"/>
    <w:uiPriority w:val="99"/>
    <w:unhideWhenUsed/>
    <w:qFormat/>
    <w:rsid w:val="00B92B57"/>
    <w:rPr>
      <w:sz w:val="20"/>
      <w:szCs w:val="20"/>
    </w:rPr>
  </w:style>
  <w:style w:type="paragraph" w:customStyle="1" w:styleId="Poznmkapodarou">
    <w:name w:val="Poznámka pod čarou"/>
    <w:basedOn w:val="Normln"/>
    <w:rsid w:val="00C44A56"/>
  </w:style>
  <w:style w:type="character" w:styleId="Hypertextovodkaz">
    <w:name w:val="Hyperlink"/>
    <w:uiPriority w:val="99"/>
    <w:rsid w:val="004E2E3D"/>
    <w:rPr>
      <w:color w:val="0000FF"/>
      <w:u w:val="single"/>
    </w:rPr>
  </w:style>
  <w:style w:type="paragraph" w:customStyle="1" w:styleId="Standard">
    <w:name w:val="Standard"/>
    <w:rsid w:val="007E2F39"/>
    <w:pPr>
      <w:suppressAutoHyphens/>
      <w:autoSpaceDN w:val="0"/>
      <w:spacing w:line="240" w:lineRule="auto"/>
      <w:textAlignment w:val="baseline"/>
    </w:pPr>
    <w:rPr>
      <w:rFonts w:ascii="Times New Roman" w:eastAsia="Times New Roman" w:hAnsi="Times New Roman" w:cs="Times New Roman"/>
      <w:kern w:val="3"/>
      <w:sz w:val="24"/>
      <w:szCs w:val="24"/>
      <w:lang w:eastAsia="zh-CN"/>
    </w:rPr>
  </w:style>
  <w:style w:type="paragraph" w:styleId="Zkladntextodsazen2">
    <w:name w:val="Body Text Indent 2"/>
    <w:basedOn w:val="Normln"/>
    <w:link w:val="Zkladntextodsazen2Char"/>
    <w:unhideWhenUsed/>
    <w:rsid w:val="00707E28"/>
    <w:pPr>
      <w:spacing w:after="120" w:line="480" w:lineRule="auto"/>
      <w:ind w:left="283"/>
    </w:pPr>
  </w:style>
  <w:style w:type="character" w:customStyle="1" w:styleId="Zkladntextodsazen2Char">
    <w:name w:val="Základní text odsazený 2 Char"/>
    <w:basedOn w:val="Standardnpsmoodstavce"/>
    <w:link w:val="Zkladntextodsazen2"/>
    <w:rsid w:val="00707E28"/>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CD24CD"/>
    <w:pPr>
      <w:spacing w:after="120"/>
      <w:ind w:left="283"/>
    </w:pPr>
  </w:style>
  <w:style w:type="character" w:customStyle="1" w:styleId="ZkladntextodsazenChar">
    <w:name w:val="Základní text odsazený Char"/>
    <w:basedOn w:val="Standardnpsmoodstavce"/>
    <w:link w:val="Zkladntextodsazen"/>
    <w:rsid w:val="00CD24CD"/>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unhideWhenUsed/>
    <w:rsid w:val="00C82258"/>
    <w:pPr>
      <w:spacing w:after="120"/>
    </w:pPr>
  </w:style>
  <w:style w:type="character" w:customStyle="1" w:styleId="ZkladntextChar">
    <w:name w:val="Základní text Char"/>
    <w:basedOn w:val="Standardnpsmoodstavce"/>
    <w:link w:val="Zkladntext"/>
    <w:uiPriority w:val="99"/>
    <w:rsid w:val="00C82258"/>
    <w:rPr>
      <w:rFonts w:ascii="Times New Roman" w:eastAsia="Times New Roman" w:hAnsi="Times New Roman" w:cs="Times New Roman"/>
      <w:sz w:val="24"/>
      <w:szCs w:val="24"/>
      <w:lang w:eastAsia="cs-CZ"/>
    </w:rPr>
  </w:style>
  <w:style w:type="paragraph" w:customStyle="1" w:styleId="Textodstavce">
    <w:name w:val="Text odstavce"/>
    <w:basedOn w:val="Normln"/>
    <w:rsid w:val="00C82258"/>
    <w:pPr>
      <w:tabs>
        <w:tab w:val="left" w:pos="360"/>
        <w:tab w:val="left" w:pos="851"/>
      </w:tabs>
      <w:overflowPunct w:val="0"/>
      <w:autoSpaceDE w:val="0"/>
      <w:autoSpaceDN w:val="0"/>
      <w:adjustRightInd w:val="0"/>
      <w:spacing w:before="120" w:after="120"/>
      <w:jc w:val="both"/>
      <w:textAlignment w:val="baseline"/>
    </w:pPr>
    <w:rPr>
      <w:szCs w:val="20"/>
    </w:rPr>
  </w:style>
  <w:style w:type="paragraph" w:styleId="Zkladntext3">
    <w:name w:val="Body Text 3"/>
    <w:basedOn w:val="Normln"/>
    <w:link w:val="Zkladntext3Char"/>
    <w:uiPriority w:val="99"/>
    <w:unhideWhenUsed/>
    <w:rsid w:val="0072169B"/>
    <w:pPr>
      <w:spacing w:after="120"/>
    </w:pPr>
    <w:rPr>
      <w:sz w:val="16"/>
      <w:szCs w:val="16"/>
    </w:rPr>
  </w:style>
  <w:style w:type="character" w:customStyle="1" w:styleId="Zkladntext3Char">
    <w:name w:val="Základní text 3 Char"/>
    <w:basedOn w:val="Standardnpsmoodstavce"/>
    <w:link w:val="Zkladntext3"/>
    <w:uiPriority w:val="99"/>
    <w:rsid w:val="0072169B"/>
    <w:rPr>
      <w:rFonts w:ascii="Times New Roman" w:eastAsia="Times New Roman" w:hAnsi="Times New Roman" w:cs="Times New Roman"/>
      <w:sz w:val="16"/>
      <w:szCs w:val="16"/>
      <w:lang w:eastAsia="cs-CZ"/>
    </w:rPr>
  </w:style>
  <w:style w:type="character" w:customStyle="1" w:styleId="st1">
    <w:name w:val="st1"/>
    <w:rsid w:val="0041554F"/>
    <w:rPr>
      <w:rFonts w:cs="Times New Roman"/>
    </w:rPr>
  </w:style>
  <w:style w:type="paragraph" w:styleId="Bezmezer">
    <w:name w:val="No Spacing"/>
    <w:uiPriority w:val="1"/>
    <w:qFormat/>
    <w:rsid w:val="00D13A8B"/>
    <w:pPr>
      <w:spacing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rsid w:val="009C5619"/>
    <w:rPr>
      <w:rFonts w:asciiTheme="majorHAnsi" w:eastAsiaTheme="majorEastAsia" w:hAnsiTheme="majorHAnsi" w:cstheme="majorBidi"/>
      <w:b/>
      <w:bCs/>
      <w:i/>
      <w:iCs/>
      <w:color w:val="4F81BD" w:themeColor="accent1"/>
      <w:sz w:val="24"/>
      <w:szCs w:val="24"/>
      <w:lang w:eastAsia="cs-CZ"/>
    </w:rPr>
  </w:style>
  <w:style w:type="table" w:styleId="Mkatabulky">
    <w:name w:val="Table Grid"/>
    <w:basedOn w:val="Normlntabulka"/>
    <w:uiPriority w:val="59"/>
    <w:rsid w:val="001C45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2">
    <w:name w:val="Character Style 2"/>
    <w:basedOn w:val="Standardnpsmoodstavce"/>
    <w:uiPriority w:val="99"/>
    <w:rsid w:val="003A15DB"/>
  </w:style>
  <w:style w:type="paragraph" w:styleId="Textkomente">
    <w:name w:val="annotation text"/>
    <w:basedOn w:val="Normln"/>
    <w:link w:val="TextkomenteChar"/>
    <w:uiPriority w:val="99"/>
    <w:unhideWhenUsed/>
    <w:rsid w:val="001C0F72"/>
    <w:pPr>
      <w:suppressAutoHyphens/>
      <w:spacing w:after="200" w:line="276" w:lineRule="auto"/>
    </w:pPr>
    <w:rPr>
      <w:rFonts w:ascii="Calibri" w:eastAsia="SimSun" w:hAnsi="Calibri" w:cs="Calibri"/>
      <w:sz w:val="20"/>
      <w:szCs w:val="20"/>
      <w:lang w:eastAsia="zh-CN"/>
    </w:rPr>
  </w:style>
  <w:style w:type="character" w:customStyle="1" w:styleId="TextkomenteChar">
    <w:name w:val="Text komentáře Char"/>
    <w:basedOn w:val="Standardnpsmoodstavce"/>
    <w:link w:val="Textkomente"/>
    <w:uiPriority w:val="99"/>
    <w:rsid w:val="001C0F72"/>
    <w:rPr>
      <w:rFonts w:ascii="Calibri" w:eastAsia="SimSun" w:hAnsi="Calibri" w:cs="Calibri"/>
      <w:szCs w:val="20"/>
      <w:lang w:eastAsia="zh-CN"/>
    </w:rPr>
  </w:style>
  <w:style w:type="character" w:styleId="Sledovanodkaz">
    <w:name w:val="FollowedHyperlink"/>
    <w:basedOn w:val="Standardnpsmoodstavce"/>
    <w:uiPriority w:val="99"/>
    <w:semiHidden/>
    <w:unhideWhenUsed/>
    <w:rsid w:val="00C83C71"/>
    <w:rPr>
      <w:color w:val="800080" w:themeColor="followedHyperlink"/>
      <w:u w:val="single"/>
    </w:rPr>
  </w:style>
  <w:style w:type="character" w:customStyle="1" w:styleId="OdstavecseseznamemChar">
    <w:name w:val="Odstavec se seznamem Char"/>
    <w:aliases w:val="Dot pt Char,F5 List Paragraph Char,List Paragraph1 Char,No Spacing1 Char,List Paragraph Char Char Char Char,Indicator Text Char,Numbered Para 1 Char,Colorful List - Accent 11 Char,Bullet 1 Char,Bullet Points Char"/>
    <w:link w:val="Odstavecseseznamem"/>
    <w:uiPriority w:val="34"/>
    <w:qFormat/>
    <w:locked/>
    <w:rsid w:val="004E38FC"/>
    <w:rPr>
      <w:rFonts w:ascii="Times New Roman" w:eastAsia="Times New Roman" w:hAnsi="Times New Roman" w:cs="Times New Roman"/>
      <w:sz w:val="24"/>
      <w:szCs w:val="24"/>
      <w:lang w:eastAsia="cs-CZ"/>
    </w:rPr>
  </w:style>
  <w:style w:type="character" w:customStyle="1" w:styleId="apple-converted-space">
    <w:name w:val="apple-converted-space"/>
    <w:rsid w:val="004E38FC"/>
    <w:rPr>
      <w:rFonts w:ascii="Times New Roman" w:hAnsi="Times New Roman" w:cs="Times New Roman" w:hint="default"/>
    </w:rPr>
  </w:style>
  <w:style w:type="paragraph" w:styleId="Obsah3">
    <w:name w:val="toc 3"/>
    <w:basedOn w:val="Normln"/>
    <w:next w:val="Normln"/>
    <w:autoRedefine/>
    <w:uiPriority w:val="39"/>
    <w:unhideWhenUsed/>
    <w:rsid w:val="008B0926"/>
    <w:pPr>
      <w:spacing w:after="200" w:line="276" w:lineRule="auto"/>
      <w:ind w:left="440"/>
    </w:pPr>
    <w:rPr>
      <w:rFonts w:ascii="Calibri" w:eastAsia="SimSun" w:hAnsi="Calibri"/>
      <w:sz w:val="22"/>
      <w:szCs w:val="22"/>
      <w:lang w:eastAsia="zh-CN"/>
    </w:rPr>
  </w:style>
  <w:style w:type="paragraph" w:styleId="Nzev">
    <w:name w:val="Title"/>
    <w:basedOn w:val="Normln"/>
    <w:next w:val="Normln"/>
    <w:link w:val="NzevChar"/>
    <w:uiPriority w:val="10"/>
    <w:qFormat/>
    <w:rsid w:val="00FC54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C5493"/>
    <w:rPr>
      <w:rFonts w:asciiTheme="majorHAnsi" w:eastAsiaTheme="majorEastAsia" w:hAnsiTheme="majorHAnsi" w:cstheme="majorBidi"/>
      <w:color w:val="17365D" w:themeColor="text2" w:themeShade="BF"/>
      <w:spacing w:val="5"/>
      <w:kern w:val="28"/>
      <w:sz w:val="52"/>
      <w:szCs w:val="52"/>
      <w:lang w:eastAsia="cs-CZ"/>
    </w:rPr>
  </w:style>
  <w:style w:type="character" w:styleId="Nzevknihy">
    <w:name w:val="Book Title"/>
    <w:basedOn w:val="Standardnpsmoodstavce"/>
    <w:uiPriority w:val="33"/>
    <w:qFormat/>
    <w:rsid w:val="00FC5493"/>
    <w:rPr>
      <w:b/>
      <w:bCs/>
      <w:smallCaps/>
      <w:spacing w:val="5"/>
    </w:rPr>
  </w:style>
  <w:style w:type="paragraph" w:styleId="Citt">
    <w:name w:val="Quote"/>
    <w:basedOn w:val="Normln"/>
    <w:next w:val="Normln"/>
    <w:link w:val="CittChar"/>
    <w:uiPriority w:val="29"/>
    <w:qFormat/>
    <w:rsid w:val="00DD1B79"/>
    <w:rPr>
      <w:i/>
      <w:iCs/>
      <w:color w:val="000000" w:themeColor="text1"/>
    </w:rPr>
  </w:style>
  <w:style w:type="character" w:customStyle="1" w:styleId="CittChar">
    <w:name w:val="Citát Char"/>
    <w:basedOn w:val="Standardnpsmoodstavce"/>
    <w:link w:val="Citt"/>
    <w:uiPriority w:val="29"/>
    <w:rsid w:val="00DD1B79"/>
    <w:rPr>
      <w:rFonts w:ascii="Times New Roman" w:eastAsia="Times New Roman" w:hAnsi="Times New Roman" w:cs="Times New Roman"/>
      <w:i/>
      <w:iCs/>
      <w:color w:val="000000" w:themeColor="text1"/>
      <w:sz w:val="24"/>
      <w:szCs w:val="24"/>
      <w:lang w:eastAsia="cs-CZ"/>
    </w:rPr>
  </w:style>
  <w:style w:type="paragraph" w:styleId="Nadpisobsahu">
    <w:name w:val="TOC Heading"/>
    <w:basedOn w:val="Nadpis1"/>
    <w:next w:val="Normln"/>
    <w:uiPriority w:val="39"/>
    <w:semiHidden/>
    <w:unhideWhenUsed/>
    <w:qFormat/>
    <w:rsid w:val="00725D46"/>
    <w:pPr>
      <w:spacing w:line="276" w:lineRule="auto"/>
      <w:outlineLvl w:val="9"/>
    </w:pPr>
    <w:rPr>
      <w:lang w:eastAsia="en-US"/>
    </w:rPr>
  </w:style>
  <w:style w:type="paragraph" w:styleId="Obsah1">
    <w:name w:val="toc 1"/>
    <w:basedOn w:val="Normln"/>
    <w:next w:val="Normln"/>
    <w:autoRedefine/>
    <w:uiPriority w:val="39"/>
    <w:unhideWhenUsed/>
    <w:rsid w:val="00725D46"/>
    <w:pPr>
      <w:spacing w:after="100"/>
    </w:pPr>
  </w:style>
  <w:style w:type="paragraph" w:styleId="Obsah2">
    <w:name w:val="toc 2"/>
    <w:basedOn w:val="Normln"/>
    <w:next w:val="Normln"/>
    <w:autoRedefine/>
    <w:uiPriority w:val="39"/>
    <w:unhideWhenUsed/>
    <w:rsid w:val="00725D4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5053">
      <w:bodyDiv w:val="1"/>
      <w:marLeft w:val="0"/>
      <w:marRight w:val="0"/>
      <w:marTop w:val="0"/>
      <w:marBottom w:val="0"/>
      <w:divBdr>
        <w:top w:val="none" w:sz="0" w:space="0" w:color="auto"/>
        <w:left w:val="none" w:sz="0" w:space="0" w:color="auto"/>
        <w:bottom w:val="none" w:sz="0" w:space="0" w:color="auto"/>
        <w:right w:val="none" w:sz="0" w:space="0" w:color="auto"/>
      </w:divBdr>
    </w:div>
    <w:div w:id="111947279">
      <w:bodyDiv w:val="1"/>
      <w:marLeft w:val="0"/>
      <w:marRight w:val="0"/>
      <w:marTop w:val="0"/>
      <w:marBottom w:val="0"/>
      <w:divBdr>
        <w:top w:val="none" w:sz="0" w:space="0" w:color="auto"/>
        <w:left w:val="none" w:sz="0" w:space="0" w:color="auto"/>
        <w:bottom w:val="none" w:sz="0" w:space="0" w:color="auto"/>
        <w:right w:val="none" w:sz="0" w:space="0" w:color="auto"/>
      </w:divBdr>
      <w:divsChild>
        <w:div w:id="536046833">
          <w:marLeft w:val="0"/>
          <w:marRight w:val="0"/>
          <w:marTop w:val="0"/>
          <w:marBottom w:val="0"/>
          <w:divBdr>
            <w:top w:val="none" w:sz="0" w:space="0" w:color="auto"/>
            <w:left w:val="none" w:sz="0" w:space="0" w:color="auto"/>
            <w:bottom w:val="none" w:sz="0" w:space="0" w:color="auto"/>
            <w:right w:val="none" w:sz="0" w:space="0" w:color="auto"/>
          </w:divBdr>
          <w:divsChild>
            <w:div w:id="17211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29964">
      <w:bodyDiv w:val="1"/>
      <w:marLeft w:val="0"/>
      <w:marRight w:val="0"/>
      <w:marTop w:val="0"/>
      <w:marBottom w:val="0"/>
      <w:divBdr>
        <w:top w:val="none" w:sz="0" w:space="0" w:color="auto"/>
        <w:left w:val="none" w:sz="0" w:space="0" w:color="auto"/>
        <w:bottom w:val="none" w:sz="0" w:space="0" w:color="auto"/>
        <w:right w:val="none" w:sz="0" w:space="0" w:color="auto"/>
      </w:divBdr>
    </w:div>
    <w:div w:id="253630302">
      <w:bodyDiv w:val="1"/>
      <w:marLeft w:val="0"/>
      <w:marRight w:val="0"/>
      <w:marTop w:val="0"/>
      <w:marBottom w:val="0"/>
      <w:divBdr>
        <w:top w:val="none" w:sz="0" w:space="0" w:color="auto"/>
        <w:left w:val="none" w:sz="0" w:space="0" w:color="auto"/>
        <w:bottom w:val="none" w:sz="0" w:space="0" w:color="auto"/>
        <w:right w:val="none" w:sz="0" w:space="0" w:color="auto"/>
      </w:divBdr>
    </w:div>
    <w:div w:id="491337373">
      <w:bodyDiv w:val="1"/>
      <w:marLeft w:val="0"/>
      <w:marRight w:val="0"/>
      <w:marTop w:val="0"/>
      <w:marBottom w:val="0"/>
      <w:divBdr>
        <w:top w:val="none" w:sz="0" w:space="0" w:color="auto"/>
        <w:left w:val="none" w:sz="0" w:space="0" w:color="auto"/>
        <w:bottom w:val="none" w:sz="0" w:space="0" w:color="auto"/>
        <w:right w:val="none" w:sz="0" w:space="0" w:color="auto"/>
      </w:divBdr>
    </w:div>
    <w:div w:id="555703550">
      <w:bodyDiv w:val="1"/>
      <w:marLeft w:val="0"/>
      <w:marRight w:val="0"/>
      <w:marTop w:val="0"/>
      <w:marBottom w:val="0"/>
      <w:divBdr>
        <w:top w:val="none" w:sz="0" w:space="0" w:color="auto"/>
        <w:left w:val="none" w:sz="0" w:space="0" w:color="auto"/>
        <w:bottom w:val="none" w:sz="0" w:space="0" w:color="auto"/>
        <w:right w:val="none" w:sz="0" w:space="0" w:color="auto"/>
      </w:divBdr>
    </w:div>
    <w:div w:id="661155844">
      <w:bodyDiv w:val="1"/>
      <w:marLeft w:val="0"/>
      <w:marRight w:val="0"/>
      <w:marTop w:val="0"/>
      <w:marBottom w:val="0"/>
      <w:divBdr>
        <w:top w:val="none" w:sz="0" w:space="0" w:color="auto"/>
        <w:left w:val="none" w:sz="0" w:space="0" w:color="auto"/>
        <w:bottom w:val="none" w:sz="0" w:space="0" w:color="auto"/>
        <w:right w:val="none" w:sz="0" w:space="0" w:color="auto"/>
      </w:divBdr>
    </w:div>
    <w:div w:id="716124230">
      <w:bodyDiv w:val="1"/>
      <w:marLeft w:val="0"/>
      <w:marRight w:val="0"/>
      <w:marTop w:val="0"/>
      <w:marBottom w:val="0"/>
      <w:divBdr>
        <w:top w:val="none" w:sz="0" w:space="0" w:color="auto"/>
        <w:left w:val="none" w:sz="0" w:space="0" w:color="auto"/>
        <w:bottom w:val="none" w:sz="0" w:space="0" w:color="auto"/>
        <w:right w:val="none" w:sz="0" w:space="0" w:color="auto"/>
      </w:divBdr>
    </w:div>
    <w:div w:id="738478262">
      <w:bodyDiv w:val="1"/>
      <w:marLeft w:val="0"/>
      <w:marRight w:val="0"/>
      <w:marTop w:val="0"/>
      <w:marBottom w:val="0"/>
      <w:divBdr>
        <w:top w:val="none" w:sz="0" w:space="0" w:color="auto"/>
        <w:left w:val="none" w:sz="0" w:space="0" w:color="auto"/>
        <w:bottom w:val="none" w:sz="0" w:space="0" w:color="auto"/>
        <w:right w:val="none" w:sz="0" w:space="0" w:color="auto"/>
      </w:divBdr>
    </w:div>
    <w:div w:id="783229773">
      <w:bodyDiv w:val="1"/>
      <w:marLeft w:val="0"/>
      <w:marRight w:val="0"/>
      <w:marTop w:val="0"/>
      <w:marBottom w:val="0"/>
      <w:divBdr>
        <w:top w:val="none" w:sz="0" w:space="0" w:color="auto"/>
        <w:left w:val="none" w:sz="0" w:space="0" w:color="auto"/>
        <w:bottom w:val="none" w:sz="0" w:space="0" w:color="auto"/>
        <w:right w:val="none" w:sz="0" w:space="0" w:color="auto"/>
      </w:divBdr>
    </w:div>
    <w:div w:id="994456822">
      <w:bodyDiv w:val="1"/>
      <w:marLeft w:val="0"/>
      <w:marRight w:val="0"/>
      <w:marTop w:val="0"/>
      <w:marBottom w:val="0"/>
      <w:divBdr>
        <w:top w:val="none" w:sz="0" w:space="0" w:color="auto"/>
        <w:left w:val="none" w:sz="0" w:space="0" w:color="auto"/>
        <w:bottom w:val="none" w:sz="0" w:space="0" w:color="auto"/>
        <w:right w:val="none" w:sz="0" w:space="0" w:color="auto"/>
      </w:divBdr>
    </w:div>
    <w:div w:id="1050346366">
      <w:bodyDiv w:val="1"/>
      <w:marLeft w:val="0"/>
      <w:marRight w:val="0"/>
      <w:marTop w:val="0"/>
      <w:marBottom w:val="0"/>
      <w:divBdr>
        <w:top w:val="none" w:sz="0" w:space="0" w:color="auto"/>
        <w:left w:val="none" w:sz="0" w:space="0" w:color="auto"/>
        <w:bottom w:val="none" w:sz="0" w:space="0" w:color="auto"/>
        <w:right w:val="none" w:sz="0" w:space="0" w:color="auto"/>
      </w:divBdr>
    </w:div>
    <w:div w:id="1301688413">
      <w:bodyDiv w:val="1"/>
      <w:marLeft w:val="0"/>
      <w:marRight w:val="0"/>
      <w:marTop w:val="0"/>
      <w:marBottom w:val="0"/>
      <w:divBdr>
        <w:top w:val="none" w:sz="0" w:space="0" w:color="auto"/>
        <w:left w:val="none" w:sz="0" w:space="0" w:color="auto"/>
        <w:bottom w:val="none" w:sz="0" w:space="0" w:color="auto"/>
        <w:right w:val="none" w:sz="0" w:space="0" w:color="auto"/>
      </w:divBdr>
    </w:div>
    <w:div w:id="1391731839">
      <w:bodyDiv w:val="1"/>
      <w:marLeft w:val="0"/>
      <w:marRight w:val="0"/>
      <w:marTop w:val="0"/>
      <w:marBottom w:val="0"/>
      <w:divBdr>
        <w:top w:val="none" w:sz="0" w:space="0" w:color="auto"/>
        <w:left w:val="none" w:sz="0" w:space="0" w:color="auto"/>
        <w:bottom w:val="none" w:sz="0" w:space="0" w:color="auto"/>
        <w:right w:val="none" w:sz="0" w:space="0" w:color="auto"/>
      </w:divBdr>
    </w:div>
    <w:div w:id="1781485214">
      <w:bodyDiv w:val="1"/>
      <w:marLeft w:val="0"/>
      <w:marRight w:val="0"/>
      <w:marTop w:val="0"/>
      <w:marBottom w:val="0"/>
      <w:divBdr>
        <w:top w:val="none" w:sz="0" w:space="0" w:color="auto"/>
        <w:left w:val="none" w:sz="0" w:space="0" w:color="auto"/>
        <w:bottom w:val="none" w:sz="0" w:space="0" w:color="auto"/>
        <w:right w:val="none" w:sz="0" w:space="0" w:color="auto"/>
      </w:divBdr>
    </w:div>
    <w:div w:id="1997488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image" Target="media/image3.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www.mvcr.cz/clanek/cizinci-s-povolenym-pobytem.aspx?q=Y2hudW09Mg%3d%3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8.xml"/><Relationship Id="rId10" Type="http://schemas.openxmlformats.org/officeDocument/2006/relationships/image" Target="media/image2.jpeg"/><Relationship Id="rId19" Type="http://schemas.openxmlformats.org/officeDocument/2006/relationships/hyperlink" Target="http://www.army.cz/informacni-servis/povinne-informace/1-rovne-prilezitosti/rovne-prilezitosti-muzu-a-zen-5401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chart" Target="charts/chart7.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eacewomen.org/member-states"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vxxxxx1sisxx105.acr\dfs\Users\JonitovaB\dokumenty\Dokumenty\rovnost\Anal&#253;zy\2017\Zahrani&#269;n&#237;%20operace%20-%20graf.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vxxxxx1sisxx105.acr\dfs\Users\JonitovaB\dokumenty\Dokumenty\rovnost\Anal&#253;zy\2017\NATO%20a%20EU%20-%20graf%20srovn&#225;vac&#237;.xls"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vxxxxx1sisxx105.acr\dfs\Users\JonitovaB\dokumenty\Dokumenty\rovnost\Anal&#253;zy\2017\V&#253;voj%20po&#269;&#367;%20voj&#225;ky&#328;%20od%201999%20d&#225;le.xls"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file:///\\vxxxxx1sisxx105.acr\dfs\Users\JonitovaB\dokumenty\Dokumenty\rovnost\Anal&#253;zy\2017\Studuj&#237;c&#237;%20vojensk&#253;ch%20&#353;kol%20-%20v&#253;voj.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vxxxxx1sisxx105.acr\dfs\Users\JonitovaB\dokumenty\Dokumenty\rovnost\Anal&#253;zy\2017\delka%20sl.pom.,%20v&#283;k,%20dispozice%20201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vxxxxx1sisxx105.acr\dfs\Users\JonitovaB\dokumenty\Dokumenty\rovnost\Anal&#253;zy\2011\tabulka%20-%20platov&#253;%20rozd&#237;l%20-%20pro%20prezentaci.xls"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file:///\\vxxxxx1sisxx105.acr\dfs\Users\JonitovaB\dokumenty\Dokumenty\rovnost\Anal&#253;zy\2017\n&#225;bor%202017%20-%20grafy.xls" TargetMode="External"/><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oleObject" Target="file:///\\vxxxxx1sisxx105.acr\dfs\Users\JonitovaB\dokumenty\Dokumenty\rovnost\Anal&#253;zy\2017\V&#253;voj%20po&#269;t&#367;%20z&#225;jemc&#367;%20a%20uchaze&#269;&#367;%20o%20slu&#382;bu%20v%20A&#268;R%20-%20vybran&#233;%20roky.xls"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cs-CZ" sz="1100"/>
              <a:t>Zahraniční operace a pozorovatelské mise </a:t>
            </a:r>
          </a:p>
          <a:p>
            <a:pPr>
              <a:defRPr/>
            </a:pPr>
            <a:r>
              <a:rPr lang="cs-CZ" sz="1100"/>
              <a:t> podíl vojákyň</a:t>
            </a:r>
            <a:r>
              <a:rPr lang="cs-CZ" sz="1100" baseline="0"/>
              <a:t>  </a:t>
            </a:r>
            <a:r>
              <a:rPr lang="cs-CZ" sz="1100"/>
              <a:t>k 31. 12.  </a:t>
            </a:r>
            <a:endParaRPr lang="en-US" sz="1100"/>
          </a:p>
        </c:rich>
      </c:tx>
      <c:layout/>
      <c:overlay val="0"/>
    </c:title>
    <c:autoTitleDeleted val="0"/>
    <c:plotArea>
      <c:layout/>
      <c:barChart>
        <c:barDir val="col"/>
        <c:grouping val="clustered"/>
        <c:varyColors val="0"/>
        <c:ser>
          <c:idx val="0"/>
          <c:order val="0"/>
          <c:invertIfNegative val="0"/>
          <c:dLbls>
            <c:spPr>
              <a:noFill/>
              <a:ln>
                <a:noFill/>
              </a:ln>
              <a:effectLst/>
            </c:spPr>
            <c:txPr>
              <a:bodyPr/>
              <a:lstStyle/>
              <a:p>
                <a:pPr>
                  <a:defRPr b="1"/>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List1!$B$79:$B$86</c:f>
              <c:strCache>
                <c:ptCount val="8"/>
                <c:pt idx="0">
                  <c:v>rok 2005      </c:v>
                </c:pt>
                <c:pt idx="1">
                  <c:v>rok 2007</c:v>
                </c:pt>
                <c:pt idx="2">
                  <c:v>rok 2009</c:v>
                </c:pt>
                <c:pt idx="3">
                  <c:v>rok 2011</c:v>
                </c:pt>
                <c:pt idx="4">
                  <c:v>rok 2013</c:v>
                </c:pt>
                <c:pt idx="5">
                  <c:v>rok 2014</c:v>
                </c:pt>
                <c:pt idx="6">
                  <c:v>rok 2016</c:v>
                </c:pt>
                <c:pt idx="7">
                  <c:v>rok 2017</c:v>
                </c:pt>
              </c:strCache>
            </c:strRef>
          </c:cat>
          <c:val>
            <c:numRef>
              <c:f>List1!$C$79:$C$86</c:f>
              <c:numCache>
                <c:formatCode>0.0%</c:formatCode>
                <c:ptCount val="8"/>
                <c:pt idx="0" formatCode="0%">
                  <c:v>7.0000000000000034E-2</c:v>
                </c:pt>
                <c:pt idx="1">
                  <c:v>9.8000000000000309E-2</c:v>
                </c:pt>
                <c:pt idx="2">
                  <c:v>5.9000000000000143E-2</c:v>
                </c:pt>
                <c:pt idx="3" formatCode="0%">
                  <c:v>6.0000000000000116E-2</c:v>
                </c:pt>
                <c:pt idx="4">
                  <c:v>5.5000000000000084E-2</c:v>
                </c:pt>
                <c:pt idx="5">
                  <c:v>5.5000000000000084E-2</c:v>
                </c:pt>
                <c:pt idx="6" formatCode="0%">
                  <c:v>6.0000000000000116E-2</c:v>
                </c:pt>
                <c:pt idx="7">
                  <c:v>6.2000000000000138E-2</c:v>
                </c:pt>
              </c:numCache>
            </c:numRef>
          </c:val>
        </c:ser>
        <c:dLbls>
          <c:showLegendKey val="0"/>
          <c:showVal val="0"/>
          <c:showCatName val="0"/>
          <c:showSerName val="0"/>
          <c:showPercent val="0"/>
          <c:showBubbleSize val="0"/>
        </c:dLbls>
        <c:gapWidth val="150"/>
        <c:axId val="159654272"/>
        <c:axId val="159655808"/>
      </c:barChart>
      <c:catAx>
        <c:axId val="159654272"/>
        <c:scaling>
          <c:orientation val="minMax"/>
        </c:scaling>
        <c:delete val="0"/>
        <c:axPos val="b"/>
        <c:numFmt formatCode="General" sourceLinked="1"/>
        <c:majorTickMark val="out"/>
        <c:minorTickMark val="none"/>
        <c:tickLblPos val="nextTo"/>
        <c:crossAx val="159655808"/>
        <c:crosses val="autoZero"/>
        <c:auto val="1"/>
        <c:lblAlgn val="ctr"/>
        <c:lblOffset val="100"/>
        <c:noMultiLvlLbl val="0"/>
      </c:catAx>
      <c:valAx>
        <c:axId val="159655808"/>
        <c:scaling>
          <c:orientation val="minMax"/>
        </c:scaling>
        <c:delete val="1"/>
        <c:axPos val="l"/>
        <c:numFmt formatCode="0%" sourceLinked="1"/>
        <c:majorTickMark val="out"/>
        <c:minorTickMark val="none"/>
        <c:tickLblPos val="none"/>
        <c:crossAx val="159654272"/>
        <c:crosses val="autoZero"/>
        <c:crossBetween val="between"/>
      </c:valAx>
      <c:spPr>
        <a:solidFill>
          <a:schemeClr val="accent2">
            <a:lumMod val="20000"/>
            <a:lumOff val="80000"/>
          </a:schemeClr>
        </a:solidFill>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a:pPr>
            <a:r>
              <a:rPr lang="cs-CZ" sz="800" b="0"/>
              <a:t>Podíl žen a celkovém počtu osob na zahraničních pracovištích v podřízenosti NGŠ AČR   </a:t>
            </a:r>
          </a:p>
          <a:p>
            <a:pPr>
              <a:defRPr sz="800" b="0"/>
            </a:pPr>
            <a:r>
              <a:rPr lang="cs-CZ" sz="800" b="0"/>
              <a:t>( stav k 31.12.) </a:t>
            </a:r>
          </a:p>
        </c:rich>
      </c:tx>
      <c:layout/>
      <c:overlay val="0"/>
    </c:title>
    <c:autoTitleDeleted val="0"/>
    <c:plotArea>
      <c:layout/>
      <c:barChart>
        <c:barDir val="col"/>
        <c:grouping val="clustered"/>
        <c:varyColors val="0"/>
        <c:ser>
          <c:idx val="0"/>
          <c:order val="0"/>
          <c:spPr>
            <a:solidFill>
              <a:schemeClr val="accent3">
                <a:lumMod val="75000"/>
              </a:schemeClr>
            </a:solidFill>
          </c:spPr>
          <c:invertIfNegative val="0"/>
          <c:dLbls>
            <c:txPr>
              <a:bodyPr/>
              <a:lstStyle/>
              <a:p>
                <a:pPr>
                  <a:defRPr sz="900" b="0"/>
                </a:pPr>
                <a:endParaRPr lang="cs-CZ"/>
              </a:p>
            </c:txPr>
            <c:dLblPos val="outEnd"/>
            <c:showLegendKey val="0"/>
            <c:showVal val="1"/>
            <c:showCatName val="0"/>
            <c:showSerName val="0"/>
            <c:showPercent val="0"/>
            <c:showBubbleSize val="0"/>
            <c:showLeaderLines val="0"/>
          </c:dLbls>
          <c:cat>
            <c:numRef>
              <c:f>List1!$B$28:$B$36</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List1!$C$28:$C$36</c:f>
              <c:numCache>
                <c:formatCode>0%</c:formatCode>
                <c:ptCount val="9"/>
                <c:pt idx="0">
                  <c:v>8.0000000000000016E-2</c:v>
                </c:pt>
                <c:pt idx="1">
                  <c:v>6.0000000000000005E-2</c:v>
                </c:pt>
                <c:pt idx="2">
                  <c:v>4.0000000000000008E-2</c:v>
                </c:pt>
                <c:pt idx="3">
                  <c:v>8.0000000000000016E-2</c:v>
                </c:pt>
                <c:pt idx="4">
                  <c:v>7.0000000000000021E-2</c:v>
                </c:pt>
                <c:pt idx="5">
                  <c:v>7.0000000000000021E-2</c:v>
                </c:pt>
                <c:pt idx="6">
                  <c:v>9.0000000000000011E-2</c:v>
                </c:pt>
                <c:pt idx="7">
                  <c:v>8.0000000000000016E-2</c:v>
                </c:pt>
                <c:pt idx="8">
                  <c:v>8.0000000000000016E-2</c:v>
                </c:pt>
              </c:numCache>
            </c:numRef>
          </c:val>
        </c:ser>
        <c:dLbls>
          <c:showLegendKey val="0"/>
          <c:showVal val="0"/>
          <c:showCatName val="0"/>
          <c:showSerName val="0"/>
          <c:showPercent val="0"/>
          <c:showBubbleSize val="0"/>
        </c:dLbls>
        <c:gapWidth val="150"/>
        <c:axId val="159696768"/>
        <c:axId val="159698304"/>
      </c:barChart>
      <c:catAx>
        <c:axId val="159696768"/>
        <c:scaling>
          <c:orientation val="minMax"/>
        </c:scaling>
        <c:delete val="0"/>
        <c:axPos val="b"/>
        <c:numFmt formatCode="General" sourceLinked="1"/>
        <c:majorTickMark val="out"/>
        <c:minorTickMark val="none"/>
        <c:tickLblPos val="nextTo"/>
        <c:crossAx val="159698304"/>
        <c:crosses val="autoZero"/>
        <c:auto val="1"/>
        <c:lblAlgn val="ctr"/>
        <c:lblOffset val="100"/>
        <c:noMultiLvlLbl val="0"/>
      </c:catAx>
      <c:valAx>
        <c:axId val="159698304"/>
        <c:scaling>
          <c:orientation val="minMax"/>
        </c:scaling>
        <c:delete val="1"/>
        <c:axPos val="l"/>
        <c:numFmt formatCode="0%" sourceLinked="1"/>
        <c:majorTickMark val="out"/>
        <c:minorTickMark val="none"/>
        <c:tickLblPos val="none"/>
        <c:crossAx val="15969676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cs-CZ" sz="1200"/>
              <a:t>Vývoj počtu vojákyň - vybrané roky </a:t>
            </a:r>
          </a:p>
        </c:rich>
      </c:tx>
      <c:layout/>
      <c:overlay val="0"/>
    </c:title>
    <c:autoTitleDeleted val="0"/>
    <c:plotArea>
      <c:layout>
        <c:manualLayout>
          <c:layoutTarget val="inner"/>
          <c:xMode val="edge"/>
          <c:yMode val="edge"/>
          <c:x val="4.3654657945375194E-2"/>
          <c:y val="0.16041666666666671"/>
          <c:w val="0.92468716697356879"/>
          <c:h val="0.57760061242345062"/>
        </c:manualLayout>
      </c:layout>
      <c:barChart>
        <c:barDir val="col"/>
        <c:grouping val="clustered"/>
        <c:varyColors val="0"/>
        <c:ser>
          <c:idx val="0"/>
          <c:order val="0"/>
          <c:tx>
            <c:strRef>
              <c:f>List1!$B$6</c:f>
              <c:strCache>
                <c:ptCount val="1"/>
                <c:pt idx="0">
                  <c:v>VZP-celkem</c:v>
                </c:pt>
              </c:strCache>
            </c:strRef>
          </c:tx>
          <c:invertIfNegative val="0"/>
          <c:dLbls>
            <c:spPr>
              <a:noFill/>
              <a:ln>
                <a:noFill/>
              </a:ln>
              <a:effectLst/>
            </c:spPr>
            <c:txPr>
              <a:bodyPr/>
              <a:lstStyle/>
              <a:p>
                <a:pPr>
                  <a:defRPr sz="900"/>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List1!$A$7:$A$17</c:f>
              <c:strCache>
                <c:ptCount val="11"/>
                <c:pt idx="0">
                  <c:v>1999 7,4%</c:v>
                </c:pt>
                <c:pt idx="1">
                  <c:v>2001 8,2%</c:v>
                </c:pt>
                <c:pt idx="2">
                  <c:v>2003 10,7%</c:v>
                </c:pt>
                <c:pt idx="3">
                  <c:v>2005 12,2%</c:v>
                </c:pt>
                <c:pt idx="4">
                  <c:v>2007 12,4%</c:v>
                </c:pt>
                <c:pt idx="5">
                  <c:v>2009   13%</c:v>
                </c:pt>
                <c:pt idx="6">
                  <c:v>2011  13,6%</c:v>
                </c:pt>
                <c:pt idx="7">
                  <c:v>2013 13,7%</c:v>
                </c:pt>
                <c:pt idx="8">
                  <c:v>2016 13,1%</c:v>
                </c:pt>
                <c:pt idx="9">
                  <c:v>2017 13%</c:v>
                </c:pt>
                <c:pt idx="10">
                  <c:v>2018 13%</c:v>
                </c:pt>
              </c:strCache>
            </c:strRef>
          </c:cat>
          <c:val>
            <c:numRef>
              <c:f>List1!$B$7:$B$17</c:f>
              <c:numCache>
                <c:formatCode>General</c:formatCode>
                <c:ptCount val="11"/>
                <c:pt idx="0">
                  <c:v>22966</c:v>
                </c:pt>
                <c:pt idx="1">
                  <c:v>21993</c:v>
                </c:pt>
                <c:pt idx="2">
                  <c:v>21247</c:v>
                </c:pt>
                <c:pt idx="3">
                  <c:v>22811</c:v>
                </c:pt>
                <c:pt idx="4">
                  <c:v>24229</c:v>
                </c:pt>
                <c:pt idx="5">
                  <c:v>24103</c:v>
                </c:pt>
                <c:pt idx="6">
                  <c:v>21751</c:v>
                </c:pt>
                <c:pt idx="7">
                  <c:v>21733</c:v>
                </c:pt>
                <c:pt idx="8">
                  <c:v>21970</c:v>
                </c:pt>
                <c:pt idx="9">
                  <c:v>23184</c:v>
                </c:pt>
                <c:pt idx="10">
                  <c:v>24521</c:v>
                </c:pt>
              </c:numCache>
            </c:numRef>
          </c:val>
        </c:ser>
        <c:ser>
          <c:idx val="1"/>
          <c:order val="1"/>
          <c:tx>
            <c:strRef>
              <c:f>List1!$C$6</c:f>
              <c:strCache>
                <c:ptCount val="1"/>
                <c:pt idx="0">
                  <c:v>z toho vojákyně</c:v>
                </c:pt>
              </c:strCache>
            </c:strRef>
          </c:tx>
          <c:invertIfNegative val="0"/>
          <c:dLbls>
            <c:dLbl>
              <c:idx val="1"/>
              <c:layout>
                <c:manualLayout>
                  <c:x val="1.4347202295552367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1520803443328552E-2"/>
                  <c:y val="-4.6296296296297248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195600191296034E-2"/>
                  <c:y val="4.6296296296297248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6738402678144429E-2"/>
                  <c:y val="9.2592592592593073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1520803443328552E-2"/>
                  <c:y val="4.6296296296296441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4347202295552367E-2"/>
                  <c:y val="4.6296296296296441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4347202295552461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9.5648015303682887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1.6738402678144429E-2"/>
                  <c:y val="4.6296296296296441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1.4347202295552367E-2"/>
                  <c:y val="4.6296296296297248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900"/>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List1!$A$7:$A$17</c:f>
              <c:strCache>
                <c:ptCount val="11"/>
                <c:pt idx="0">
                  <c:v>1999 7,4%</c:v>
                </c:pt>
                <c:pt idx="1">
                  <c:v>2001 8,2%</c:v>
                </c:pt>
                <c:pt idx="2">
                  <c:v>2003 10,7%</c:v>
                </c:pt>
                <c:pt idx="3">
                  <c:v>2005 12,2%</c:v>
                </c:pt>
                <c:pt idx="4">
                  <c:v>2007 12,4%</c:v>
                </c:pt>
                <c:pt idx="5">
                  <c:v>2009   13%</c:v>
                </c:pt>
                <c:pt idx="6">
                  <c:v>2011  13,6%</c:v>
                </c:pt>
                <c:pt idx="7">
                  <c:v>2013 13,7%</c:v>
                </c:pt>
                <c:pt idx="8">
                  <c:v>2016 13,1%</c:v>
                </c:pt>
                <c:pt idx="9">
                  <c:v>2017 13%</c:v>
                </c:pt>
                <c:pt idx="10">
                  <c:v>2018 13%</c:v>
                </c:pt>
              </c:strCache>
            </c:strRef>
          </c:cat>
          <c:val>
            <c:numRef>
              <c:f>List1!$C$7:$C$17</c:f>
              <c:numCache>
                <c:formatCode>General</c:formatCode>
                <c:ptCount val="11"/>
                <c:pt idx="0">
                  <c:v>1695</c:v>
                </c:pt>
                <c:pt idx="1">
                  <c:v>1918</c:v>
                </c:pt>
                <c:pt idx="2">
                  <c:v>2277</c:v>
                </c:pt>
                <c:pt idx="3">
                  <c:v>2786</c:v>
                </c:pt>
                <c:pt idx="4">
                  <c:v>3001</c:v>
                </c:pt>
                <c:pt idx="5">
                  <c:v>3141</c:v>
                </c:pt>
                <c:pt idx="6">
                  <c:v>3024</c:v>
                </c:pt>
                <c:pt idx="7">
                  <c:v>2987</c:v>
                </c:pt>
                <c:pt idx="8">
                  <c:v>2874</c:v>
                </c:pt>
                <c:pt idx="9">
                  <c:v>2952</c:v>
                </c:pt>
                <c:pt idx="10">
                  <c:v>3088</c:v>
                </c:pt>
              </c:numCache>
            </c:numRef>
          </c:val>
        </c:ser>
        <c:dLbls>
          <c:showLegendKey val="0"/>
          <c:showVal val="0"/>
          <c:showCatName val="0"/>
          <c:showSerName val="0"/>
          <c:showPercent val="0"/>
          <c:showBubbleSize val="0"/>
        </c:dLbls>
        <c:gapWidth val="150"/>
        <c:axId val="159750016"/>
        <c:axId val="159751552"/>
      </c:barChart>
      <c:catAx>
        <c:axId val="159750016"/>
        <c:scaling>
          <c:orientation val="minMax"/>
        </c:scaling>
        <c:delete val="0"/>
        <c:axPos val="b"/>
        <c:numFmt formatCode="General" sourceLinked="1"/>
        <c:majorTickMark val="out"/>
        <c:minorTickMark val="none"/>
        <c:tickLblPos val="nextTo"/>
        <c:txPr>
          <a:bodyPr/>
          <a:lstStyle/>
          <a:p>
            <a:pPr>
              <a:defRPr sz="900"/>
            </a:pPr>
            <a:endParaRPr lang="cs-CZ"/>
          </a:p>
        </c:txPr>
        <c:crossAx val="159751552"/>
        <c:crosses val="autoZero"/>
        <c:auto val="1"/>
        <c:lblAlgn val="ctr"/>
        <c:lblOffset val="100"/>
        <c:noMultiLvlLbl val="0"/>
      </c:catAx>
      <c:valAx>
        <c:axId val="159751552"/>
        <c:scaling>
          <c:orientation val="minMax"/>
        </c:scaling>
        <c:delete val="1"/>
        <c:axPos val="l"/>
        <c:numFmt formatCode="General" sourceLinked="1"/>
        <c:majorTickMark val="out"/>
        <c:minorTickMark val="none"/>
        <c:tickLblPos val="none"/>
        <c:crossAx val="159750016"/>
        <c:crosses val="autoZero"/>
        <c:crossBetween val="between"/>
      </c:valAx>
    </c:plotArea>
    <c:legend>
      <c:legendPos val="r"/>
      <c:layout>
        <c:manualLayout>
          <c:xMode val="edge"/>
          <c:yMode val="edge"/>
          <c:x val="0.79457329311597891"/>
          <c:y val="1.8286307961504811E-2"/>
          <c:w val="0.16594196349559651"/>
          <c:h val="0.11458442694663197"/>
        </c:manualLayout>
      </c:layout>
      <c:overlay val="0"/>
      <c:txPr>
        <a:bodyPr/>
        <a:lstStyle/>
        <a:p>
          <a:pPr>
            <a:defRPr sz="900"/>
          </a:pPr>
          <a:endParaRPr lang="cs-CZ"/>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pPr>
            <a:r>
              <a:rPr lang="cs-CZ" sz="1200" b="0"/>
              <a:t>Studenti a studentky ve vybraných školních/akademických letech</a:t>
            </a:r>
          </a:p>
        </c:rich>
      </c:tx>
      <c:layout>
        <c:manualLayout>
          <c:xMode val="edge"/>
          <c:yMode val="edge"/>
          <c:x val="0.1182247475298277"/>
          <c:y val="2.5188916876574409E-2"/>
        </c:manualLayout>
      </c:layout>
      <c:overlay val="0"/>
    </c:title>
    <c:autoTitleDeleted val="0"/>
    <c:plotArea>
      <c:layout>
        <c:manualLayout>
          <c:layoutTarget val="inner"/>
          <c:xMode val="edge"/>
          <c:yMode val="edge"/>
          <c:x val="3.978803244832501E-2"/>
          <c:y val="0.22766066599808649"/>
          <c:w val="0.93942587533701161"/>
          <c:h val="0.58905515120824259"/>
        </c:manualLayout>
      </c:layout>
      <c:barChart>
        <c:barDir val="col"/>
        <c:grouping val="clustered"/>
        <c:varyColors val="0"/>
        <c:ser>
          <c:idx val="0"/>
          <c:order val="0"/>
          <c:tx>
            <c:strRef>
              <c:f>'připraveno pro 2004'!$A$12</c:f>
              <c:strCache>
                <c:ptCount val="1"/>
                <c:pt idx="0">
                  <c:v>Muži</c:v>
                </c:pt>
              </c:strCache>
            </c:strRef>
          </c:tx>
          <c:spPr>
            <a:ln>
              <a:solidFill>
                <a:schemeClr val="tx2">
                  <a:lumMod val="60000"/>
                  <a:lumOff val="40000"/>
                </a:schemeClr>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multiLvlStrRef>
              <c:f>'připraveno pro 2004'!$B$10:$H$11</c:f>
              <c:multiLvlStrCache>
                <c:ptCount val="7"/>
                <c:lvl>
                  <c:pt idx="0">
                    <c:v>27,7%</c:v>
                  </c:pt>
                  <c:pt idx="1">
                    <c:v>29%ž</c:v>
                  </c:pt>
                  <c:pt idx="2">
                    <c:v>29%ž</c:v>
                  </c:pt>
                  <c:pt idx="3">
                    <c:v>30%ž</c:v>
                  </c:pt>
                  <c:pt idx="4">
                    <c:v>30%ž</c:v>
                  </c:pt>
                  <c:pt idx="5">
                    <c:v>30%</c:v>
                  </c:pt>
                  <c:pt idx="6">
                    <c:v>27%</c:v>
                  </c:pt>
                </c:lvl>
                <c:lvl>
                  <c:pt idx="0">
                    <c:v>2007/2008</c:v>
                  </c:pt>
                  <c:pt idx="1">
                    <c:v>2009/2010</c:v>
                  </c:pt>
                  <c:pt idx="2">
                    <c:v>2011/2012</c:v>
                  </c:pt>
                  <c:pt idx="3">
                    <c:v>2013/2014</c:v>
                  </c:pt>
                  <c:pt idx="4">
                    <c:v>2015/2016</c:v>
                  </c:pt>
                  <c:pt idx="5">
                    <c:v>2016/2017</c:v>
                  </c:pt>
                  <c:pt idx="6">
                    <c:v>2017/2018</c:v>
                  </c:pt>
                </c:lvl>
              </c:multiLvlStrCache>
            </c:multiLvlStrRef>
          </c:cat>
          <c:val>
            <c:numRef>
              <c:f>'připraveno pro 2004'!$B$12:$H$12</c:f>
              <c:numCache>
                <c:formatCode>General</c:formatCode>
                <c:ptCount val="7"/>
                <c:pt idx="0">
                  <c:v>795</c:v>
                </c:pt>
                <c:pt idx="1">
                  <c:v>1398</c:v>
                </c:pt>
                <c:pt idx="2">
                  <c:v>1580</c:v>
                </c:pt>
                <c:pt idx="3">
                  <c:v>1543</c:v>
                </c:pt>
                <c:pt idx="4">
                  <c:v>1492</c:v>
                </c:pt>
                <c:pt idx="5">
                  <c:v>1440</c:v>
                </c:pt>
                <c:pt idx="6">
                  <c:v>1480</c:v>
                </c:pt>
              </c:numCache>
            </c:numRef>
          </c:val>
        </c:ser>
        <c:ser>
          <c:idx val="1"/>
          <c:order val="1"/>
          <c:tx>
            <c:strRef>
              <c:f>'připraveno pro 2004'!$A$13</c:f>
              <c:strCache>
                <c:ptCount val="1"/>
                <c:pt idx="0">
                  <c:v>Ženy</c:v>
                </c:pt>
              </c:strCache>
            </c:strRef>
          </c:tx>
          <c:spPr>
            <a:solidFill>
              <a:schemeClr val="accent2">
                <a:lumMod val="75000"/>
              </a:schemeClr>
            </a:solidFill>
            <a:ln>
              <a:solidFill>
                <a:schemeClr val="accent2"/>
              </a:solid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multiLvlStrRef>
              <c:f>'připraveno pro 2004'!$B$10:$H$11</c:f>
              <c:multiLvlStrCache>
                <c:ptCount val="7"/>
                <c:lvl>
                  <c:pt idx="0">
                    <c:v>27,7%</c:v>
                  </c:pt>
                  <c:pt idx="1">
                    <c:v>29%ž</c:v>
                  </c:pt>
                  <c:pt idx="2">
                    <c:v>29%ž</c:v>
                  </c:pt>
                  <c:pt idx="3">
                    <c:v>30%ž</c:v>
                  </c:pt>
                  <c:pt idx="4">
                    <c:v>30%ž</c:v>
                  </c:pt>
                  <c:pt idx="5">
                    <c:v>30%</c:v>
                  </c:pt>
                  <c:pt idx="6">
                    <c:v>27%</c:v>
                  </c:pt>
                </c:lvl>
                <c:lvl>
                  <c:pt idx="0">
                    <c:v>2007/2008</c:v>
                  </c:pt>
                  <c:pt idx="1">
                    <c:v>2009/2010</c:v>
                  </c:pt>
                  <c:pt idx="2">
                    <c:v>2011/2012</c:v>
                  </c:pt>
                  <c:pt idx="3">
                    <c:v>2013/2014</c:v>
                  </c:pt>
                  <c:pt idx="4">
                    <c:v>2015/2016</c:v>
                  </c:pt>
                  <c:pt idx="5">
                    <c:v>2016/2017</c:v>
                  </c:pt>
                  <c:pt idx="6">
                    <c:v>2017/2018</c:v>
                  </c:pt>
                </c:lvl>
              </c:multiLvlStrCache>
            </c:multiLvlStrRef>
          </c:cat>
          <c:val>
            <c:numRef>
              <c:f>'připraveno pro 2004'!$B$13:$H$13</c:f>
              <c:numCache>
                <c:formatCode>General</c:formatCode>
                <c:ptCount val="7"/>
                <c:pt idx="0">
                  <c:v>305</c:v>
                </c:pt>
                <c:pt idx="1">
                  <c:v>561</c:v>
                </c:pt>
                <c:pt idx="2">
                  <c:v>659</c:v>
                </c:pt>
                <c:pt idx="3">
                  <c:v>661</c:v>
                </c:pt>
                <c:pt idx="4">
                  <c:v>632</c:v>
                </c:pt>
                <c:pt idx="5">
                  <c:v>633</c:v>
                </c:pt>
                <c:pt idx="6">
                  <c:v>559</c:v>
                </c:pt>
              </c:numCache>
            </c:numRef>
          </c:val>
        </c:ser>
        <c:dLbls>
          <c:showLegendKey val="0"/>
          <c:showVal val="0"/>
          <c:showCatName val="0"/>
          <c:showSerName val="0"/>
          <c:showPercent val="0"/>
          <c:showBubbleSize val="0"/>
        </c:dLbls>
        <c:gapWidth val="150"/>
        <c:axId val="160323456"/>
        <c:axId val="160324992"/>
      </c:barChart>
      <c:catAx>
        <c:axId val="160323456"/>
        <c:scaling>
          <c:orientation val="minMax"/>
        </c:scaling>
        <c:delete val="0"/>
        <c:axPos val="b"/>
        <c:numFmt formatCode="General" sourceLinked="1"/>
        <c:majorTickMark val="out"/>
        <c:minorTickMark val="none"/>
        <c:tickLblPos val="nextTo"/>
        <c:crossAx val="160324992"/>
        <c:crosses val="autoZero"/>
        <c:auto val="1"/>
        <c:lblAlgn val="ctr"/>
        <c:lblOffset val="100"/>
        <c:noMultiLvlLbl val="0"/>
      </c:catAx>
      <c:valAx>
        <c:axId val="160324992"/>
        <c:scaling>
          <c:orientation val="minMax"/>
        </c:scaling>
        <c:delete val="1"/>
        <c:axPos val="l"/>
        <c:numFmt formatCode="General" sourceLinked="1"/>
        <c:majorTickMark val="out"/>
        <c:minorTickMark val="none"/>
        <c:tickLblPos val="none"/>
        <c:crossAx val="160323456"/>
        <c:crosses val="autoZero"/>
        <c:crossBetween val="between"/>
      </c:valAx>
      <c:spPr>
        <a:solidFill>
          <a:schemeClr val="accent4">
            <a:lumMod val="20000"/>
            <a:lumOff val="80000"/>
          </a:schemeClr>
        </a:solidFill>
      </c:spPr>
    </c:plotArea>
    <c:legend>
      <c:legendPos val="t"/>
      <c:layout>
        <c:manualLayout>
          <c:xMode val="edge"/>
          <c:yMode val="edge"/>
          <c:x val="0.41487647319708493"/>
          <c:y val="0.13364197530864161"/>
          <c:w val="0.17024705360583425"/>
          <c:h val="0.11162292213473315"/>
        </c:manualLayout>
      </c:layout>
      <c:overlay val="0"/>
      <c:txPr>
        <a:bodyPr/>
        <a:lstStyle/>
        <a:p>
          <a:pPr>
            <a:defRPr sz="900"/>
          </a:pPr>
          <a:endParaRPr lang="cs-CZ"/>
        </a:p>
      </c:txPr>
    </c:legend>
    <c:plotVisOnly val="1"/>
    <c:dispBlanksAs val="gap"/>
    <c:showDLblsOverMax val="0"/>
  </c:chart>
  <c:spPr>
    <a:solidFill>
      <a:schemeClr val="accent6">
        <a:lumMod val="20000"/>
        <a:lumOff val="80000"/>
      </a:schemeClr>
    </a:solidFill>
    <a:ln>
      <a:solidFill>
        <a:schemeClr val="accent6">
          <a:lumMod val="20000"/>
          <a:lumOff val="80000"/>
        </a:schemeClr>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0"/>
            </a:pPr>
            <a:r>
              <a:rPr lang="cs-CZ" sz="900" b="0"/>
              <a:t>Vojákyně a vojáci v dispozici (MD,RD) </a:t>
            </a:r>
          </a:p>
          <a:p>
            <a:pPr>
              <a:defRPr sz="900" b="0"/>
            </a:pPr>
            <a:r>
              <a:rPr lang="cs-CZ" sz="900" b="0"/>
              <a:t>(k 1. 1.)</a:t>
            </a:r>
          </a:p>
        </c:rich>
      </c:tx>
      <c:layout>
        <c:manualLayout>
          <c:xMode val="edge"/>
          <c:yMode val="edge"/>
          <c:x val="0.2984811382491398"/>
          <c:y val="3.3840947546531407E-2"/>
        </c:manualLayout>
      </c:layout>
      <c:overlay val="0"/>
    </c:title>
    <c:autoTitleDeleted val="0"/>
    <c:plotArea>
      <c:layout>
        <c:manualLayout>
          <c:layoutTarget val="inner"/>
          <c:xMode val="edge"/>
          <c:yMode val="edge"/>
          <c:x val="7.1045681036349034E-2"/>
          <c:y val="0.16243705149090501"/>
          <c:w val="0.88337931703686812"/>
          <c:h val="0.56852968021816574"/>
        </c:manualLayout>
      </c:layout>
      <c:barChart>
        <c:barDir val="col"/>
        <c:grouping val="clustered"/>
        <c:varyColors val="0"/>
        <c:ser>
          <c:idx val="0"/>
          <c:order val="0"/>
          <c:tx>
            <c:strRef>
              <c:f>'tab. VI'!$E$47</c:f>
              <c:strCache>
                <c:ptCount val="1"/>
                <c:pt idx="0">
                  <c:v>muži</c:v>
                </c:pt>
              </c:strCache>
            </c:strRef>
          </c:tx>
          <c:invertIfNegative val="0"/>
          <c:dLbls>
            <c:spPr>
              <a:noFill/>
              <a:ln>
                <a:noFill/>
              </a:ln>
              <a:effectLst/>
            </c:spPr>
            <c:txPr>
              <a:bodyPr/>
              <a:lstStyle/>
              <a:p>
                <a:pPr>
                  <a:defRPr sz="900"/>
                </a:pPr>
                <a:endParaRPr lang="cs-CZ"/>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'tab. VI'!$A$48:$D$56</c:f>
              <c:numCache>
                <c:formatCode>General</c:formatCode>
                <c:ptCount val="18"/>
                <c:pt idx="0">
                  <c:v>2005</c:v>
                </c:pt>
                <c:pt idx="1">
                  <c:v>2007</c:v>
                </c:pt>
                <c:pt idx="2">
                  <c:v>2009</c:v>
                </c:pt>
                <c:pt idx="3">
                  <c:v>2010</c:v>
                </c:pt>
                <c:pt idx="4">
                  <c:v>2012</c:v>
                </c:pt>
                <c:pt idx="5">
                  <c:v>2014</c:v>
                </c:pt>
                <c:pt idx="6">
                  <c:v>2016</c:v>
                </c:pt>
                <c:pt idx="7">
                  <c:v>2018</c:v>
                </c:pt>
              </c:numCache>
            </c:numRef>
          </c:cat>
          <c:val>
            <c:numRef>
              <c:f>'tab. VI'!$E$48:$E$56</c:f>
              <c:numCache>
                <c:formatCode>General</c:formatCode>
                <c:ptCount val="9"/>
                <c:pt idx="0">
                  <c:v>7</c:v>
                </c:pt>
                <c:pt idx="1">
                  <c:v>22</c:v>
                </c:pt>
                <c:pt idx="2">
                  <c:v>43</c:v>
                </c:pt>
                <c:pt idx="3">
                  <c:v>49</c:v>
                </c:pt>
                <c:pt idx="4">
                  <c:v>49</c:v>
                </c:pt>
                <c:pt idx="5">
                  <c:v>33</c:v>
                </c:pt>
                <c:pt idx="6">
                  <c:v>16</c:v>
                </c:pt>
                <c:pt idx="7">
                  <c:v>14</c:v>
                </c:pt>
              </c:numCache>
            </c:numRef>
          </c:val>
        </c:ser>
        <c:ser>
          <c:idx val="1"/>
          <c:order val="1"/>
          <c:tx>
            <c:strRef>
              <c:f>'tab. VI'!$F$47</c:f>
              <c:strCache>
                <c:ptCount val="1"/>
                <c:pt idx="0">
                  <c:v>ženy</c:v>
                </c:pt>
              </c:strCache>
            </c:strRef>
          </c:tx>
          <c:invertIfNegative val="0"/>
          <c:dLbls>
            <c:spPr>
              <a:noFill/>
              <a:ln>
                <a:noFill/>
              </a:ln>
              <a:effectLst/>
            </c:spPr>
            <c:txPr>
              <a:bodyPr/>
              <a:lstStyle/>
              <a:p>
                <a:pPr>
                  <a:defRPr sz="900"/>
                </a:pPr>
                <a:endParaRPr lang="cs-CZ"/>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'tab. VI'!$A$48:$D$56</c:f>
              <c:numCache>
                <c:formatCode>General</c:formatCode>
                <c:ptCount val="18"/>
                <c:pt idx="0">
                  <c:v>2005</c:v>
                </c:pt>
                <c:pt idx="1">
                  <c:v>2007</c:v>
                </c:pt>
                <c:pt idx="2">
                  <c:v>2009</c:v>
                </c:pt>
                <c:pt idx="3">
                  <c:v>2010</c:v>
                </c:pt>
                <c:pt idx="4">
                  <c:v>2012</c:v>
                </c:pt>
                <c:pt idx="5">
                  <c:v>2014</c:v>
                </c:pt>
                <c:pt idx="6">
                  <c:v>2016</c:v>
                </c:pt>
                <c:pt idx="7">
                  <c:v>2018</c:v>
                </c:pt>
              </c:numCache>
            </c:numRef>
          </c:cat>
          <c:val>
            <c:numRef>
              <c:f>'tab. VI'!$F$48:$F$56</c:f>
              <c:numCache>
                <c:formatCode>General</c:formatCode>
                <c:ptCount val="9"/>
                <c:pt idx="0">
                  <c:v>163</c:v>
                </c:pt>
                <c:pt idx="1">
                  <c:v>356</c:v>
                </c:pt>
                <c:pt idx="2">
                  <c:v>450</c:v>
                </c:pt>
                <c:pt idx="3">
                  <c:v>488</c:v>
                </c:pt>
                <c:pt idx="4">
                  <c:v>500</c:v>
                </c:pt>
                <c:pt idx="5">
                  <c:v>385</c:v>
                </c:pt>
                <c:pt idx="6">
                  <c:v>393</c:v>
                </c:pt>
                <c:pt idx="7">
                  <c:v>348</c:v>
                </c:pt>
              </c:numCache>
            </c:numRef>
          </c:val>
        </c:ser>
        <c:dLbls>
          <c:showLegendKey val="0"/>
          <c:showVal val="0"/>
          <c:showCatName val="0"/>
          <c:showSerName val="0"/>
          <c:showPercent val="0"/>
          <c:showBubbleSize val="0"/>
        </c:dLbls>
        <c:gapWidth val="150"/>
        <c:axId val="160372992"/>
        <c:axId val="160378880"/>
      </c:barChart>
      <c:catAx>
        <c:axId val="160372992"/>
        <c:scaling>
          <c:orientation val="minMax"/>
        </c:scaling>
        <c:delete val="0"/>
        <c:axPos val="b"/>
        <c:numFmt formatCode="General" sourceLinked="1"/>
        <c:majorTickMark val="out"/>
        <c:minorTickMark val="none"/>
        <c:tickLblPos val="nextTo"/>
        <c:txPr>
          <a:bodyPr rot="-2700000" vert="horz"/>
          <a:lstStyle/>
          <a:p>
            <a:pPr>
              <a:defRPr sz="900"/>
            </a:pPr>
            <a:endParaRPr lang="cs-CZ"/>
          </a:p>
        </c:txPr>
        <c:crossAx val="160378880"/>
        <c:crosses val="autoZero"/>
        <c:auto val="1"/>
        <c:lblAlgn val="ctr"/>
        <c:lblOffset val="100"/>
        <c:tickLblSkip val="1"/>
        <c:tickMarkSkip val="1"/>
        <c:noMultiLvlLbl val="0"/>
      </c:catAx>
      <c:valAx>
        <c:axId val="160378880"/>
        <c:scaling>
          <c:orientation val="minMax"/>
        </c:scaling>
        <c:delete val="1"/>
        <c:axPos val="l"/>
        <c:numFmt formatCode="General" sourceLinked="1"/>
        <c:majorTickMark val="out"/>
        <c:minorTickMark val="none"/>
        <c:tickLblPos val="none"/>
        <c:crossAx val="160372992"/>
        <c:crosses val="autoZero"/>
        <c:crossBetween val="between"/>
      </c:valAx>
    </c:plotArea>
    <c:legend>
      <c:legendPos val="r"/>
      <c:layout>
        <c:manualLayout>
          <c:xMode val="edge"/>
          <c:yMode val="edge"/>
          <c:x val="0.87757048968074702"/>
          <c:y val="0.300340074876428"/>
          <c:w val="7.5960855094185598E-2"/>
          <c:h val="0.24196310803789206"/>
        </c:manualLayout>
      </c:layout>
      <c:overlay val="0"/>
      <c:txPr>
        <a:bodyPr/>
        <a:lstStyle/>
        <a:p>
          <a:pPr>
            <a:defRPr sz="800"/>
          </a:pPr>
          <a:endParaRPr lang="cs-CZ"/>
        </a:p>
      </c:txPr>
    </c:legend>
    <c:plotVisOnly val="1"/>
    <c:dispBlanksAs val="gap"/>
    <c:showDLblsOverMax val="0"/>
  </c:chart>
  <c:spPr>
    <a:solidFill>
      <a:schemeClr val="bg1">
        <a:lumMod val="85000"/>
      </a:schemeClr>
    </a:solid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00" b="0" i="0" u="none" strike="noStrike" baseline="0">
                <a:solidFill>
                  <a:srgbClr val="000000"/>
                </a:solidFill>
                <a:latin typeface="Arial"/>
                <a:ea typeface="Arial"/>
                <a:cs typeface="Arial"/>
              </a:defRPr>
            </a:pPr>
            <a:r>
              <a:rPr lang="cs-CZ" sz="700" b="0"/>
              <a:t>Rozdíl v průměrném platu žen a mužů -  vývoj </a:t>
            </a:r>
          </a:p>
          <a:p>
            <a:pPr>
              <a:defRPr sz="700" b="0" i="0" u="none" strike="noStrike" baseline="0">
                <a:solidFill>
                  <a:srgbClr val="000000"/>
                </a:solidFill>
                <a:latin typeface="Arial"/>
                <a:ea typeface="Arial"/>
                <a:cs typeface="Arial"/>
              </a:defRPr>
            </a:pPr>
            <a:r>
              <a:rPr lang="cs-CZ" sz="700" b="0"/>
              <a:t>vybrané roky</a:t>
            </a:r>
          </a:p>
        </c:rich>
      </c:tx>
      <c:layout>
        <c:manualLayout>
          <c:xMode val="edge"/>
          <c:yMode val="edge"/>
          <c:x val="0.28364122753886534"/>
          <c:y val="2.5720736585243202E-2"/>
        </c:manualLayout>
      </c:layout>
      <c:overlay val="0"/>
      <c:spPr>
        <a:noFill/>
        <a:ln w="25400">
          <a:noFill/>
        </a:ln>
      </c:spPr>
    </c:title>
    <c:autoTitleDeleted val="0"/>
    <c:plotArea>
      <c:layout>
        <c:manualLayout>
          <c:layoutTarget val="inner"/>
          <c:xMode val="edge"/>
          <c:yMode val="edge"/>
          <c:x val="2.3715434090582573E-2"/>
          <c:y val="0.19625906751813521"/>
          <c:w val="0.95388746008788161"/>
          <c:h val="0.517921910843823"/>
        </c:manualLayout>
      </c:layout>
      <c:barChart>
        <c:barDir val="col"/>
        <c:grouping val="clustered"/>
        <c:varyColors val="0"/>
        <c:ser>
          <c:idx val="0"/>
          <c:order val="0"/>
          <c:spPr>
            <a:solidFill>
              <a:srgbClr val="9999FF"/>
            </a:solidFill>
            <a:ln w="12700">
              <a:solidFill>
                <a:srgbClr val="000000"/>
              </a:solidFill>
              <a:prstDash val="solid"/>
            </a:ln>
          </c:spPr>
          <c:invertIfNegative val="0"/>
          <c:dLbls>
            <c:spPr>
              <a:noFill/>
              <a:ln w="25400">
                <a:noFill/>
              </a:ln>
            </c:spPr>
            <c:txPr>
              <a:bodyPr/>
              <a:lstStyle/>
              <a:p>
                <a:pPr>
                  <a:defRPr sz="1000" b="0" i="0" u="none" strike="noStrike" baseline="0">
                    <a:solidFill>
                      <a:srgbClr val="000000"/>
                    </a:solidFill>
                    <a:latin typeface="Arial"/>
                    <a:ea typeface="Arial"/>
                    <a:cs typeface="Arial"/>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List1!$C$6:$C$11</c:f>
              <c:strCache>
                <c:ptCount val="6"/>
                <c:pt idx="0">
                  <c:v>leden-prosinec 2005</c:v>
                </c:pt>
                <c:pt idx="1">
                  <c:v>leden-prosinec 2007</c:v>
                </c:pt>
                <c:pt idx="2">
                  <c:v>leden-prosinec 2009</c:v>
                </c:pt>
                <c:pt idx="3">
                  <c:v>leden-prosinec 2011</c:v>
                </c:pt>
                <c:pt idx="4">
                  <c:v>leden-prosinec 2013</c:v>
                </c:pt>
                <c:pt idx="5">
                  <c:v>leden-prosinec 2016</c:v>
                </c:pt>
              </c:strCache>
            </c:strRef>
          </c:cat>
          <c:val>
            <c:numRef>
              <c:f>List1!$D$6:$D$11</c:f>
              <c:numCache>
                <c:formatCode>General</c:formatCode>
                <c:ptCount val="6"/>
              </c:numCache>
            </c:numRef>
          </c:val>
        </c:ser>
        <c:ser>
          <c:idx val="1"/>
          <c:order val="1"/>
          <c:spPr>
            <a:solidFill>
              <a:srgbClr val="993366"/>
            </a:solidFill>
            <a:ln w="12700">
              <a:solidFill>
                <a:srgbClr val="000000"/>
              </a:solidFill>
              <a:prstDash val="solid"/>
            </a:ln>
          </c:spPr>
          <c:invertIfNegative val="0"/>
          <c:dLbls>
            <c:dLbl>
              <c:idx val="0"/>
              <c:layout>
                <c:manualLayout>
                  <c:x val="4.8371357426475496E-3"/>
                  <c:y val="2.6784828569657197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596108257552782E-4"/>
                  <c:y val="7.9330610546092962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a:lstStyle/>
              <a:p>
                <a:pPr>
                  <a:defRPr sz="800" b="0" i="0" u="none" strike="noStrike" baseline="0">
                    <a:solidFill>
                      <a:srgbClr val="000000"/>
                    </a:solidFill>
                    <a:latin typeface="Arial"/>
                    <a:ea typeface="Arial"/>
                    <a:cs typeface="Arial"/>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List1!$C$6:$C$11</c:f>
              <c:strCache>
                <c:ptCount val="6"/>
                <c:pt idx="0">
                  <c:v>leden-prosinec 2005</c:v>
                </c:pt>
                <c:pt idx="1">
                  <c:v>leden-prosinec 2007</c:v>
                </c:pt>
                <c:pt idx="2">
                  <c:v>leden-prosinec 2009</c:v>
                </c:pt>
                <c:pt idx="3">
                  <c:v>leden-prosinec 2011</c:v>
                </c:pt>
                <c:pt idx="4">
                  <c:v>leden-prosinec 2013</c:v>
                </c:pt>
                <c:pt idx="5">
                  <c:v>leden-prosinec 2016</c:v>
                </c:pt>
              </c:strCache>
            </c:strRef>
          </c:cat>
          <c:val>
            <c:numRef>
              <c:f>List1!$E$6:$E$11</c:f>
              <c:numCache>
                <c:formatCode>#,##0</c:formatCode>
                <c:ptCount val="6"/>
                <c:pt idx="0">
                  <c:v>3340</c:v>
                </c:pt>
                <c:pt idx="1">
                  <c:v>2560</c:v>
                </c:pt>
                <c:pt idx="2">
                  <c:v>2016</c:v>
                </c:pt>
                <c:pt idx="3">
                  <c:v>1539</c:v>
                </c:pt>
                <c:pt idx="4">
                  <c:v>704</c:v>
                </c:pt>
                <c:pt idx="5">
                  <c:v>513</c:v>
                </c:pt>
              </c:numCache>
            </c:numRef>
          </c:val>
        </c:ser>
        <c:dLbls>
          <c:showLegendKey val="0"/>
          <c:showVal val="1"/>
          <c:showCatName val="0"/>
          <c:showSerName val="0"/>
          <c:showPercent val="0"/>
          <c:showBubbleSize val="0"/>
        </c:dLbls>
        <c:gapWidth val="150"/>
        <c:axId val="160401664"/>
        <c:axId val="160419840"/>
      </c:barChart>
      <c:catAx>
        <c:axId val="16040166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cs-CZ"/>
          </a:p>
        </c:txPr>
        <c:crossAx val="160419840"/>
        <c:crosses val="autoZero"/>
        <c:auto val="1"/>
        <c:lblAlgn val="ctr"/>
        <c:lblOffset val="100"/>
        <c:tickLblSkip val="1"/>
        <c:tickMarkSkip val="1"/>
        <c:noMultiLvlLbl val="0"/>
      </c:catAx>
      <c:valAx>
        <c:axId val="160419840"/>
        <c:scaling>
          <c:orientation val="minMax"/>
        </c:scaling>
        <c:delete val="1"/>
        <c:axPos val="l"/>
        <c:numFmt formatCode="General" sourceLinked="1"/>
        <c:majorTickMark val="out"/>
        <c:minorTickMark val="none"/>
        <c:tickLblPos val="none"/>
        <c:crossAx val="160401664"/>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cs-CZ"/>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l">
              <a:defRPr sz="800" b="0"/>
            </a:pPr>
            <a:r>
              <a:rPr lang="cs-CZ" sz="800" b="0"/>
              <a:t>Poměr přijtých žen ve vztahu k počtu uchazeček,</a:t>
            </a:r>
          </a:p>
          <a:p>
            <a:pPr algn="l">
              <a:defRPr sz="800" b="0"/>
            </a:pPr>
            <a:r>
              <a:rPr lang="cs-CZ" sz="800" b="0"/>
              <a:t>poměr přijtých mužů ve vztahu k počtu uchazečů vizuální graf -</a:t>
            </a:r>
            <a:r>
              <a:rPr lang="cs-CZ" sz="800" b="0" baseline="0"/>
              <a:t> </a:t>
            </a:r>
            <a:r>
              <a:rPr lang="cs-CZ" sz="800" b="0" i="1" u="sng"/>
              <a:t> rok  2017 </a:t>
            </a:r>
          </a:p>
        </c:rich>
      </c:tx>
      <c:layout>
        <c:manualLayout>
          <c:xMode val="edge"/>
          <c:yMode val="edge"/>
          <c:x val="0.10242794819566456"/>
          <c:y val="2.2856661831744715E-2"/>
        </c:manualLayout>
      </c:layout>
      <c:overlay val="0"/>
    </c:title>
    <c:autoTitleDeleted val="0"/>
    <c:plotArea>
      <c:layout>
        <c:manualLayout>
          <c:layoutTarget val="inner"/>
          <c:xMode val="edge"/>
          <c:yMode val="edge"/>
          <c:x val="0.22818987115246989"/>
          <c:y val="0.30096983475657091"/>
          <c:w val="0.32173439257592801"/>
          <c:h val="0.55827714317400468"/>
        </c:manualLayout>
      </c:layout>
      <c:pieChart>
        <c:varyColors val="1"/>
        <c:ser>
          <c:idx val="0"/>
          <c:order val="0"/>
          <c:dLbls>
            <c:delete val="1"/>
          </c:dLbls>
          <c:cat>
            <c:strRef>
              <c:f>List1!$C$70:$C$71</c:f>
              <c:strCache>
                <c:ptCount val="2"/>
                <c:pt idx="0">
                  <c:v>muži</c:v>
                </c:pt>
                <c:pt idx="1">
                  <c:v>ženy</c:v>
                </c:pt>
              </c:strCache>
            </c:strRef>
          </c:cat>
          <c:val>
            <c:numRef>
              <c:f>List1!$D$70:$D$71</c:f>
              <c:numCache>
                <c:formatCode>0%</c:formatCode>
                <c:ptCount val="2"/>
                <c:pt idx="0">
                  <c:v>0.65000000000000169</c:v>
                </c:pt>
                <c:pt idx="1">
                  <c:v>0.85000000000000064</c:v>
                </c:pt>
              </c:numCache>
            </c:numRef>
          </c:val>
        </c:ser>
        <c:dLbls>
          <c:showLegendKey val="0"/>
          <c:showVal val="1"/>
          <c:showCatName val="0"/>
          <c:showSerName val="0"/>
          <c:showPercent val="0"/>
          <c:showBubbleSize val="0"/>
          <c:showLeaderLines val="1"/>
        </c:dLbls>
        <c:firstSliceAng val="0"/>
      </c:pieChart>
      <c:spPr>
        <a:noFill/>
        <a:ln w="25400">
          <a:noFill/>
        </a:ln>
      </c:spPr>
    </c:plotArea>
    <c:legend>
      <c:legendPos val="r"/>
      <c:layout>
        <c:manualLayout>
          <c:xMode val="edge"/>
          <c:yMode val="edge"/>
          <c:x val="0.65439954828829294"/>
          <c:y val="0.6566995531808556"/>
          <c:w val="0.14112664944386866"/>
          <c:h val="0.20371125484314498"/>
        </c:manualLayout>
      </c:layout>
      <c:overlay val="0"/>
      <c:txPr>
        <a:bodyPr/>
        <a:lstStyle/>
        <a:p>
          <a:pPr>
            <a:defRPr sz="900" b="0"/>
          </a:pPr>
          <a:endParaRPr lang="cs-CZ"/>
        </a:p>
      </c:txPr>
    </c:legend>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cs-CZ" sz="1000"/>
              <a:t>Přijat/přijata do AČR</a:t>
            </a:r>
          </a:p>
        </c:rich>
      </c:tx>
      <c:layout/>
      <c:overlay val="0"/>
    </c:title>
    <c:autoTitleDeleted val="0"/>
    <c:plotArea>
      <c:layout>
        <c:manualLayout>
          <c:layoutTarget val="inner"/>
          <c:xMode val="edge"/>
          <c:yMode val="edge"/>
          <c:x val="6.6821741032370957E-2"/>
          <c:y val="0.17640055409740502"/>
          <c:w val="0.81555424321959913"/>
          <c:h val="0.6482936926698627"/>
        </c:manualLayout>
      </c:layout>
      <c:barChart>
        <c:barDir val="col"/>
        <c:grouping val="clustered"/>
        <c:varyColors val="0"/>
        <c:ser>
          <c:idx val="0"/>
          <c:order val="0"/>
          <c:tx>
            <c:strRef>
              <c:f>List1!$B$42</c:f>
              <c:strCache>
                <c:ptCount val="1"/>
                <c:pt idx="0">
                  <c:v>přijat</c:v>
                </c:pt>
              </c:strCache>
            </c:strRef>
          </c:tx>
          <c:invertIfNegative val="0"/>
          <c:dLbls>
            <c:spPr>
              <a:noFill/>
              <a:ln>
                <a:noFill/>
              </a:ln>
              <a:effectLst/>
            </c:spPr>
            <c:txPr>
              <a:bodyPr/>
              <a:lstStyle/>
              <a:p>
                <a:pPr>
                  <a:defRPr sz="900" b="1"/>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List1!$A$43:$A$49</c:f>
              <c:strCache>
                <c:ptCount val="7"/>
                <c:pt idx="0">
                  <c:v>2010</c:v>
                </c:pt>
                <c:pt idx="1">
                  <c:v>2011</c:v>
                </c:pt>
                <c:pt idx="2">
                  <c:v>2012</c:v>
                </c:pt>
                <c:pt idx="3">
                  <c:v>2013</c:v>
                </c:pt>
                <c:pt idx="4">
                  <c:v>2014</c:v>
                </c:pt>
                <c:pt idx="5">
                  <c:v>2015</c:v>
                </c:pt>
                <c:pt idx="6">
                  <c:v>2017</c:v>
                </c:pt>
              </c:strCache>
            </c:strRef>
          </c:cat>
          <c:val>
            <c:numRef>
              <c:f>List1!$B$43:$B$49</c:f>
              <c:numCache>
                <c:formatCode>General</c:formatCode>
                <c:ptCount val="7"/>
                <c:pt idx="0">
                  <c:v>758</c:v>
                </c:pt>
                <c:pt idx="1">
                  <c:v>199</c:v>
                </c:pt>
                <c:pt idx="2">
                  <c:v>608</c:v>
                </c:pt>
                <c:pt idx="3">
                  <c:v>263</c:v>
                </c:pt>
                <c:pt idx="4">
                  <c:v>306</c:v>
                </c:pt>
                <c:pt idx="5">
                  <c:v>1509</c:v>
                </c:pt>
                <c:pt idx="6">
                  <c:v>1925</c:v>
                </c:pt>
              </c:numCache>
            </c:numRef>
          </c:val>
        </c:ser>
        <c:ser>
          <c:idx val="1"/>
          <c:order val="1"/>
          <c:tx>
            <c:strRef>
              <c:f>List1!$C$42</c:f>
              <c:strCache>
                <c:ptCount val="1"/>
                <c:pt idx="0">
                  <c:v>přijata</c:v>
                </c:pt>
              </c:strCache>
            </c:strRef>
          </c:tx>
          <c:invertIfNegative val="0"/>
          <c:dLbls>
            <c:spPr>
              <a:noFill/>
              <a:ln>
                <a:noFill/>
              </a:ln>
              <a:effectLst/>
            </c:spPr>
            <c:txPr>
              <a:bodyPr/>
              <a:lstStyle/>
              <a:p>
                <a:pPr>
                  <a:defRPr sz="900" b="1"/>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List1!$A$43:$A$49</c:f>
              <c:strCache>
                <c:ptCount val="7"/>
                <c:pt idx="0">
                  <c:v>2010</c:v>
                </c:pt>
                <c:pt idx="1">
                  <c:v>2011</c:v>
                </c:pt>
                <c:pt idx="2">
                  <c:v>2012</c:v>
                </c:pt>
                <c:pt idx="3">
                  <c:v>2013</c:v>
                </c:pt>
                <c:pt idx="4">
                  <c:v>2014</c:v>
                </c:pt>
                <c:pt idx="5">
                  <c:v>2015</c:v>
                </c:pt>
                <c:pt idx="6">
                  <c:v>2017</c:v>
                </c:pt>
              </c:strCache>
            </c:strRef>
          </c:cat>
          <c:val>
            <c:numRef>
              <c:f>List1!$C$43:$C$49</c:f>
              <c:numCache>
                <c:formatCode>General</c:formatCode>
                <c:ptCount val="7"/>
                <c:pt idx="0">
                  <c:v>89</c:v>
                </c:pt>
                <c:pt idx="1">
                  <c:v>17</c:v>
                </c:pt>
                <c:pt idx="2">
                  <c:v>26</c:v>
                </c:pt>
                <c:pt idx="3">
                  <c:v>17</c:v>
                </c:pt>
                <c:pt idx="4">
                  <c:v>18</c:v>
                </c:pt>
                <c:pt idx="5">
                  <c:v>57</c:v>
                </c:pt>
                <c:pt idx="6">
                  <c:v>249</c:v>
                </c:pt>
              </c:numCache>
            </c:numRef>
          </c:val>
        </c:ser>
        <c:dLbls>
          <c:showLegendKey val="0"/>
          <c:showVal val="1"/>
          <c:showCatName val="0"/>
          <c:showSerName val="0"/>
          <c:showPercent val="0"/>
          <c:showBubbleSize val="0"/>
        </c:dLbls>
        <c:gapWidth val="150"/>
        <c:axId val="160170752"/>
        <c:axId val="160172288"/>
      </c:barChart>
      <c:catAx>
        <c:axId val="160170752"/>
        <c:scaling>
          <c:orientation val="minMax"/>
        </c:scaling>
        <c:delete val="0"/>
        <c:axPos val="b"/>
        <c:numFmt formatCode="General" sourceLinked="0"/>
        <c:majorTickMark val="out"/>
        <c:minorTickMark val="none"/>
        <c:tickLblPos val="nextTo"/>
        <c:crossAx val="160172288"/>
        <c:crosses val="autoZero"/>
        <c:auto val="1"/>
        <c:lblAlgn val="ctr"/>
        <c:lblOffset val="100"/>
        <c:noMultiLvlLbl val="0"/>
      </c:catAx>
      <c:valAx>
        <c:axId val="160172288"/>
        <c:scaling>
          <c:orientation val="minMax"/>
        </c:scaling>
        <c:delete val="1"/>
        <c:axPos val="l"/>
        <c:numFmt formatCode="General" sourceLinked="1"/>
        <c:majorTickMark val="out"/>
        <c:minorTickMark val="none"/>
        <c:tickLblPos val="none"/>
        <c:crossAx val="160170752"/>
        <c:crosses val="autoZero"/>
        <c:crossBetween val="between"/>
      </c:valAx>
      <c:spPr>
        <a:solidFill>
          <a:schemeClr val="accent3">
            <a:lumMod val="20000"/>
            <a:lumOff val="80000"/>
          </a:schemeClr>
        </a:solidFill>
      </c:spPr>
    </c:plotArea>
    <c:legend>
      <c:legendPos val="r"/>
      <c:layout/>
      <c:overlay val="0"/>
      <c:txPr>
        <a:bodyPr/>
        <a:lstStyle/>
        <a:p>
          <a:pPr>
            <a:defRPr sz="900"/>
          </a:pPr>
          <a:endParaRPr lang="cs-CZ"/>
        </a:p>
      </c:txPr>
    </c:legend>
    <c:plotVisOnly val="1"/>
    <c:dispBlanksAs val="gap"/>
    <c:showDLblsOverMax val="0"/>
  </c:chart>
  <c:externalData r:id="rId2">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183CE-7CA5-4B0B-B277-64BD229B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F76C75F7.dotm</Template>
  <TotalTime>11</TotalTime>
  <Pages>35</Pages>
  <Words>13591</Words>
  <Characters>80191</Characters>
  <Application>Microsoft Office Word</Application>
  <DocSecurity>0</DocSecurity>
  <Lines>668</Lines>
  <Paragraphs>187</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93595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Grünbergová Lenka</dc:creator>
  <cp:lastModifiedBy>Dagmar NOVOHRADSKÁ</cp:lastModifiedBy>
  <cp:revision>7</cp:revision>
  <cp:lastPrinted>2018-06-25T07:26:00Z</cp:lastPrinted>
  <dcterms:created xsi:type="dcterms:W3CDTF">2018-06-07T09:24:00Z</dcterms:created>
  <dcterms:modified xsi:type="dcterms:W3CDTF">2018-06-25T07:32:00Z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Úřad vlády ČR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