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harts/style1.xml" ContentType="application/vnd.ms-office.chartstyle+xml"/>
  <Override PartName="/word/charts/colors1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16F64" w14:textId="77777777" w:rsidR="00B516C6" w:rsidRPr="00754ECE" w:rsidRDefault="00B516C6" w:rsidP="00B516C6">
      <w:pPr>
        <w:pStyle w:val="Zkladntext2"/>
        <w:rPr>
          <w:b/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754ECE">
        <w:rPr>
          <w:b/>
          <w:bCs/>
          <w:szCs w:val="24"/>
        </w:rPr>
        <w:t>IV.</w:t>
      </w:r>
    </w:p>
    <w:p w14:paraId="240B1D8E" w14:textId="15DB79BD" w:rsidR="00B516C6" w:rsidRPr="00207517" w:rsidRDefault="00B516C6" w:rsidP="00430496">
      <w:pPr>
        <w:pStyle w:val="Zkladntext2"/>
        <w:rPr>
          <w:b/>
          <w:bCs/>
          <w:szCs w:val="24"/>
        </w:rPr>
      </w:pPr>
      <w:r w:rsidRPr="00207517">
        <w:rPr>
          <w:b/>
          <w:bCs/>
          <w:szCs w:val="24"/>
        </w:rPr>
        <w:t xml:space="preserve">Střednědobý výhled dvoustranné ZRS a jejího financování </w:t>
      </w:r>
      <w:r w:rsidR="0042193E">
        <w:rPr>
          <w:b/>
          <w:bCs/>
          <w:szCs w:val="24"/>
        </w:rPr>
        <w:t>do roku 2028</w:t>
      </w:r>
    </w:p>
    <w:p w14:paraId="59799C56" w14:textId="77777777" w:rsidR="00B516C6" w:rsidRPr="00207517" w:rsidRDefault="00B516C6" w:rsidP="00207517">
      <w:pPr>
        <w:pStyle w:val="Zkladntext2"/>
        <w:spacing w:before="0"/>
        <w:jc w:val="center"/>
        <w:rPr>
          <w:b/>
          <w:szCs w:val="24"/>
        </w:rPr>
      </w:pPr>
    </w:p>
    <w:p w14:paraId="107EAA69" w14:textId="1EC9EA05" w:rsidR="004265FC" w:rsidRPr="004265FC" w:rsidRDefault="004265FC" w:rsidP="007D239F">
      <w:pPr>
        <w:pStyle w:val="Zkladntext2"/>
        <w:ind w:firstLine="708"/>
        <w:rPr>
          <w:szCs w:val="24"/>
        </w:rPr>
      </w:pPr>
      <w:r w:rsidRPr="004265FC">
        <w:rPr>
          <w:szCs w:val="24"/>
        </w:rPr>
        <w:t xml:space="preserve">V souladu s usnesením vlády č. 248 ze dne 12. března 2003 je společně s Plánem dvoustranné zahraniční rozvojové spolupráce České republiky pro rok 2026 vládě předkládán také indikativní rozpočtový výhled </w:t>
      </w:r>
      <w:r w:rsidR="0042193E">
        <w:rPr>
          <w:szCs w:val="24"/>
        </w:rPr>
        <w:t xml:space="preserve">do roku </w:t>
      </w:r>
      <w:r w:rsidRPr="004265FC">
        <w:rPr>
          <w:szCs w:val="24"/>
        </w:rPr>
        <w:t>2028. Cílem tohoto kroku je zajistit předvídatelné a víceleté financování rozvojových, transformačních a h</w:t>
      </w:r>
      <w:r w:rsidR="00AF522C">
        <w:rPr>
          <w:szCs w:val="24"/>
        </w:rPr>
        <w:t>umanitárních projektů, které je </w:t>
      </w:r>
      <w:r w:rsidRPr="004265FC">
        <w:rPr>
          <w:szCs w:val="24"/>
        </w:rPr>
        <w:t>nezbytné pro efektivní a strategické plánování v oblasti zahraniční rozvojové spolupráce (ZRS).</w:t>
      </w:r>
      <w:r w:rsidR="006C1FDA">
        <w:rPr>
          <w:szCs w:val="24"/>
        </w:rPr>
        <w:t xml:space="preserve"> S ohledem na rozpočtovou si</w:t>
      </w:r>
      <w:r w:rsidR="00AE47D4">
        <w:rPr>
          <w:szCs w:val="24"/>
        </w:rPr>
        <w:t>tuaci je výhled koncipován v rámci předem stanovených rozpočtových limitů</w:t>
      </w:r>
      <w:r w:rsidR="006C1FDA">
        <w:rPr>
          <w:szCs w:val="24"/>
        </w:rPr>
        <w:t>.</w:t>
      </w:r>
    </w:p>
    <w:p w14:paraId="79AEF504" w14:textId="37E7AEC8" w:rsidR="004265FC" w:rsidRDefault="009D507F" w:rsidP="007D239F">
      <w:pPr>
        <w:pStyle w:val="Zkladntext2"/>
        <w:ind w:firstLine="708"/>
        <w:rPr>
          <w:szCs w:val="24"/>
        </w:rPr>
      </w:pPr>
      <w:r>
        <w:rPr>
          <w:szCs w:val="24"/>
        </w:rPr>
        <w:t>S</w:t>
      </w:r>
      <w:r w:rsidR="004265FC" w:rsidRPr="004265FC">
        <w:rPr>
          <w:szCs w:val="24"/>
        </w:rPr>
        <w:t xml:space="preserve">oučasná stagnace </w:t>
      </w:r>
      <w:r w:rsidR="00AE47D4">
        <w:rPr>
          <w:szCs w:val="24"/>
        </w:rPr>
        <w:t xml:space="preserve">či dokonce redukce </w:t>
      </w:r>
      <w:r>
        <w:rPr>
          <w:szCs w:val="24"/>
        </w:rPr>
        <w:t xml:space="preserve">příslušných hodnot </w:t>
      </w:r>
      <w:r w:rsidR="004265FC" w:rsidRPr="004265FC">
        <w:rPr>
          <w:szCs w:val="24"/>
        </w:rPr>
        <w:t xml:space="preserve">rozpočtového výhledu </w:t>
      </w:r>
      <w:r>
        <w:rPr>
          <w:szCs w:val="24"/>
        </w:rPr>
        <w:t xml:space="preserve">bohužel </w:t>
      </w:r>
      <w:r w:rsidR="004265FC" w:rsidRPr="004265FC">
        <w:rPr>
          <w:szCs w:val="24"/>
        </w:rPr>
        <w:t>nedovoluje naplňovat dlouhodobý cíl postupného přibližování se mezinárodnímu závazku Česk</w:t>
      </w:r>
      <w:r w:rsidR="00A750F0">
        <w:rPr>
          <w:szCs w:val="24"/>
        </w:rPr>
        <w:t>a</w:t>
      </w:r>
      <w:r w:rsidR="004265FC" w:rsidRPr="004265FC">
        <w:rPr>
          <w:szCs w:val="24"/>
        </w:rPr>
        <w:t xml:space="preserve"> v oblasti oficiální rozvojové pomoci (ODA). </w:t>
      </w:r>
      <w:r w:rsidR="00AF522C">
        <w:rPr>
          <w:szCs w:val="24"/>
        </w:rPr>
        <w:t>Tento závazek, přijatý na </w:t>
      </w:r>
      <w:r w:rsidR="004F34F6">
        <w:rPr>
          <w:szCs w:val="24"/>
        </w:rPr>
        <w:t xml:space="preserve">mezinárodní </w:t>
      </w:r>
      <w:r w:rsidR="004265FC" w:rsidRPr="004265FC">
        <w:rPr>
          <w:szCs w:val="24"/>
        </w:rPr>
        <w:t>úrovni, předpokládá dosažení podílu ODA ve výši 0,33 % hrubého národního důchodu (HND) do roku 203</w:t>
      </w:r>
      <w:r w:rsidR="006C1FDA">
        <w:rPr>
          <w:szCs w:val="24"/>
        </w:rPr>
        <w:t xml:space="preserve">0 (závazek na úrovni EU), resp. průběžné poskytování </w:t>
      </w:r>
      <w:r w:rsidR="00642AF5">
        <w:rPr>
          <w:szCs w:val="24"/>
        </w:rPr>
        <w:t xml:space="preserve">0,7 % </w:t>
      </w:r>
      <w:r w:rsidR="001444A2">
        <w:rPr>
          <w:szCs w:val="24"/>
        </w:rPr>
        <w:t xml:space="preserve">HND </w:t>
      </w:r>
      <w:r w:rsidR="006C1FDA">
        <w:rPr>
          <w:szCs w:val="24"/>
        </w:rPr>
        <w:t xml:space="preserve">na podporu udržitelného rozvoje </w:t>
      </w:r>
      <w:r w:rsidR="00642AF5">
        <w:rPr>
          <w:szCs w:val="24"/>
        </w:rPr>
        <w:t>(</w:t>
      </w:r>
      <w:r w:rsidR="001444A2">
        <w:rPr>
          <w:szCs w:val="24"/>
        </w:rPr>
        <w:t xml:space="preserve">v rámci </w:t>
      </w:r>
      <w:r w:rsidR="00642AF5">
        <w:rPr>
          <w:szCs w:val="24"/>
        </w:rPr>
        <w:t>OSN)</w:t>
      </w:r>
      <w:r w:rsidR="004265FC" w:rsidRPr="004265FC">
        <w:rPr>
          <w:szCs w:val="24"/>
        </w:rPr>
        <w:t>.</w:t>
      </w:r>
      <w:r w:rsidR="006C1FDA">
        <w:rPr>
          <w:szCs w:val="24"/>
        </w:rPr>
        <w:t xml:space="preserve"> ODA přitom zahrnuje vedle humanitární a rozvojové asistence také oblast migrace a klimatické a environmentální odolnosti, které představují vitální priority ČR i EU a skýtají příležitosti pro dlouhodobé uplatnění českého know-how a českých realizátorů.</w:t>
      </w:r>
    </w:p>
    <w:p w14:paraId="23BC29B4" w14:textId="7818CAE4" w:rsidR="006C1FDA" w:rsidRDefault="006C1FDA" w:rsidP="007D239F">
      <w:pPr>
        <w:pStyle w:val="Zkladntext2"/>
        <w:ind w:firstLine="708"/>
        <w:rPr>
          <w:szCs w:val="24"/>
        </w:rPr>
      </w:pPr>
      <w:r w:rsidRPr="004265FC">
        <w:rPr>
          <w:szCs w:val="24"/>
        </w:rPr>
        <w:t xml:space="preserve">Střednědobý rozpočtový rámec </w:t>
      </w:r>
      <w:r>
        <w:rPr>
          <w:szCs w:val="24"/>
        </w:rPr>
        <w:t xml:space="preserve">přesto </w:t>
      </w:r>
      <w:r w:rsidRPr="004265FC">
        <w:rPr>
          <w:szCs w:val="24"/>
        </w:rPr>
        <w:t>reflektuje jak</w:t>
      </w:r>
      <w:r w:rsidR="00AF522C">
        <w:rPr>
          <w:szCs w:val="24"/>
        </w:rPr>
        <w:t xml:space="preserve"> aktuální globální výzvy, tak i </w:t>
      </w:r>
      <w:r w:rsidRPr="004265FC">
        <w:rPr>
          <w:szCs w:val="24"/>
        </w:rPr>
        <w:t xml:space="preserve">strategické směřování </w:t>
      </w:r>
      <w:r>
        <w:rPr>
          <w:szCs w:val="24"/>
        </w:rPr>
        <w:t xml:space="preserve">definované Strategií ZRS ČR 2018-2030 a jejím střednědobým vyhodnocením z roku 2024, a to v souladu s </w:t>
      </w:r>
      <w:r w:rsidRPr="004265FC">
        <w:rPr>
          <w:szCs w:val="24"/>
        </w:rPr>
        <w:t>Agendou 2030 pro udržitelný rozvoj</w:t>
      </w:r>
      <w:r w:rsidR="00AF522C">
        <w:rPr>
          <w:szCs w:val="24"/>
        </w:rPr>
        <w:t xml:space="preserve"> včetně 17 </w:t>
      </w:r>
      <w:r>
        <w:rPr>
          <w:szCs w:val="24"/>
        </w:rPr>
        <w:t>cílů udržitelného rozvoje (SDGs), které</w:t>
      </w:r>
      <w:r w:rsidRPr="00C656CA">
        <w:rPr>
          <w:szCs w:val="24"/>
        </w:rPr>
        <w:t xml:space="preserve"> schválil summit OSN 25. září 2015 v New Yorku v dokumentu Transforming our World: The 2030 Agenda for Sustainable Development (Přeměna našeho světa: Agenda pro udržitelný rozvoj 2030)</w:t>
      </w:r>
      <w:r>
        <w:rPr>
          <w:szCs w:val="24"/>
        </w:rPr>
        <w:t xml:space="preserve"> a potvrdila řada následných summitů a globálních iniciativ. </w:t>
      </w:r>
    </w:p>
    <w:p w14:paraId="74D527B9" w14:textId="2E16B6DF" w:rsidR="004265FC" w:rsidRDefault="00DE3338" w:rsidP="007D239F">
      <w:pPr>
        <w:pStyle w:val="Zkladntext2"/>
        <w:ind w:firstLine="708"/>
        <w:rPr>
          <w:szCs w:val="24"/>
        </w:rPr>
      </w:pPr>
      <w:r>
        <w:rPr>
          <w:szCs w:val="24"/>
        </w:rPr>
        <w:t xml:space="preserve">Bez </w:t>
      </w:r>
      <w:r w:rsidR="004265FC" w:rsidRPr="004265FC">
        <w:rPr>
          <w:szCs w:val="24"/>
        </w:rPr>
        <w:t xml:space="preserve">postupného navyšování alokovaných prostředků </w:t>
      </w:r>
      <w:r>
        <w:rPr>
          <w:szCs w:val="24"/>
        </w:rPr>
        <w:t xml:space="preserve">na ODA </w:t>
      </w:r>
      <w:r w:rsidR="004265FC" w:rsidRPr="004265FC">
        <w:rPr>
          <w:szCs w:val="24"/>
        </w:rPr>
        <w:t xml:space="preserve">nebude možné </w:t>
      </w:r>
      <w:r w:rsidR="006C1FDA">
        <w:rPr>
          <w:szCs w:val="24"/>
        </w:rPr>
        <w:t xml:space="preserve">naplnit mezinárodní </w:t>
      </w:r>
      <w:r w:rsidR="004265FC" w:rsidRPr="004265FC">
        <w:rPr>
          <w:szCs w:val="24"/>
        </w:rPr>
        <w:t xml:space="preserve">závazek ČR </w:t>
      </w:r>
      <w:r w:rsidR="006464CD">
        <w:rPr>
          <w:szCs w:val="24"/>
        </w:rPr>
        <w:t>a n</w:t>
      </w:r>
      <w:r w:rsidR="007B39C0">
        <w:rPr>
          <w:szCs w:val="24"/>
        </w:rPr>
        <w:t xml:space="preserve">aše země </w:t>
      </w:r>
      <w:r w:rsidR="006464CD">
        <w:rPr>
          <w:szCs w:val="24"/>
        </w:rPr>
        <w:t xml:space="preserve">bude i nadále v rámci OECD a </w:t>
      </w:r>
      <w:r w:rsidR="00A844C0">
        <w:rPr>
          <w:szCs w:val="24"/>
        </w:rPr>
        <w:t>EU</w:t>
      </w:r>
      <w:r w:rsidR="006464CD">
        <w:rPr>
          <w:szCs w:val="24"/>
        </w:rPr>
        <w:t xml:space="preserve"> </w:t>
      </w:r>
      <w:r w:rsidR="00A844C0">
        <w:rPr>
          <w:szCs w:val="24"/>
        </w:rPr>
        <w:t xml:space="preserve">pokračovat v trendu, který dlouhodobě </w:t>
      </w:r>
      <w:r w:rsidR="007B39C0">
        <w:rPr>
          <w:szCs w:val="24"/>
        </w:rPr>
        <w:t>vykaz</w:t>
      </w:r>
      <w:r w:rsidR="00A844C0">
        <w:rPr>
          <w:szCs w:val="24"/>
        </w:rPr>
        <w:t>uje n</w:t>
      </w:r>
      <w:r w:rsidR="004265FC" w:rsidRPr="004265FC">
        <w:rPr>
          <w:szCs w:val="24"/>
        </w:rPr>
        <w:t>ízk</w:t>
      </w:r>
      <w:r w:rsidR="007B39C0">
        <w:rPr>
          <w:szCs w:val="24"/>
        </w:rPr>
        <w:t>ou</w:t>
      </w:r>
      <w:r w:rsidR="004265FC" w:rsidRPr="004265FC">
        <w:rPr>
          <w:szCs w:val="24"/>
        </w:rPr>
        <w:t xml:space="preserve"> úrov</w:t>
      </w:r>
      <w:r w:rsidR="00AD1FA7">
        <w:rPr>
          <w:szCs w:val="24"/>
        </w:rPr>
        <w:t>eň</w:t>
      </w:r>
      <w:r w:rsidR="004265FC" w:rsidRPr="004265FC">
        <w:rPr>
          <w:szCs w:val="24"/>
        </w:rPr>
        <w:t xml:space="preserve"> ODA </w:t>
      </w:r>
      <w:r w:rsidR="00AD1FA7">
        <w:rPr>
          <w:szCs w:val="24"/>
        </w:rPr>
        <w:t>(</w:t>
      </w:r>
      <w:r w:rsidR="004265FC" w:rsidRPr="004265FC">
        <w:rPr>
          <w:szCs w:val="24"/>
        </w:rPr>
        <w:t>v roce 202</w:t>
      </w:r>
      <w:r w:rsidR="00AE47D4">
        <w:rPr>
          <w:szCs w:val="24"/>
        </w:rPr>
        <w:t>4</w:t>
      </w:r>
      <w:r w:rsidR="004265FC" w:rsidRPr="004265FC">
        <w:rPr>
          <w:szCs w:val="24"/>
        </w:rPr>
        <w:t xml:space="preserve"> </w:t>
      </w:r>
      <w:r w:rsidR="00AD1FA7">
        <w:rPr>
          <w:szCs w:val="24"/>
        </w:rPr>
        <w:t xml:space="preserve">jen </w:t>
      </w:r>
      <w:r w:rsidR="00ED71A0">
        <w:rPr>
          <w:szCs w:val="24"/>
        </w:rPr>
        <w:t>0</w:t>
      </w:r>
      <w:r w:rsidR="00AD1FA7">
        <w:rPr>
          <w:szCs w:val="24"/>
        </w:rPr>
        <w:t>,1</w:t>
      </w:r>
      <w:r w:rsidR="00AE47D4">
        <w:rPr>
          <w:szCs w:val="24"/>
        </w:rPr>
        <w:t>7</w:t>
      </w:r>
      <w:r w:rsidR="00AD1FA7">
        <w:rPr>
          <w:szCs w:val="24"/>
        </w:rPr>
        <w:t xml:space="preserve"> </w:t>
      </w:r>
      <w:r w:rsidR="004265FC" w:rsidRPr="004265FC">
        <w:rPr>
          <w:szCs w:val="24"/>
        </w:rPr>
        <w:t>% HND</w:t>
      </w:r>
      <w:r w:rsidR="00ED71A0">
        <w:rPr>
          <w:szCs w:val="24"/>
        </w:rPr>
        <w:t>)</w:t>
      </w:r>
      <w:r w:rsidR="006464CD">
        <w:rPr>
          <w:szCs w:val="24"/>
        </w:rPr>
        <w:t xml:space="preserve">. </w:t>
      </w:r>
      <w:r w:rsidR="00C253AA" w:rsidRPr="004265FC">
        <w:rPr>
          <w:szCs w:val="24"/>
        </w:rPr>
        <w:t>Ve srovnání s ostatními členskými státy E</w:t>
      </w:r>
      <w:r w:rsidR="00A82A21">
        <w:rPr>
          <w:szCs w:val="24"/>
        </w:rPr>
        <w:t xml:space="preserve">U </w:t>
      </w:r>
      <w:r w:rsidR="00C253AA" w:rsidRPr="004265FC">
        <w:rPr>
          <w:szCs w:val="24"/>
        </w:rPr>
        <w:t>a OECD se Česk</w:t>
      </w:r>
      <w:r w:rsidR="00C253AA">
        <w:rPr>
          <w:szCs w:val="24"/>
        </w:rPr>
        <w:t xml:space="preserve">o </w:t>
      </w:r>
      <w:r w:rsidR="00AE47D4">
        <w:rPr>
          <w:szCs w:val="24"/>
        </w:rPr>
        <w:t>pravidelně</w:t>
      </w:r>
      <w:r w:rsidR="00C253AA" w:rsidRPr="004265FC">
        <w:rPr>
          <w:szCs w:val="24"/>
        </w:rPr>
        <w:t xml:space="preserve"> </w:t>
      </w:r>
      <w:r w:rsidR="00AE47D4">
        <w:rPr>
          <w:szCs w:val="24"/>
        </w:rPr>
        <w:t>umisťuje</w:t>
      </w:r>
      <w:r w:rsidR="00C253AA" w:rsidRPr="004265FC">
        <w:rPr>
          <w:szCs w:val="24"/>
        </w:rPr>
        <w:t xml:space="preserve"> na poslední</w:t>
      </w:r>
      <w:r w:rsidR="00AE47D4">
        <w:rPr>
          <w:szCs w:val="24"/>
        </w:rPr>
        <w:t>ch</w:t>
      </w:r>
      <w:r w:rsidR="00C253AA" w:rsidRPr="004265FC">
        <w:rPr>
          <w:szCs w:val="24"/>
        </w:rPr>
        <w:t xml:space="preserve"> příč</w:t>
      </w:r>
      <w:r w:rsidR="00AE47D4">
        <w:rPr>
          <w:szCs w:val="24"/>
        </w:rPr>
        <w:t>kách</w:t>
      </w:r>
      <w:r w:rsidR="00B85AA3">
        <w:rPr>
          <w:szCs w:val="24"/>
        </w:rPr>
        <w:t xml:space="preserve"> z</w:t>
      </w:r>
      <w:r w:rsidR="00AF522C">
        <w:rPr>
          <w:szCs w:val="24"/>
        </w:rPr>
        <w:t> </w:t>
      </w:r>
      <w:r w:rsidR="00B85AA3">
        <w:rPr>
          <w:szCs w:val="24"/>
        </w:rPr>
        <w:t>29</w:t>
      </w:r>
      <w:r w:rsidR="00AF522C">
        <w:rPr>
          <w:szCs w:val="24"/>
        </w:rPr>
        <w:t> </w:t>
      </w:r>
      <w:r w:rsidR="002D1907">
        <w:rPr>
          <w:szCs w:val="24"/>
        </w:rPr>
        <w:t>vykazujících členů Výboru pro rozvojovou pomoc OECD</w:t>
      </w:r>
      <w:r w:rsidR="006C1FDA">
        <w:rPr>
          <w:szCs w:val="24"/>
        </w:rPr>
        <w:t>, což neodpovídá úrovni ekonomické výkonnosti ČR</w:t>
      </w:r>
      <w:r w:rsidR="00AF28A6">
        <w:rPr>
          <w:szCs w:val="24"/>
        </w:rPr>
        <w:t xml:space="preserve">. Z toho vyplývá, že </w:t>
      </w:r>
      <w:r w:rsidR="00C253AA" w:rsidRPr="004265FC">
        <w:rPr>
          <w:szCs w:val="24"/>
        </w:rPr>
        <w:t>pokud jde o výši ODA v poměru k</w:t>
      </w:r>
      <w:r w:rsidR="00A82A21">
        <w:rPr>
          <w:szCs w:val="24"/>
        </w:rPr>
        <w:t> </w:t>
      </w:r>
      <w:r w:rsidR="00C253AA" w:rsidRPr="004265FC">
        <w:rPr>
          <w:szCs w:val="24"/>
        </w:rPr>
        <w:t>HND</w:t>
      </w:r>
      <w:r w:rsidR="00A82A21">
        <w:rPr>
          <w:szCs w:val="24"/>
        </w:rPr>
        <w:t xml:space="preserve">, tak </w:t>
      </w:r>
      <w:r w:rsidR="00AF28A6">
        <w:rPr>
          <w:szCs w:val="24"/>
        </w:rPr>
        <w:t>se Česko s</w:t>
      </w:r>
      <w:r w:rsidR="005A00D0">
        <w:rPr>
          <w:szCs w:val="24"/>
        </w:rPr>
        <w:t>tan</w:t>
      </w:r>
      <w:r w:rsidR="00A82A21">
        <w:rPr>
          <w:szCs w:val="24"/>
        </w:rPr>
        <w:t xml:space="preserve">ovenému cíli nejen nepřibližuje, </w:t>
      </w:r>
      <w:r w:rsidR="005A00D0">
        <w:rPr>
          <w:szCs w:val="24"/>
        </w:rPr>
        <w:t xml:space="preserve">ale spíše se mu </w:t>
      </w:r>
      <w:r w:rsidR="006C1FDA">
        <w:rPr>
          <w:szCs w:val="24"/>
        </w:rPr>
        <w:t xml:space="preserve">– vzhledem k rostoucímu HND - </w:t>
      </w:r>
      <w:r w:rsidR="005A00D0">
        <w:rPr>
          <w:szCs w:val="24"/>
        </w:rPr>
        <w:t>vzdaluje</w:t>
      </w:r>
      <w:r w:rsidR="00552991">
        <w:rPr>
          <w:szCs w:val="24"/>
        </w:rPr>
        <w:t xml:space="preserve">. </w:t>
      </w:r>
      <w:r w:rsidR="00C253AA" w:rsidRPr="004265FC">
        <w:rPr>
          <w:szCs w:val="24"/>
        </w:rPr>
        <w:t xml:space="preserve">Tato situace podtrhuje potřebu strategické reflexe </w:t>
      </w:r>
      <w:r w:rsidR="002B4DD7">
        <w:rPr>
          <w:szCs w:val="24"/>
        </w:rPr>
        <w:t xml:space="preserve">na úrovni vlády </w:t>
      </w:r>
      <w:r w:rsidR="00C253AA" w:rsidRPr="004265FC">
        <w:rPr>
          <w:szCs w:val="24"/>
        </w:rPr>
        <w:t xml:space="preserve">a </w:t>
      </w:r>
      <w:r w:rsidR="00A82A21">
        <w:rPr>
          <w:szCs w:val="24"/>
        </w:rPr>
        <w:t xml:space="preserve">nalezení </w:t>
      </w:r>
      <w:r w:rsidR="00C253AA" w:rsidRPr="004265FC">
        <w:rPr>
          <w:szCs w:val="24"/>
        </w:rPr>
        <w:t>politické vůle k systematickému navyšování podpory rozvojové a humanitární spolupráce</w:t>
      </w:r>
      <w:r w:rsidR="006C1FDA">
        <w:rPr>
          <w:szCs w:val="24"/>
        </w:rPr>
        <w:t>, ale také migračních, environmentálních a klimatických cílů,</w:t>
      </w:r>
      <w:r w:rsidR="00C253AA" w:rsidRPr="004265FC">
        <w:rPr>
          <w:szCs w:val="24"/>
        </w:rPr>
        <w:t xml:space="preserve"> jako nedílné součásti mezinárodního angažmá České republiky.</w:t>
      </w:r>
      <w:r w:rsidR="00EB2912">
        <w:rPr>
          <w:szCs w:val="24"/>
        </w:rPr>
        <w:t xml:space="preserve"> </w:t>
      </w:r>
    </w:p>
    <w:p w14:paraId="09A7AB4C" w14:textId="40B64C87" w:rsidR="007D239F" w:rsidRPr="00473C1F" w:rsidRDefault="007D239F" w:rsidP="007D239F">
      <w:pPr>
        <w:pStyle w:val="Zkladntext2"/>
        <w:spacing w:after="120"/>
        <w:ind w:firstLine="708"/>
        <w:rPr>
          <w:szCs w:val="24"/>
        </w:rPr>
      </w:pPr>
      <w:r w:rsidRPr="00473C1F">
        <w:rPr>
          <w:szCs w:val="24"/>
        </w:rPr>
        <w:t>V roce 2022 dosáhl podíl ODA na HND Česk</w:t>
      </w:r>
      <w:r>
        <w:rPr>
          <w:szCs w:val="24"/>
        </w:rPr>
        <w:t xml:space="preserve">a </w:t>
      </w:r>
      <w:r w:rsidRPr="00473C1F">
        <w:rPr>
          <w:szCs w:val="24"/>
        </w:rPr>
        <w:t>hodnoty 0,3</w:t>
      </w:r>
      <w:r>
        <w:rPr>
          <w:szCs w:val="24"/>
        </w:rPr>
        <w:t>8</w:t>
      </w:r>
      <w:r w:rsidRPr="00473C1F">
        <w:rPr>
          <w:szCs w:val="24"/>
        </w:rPr>
        <w:t xml:space="preserve"> %. Tento jednorázový </w:t>
      </w:r>
      <w:r>
        <w:rPr>
          <w:szCs w:val="24"/>
        </w:rPr>
        <w:t xml:space="preserve">nárůst </w:t>
      </w:r>
      <w:r w:rsidRPr="00473C1F">
        <w:rPr>
          <w:szCs w:val="24"/>
        </w:rPr>
        <w:t>byl způsoben především mimořádnou humanitární podporou Ukrajině a náklad</w:t>
      </w:r>
      <w:r>
        <w:rPr>
          <w:szCs w:val="24"/>
        </w:rPr>
        <w:t>y</w:t>
      </w:r>
      <w:r w:rsidRPr="00473C1F">
        <w:rPr>
          <w:szCs w:val="24"/>
        </w:rPr>
        <w:t xml:space="preserve"> spojeným</w:t>
      </w:r>
      <w:r>
        <w:rPr>
          <w:szCs w:val="24"/>
        </w:rPr>
        <w:t>i</w:t>
      </w:r>
      <w:r w:rsidRPr="00473C1F">
        <w:rPr>
          <w:szCs w:val="24"/>
        </w:rPr>
        <w:t xml:space="preserve"> s přijetím uprchlíků </w:t>
      </w:r>
      <w:r>
        <w:rPr>
          <w:szCs w:val="24"/>
        </w:rPr>
        <w:t xml:space="preserve">z Ukrajiny hledajícím úkryt na území Česka </w:t>
      </w:r>
      <w:r w:rsidRPr="00473C1F">
        <w:rPr>
          <w:szCs w:val="24"/>
        </w:rPr>
        <w:t xml:space="preserve">před </w:t>
      </w:r>
      <w:r>
        <w:rPr>
          <w:szCs w:val="24"/>
        </w:rPr>
        <w:t xml:space="preserve">ruskou vojenskou agresí. </w:t>
      </w:r>
      <w:r w:rsidRPr="00473C1F">
        <w:rPr>
          <w:szCs w:val="24"/>
        </w:rPr>
        <w:t xml:space="preserve">Je však důležité zdůraznit, že šlo </w:t>
      </w:r>
      <w:r>
        <w:rPr>
          <w:szCs w:val="24"/>
        </w:rPr>
        <w:t xml:space="preserve">jen </w:t>
      </w:r>
      <w:r w:rsidRPr="00473C1F">
        <w:rPr>
          <w:szCs w:val="24"/>
        </w:rPr>
        <w:t>o dočasné zvýšení</w:t>
      </w:r>
      <w:r>
        <w:rPr>
          <w:szCs w:val="24"/>
        </w:rPr>
        <w:t>. V</w:t>
      </w:r>
      <w:r w:rsidR="00AF522C">
        <w:rPr>
          <w:szCs w:val="24"/>
        </w:rPr>
        <w:t>ýdaje na </w:t>
      </w:r>
      <w:r w:rsidRPr="00473C1F">
        <w:rPr>
          <w:szCs w:val="24"/>
        </w:rPr>
        <w:t xml:space="preserve">uprchlíky lze totiž do statistik ODA započítávat </w:t>
      </w:r>
      <w:r>
        <w:rPr>
          <w:szCs w:val="24"/>
        </w:rPr>
        <w:t xml:space="preserve">dle platných norem </w:t>
      </w:r>
      <w:r w:rsidRPr="00473C1F">
        <w:rPr>
          <w:szCs w:val="24"/>
        </w:rPr>
        <w:t>pouze během prvního roku jejich pobytu.</w:t>
      </w:r>
    </w:p>
    <w:p w14:paraId="7997763B" w14:textId="570599C9" w:rsidR="007D239F" w:rsidRPr="00473C1F" w:rsidRDefault="007D239F" w:rsidP="007D239F">
      <w:pPr>
        <w:pStyle w:val="Zkladntext2"/>
        <w:spacing w:after="120"/>
        <w:ind w:firstLine="708"/>
        <w:rPr>
          <w:szCs w:val="24"/>
        </w:rPr>
      </w:pPr>
      <w:r w:rsidRPr="00473C1F">
        <w:rPr>
          <w:szCs w:val="24"/>
        </w:rPr>
        <w:t>Tato skutečnost se odrazila ve statistických datec</w:t>
      </w:r>
      <w:r w:rsidR="00AF522C">
        <w:rPr>
          <w:szCs w:val="24"/>
        </w:rPr>
        <w:t>h za rok 2023, kdy podíl ODA na </w:t>
      </w:r>
      <w:r w:rsidRPr="00473C1F">
        <w:rPr>
          <w:szCs w:val="24"/>
        </w:rPr>
        <w:t>HND klesl na 0,2</w:t>
      </w:r>
      <w:r>
        <w:rPr>
          <w:szCs w:val="24"/>
        </w:rPr>
        <w:t>4</w:t>
      </w:r>
      <w:r w:rsidRPr="00473C1F">
        <w:rPr>
          <w:szCs w:val="24"/>
        </w:rPr>
        <w:t xml:space="preserve"> %</w:t>
      </w:r>
      <w:r>
        <w:rPr>
          <w:szCs w:val="24"/>
        </w:rPr>
        <w:t xml:space="preserve"> i za rok 2024 (0,17 % HND). Je třeba přiznat, že i </w:t>
      </w:r>
      <w:r w:rsidRPr="00473C1F">
        <w:rPr>
          <w:szCs w:val="24"/>
        </w:rPr>
        <w:t>t</w:t>
      </w:r>
      <w:r>
        <w:rPr>
          <w:szCs w:val="24"/>
        </w:rPr>
        <w:t>yto</w:t>
      </w:r>
      <w:r w:rsidRPr="00473C1F">
        <w:rPr>
          <w:szCs w:val="24"/>
        </w:rPr>
        <w:t xml:space="preserve"> hodnot</w:t>
      </w:r>
      <w:r>
        <w:rPr>
          <w:szCs w:val="24"/>
        </w:rPr>
        <w:t>y</w:t>
      </w:r>
      <w:r w:rsidRPr="00473C1F">
        <w:rPr>
          <w:szCs w:val="24"/>
        </w:rPr>
        <w:t xml:space="preserve"> zahrnuj</w:t>
      </w:r>
      <w:r>
        <w:rPr>
          <w:szCs w:val="24"/>
        </w:rPr>
        <w:t>í</w:t>
      </w:r>
      <w:r w:rsidRPr="00473C1F">
        <w:rPr>
          <w:szCs w:val="24"/>
        </w:rPr>
        <w:t xml:space="preserve"> stále ještě část podpory pro ukrajinské uprchlíky. Bez jejího započítání by podíl ODA klesl na pouhých 0,1</w:t>
      </w:r>
      <w:r>
        <w:rPr>
          <w:szCs w:val="24"/>
        </w:rPr>
        <w:t>2</w:t>
      </w:r>
      <w:r w:rsidRPr="00473C1F">
        <w:rPr>
          <w:szCs w:val="24"/>
        </w:rPr>
        <w:t xml:space="preserve"> %</w:t>
      </w:r>
      <w:r>
        <w:rPr>
          <w:szCs w:val="24"/>
        </w:rPr>
        <w:t xml:space="preserve"> (</w:t>
      </w:r>
      <w:r w:rsidRPr="00473C1F">
        <w:rPr>
          <w:szCs w:val="24"/>
        </w:rPr>
        <w:t>zejména v důsledku výrazného růstu HND</w:t>
      </w:r>
      <w:r>
        <w:rPr>
          <w:szCs w:val="24"/>
        </w:rPr>
        <w:t xml:space="preserve"> v běžných cenách </w:t>
      </w:r>
      <w:r>
        <w:rPr>
          <w:szCs w:val="24"/>
        </w:rPr>
        <w:lastRenderedPageBreak/>
        <w:t>způsobeného vysokou inflací)</w:t>
      </w:r>
      <w:r w:rsidRPr="00473C1F">
        <w:rPr>
          <w:szCs w:val="24"/>
        </w:rPr>
        <w:t>. Tím se Česká republika ocit</w:t>
      </w:r>
      <w:r w:rsidR="00AE47D4">
        <w:rPr>
          <w:szCs w:val="24"/>
        </w:rPr>
        <w:t>á</w:t>
      </w:r>
      <w:r w:rsidRPr="00473C1F">
        <w:rPr>
          <w:szCs w:val="24"/>
        </w:rPr>
        <w:t xml:space="preserve"> na samotném konci žebříčku členských států OECD, navíc bez ucelené strategie, která by naznačovala záměr systematického navyšování objemu poskytované pomoci</w:t>
      </w:r>
      <w:r>
        <w:rPr>
          <w:szCs w:val="24"/>
        </w:rPr>
        <w:t xml:space="preserve"> a jejího strategického zacílení</w:t>
      </w:r>
      <w:r w:rsidRPr="00473C1F">
        <w:rPr>
          <w:szCs w:val="24"/>
        </w:rPr>
        <w:t>.</w:t>
      </w:r>
    </w:p>
    <w:p w14:paraId="72CBB819" w14:textId="767058A3" w:rsidR="00473C1F" w:rsidRDefault="00712148" w:rsidP="00473C1F">
      <w:pPr>
        <w:pStyle w:val="Zkladntext2"/>
        <w:spacing w:after="120"/>
        <w:ind w:firstLine="708"/>
        <w:rPr>
          <w:szCs w:val="24"/>
        </w:rPr>
      </w:pPr>
      <w:r>
        <w:rPr>
          <w:noProof/>
        </w:rPr>
        <w:drawing>
          <wp:inline distT="0" distB="0" distL="0" distR="0" wp14:anchorId="4F054F63" wp14:editId="2B242A2C">
            <wp:extent cx="4845050" cy="2324100"/>
            <wp:effectExtent l="0" t="0" r="12700" b="0"/>
            <wp:docPr id="169843323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8D4FED9" w14:textId="195FA70F" w:rsidR="00BD3C30" w:rsidRPr="00EB2912" w:rsidRDefault="00BD3C30" w:rsidP="00473C1F">
      <w:pPr>
        <w:pStyle w:val="Zkladntext2"/>
        <w:spacing w:after="120"/>
        <w:ind w:firstLine="708"/>
        <w:rPr>
          <w:i/>
          <w:iCs/>
          <w:sz w:val="16"/>
          <w:szCs w:val="16"/>
        </w:rPr>
      </w:pPr>
      <w:r w:rsidRPr="00EB2912">
        <w:rPr>
          <w:i/>
          <w:iCs/>
          <w:sz w:val="16"/>
          <w:szCs w:val="16"/>
        </w:rPr>
        <w:t xml:space="preserve">Zdroj: </w:t>
      </w:r>
      <w:r w:rsidR="00EB2912" w:rsidRPr="00EB2912">
        <w:rPr>
          <w:i/>
          <w:iCs/>
          <w:sz w:val="16"/>
          <w:szCs w:val="16"/>
        </w:rPr>
        <w:t>Oficiální statistika OECD, www.oecd.org/dac</w:t>
      </w:r>
    </w:p>
    <w:p w14:paraId="4B84CBBA" w14:textId="253E039E" w:rsidR="00473C1F" w:rsidRPr="00473C1F" w:rsidRDefault="006C1FDA" w:rsidP="00473C1F">
      <w:pPr>
        <w:pStyle w:val="Zkladntext2"/>
        <w:spacing w:after="120"/>
        <w:ind w:firstLine="708"/>
        <w:rPr>
          <w:szCs w:val="24"/>
        </w:rPr>
      </w:pPr>
      <w:r>
        <w:rPr>
          <w:szCs w:val="24"/>
        </w:rPr>
        <w:t xml:space="preserve">I v rámci současného finančně i kapacitně omezeného systému se alespoň částečně daří nejen realizovat účelnou humanitární, transformační a rozvojovou asistenci, ale také získávat </w:t>
      </w:r>
      <w:r w:rsidR="00473C1F" w:rsidRPr="00473C1F">
        <w:rPr>
          <w:szCs w:val="24"/>
        </w:rPr>
        <w:t xml:space="preserve">efektivně spravovat i vyšší objemy finančních prostředků </w:t>
      </w:r>
      <w:r>
        <w:rPr>
          <w:szCs w:val="24"/>
        </w:rPr>
        <w:t xml:space="preserve">od Evropské unie </w:t>
      </w:r>
      <w:r w:rsidR="00AF522C">
        <w:rPr>
          <w:szCs w:val="24"/>
        </w:rPr>
        <w:t>a </w:t>
      </w:r>
      <w:r w:rsidR="00473C1F" w:rsidRPr="00473C1F">
        <w:rPr>
          <w:szCs w:val="24"/>
        </w:rPr>
        <w:t>generovat hmatatelné výsledky</w:t>
      </w:r>
      <w:r w:rsidR="0003086C">
        <w:rPr>
          <w:szCs w:val="24"/>
        </w:rPr>
        <w:t xml:space="preserve">. A to jak </w:t>
      </w:r>
      <w:r w:rsidR="00473C1F" w:rsidRPr="00473C1F">
        <w:rPr>
          <w:szCs w:val="24"/>
        </w:rPr>
        <w:t xml:space="preserve">v partnerských rozvojových zemích, tak v podobě konkrétních příležitostí pro české implementační subjekty a </w:t>
      </w:r>
      <w:r w:rsidR="005B7E85">
        <w:rPr>
          <w:szCs w:val="24"/>
        </w:rPr>
        <w:t xml:space="preserve">prostřednictvím </w:t>
      </w:r>
      <w:r w:rsidR="00473C1F" w:rsidRPr="00473C1F">
        <w:rPr>
          <w:szCs w:val="24"/>
        </w:rPr>
        <w:t>inovativní</w:t>
      </w:r>
      <w:r w:rsidR="005B7E85">
        <w:rPr>
          <w:szCs w:val="24"/>
        </w:rPr>
        <w:t>ch</w:t>
      </w:r>
      <w:r w:rsidR="00473C1F" w:rsidRPr="00473C1F">
        <w:rPr>
          <w:szCs w:val="24"/>
        </w:rPr>
        <w:t xml:space="preserve"> řešení s mezinárodním financováním.</w:t>
      </w:r>
      <w:r w:rsidR="005B7E85">
        <w:rPr>
          <w:szCs w:val="24"/>
        </w:rPr>
        <w:t xml:space="preserve"> Zejména jde o úspěšné projekty ČRA v rámci delegované spolupráce financované z rozpočtu EU</w:t>
      </w:r>
      <w:r w:rsidR="00263F81">
        <w:rPr>
          <w:szCs w:val="24"/>
        </w:rPr>
        <w:t xml:space="preserve"> (zejména v</w:t>
      </w:r>
      <w:r w:rsidR="005B7EA3">
        <w:rPr>
          <w:szCs w:val="24"/>
        </w:rPr>
        <w:t xml:space="preserve"> BH, MD a </w:t>
      </w:r>
      <w:r w:rsidR="00AF5301">
        <w:rPr>
          <w:szCs w:val="24"/>
        </w:rPr>
        <w:t>Z</w:t>
      </w:r>
      <w:r w:rsidR="006568FA">
        <w:rPr>
          <w:szCs w:val="24"/>
        </w:rPr>
        <w:t>M</w:t>
      </w:r>
      <w:r w:rsidR="005B777D">
        <w:rPr>
          <w:szCs w:val="24"/>
        </w:rPr>
        <w:t>)</w:t>
      </w:r>
      <w:r w:rsidR="005B7EA3">
        <w:rPr>
          <w:szCs w:val="24"/>
        </w:rPr>
        <w:t>.</w:t>
      </w:r>
      <w:r w:rsidR="00263F81">
        <w:rPr>
          <w:szCs w:val="24"/>
        </w:rPr>
        <w:t xml:space="preserve"> </w:t>
      </w:r>
    </w:p>
    <w:p w14:paraId="4C35C033" w14:textId="48ADA743" w:rsidR="00473C1F" w:rsidRPr="003D1A49" w:rsidRDefault="00473C1F" w:rsidP="004D69FA">
      <w:pPr>
        <w:pStyle w:val="Zkladntext2"/>
        <w:spacing w:after="120"/>
        <w:ind w:firstLine="708"/>
        <w:rPr>
          <w:rFonts w:asciiTheme="majorBidi" w:hAnsiTheme="majorBidi" w:cstheme="majorBidi"/>
          <w:szCs w:val="24"/>
        </w:rPr>
      </w:pPr>
      <w:r w:rsidRPr="00473C1F">
        <w:rPr>
          <w:szCs w:val="24"/>
        </w:rPr>
        <w:t>Pro období 202</w:t>
      </w:r>
      <w:r w:rsidR="005B7EA3">
        <w:rPr>
          <w:szCs w:val="24"/>
        </w:rPr>
        <w:t>7</w:t>
      </w:r>
      <w:r w:rsidRPr="00473C1F">
        <w:rPr>
          <w:szCs w:val="24"/>
        </w:rPr>
        <w:t>–202</w:t>
      </w:r>
      <w:r w:rsidR="005B7EA3">
        <w:rPr>
          <w:szCs w:val="24"/>
        </w:rPr>
        <w:t>8</w:t>
      </w:r>
      <w:r w:rsidRPr="00473C1F">
        <w:rPr>
          <w:szCs w:val="24"/>
        </w:rPr>
        <w:t xml:space="preserve"> </w:t>
      </w:r>
      <w:r w:rsidR="00E51E96">
        <w:rPr>
          <w:szCs w:val="24"/>
        </w:rPr>
        <w:t>se</w:t>
      </w:r>
      <w:r w:rsidRPr="00473C1F">
        <w:rPr>
          <w:szCs w:val="24"/>
        </w:rPr>
        <w:t xml:space="preserve"> navrhuje</w:t>
      </w:r>
      <w:r w:rsidR="00E51E96">
        <w:rPr>
          <w:szCs w:val="24"/>
        </w:rPr>
        <w:t xml:space="preserve"> v</w:t>
      </w:r>
      <w:r w:rsidRPr="00473C1F">
        <w:rPr>
          <w:szCs w:val="24"/>
        </w:rPr>
        <w:t xml:space="preserve"> </w:t>
      </w:r>
      <w:r w:rsidR="00AE47D4">
        <w:rPr>
          <w:szCs w:val="24"/>
        </w:rPr>
        <w:t>celkov</w:t>
      </w:r>
      <w:r w:rsidR="00E51E96">
        <w:rPr>
          <w:szCs w:val="24"/>
        </w:rPr>
        <w:t>ém</w:t>
      </w:r>
      <w:r w:rsidR="00AE47D4">
        <w:rPr>
          <w:szCs w:val="24"/>
        </w:rPr>
        <w:t xml:space="preserve"> </w:t>
      </w:r>
      <w:r w:rsidR="00AF522C">
        <w:rPr>
          <w:szCs w:val="24"/>
        </w:rPr>
        <w:t>objem</w:t>
      </w:r>
      <w:r w:rsidR="00E51E96">
        <w:rPr>
          <w:szCs w:val="24"/>
        </w:rPr>
        <w:t>u</w:t>
      </w:r>
      <w:r w:rsidR="00AF522C">
        <w:rPr>
          <w:szCs w:val="24"/>
        </w:rPr>
        <w:t xml:space="preserve"> prostředků na </w:t>
      </w:r>
      <w:r w:rsidRPr="00473C1F">
        <w:rPr>
          <w:szCs w:val="24"/>
        </w:rPr>
        <w:t xml:space="preserve">rozvojovou, transformační a humanitární pomoc ve výši </w:t>
      </w:r>
      <w:r w:rsidR="00AE47D4">
        <w:rPr>
          <w:szCs w:val="24"/>
        </w:rPr>
        <w:t>829</w:t>
      </w:r>
      <w:r w:rsidRPr="00473C1F">
        <w:rPr>
          <w:szCs w:val="24"/>
        </w:rPr>
        <w:t xml:space="preserve"> </w:t>
      </w:r>
      <w:r w:rsidR="00AE47D4">
        <w:rPr>
          <w:szCs w:val="24"/>
        </w:rPr>
        <w:t>8</w:t>
      </w:r>
      <w:r w:rsidRPr="00473C1F">
        <w:rPr>
          <w:szCs w:val="24"/>
        </w:rPr>
        <w:t>0</w:t>
      </w:r>
      <w:r w:rsidR="00AE47D4">
        <w:rPr>
          <w:szCs w:val="24"/>
        </w:rPr>
        <w:t>6</w:t>
      </w:r>
      <w:r w:rsidRPr="00473C1F">
        <w:rPr>
          <w:szCs w:val="24"/>
        </w:rPr>
        <w:t xml:space="preserve"> 0</w:t>
      </w:r>
      <w:r w:rsidR="00AE47D4">
        <w:rPr>
          <w:szCs w:val="24"/>
        </w:rPr>
        <w:t>59</w:t>
      </w:r>
      <w:r w:rsidRPr="00473C1F">
        <w:rPr>
          <w:szCs w:val="24"/>
        </w:rPr>
        <w:t xml:space="preserve"> Kč. Tato úroveň financování však nebude dostačující k zastavení dalšího relativního poklesu ODA</w:t>
      </w:r>
      <w:r w:rsidR="00D54F0D">
        <w:rPr>
          <w:szCs w:val="24"/>
        </w:rPr>
        <w:t xml:space="preserve"> s ohledem na </w:t>
      </w:r>
      <w:r w:rsidR="00D54F0D" w:rsidRPr="003D1A49">
        <w:rPr>
          <w:rFonts w:asciiTheme="majorBidi" w:hAnsiTheme="majorBidi" w:cstheme="majorBidi"/>
          <w:szCs w:val="24"/>
        </w:rPr>
        <w:t>růst HND</w:t>
      </w:r>
      <w:r w:rsidR="005B7EA3">
        <w:rPr>
          <w:rFonts w:asciiTheme="majorBidi" w:hAnsiTheme="majorBidi" w:cstheme="majorBidi"/>
          <w:szCs w:val="24"/>
        </w:rPr>
        <w:t>, přičemž právě ve výhledu do roku 2028 již hrozí pokles pod úroveň 0,1 % HND, pod kterou ČR od počátku vykazování nikdy nebyla.</w:t>
      </w:r>
      <w:r w:rsidR="008B5BC3" w:rsidRPr="003D1A49">
        <w:rPr>
          <w:rFonts w:asciiTheme="majorBidi" w:hAnsiTheme="majorBidi" w:cstheme="majorBidi"/>
          <w:szCs w:val="24"/>
        </w:rPr>
        <w:t xml:space="preserve"> </w:t>
      </w:r>
    </w:p>
    <w:p w14:paraId="4CE90F06" w14:textId="77777777" w:rsidR="00456CAE" w:rsidRPr="0060502C" w:rsidRDefault="00456CAE" w:rsidP="00456CAE">
      <w:pPr>
        <w:rPr>
          <w:rFonts w:asciiTheme="majorBidi" w:hAnsiTheme="majorBidi" w:cstheme="majorBid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6"/>
        <w:gridCol w:w="796"/>
        <w:gridCol w:w="796"/>
        <w:gridCol w:w="908"/>
        <w:gridCol w:w="1409"/>
        <w:gridCol w:w="1249"/>
        <w:gridCol w:w="1122"/>
        <w:gridCol w:w="1122"/>
      </w:tblGrid>
      <w:tr w:rsidR="00924FBF" w:rsidRPr="003D1A49" w14:paraId="381F6D06" w14:textId="77777777" w:rsidTr="003645E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23F2381E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502C">
              <w:rPr>
                <w:rFonts w:asciiTheme="majorBidi" w:hAnsiTheme="majorBidi" w:cstheme="majorBidi"/>
                <w:b/>
                <w:bCs/>
                <w:lang w:val="cs-CZ"/>
              </w:rPr>
              <w:t>Rok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E5F8FB2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  <w:r w:rsidRPr="003D1A49"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53186D5D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  <w:r w:rsidRPr="003D1A49"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14:paraId="6B28707C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  <w:r w:rsidRPr="003D1A49">
              <w:rPr>
                <w:rFonts w:asciiTheme="majorBidi" w:hAnsiTheme="majorBidi" w:cstheme="majorBidi"/>
              </w:rPr>
              <w:t>2023</w:t>
            </w:r>
          </w:p>
        </w:tc>
        <w:tc>
          <w:tcPr>
            <w:tcW w:w="1434" w:type="dxa"/>
          </w:tcPr>
          <w:p w14:paraId="09702DE0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A49">
              <w:rPr>
                <w:rFonts w:asciiTheme="majorBidi" w:hAnsiTheme="majorBidi" w:cstheme="majorBidi"/>
                <w:b/>
                <w:bCs/>
              </w:rPr>
              <w:t>2024</w:t>
            </w:r>
          </w:p>
        </w:tc>
        <w:tc>
          <w:tcPr>
            <w:tcW w:w="1251" w:type="dxa"/>
          </w:tcPr>
          <w:p w14:paraId="2F9CA259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A49">
              <w:rPr>
                <w:rFonts w:asciiTheme="majorBidi" w:hAnsiTheme="majorBidi" w:cstheme="majorBidi"/>
                <w:b/>
                <w:bCs/>
              </w:rPr>
              <w:t>2025</w:t>
            </w:r>
          </w:p>
        </w:tc>
        <w:tc>
          <w:tcPr>
            <w:tcW w:w="1125" w:type="dxa"/>
          </w:tcPr>
          <w:p w14:paraId="270CFE1C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A49">
              <w:rPr>
                <w:rFonts w:asciiTheme="majorBidi" w:hAnsiTheme="majorBidi" w:cstheme="majorBidi"/>
                <w:b/>
                <w:bCs/>
              </w:rPr>
              <w:t>2026</w:t>
            </w:r>
          </w:p>
        </w:tc>
        <w:tc>
          <w:tcPr>
            <w:tcW w:w="1125" w:type="dxa"/>
          </w:tcPr>
          <w:p w14:paraId="387D407A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A49">
              <w:rPr>
                <w:rFonts w:asciiTheme="majorBidi" w:hAnsiTheme="majorBidi" w:cstheme="majorBidi"/>
                <w:b/>
                <w:bCs/>
              </w:rPr>
              <w:t>2027</w:t>
            </w:r>
          </w:p>
        </w:tc>
      </w:tr>
      <w:tr w:rsidR="00924FBF" w:rsidRPr="003D1A49" w14:paraId="1653F0D4" w14:textId="77777777" w:rsidTr="003645E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28A65DD1" w14:textId="77777777" w:rsidR="00456CAE" w:rsidRPr="003D1A49" w:rsidRDefault="00456CAE" w:rsidP="003645E8">
            <w:pPr>
              <w:rPr>
                <w:rFonts w:asciiTheme="majorBidi" w:hAnsiTheme="majorBidi" w:cstheme="majorBidi"/>
                <w:b/>
                <w:bCs/>
              </w:rPr>
            </w:pPr>
            <w:r w:rsidRPr="003D1A49">
              <w:rPr>
                <w:rFonts w:asciiTheme="majorBidi" w:hAnsiTheme="majorBidi" w:cstheme="majorBidi"/>
                <w:b/>
                <w:bCs/>
              </w:rPr>
              <w:t>ODA/HND (%)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169DE37" w14:textId="77777777" w:rsidR="00456CAE" w:rsidRPr="003D1A49" w:rsidRDefault="00456CAE" w:rsidP="003645E8">
            <w:pPr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</w:pPr>
            <w:r w:rsidRPr="003D1A49"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  <w:t>0,13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257E9BCE" w14:textId="77777777" w:rsidR="00456CAE" w:rsidRPr="003D1A49" w:rsidRDefault="00456CAE" w:rsidP="003645E8">
            <w:pPr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</w:pPr>
            <w:r w:rsidRPr="003D1A49"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  <w:t>0,38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14:paraId="052BEDAE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</w:pPr>
            <w:r w:rsidRPr="003D1A49"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  <w:t>0,24</w:t>
            </w:r>
          </w:p>
        </w:tc>
        <w:tc>
          <w:tcPr>
            <w:tcW w:w="1434" w:type="dxa"/>
          </w:tcPr>
          <w:p w14:paraId="0149D666" w14:textId="52033856" w:rsidR="00456CAE" w:rsidRPr="003D1A49" w:rsidRDefault="00AE47D4" w:rsidP="003645E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0,17</w:t>
            </w:r>
          </w:p>
          <w:p w14:paraId="08B2C4A6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1" w:type="dxa"/>
          </w:tcPr>
          <w:p w14:paraId="4D2ED39F" w14:textId="2D1B7D52" w:rsidR="00456CAE" w:rsidRPr="003D1A49" w:rsidRDefault="00456CAE" w:rsidP="005B7EA3">
            <w:pPr>
              <w:jc w:val="center"/>
              <w:rPr>
                <w:rFonts w:asciiTheme="majorBidi" w:hAnsiTheme="majorBidi" w:cstheme="majorBidi"/>
              </w:rPr>
            </w:pPr>
            <w:r w:rsidRPr="003D1A49">
              <w:rPr>
                <w:rFonts w:asciiTheme="majorBidi" w:hAnsiTheme="majorBidi" w:cstheme="majorBidi"/>
              </w:rPr>
              <w:t>0,1</w:t>
            </w:r>
            <w:r w:rsidR="005B7EA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25" w:type="dxa"/>
          </w:tcPr>
          <w:p w14:paraId="18794C66" w14:textId="2418138A" w:rsidR="00456CAE" w:rsidRPr="003D1A49" w:rsidRDefault="00456CAE" w:rsidP="005B7EA3">
            <w:pPr>
              <w:jc w:val="center"/>
              <w:rPr>
                <w:rFonts w:asciiTheme="majorBidi" w:hAnsiTheme="majorBidi" w:cstheme="majorBidi"/>
              </w:rPr>
            </w:pPr>
            <w:r w:rsidRPr="003D1A49">
              <w:rPr>
                <w:rFonts w:asciiTheme="majorBidi" w:hAnsiTheme="majorBidi" w:cstheme="majorBidi"/>
              </w:rPr>
              <w:t>0,</w:t>
            </w:r>
            <w:r w:rsidR="005B7EA3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125" w:type="dxa"/>
          </w:tcPr>
          <w:p w14:paraId="0074A7BF" w14:textId="3556E36B" w:rsidR="00456CAE" w:rsidRPr="003D1A49" w:rsidRDefault="00456CAE" w:rsidP="005B7EA3">
            <w:pPr>
              <w:jc w:val="center"/>
              <w:rPr>
                <w:rFonts w:asciiTheme="majorBidi" w:hAnsiTheme="majorBidi" w:cstheme="majorBidi"/>
              </w:rPr>
            </w:pPr>
            <w:r w:rsidRPr="003D1A49">
              <w:rPr>
                <w:rFonts w:asciiTheme="majorBidi" w:hAnsiTheme="majorBidi" w:cstheme="majorBidi"/>
              </w:rPr>
              <w:t>0,</w:t>
            </w:r>
            <w:r w:rsidR="005B7EA3">
              <w:rPr>
                <w:rFonts w:asciiTheme="majorBidi" w:hAnsiTheme="majorBidi" w:cstheme="majorBidi"/>
              </w:rPr>
              <w:t>10</w:t>
            </w:r>
          </w:p>
        </w:tc>
      </w:tr>
      <w:tr w:rsidR="00924FBF" w:rsidRPr="003D1A49" w14:paraId="6A2A26F8" w14:textId="77777777" w:rsidTr="003645E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2D4AAF76" w14:textId="5095F9DC" w:rsidR="00456CAE" w:rsidRPr="003D1A49" w:rsidRDefault="00456CAE" w:rsidP="003645E8">
            <w:pPr>
              <w:rPr>
                <w:rFonts w:asciiTheme="majorBidi" w:hAnsiTheme="majorBidi" w:cstheme="majorBidi"/>
                <w:b/>
                <w:bCs/>
              </w:rPr>
            </w:pPr>
            <w:r w:rsidRPr="003D1A49">
              <w:rPr>
                <w:rFonts w:asciiTheme="majorBidi" w:hAnsiTheme="majorBidi" w:cstheme="majorBidi"/>
                <w:b/>
                <w:bCs/>
              </w:rPr>
              <w:t xml:space="preserve">HND </w:t>
            </w:r>
            <w:r w:rsidRPr="0060502C">
              <w:rPr>
                <w:rFonts w:asciiTheme="majorBidi" w:hAnsiTheme="majorBidi" w:cstheme="majorBidi"/>
                <w:b/>
                <w:bCs/>
                <w:lang w:val="cs-CZ"/>
              </w:rPr>
              <w:t>(mld</w:t>
            </w:r>
            <w:r w:rsidRPr="003D1A49">
              <w:rPr>
                <w:rFonts w:asciiTheme="majorBidi" w:hAnsiTheme="majorBidi" w:cstheme="majorBidi"/>
                <w:b/>
                <w:bCs/>
              </w:rPr>
              <w:t>.</w:t>
            </w:r>
            <w:r w:rsidRPr="0060502C">
              <w:rPr>
                <w:rFonts w:asciiTheme="majorBidi" w:hAnsiTheme="majorBidi" w:cstheme="majorBidi"/>
                <w:b/>
                <w:bCs/>
                <w:lang w:val="cs-CZ"/>
              </w:rPr>
              <w:t xml:space="preserve"> Kč</w:t>
            </w:r>
            <w:r w:rsidR="00FA13E1">
              <w:rPr>
                <w:rFonts w:asciiTheme="majorBidi" w:hAnsiTheme="majorBidi" w:cstheme="majorBidi"/>
                <w:b/>
                <w:bCs/>
              </w:rPr>
              <w:t>,</w:t>
            </w:r>
            <w:r w:rsidR="00FA13E1" w:rsidRPr="0060502C">
              <w:rPr>
                <w:rFonts w:asciiTheme="majorBidi" w:hAnsiTheme="majorBidi" w:cstheme="majorBidi"/>
                <w:b/>
                <w:bCs/>
                <w:lang w:val="cs-CZ"/>
              </w:rPr>
              <w:t xml:space="preserve"> běžné ceny</w:t>
            </w:r>
            <w:r w:rsidRPr="003D1A49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53A1AEC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</w:pPr>
            <w:r w:rsidRPr="003D1A49"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  <w:t>6,123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412791C9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</w:pPr>
            <w:r w:rsidRPr="003D1A49"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  <w:t>6,763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14:paraId="26109723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</w:pPr>
            <w:r w:rsidRPr="003D1A49">
              <w:rPr>
                <w:rFonts w:asciiTheme="majorBidi" w:hAnsiTheme="majorBidi" w:cstheme="majorBidi"/>
                <w14:glow w14:rad="0">
                  <w14:schemeClr w14:val="bg2">
                    <w14:lumMod w14:val="90000"/>
                  </w14:schemeClr>
                </w14:glow>
              </w:rPr>
              <w:t>7,509</w:t>
            </w:r>
          </w:p>
        </w:tc>
        <w:tc>
          <w:tcPr>
            <w:tcW w:w="1434" w:type="dxa"/>
          </w:tcPr>
          <w:p w14:paraId="6582E40B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  <w:r w:rsidRPr="003D1A49">
              <w:rPr>
                <w:rFonts w:asciiTheme="majorBidi" w:hAnsiTheme="majorBidi" w:cstheme="majorBidi"/>
              </w:rPr>
              <w:t>7,862</w:t>
            </w:r>
          </w:p>
          <w:p w14:paraId="69735B07" w14:textId="60951095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1" w:type="dxa"/>
          </w:tcPr>
          <w:p w14:paraId="0977FE01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  <w:r w:rsidRPr="003D1A49">
              <w:rPr>
                <w:rFonts w:asciiTheme="majorBidi" w:hAnsiTheme="majorBidi" w:cstheme="majorBidi"/>
              </w:rPr>
              <w:t>8,279</w:t>
            </w:r>
          </w:p>
          <w:p w14:paraId="5B581366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  <w:r w:rsidRPr="0060502C">
              <w:rPr>
                <w:rFonts w:asciiTheme="majorBidi" w:hAnsiTheme="majorBidi" w:cstheme="majorBidi"/>
                <w:lang w:val="cs-CZ"/>
              </w:rPr>
              <w:t>(predikce</w:t>
            </w:r>
            <w:r w:rsidRPr="003D1A49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125" w:type="dxa"/>
          </w:tcPr>
          <w:p w14:paraId="5CED223E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  <w:r w:rsidRPr="003D1A49">
              <w:rPr>
                <w:rFonts w:asciiTheme="majorBidi" w:hAnsiTheme="majorBidi" w:cstheme="majorBidi"/>
              </w:rPr>
              <w:t>8,688</w:t>
            </w:r>
          </w:p>
          <w:p w14:paraId="10479DD6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  <w:r w:rsidRPr="005B578D">
              <w:rPr>
                <w:rFonts w:asciiTheme="majorBidi" w:hAnsiTheme="majorBidi" w:cstheme="majorBidi"/>
                <w:lang w:val="cs-CZ"/>
              </w:rPr>
              <w:t>(výhled</w:t>
            </w:r>
            <w:r w:rsidRPr="003D1A49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125" w:type="dxa"/>
          </w:tcPr>
          <w:p w14:paraId="267ED124" w14:textId="77777777" w:rsidR="00456CAE" w:rsidRPr="003D1A49" w:rsidRDefault="00456CAE" w:rsidP="003645E8">
            <w:pPr>
              <w:jc w:val="center"/>
              <w:rPr>
                <w:rFonts w:asciiTheme="majorBidi" w:hAnsiTheme="majorBidi" w:cstheme="majorBidi"/>
              </w:rPr>
            </w:pPr>
            <w:r w:rsidRPr="003D1A49">
              <w:rPr>
                <w:rFonts w:asciiTheme="majorBidi" w:hAnsiTheme="majorBidi" w:cstheme="majorBidi"/>
              </w:rPr>
              <w:t xml:space="preserve">9,108 </w:t>
            </w:r>
            <w:r w:rsidRPr="005B578D">
              <w:rPr>
                <w:rFonts w:asciiTheme="majorBidi" w:hAnsiTheme="majorBidi" w:cstheme="majorBidi"/>
                <w:lang w:val="cs-CZ"/>
              </w:rPr>
              <w:t>(výhled</w:t>
            </w:r>
            <w:r w:rsidRPr="003D1A49">
              <w:rPr>
                <w:rFonts w:asciiTheme="majorBidi" w:hAnsiTheme="majorBidi" w:cstheme="majorBidi"/>
              </w:rPr>
              <w:t>)</w:t>
            </w:r>
          </w:p>
        </w:tc>
      </w:tr>
    </w:tbl>
    <w:p w14:paraId="3F87C2C3" w14:textId="77777777" w:rsidR="002D400A" w:rsidRDefault="002D400A" w:rsidP="004D69FA">
      <w:pPr>
        <w:pStyle w:val="Zkladntext2"/>
        <w:spacing w:after="120"/>
        <w:ind w:firstLine="708"/>
        <w:rPr>
          <w:szCs w:val="24"/>
        </w:rPr>
      </w:pPr>
    </w:p>
    <w:p w14:paraId="3FC8246E" w14:textId="092CAD2A" w:rsidR="004D69FA" w:rsidRDefault="004D69FA" w:rsidP="004D69FA">
      <w:pPr>
        <w:pStyle w:val="Zkladntext2"/>
        <w:spacing w:after="120"/>
        <w:ind w:firstLine="708"/>
        <w:rPr>
          <w:szCs w:val="24"/>
        </w:rPr>
      </w:pPr>
      <w:r w:rsidRPr="00473C1F">
        <w:rPr>
          <w:szCs w:val="24"/>
        </w:rPr>
        <w:t xml:space="preserve">Pokud má Česká republika dostát mezinárodnímu </w:t>
      </w:r>
      <w:r w:rsidR="00AF522C">
        <w:rPr>
          <w:szCs w:val="24"/>
        </w:rPr>
        <w:t>závazku dosáhnout úrovně ODA ve </w:t>
      </w:r>
      <w:r w:rsidRPr="00473C1F">
        <w:rPr>
          <w:szCs w:val="24"/>
        </w:rPr>
        <w:t>výši 0,33 % HND do roku 2030, bude nezbytné výrazně navýšit finanční alokace</w:t>
      </w:r>
      <w:r>
        <w:rPr>
          <w:szCs w:val="24"/>
        </w:rPr>
        <w:t>. I</w:t>
      </w:r>
      <w:r w:rsidRPr="00473C1F">
        <w:rPr>
          <w:szCs w:val="24"/>
        </w:rPr>
        <w:t xml:space="preserve">deálně </w:t>
      </w:r>
      <w:r w:rsidR="002E1947">
        <w:rPr>
          <w:szCs w:val="24"/>
        </w:rPr>
        <w:t xml:space="preserve">by to mělo být </w:t>
      </w:r>
      <w:r w:rsidRPr="00473C1F">
        <w:rPr>
          <w:szCs w:val="24"/>
        </w:rPr>
        <w:t>alespoň na úrov</w:t>
      </w:r>
      <w:r>
        <w:rPr>
          <w:szCs w:val="24"/>
        </w:rPr>
        <w:t>eň</w:t>
      </w:r>
      <w:r w:rsidRPr="00473C1F">
        <w:rPr>
          <w:szCs w:val="24"/>
        </w:rPr>
        <w:t xml:space="preserve"> jednorázov</w:t>
      </w:r>
      <w:r>
        <w:rPr>
          <w:szCs w:val="24"/>
        </w:rPr>
        <w:t>ého</w:t>
      </w:r>
      <w:r w:rsidRPr="00473C1F">
        <w:rPr>
          <w:szCs w:val="24"/>
        </w:rPr>
        <w:t xml:space="preserve"> </w:t>
      </w:r>
      <w:r>
        <w:rPr>
          <w:szCs w:val="24"/>
        </w:rPr>
        <w:t xml:space="preserve">navýšení </w:t>
      </w:r>
      <w:r w:rsidRPr="00473C1F">
        <w:rPr>
          <w:szCs w:val="24"/>
        </w:rPr>
        <w:t xml:space="preserve">prostředků </w:t>
      </w:r>
      <w:r>
        <w:rPr>
          <w:szCs w:val="24"/>
        </w:rPr>
        <w:t xml:space="preserve">z roku 2022 </w:t>
      </w:r>
      <w:r w:rsidRPr="00473C1F">
        <w:rPr>
          <w:szCs w:val="24"/>
        </w:rPr>
        <w:t>na zvládání uprchlické krize</w:t>
      </w:r>
      <w:r>
        <w:rPr>
          <w:szCs w:val="24"/>
        </w:rPr>
        <w:t xml:space="preserve"> z</w:t>
      </w:r>
      <w:r w:rsidR="005B7EA3">
        <w:rPr>
          <w:szCs w:val="24"/>
        </w:rPr>
        <w:t> </w:t>
      </w:r>
      <w:r>
        <w:rPr>
          <w:szCs w:val="24"/>
        </w:rPr>
        <w:t>Ukrajiny</w:t>
      </w:r>
      <w:r w:rsidR="005B7EA3">
        <w:rPr>
          <w:szCs w:val="24"/>
        </w:rPr>
        <w:t xml:space="preserve"> (14 mld. Kč)</w:t>
      </w:r>
      <w:r>
        <w:rPr>
          <w:szCs w:val="24"/>
        </w:rPr>
        <w:t xml:space="preserve">. A </w:t>
      </w:r>
      <w:r w:rsidRPr="00473C1F">
        <w:rPr>
          <w:szCs w:val="24"/>
        </w:rPr>
        <w:t xml:space="preserve">tyto prostředky </w:t>
      </w:r>
      <w:r w:rsidR="002E1947">
        <w:rPr>
          <w:szCs w:val="24"/>
        </w:rPr>
        <w:t xml:space="preserve">by měly být </w:t>
      </w:r>
      <w:r w:rsidRPr="00473C1F">
        <w:rPr>
          <w:szCs w:val="24"/>
        </w:rPr>
        <w:t>směřov</w:t>
      </w:r>
      <w:r w:rsidR="002E1947">
        <w:rPr>
          <w:szCs w:val="24"/>
        </w:rPr>
        <w:t>ány n</w:t>
      </w:r>
      <w:r w:rsidRPr="00473C1F">
        <w:rPr>
          <w:szCs w:val="24"/>
        </w:rPr>
        <w:t>a širší spektrum humanitárních, transformačních, rozvojových, klimatick</w:t>
      </w:r>
      <w:r w:rsidR="005B7EA3">
        <w:rPr>
          <w:szCs w:val="24"/>
        </w:rPr>
        <w:t>o-environmentálních</w:t>
      </w:r>
      <w:r w:rsidR="00AF522C">
        <w:rPr>
          <w:szCs w:val="24"/>
        </w:rPr>
        <w:t xml:space="preserve"> a </w:t>
      </w:r>
      <w:r w:rsidRPr="00473C1F">
        <w:rPr>
          <w:szCs w:val="24"/>
        </w:rPr>
        <w:t>migračních aktivit</w:t>
      </w:r>
      <w:r w:rsidR="005B7EA3">
        <w:rPr>
          <w:szCs w:val="24"/>
        </w:rPr>
        <w:t>, s důrazem nejen na zahraničně-pol</w:t>
      </w:r>
      <w:r w:rsidR="00AF522C">
        <w:rPr>
          <w:szCs w:val="24"/>
        </w:rPr>
        <w:t>itický, ale také bezpečnostní a </w:t>
      </w:r>
      <w:r w:rsidR="005B7EA3">
        <w:rPr>
          <w:szCs w:val="24"/>
        </w:rPr>
        <w:t>ekonomický přínos</w:t>
      </w:r>
      <w:r w:rsidRPr="00473C1F">
        <w:rPr>
          <w:szCs w:val="24"/>
        </w:rPr>
        <w:t>.</w:t>
      </w:r>
      <w:r>
        <w:rPr>
          <w:szCs w:val="24"/>
        </w:rPr>
        <w:t xml:space="preserve"> </w:t>
      </w:r>
    </w:p>
    <w:p w14:paraId="76CFD5C3" w14:textId="661E013E" w:rsidR="00473C1F" w:rsidRDefault="00473C1F" w:rsidP="004D69FA">
      <w:pPr>
        <w:pStyle w:val="Zkladntext2"/>
        <w:spacing w:after="120"/>
        <w:ind w:firstLine="708"/>
        <w:rPr>
          <w:szCs w:val="24"/>
        </w:rPr>
      </w:pPr>
      <w:r w:rsidRPr="00473C1F">
        <w:rPr>
          <w:szCs w:val="24"/>
        </w:rPr>
        <w:lastRenderedPageBreak/>
        <w:t>Naplnění tohoto cíle však bude možné pouze za předp</w:t>
      </w:r>
      <w:r w:rsidR="00AF522C">
        <w:rPr>
          <w:szCs w:val="24"/>
        </w:rPr>
        <w:t>okladu širší politické shody na </w:t>
      </w:r>
      <w:r w:rsidRPr="00473C1F">
        <w:rPr>
          <w:szCs w:val="24"/>
        </w:rPr>
        <w:t>dlouhodobě udržitelném nastavení systému zahraniční spolupráce, a to nejen z hlediska financí, ale rovněž v oblasti personálního zabezpečení a legislativního rámce.</w:t>
      </w:r>
    </w:p>
    <w:p w14:paraId="0E33088E" w14:textId="77777777" w:rsidR="00473C1F" w:rsidRDefault="00473C1F" w:rsidP="00F6233B">
      <w:pPr>
        <w:pStyle w:val="Zkladntext2"/>
        <w:spacing w:before="0" w:after="120"/>
        <w:ind w:firstLine="708"/>
        <w:rPr>
          <w:szCs w:val="24"/>
        </w:rPr>
      </w:pPr>
    </w:p>
    <w:p w14:paraId="378A890A" w14:textId="1FDD4C91" w:rsidR="009130E3" w:rsidRPr="00430496" w:rsidRDefault="009130E3" w:rsidP="009130E3">
      <w:pPr>
        <w:jc w:val="both"/>
        <w:rPr>
          <w:b/>
          <w:bCs/>
        </w:rPr>
      </w:pPr>
      <w:r w:rsidRPr="00430496">
        <w:rPr>
          <w:b/>
          <w:bCs/>
        </w:rPr>
        <w:t xml:space="preserve">Dvoustranná rozvojová spolupráce </w:t>
      </w:r>
    </w:p>
    <w:p w14:paraId="29E0605B" w14:textId="77777777" w:rsidR="009130E3" w:rsidRDefault="009130E3" w:rsidP="009130E3">
      <w:pPr>
        <w:jc w:val="both"/>
      </w:pPr>
    </w:p>
    <w:p w14:paraId="5CCF2D0B" w14:textId="79942A53" w:rsidR="00DA5E95" w:rsidRDefault="00522B10" w:rsidP="00F4509F">
      <w:pPr>
        <w:ind w:firstLine="708"/>
        <w:jc w:val="both"/>
      </w:pPr>
      <w:r>
        <w:t>Z hlediska střednědobého výhledu se p</w:t>
      </w:r>
      <w:r w:rsidR="009130E3">
        <w:t>ro realizaci dvoustranné zahraniční rozvojové spolupráce (ZRS) v roce 202</w:t>
      </w:r>
      <w:r w:rsidR="00900BE0">
        <w:t>7</w:t>
      </w:r>
      <w:r w:rsidR="009130E3">
        <w:t xml:space="preserve"> </w:t>
      </w:r>
      <w:r w:rsidR="005B7EA3">
        <w:t xml:space="preserve">i 2028 </w:t>
      </w:r>
      <w:r w:rsidR="00AE47D4">
        <w:t xml:space="preserve">předběžně </w:t>
      </w:r>
      <w:r w:rsidR="007D239F">
        <w:t xml:space="preserve">navrhuje alokace ve výši </w:t>
      </w:r>
      <w:r w:rsidR="00AE47D4" w:rsidRPr="00AE47D4">
        <w:t>467</w:t>
      </w:r>
      <w:r w:rsidR="00AE47D4">
        <w:t> </w:t>
      </w:r>
      <w:r w:rsidR="00AE47D4" w:rsidRPr="00AE47D4">
        <w:t>406</w:t>
      </w:r>
      <w:r w:rsidR="00AF522C">
        <w:t> </w:t>
      </w:r>
      <w:r w:rsidR="00AE47D4" w:rsidRPr="00AE47D4">
        <w:t>059</w:t>
      </w:r>
      <w:r w:rsidR="00AF522C">
        <w:t> </w:t>
      </w:r>
      <w:r w:rsidR="009130E3">
        <w:t>Kč</w:t>
      </w:r>
      <w:r w:rsidR="00AF522C">
        <w:t>. Na </w:t>
      </w:r>
      <w:r w:rsidR="009F55D7">
        <w:t xml:space="preserve">rozvojové aktivity </w:t>
      </w:r>
      <w:r w:rsidR="009834E7">
        <w:t xml:space="preserve">OSS </w:t>
      </w:r>
      <w:r w:rsidR="009F55D7">
        <w:t xml:space="preserve">MZV </w:t>
      </w:r>
      <w:r w:rsidR="009834E7">
        <w:t xml:space="preserve">(tj. bez OSS ČRA) </w:t>
      </w:r>
      <w:r w:rsidR="009F55D7">
        <w:t xml:space="preserve">a koordinaci ZRS v gesci MZV </w:t>
      </w:r>
      <w:r w:rsidR="007A1022">
        <w:t>se plánuje vydělit 1</w:t>
      </w:r>
      <w:r w:rsidR="00AE47D4">
        <w:t>4</w:t>
      </w:r>
      <w:r w:rsidR="005B7EA3">
        <w:t>6</w:t>
      </w:r>
      <w:r w:rsidR="00AF522C">
        <w:t> </w:t>
      </w:r>
      <w:r w:rsidR="007A1022">
        <w:t>454</w:t>
      </w:r>
      <w:r w:rsidR="00AF522C">
        <w:t> </w:t>
      </w:r>
      <w:r w:rsidR="007A1022">
        <w:t>395</w:t>
      </w:r>
      <w:r w:rsidR="00AF522C">
        <w:t> </w:t>
      </w:r>
      <w:r w:rsidR="007A1022">
        <w:t>Kč</w:t>
      </w:r>
      <w:r w:rsidR="007013E4">
        <w:t>, přičemž z této částky bude určeno 24</w:t>
      </w:r>
      <w:r w:rsidR="00AF522C">
        <w:t> </w:t>
      </w:r>
      <w:r w:rsidR="007013E4">
        <w:t>000</w:t>
      </w:r>
      <w:r w:rsidR="00AF522C">
        <w:t> </w:t>
      </w:r>
      <w:r w:rsidR="007013E4">
        <w:t>000</w:t>
      </w:r>
      <w:r w:rsidR="00AF522C">
        <w:t> </w:t>
      </w:r>
      <w:r w:rsidR="007013E4">
        <w:t>Kč</w:t>
      </w:r>
      <w:r w:rsidR="00B65E13">
        <w:t xml:space="preserve"> na projekty ve spolupráci s ostatními institucemi státní správy</w:t>
      </w:r>
      <w:r w:rsidR="0064316B">
        <w:t xml:space="preserve"> (Ministerstvem financí, Ministerstvem průmyslu a</w:t>
      </w:r>
      <w:r w:rsidR="00AF522C">
        <w:t> </w:t>
      </w:r>
      <w:r w:rsidR="0064316B">
        <w:t>obchodu, Ministerstvem vnitra</w:t>
      </w:r>
      <w:r w:rsidR="00DA5E95">
        <w:t xml:space="preserve"> a</w:t>
      </w:r>
      <w:r w:rsidR="005B578D">
        <w:t xml:space="preserve"> </w:t>
      </w:r>
      <w:r w:rsidR="00DA5E95">
        <w:t>d</w:t>
      </w:r>
      <w:r w:rsidR="005B578D">
        <w:t>alšími</w:t>
      </w:r>
      <w:r w:rsidR="00DA5E95">
        <w:t xml:space="preserve"> resorty a státními expertními institucemi</w:t>
      </w:r>
      <w:r w:rsidR="0064316B">
        <w:t>).</w:t>
      </w:r>
    </w:p>
    <w:p w14:paraId="7E2844A6" w14:textId="36FC3C95" w:rsidR="00DA5E95" w:rsidRDefault="00DA5E95" w:rsidP="00DA5E95">
      <w:pPr>
        <w:ind w:firstLine="708"/>
        <w:jc w:val="both"/>
      </w:pPr>
      <w:r>
        <w:t>Na projekty ZRS realizované v gesci jiných resortů se počítá s</w:t>
      </w:r>
      <w:r w:rsidR="00B4293A">
        <w:t xml:space="preserve"> celkovou</w:t>
      </w:r>
      <w:r>
        <w:t> částkou 115</w:t>
      </w:r>
      <w:r w:rsidR="00AF522C">
        <w:t> </w:t>
      </w:r>
      <w:r>
        <w:t>000</w:t>
      </w:r>
      <w:r w:rsidR="00AF522C">
        <w:t> </w:t>
      </w:r>
      <w:r>
        <w:t>000</w:t>
      </w:r>
      <w:r w:rsidR="00AF522C">
        <w:t> K</w:t>
      </w:r>
      <w:r>
        <w:t xml:space="preserve">č, </w:t>
      </w:r>
      <w:r w:rsidR="00B4293A">
        <w:t>v tom</w:t>
      </w:r>
      <w:r>
        <w:t xml:space="preserve"> 112</w:t>
      </w:r>
      <w:r w:rsidR="00AF522C">
        <w:t> </w:t>
      </w:r>
      <w:r>
        <w:t>000</w:t>
      </w:r>
      <w:r w:rsidR="00AF522C">
        <w:t> </w:t>
      </w:r>
      <w:r>
        <w:t>000</w:t>
      </w:r>
      <w:r w:rsidR="00AF522C">
        <w:t> </w:t>
      </w:r>
      <w:r>
        <w:t>Kč na rozvojová stipendia prostřednictvím Ministerstva školství, mládeže a tělovýchovy a 3</w:t>
      </w:r>
      <w:r w:rsidR="00AF522C">
        <w:t> </w:t>
      </w:r>
      <w:r>
        <w:t>000</w:t>
      </w:r>
      <w:r w:rsidR="00AF522C">
        <w:t> </w:t>
      </w:r>
      <w:r>
        <w:t>000</w:t>
      </w:r>
      <w:r w:rsidR="00AF522C">
        <w:t> </w:t>
      </w:r>
      <w:r>
        <w:t>Kč na financování zdravotní péče pro stipendisty v gesci Ministerstva zdravotnictví.</w:t>
      </w:r>
    </w:p>
    <w:p w14:paraId="09509270" w14:textId="77777777" w:rsidR="00F951EE" w:rsidRDefault="00F951EE" w:rsidP="00F4509F">
      <w:pPr>
        <w:ind w:firstLine="708"/>
        <w:jc w:val="both"/>
      </w:pPr>
    </w:p>
    <w:p w14:paraId="512E0985" w14:textId="184C116B" w:rsidR="009130E3" w:rsidRDefault="009130E3" w:rsidP="00BE477C">
      <w:pPr>
        <w:ind w:firstLine="708"/>
        <w:jc w:val="both"/>
      </w:pPr>
      <w:r>
        <w:t xml:space="preserve">Klíčovým realizátorem </w:t>
      </w:r>
      <w:r w:rsidR="009A4EF5">
        <w:t xml:space="preserve">dvoustranné </w:t>
      </w:r>
      <w:r w:rsidR="009918B6">
        <w:t xml:space="preserve">ZRS </w:t>
      </w:r>
      <w:r w:rsidR="007711BE">
        <w:t xml:space="preserve">je </w:t>
      </w:r>
      <w:r>
        <w:t>Česká rozvojová agentura (ČRA)</w:t>
      </w:r>
      <w:r w:rsidR="00B22FE5">
        <w:t xml:space="preserve">, </w:t>
      </w:r>
      <w:r w:rsidR="00F90010">
        <w:t xml:space="preserve">pro kterou je v rozpočtu ZRS alokováno v </w:t>
      </w:r>
      <w:r w:rsidR="009918B6">
        <w:t xml:space="preserve">letech 2027 a 2028 shodně </w:t>
      </w:r>
      <w:r w:rsidR="00AE47D4">
        <w:t>320</w:t>
      </w:r>
      <w:r w:rsidR="00AF522C">
        <w:t> </w:t>
      </w:r>
      <w:r w:rsidR="00AE47D4">
        <w:t>951</w:t>
      </w:r>
      <w:r w:rsidR="00AF522C">
        <w:t> </w:t>
      </w:r>
      <w:r w:rsidR="00AE47D4">
        <w:t>664</w:t>
      </w:r>
      <w:r w:rsidR="00AF522C">
        <w:t> </w:t>
      </w:r>
      <w:r w:rsidR="007711BE">
        <w:t>Kč ročně</w:t>
      </w:r>
      <w:r w:rsidR="00AF522C">
        <w:t xml:space="preserve"> ze </w:t>
      </w:r>
      <w:r w:rsidR="007D239F">
        <w:t>státního rozpočtu a indikativně 384 240</w:t>
      </w:r>
      <w:r w:rsidR="00AF522C">
        <w:t> </w:t>
      </w:r>
      <w:r w:rsidR="007D239F">
        <w:t>000</w:t>
      </w:r>
      <w:r w:rsidR="00AF522C">
        <w:t> </w:t>
      </w:r>
      <w:r w:rsidR="007D239F">
        <w:t>Kč v r</w:t>
      </w:r>
      <w:r w:rsidR="00AF522C">
        <w:t>oce</w:t>
      </w:r>
      <w:r w:rsidR="007D239F">
        <w:t xml:space="preserve"> 2027 a 266 627</w:t>
      </w:r>
      <w:r w:rsidR="00AF522C">
        <w:t> </w:t>
      </w:r>
      <w:r w:rsidR="007D239F">
        <w:t>050</w:t>
      </w:r>
      <w:r w:rsidR="00AF522C">
        <w:t> </w:t>
      </w:r>
      <w:r w:rsidR="007D239F">
        <w:t xml:space="preserve">Kč </w:t>
      </w:r>
      <w:r w:rsidR="00AF522C" w:rsidRPr="009834E7">
        <w:t>v roce 2028 </w:t>
      </w:r>
      <w:r w:rsidR="007D239F" w:rsidRPr="009834E7">
        <w:t>z delegované spolupráce s</w:t>
      </w:r>
      <w:r w:rsidR="00815935" w:rsidRPr="009834E7">
        <w:t> </w:t>
      </w:r>
      <w:r w:rsidR="007D239F" w:rsidRPr="009834E7">
        <w:t>EK</w:t>
      </w:r>
      <w:r w:rsidR="00815935" w:rsidRPr="009834E7">
        <w:t xml:space="preserve"> (jedná se o plán, prostředky EU se rozpočtují n</w:t>
      </w:r>
      <w:r w:rsidR="00815935">
        <w:t>a rok N+1)</w:t>
      </w:r>
      <w:r w:rsidR="007711BE">
        <w:t xml:space="preserve">. </w:t>
      </w:r>
      <w:r>
        <w:t xml:space="preserve">Hlavním nástrojem </w:t>
      </w:r>
      <w:r w:rsidR="00DB7A38">
        <w:t xml:space="preserve">ZRS ČR </w:t>
      </w:r>
      <w:r>
        <w:t>zůstávají bilaterální rozvojové projekty realizované v</w:t>
      </w:r>
      <w:r w:rsidR="009834E7">
        <w:t> </w:t>
      </w:r>
      <w:r>
        <w:t xml:space="preserve">prioritních partnerských zemích, které se řídí tematickými prioritami </w:t>
      </w:r>
      <w:r w:rsidR="00DA5E95" w:rsidRPr="009834E7">
        <w:t>¨zakotvenými</w:t>
      </w:r>
      <w:r w:rsidR="009834E7">
        <w:t>“</w:t>
      </w:r>
      <w:r w:rsidR="00DA5E95">
        <w:t xml:space="preserve"> v programech spolupráce na období 2024</w:t>
      </w:r>
      <w:r w:rsidR="00AF522C">
        <w:t> </w:t>
      </w:r>
      <w:r w:rsidR="00DA5E95">
        <w:t>-</w:t>
      </w:r>
      <w:r w:rsidR="00AF522C">
        <w:t> </w:t>
      </w:r>
      <w:r w:rsidR="00DA5E95">
        <w:t>2030</w:t>
      </w:r>
      <w:r>
        <w:t>. Tyto projekty doplňuje širší spektrum aktivit</w:t>
      </w:r>
      <w:r w:rsidR="00015EA4">
        <w:t xml:space="preserve">, a to od </w:t>
      </w:r>
      <w:r>
        <w:t>posilování kapacit implementačních partnerů, přes trilaterální spolupráci s</w:t>
      </w:r>
      <w:r w:rsidR="009834E7">
        <w:t> </w:t>
      </w:r>
      <w:r>
        <w:t xml:space="preserve">využitím evropských či jiných mezinárodních fondů, až po projekty rozvojového vzdělávání a osvěty </w:t>
      </w:r>
      <w:r w:rsidR="00F85EB2">
        <w:t>v Česku</w:t>
      </w:r>
      <w:r>
        <w:t>.</w:t>
      </w:r>
    </w:p>
    <w:p w14:paraId="40718FA0" w14:textId="3452C21C" w:rsidR="00875EB7" w:rsidRDefault="009130E3" w:rsidP="00F4509F">
      <w:pPr>
        <w:ind w:firstLine="708"/>
        <w:jc w:val="both"/>
      </w:pPr>
      <w:r>
        <w:t xml:space="preserve">ČRA bude nadále využívat nástroj delegované spolupráce, který umožňuje realizovat projekty prostřednictvím finančních mechanismů EU. Důraz se klade rovněž na aktivní zapojení do </w:t>
      </w:r>
      <w:r w:rsidR="002D44F8">
        <w:t xml:space="preserve">iniciativ </w:t>
      </w:r>
      <w:r>
        <w:t>Team Europe</w:t>
      </w:r>
      <w:r w:rsidR="00F613FD">
        <w:t xml:space="preserve"> (T</w:t>
      </w:r>
      <w:r w:rsidR="002D44F8">
        <w:t>eam Europe Iniciative, T</w:t>
      </w:r>
      <w:r w:rsidR="00F613FD">
        <w:t>EI)</w:t>
      </w:r>
      <w:r w:rsidR="00AF522C">
        <w:t>, jež propojují národní a </w:t>
      </w:r>
      <w:r>
        <w:t>evropské přístupy k rozvojové politice</w:t>
      </w:r>
      <w:r w:rsidR="002551AF">
        <w:t xml:space="preserve"> a díky koordinovanému a koherentnímu úsilí </w:t>
      </w:r>
      <w:r w:rsidR="00AF522C">
        <w:t>cílí na </w:t>
      </w:r>
      <w:r w:rsidR="002551AF">
        <w:t>výsledky s transformačním dopadem.</w:t>
      </w:r>
      <w:r w:rsidR="00875EB7">
        <w:t xml:space="preserve"> Zapojením Česka do </w:t>
      </w:r>
      <w:r w:rsidR="00D660E2">
        <w:t xml:space="preserve">TEI </w:t>
      </w:r>
      <w:r w:rsidR="00875EB7">
        <w:t xml:space="preserve">a </w:t>
      </w:r>
      <w:r w:rsidR="00D660E2">
        <w:t xml:space="preserve">rovněž do </w:t>
      </w:r>
      <w:r w:rsidR="00875EB7">
        <w:t xml:space="preserve">sdružování zdrojů a odborných znalostí </w:t>
      </w:r>
      <w:r w:rsidR="006468E6">
        <w:t xml:space="preserve">v rámci spolupráce </w:t>
      </w:r>
      <w:r w:rsidR="00945C27">
        <w:t xml:space="preserve">členských zemí EU lze </w:t>
      </w:r>
      <w:r w:rsidR="00875EB7">
        <w:t>poskyt</w:t>
      </w:r>
      <w:r w:rsidR="00945C27">
        <w:t xml:space="preserve">ovat </w:t>
      </w:r>
      <w:r w:rsidR="00AF522C">
        <w:t>projekty s </w:t>
      </w:r>
      <w:r w:rsidR="00875EB7">
        <w:t>větší efektivit</w:t>
      </w:r>
      <w:r w:rsidR="00030978">
        <w:t>ou</w:t>
      </w:r>
      <w:r w:rsidR="00DA5E95">
        <w:t>,</w:t>
      </w:r>
      <w:r w:rsidR="00875EB7">
        <w:t xml:space="preserve"> </w:t>
      </w:r>
      <w:r w:rsidR="00030978">
        <w:t xml:space="preserve">silnějším </w:t>
      </w:r>
      <w:r w:rsidR="00875EB7">
        <w:t>dopad</w:t>
      </w:r>
      <w:r w:rsidR="00030978">
        <w:t>em</w:t>
      </w:r>
      <w:r w:rsidR="00E65779">
        <w:t xml:space="preserve"> na rozvojové země a regiony</w:t>
      </w:r>
      <w:r w:rsidR="00DA5E95">
        <w:t xml:space="preserve"> i větší vizibilitou</w:t>
      </w:r>
      <w:r w:rsidR="00875EB7">
        <w:t>.</w:t>
      </w:r>
      <w:r w:rsidR="00030978">
        <w:t xml:space="preserve"> Podobně </w:t>
      </w:r>
      <w:r w:rsidR="00DA5E95">
        <w:t xml:space="preserve">bude ČR usilovat o </w:t>
      </w:r>
      <w:r w:rsidR="00030978">
        <w:t>zapojení do strategie Global Gateway</w:t>
      </w:r>
      <w:r w:rsidR="003B79B0">
        <w:t>, do projektů v rámci předvstupní pomoci (IPA III) a projektů implementujících Plán růstu pro západní Balkán</w:t>
      </w:r>
      <w:r w:rsidR="00AF522C">
        <w:t xml:space="preserve"> a </w:t>
      </w:r>
      <w:r w:rsidR="00F33F3D">
        <w:t>pro Moldavsko</w:t>
      </w:r>
      <w:r w:rsidR="00030978">
        <w:t>.</w:t>
      </w:r>
    </w:p>
    <w:p w14:paraId="12334034" w14:textId="77777777" w:rsidR="00DA5E95" w:rsidRDefault="00DA5E95" w:rsidP="00A70938">
      <w:pPr>
        <w:ind w:firstLine="708"/>
        <w:jc w:val="both"/>
      </w:pPr>
    </w:p>
    <w:p w14:paraId="798E5162" w14:textId="77777777" w:rsidR="00654B98" w:rsidRPr="00430496" w:rsidRDefault="009130E3" w:rsidP="009130E3">
      <w:pPr>
        <w:jc w:val="both"/>
        <w:rPr>
          <w:b/>
          <w:bCs/>
        </w:rPr>
      </w:pPr>
      <w:r w:rsidRPr="00430496">
        <w:rPr>
          <w:b/>
          <w:bCs/>
        </w:rPr>
        <w:t>Transformační spolupráce</w:t>
      </w:r>
    </w:p>
    <w:p w14:paraId="19D5207E" w14:textId="51EFDA16" w:rsidR="009130E3" w:rsidRDefault="009130E3" w:rsidP="009130E3">
      <w:pPr>
        <w:jc w:val="both"/>
      </w:pPr>
      <w:r>
        <w:t xml:space="preserve"> </w:t>
      </w:r>
    </w:p>
    <w:p w14:paraId="204C53AC" w14:textId="4D60C1B3" w:rsidR="009130E3" w:rsidRDefault="009130E3" w:rsidP="003D1A49">
      <w:pPr>
        <w:ind w:firstLine="708"/>
        <w:jc w:val="both"/>
      </w:pPr>
      <w:r>
        <w:t>Na transformační spolupráci</w:t>
      </w:r>
      <w:r w:rsidR="00A343B5">
        <w:t xml:space="preserve"> </w:t>
      </w:r>
      <w:r w:rsidR="00654B98">
        <w:t xml:space="preserve">v rámci </w:t>
      </w:r>
      <w:r w:rsidR="00A343B5">
        <w:t xml:space="preserve">naplňování </w:t>
      </w:r>
      <w:r w:rsidR="00654B98">
        <w:t xml:space="preserve">české zahraniční politiky </w:t>
      </w:r>
      <w:r w:rsidR="00F33F3D">
        <w:t xml:space="preserve">stanovilo MF předběžně </w:t>
      </w:r>
      <w:r>
        <w:t>v letech 202</w:t>
      </w:r>
      <w:r w:rsidR="00564B42">
        <w:t>7</w:t>
      </w:r>
      <w:r>
        <w:t xml:space="preserve"> a 202</w:t>
      </w:r>
      <w:r w:rsidR="00564B42">
        <w:t>8</w:t>
      </w:r>
      <w:r>
        <w:t xml:space="preserve"> </w:t>
      </w:r>
      <w:r w:rsidR="00C82D89">
        <w:t xml:space="preserve">prostředky ve výši </w:t>
      </w:r>
      <w:r w:rsidR="00F33F3D">
        <w:t>82</w:t>
      </w:r>
      <w:r w:rsidR="00AF522C">
        <w:t> </w:t>
      </w:r>
      <w:r w:rsidR="00F33F3D">
        <w:t>4</w:t>
      </w:r>
      <w:r>
        <w:t>00</w:t>
      </w:r>
      <w:r w:rsidR="00AF522C">
        <w:t> </w:t>
      </w:r>
      <w:r>
        <w:t>000</w:t>
      </w:r>
      <w:r w:rsidR="00AF522C">
        <w:t> </w:t>
      </w:r>
      <w:r>
        <w:t xml:space="preserve">Kč ročně. Tato forma pomoci, řízená MZV, je zaměřena na podporu </w:t>
      </w:r>
      <w:r w:rsidR="00A343B5">
        <w:t xml:space="preserve">hodnot, </w:t>
      </w:r>
      <w:r>
        <w:t>demokratizačních procesů</w:t>
      </w:r>
      <w:r w:rsidR="00A343B5">
        <w:t xml:space="preserve"> a institucí</w:t>
      </w:r>
      <w:r>
        <w:t>, posilování právního státu, rozvoj občanské společnosti a principů dobré správy (good governance).</w:t>
      </w:r>
    </w:p>
    <w:p w14:paraId="53668BBB" w14:textId="08A89170" w:rsidR="009130E3" w:rsidRDefault="009130E3" w:rsidP="003D1A49">
      <w:pPr>
        <w:ind w:firstLine="708"/>
        <w:jc w:val="both"/>
      </w:pPr>
      <w:r>
        <w:t xml:space="preserve">Jedná se o jednu z dlouhodobých priorit české zahraniční politiky, která se odráží například v aktivní účasti ČR v Radě OSN pro lidská práva. Finanční prostředky budou využívány na projekty realizované ve spolupráci s českými, místními i mezinárodními </w:t>
      </w:r>
      <w:r>
        <w:lastRenderedPageBreak/>
        <w:t>partnery, přičemž klíčová je jejich flexibilita a schopnost reagovat na aktuální vývoj v</w:t>
      </w:r>
      <w:r w:rsidR="00AF522C">
        <w:t> </w:t>
      </w:r>
      <w:r>
        <w:t>partnerských zemích.</w:t>
      </w:r>
    </w:p>
    <w:p w14:paraId="200B782D" w14:textId="77777777" w:rsidR="009130E3" w:rsidRDefault="009130E3" w:rsidP="009130E3">
      <w:pPr>
        <w:jc w:val="both"/>
      </w:pPr>
    </w:p>
    <w:p w14:paraId="730E17C2" w14:textId="370F3760" w:rsidR="009130E3" w:rsidRPr="00430496" w:rsidRDefault="009130E3" w:rsidP="009130E3">
      <w:pPr>
        <w:jc w:val="both"/>
        <w:rPr>
          <w:b/>
          <w:bCs/>
        </w:rPr>
      </w:pPr>
      <w:r w:rsidRPr="00430496">
        <w:rPr>
          <w:b/>
          <w:bCs/>
        </w:rPr>
        <w:t>Humanitární pomoc</w:t>
      </w:r>
    </w:p>
    <w:p w14:paraId="1B6CCB8B" w14:textId="77777777" w:rsidR="00DA5E95" w:rsidRDefault="00DA5E95" w:rsidP="003D1A49">
      <w:pPr>
        <w:ind w:firstLine="708"/>
        <w:jc w:val="both"/>
      </w:pPr>
    </w:p>
    <w:p w14:paraId="1BB0FA35" w14:textId="5ABDC66F" w:rsidR="009130E3" w:rsidRDefault="009130E3" w:rsidP="003D1A49">
      <w:pPr>
        <w:ind w:firstLine="708"/>
        <w:jc w:val="both"/>
      </w:pPr>
      <w:r>
        <w:t>Pro humanitární pomoc</w:t>
      </w:r>
      <w:r w:rsidR="00CF0614">
        <w:t xml:space="preserve">, </w:t>
      </w:r>
      <w:r w:rsidR="002153B5">
        <w:t xml:space="preserve">jež reaguje na rostoucí globální potřeby </w:t>
      </w:r>
      <w:r w:rsidR="00CF0614">
        <w:t>vzhledem k</w:t>
      </w:r>
      <w:r w:rsidR="00BB767C">
        <w:t> </w:t>
      </w:r>
      <w:r w:rsidR="00CF0614">
        <w:t>eskalujícím humanitárním krizím, konfliktům a rostoucím dopadům klimatických změn</w:t>
      </w:r>
      <w:r w:rsidR="00DF40CE">
        <w:t>,</w:t>
      </w:r>
      <w:r w:rsidR="000A2583">
        <w:t xml:space="preserve"> se</w:t>
      </w:r>
      <w:r w:rsidR="00BB767C">
        <w:t> </w:t>
      </w:r>
      <w:r w:rsidR="000A2583">
        <w:t xml:space="preserve">plánují prostředky v objemu </w:t>
      </w:r>
      <w:r w:rsidR="00F33F3D">
        <w:t>16</w:t>
      </w:r>
      <w:r>
        <w:t>5 000 000 Kč ročně</w:t>
      </w:r>
      <w:r w:rsidR="00DA5E95">
        <w:t xml:space="preserve"> v letech 2027 i 2028</w:t>
      </w:r>
      <w:r>
        <w:t xml:space="preserve">. </w:t>
      </w:r>
    </w:p>
    <w:p w14:paraId="6F7B8A82" w14:textId="6703FECE" w:rsidR="009130E3" w:rsidRDefault="009130E3" w:rsidP="003D1A49">
      <w:pPr>
        <w:ind w:firstLine="708"/>
        <w:jc w:val="both"/>
      </w:pPr>
      <w:r>
        <w:t>M</w:t>
      </w:r>
      <w:r w:rsidR="005A7704">
        <w:t xml:space="preserve">inisterstvo zahraničních věcí </w:t>
      </w:r>
      <w:r>
        <w:t xml:space="preserve">dlouhodobě čerpá rozpočet </w:t>
      </w:r>
      <w:r w:rsidR="00430496">
        <w:t xml:space="preserve">na humanitární pomoc </w:t>
      </w:r>
      <w:r>
        <w:t>v</w:t>
      </w:r>
      <w:r w:rsidR="00BB767C">
        <w:t> </w:t>
      </w:r>
      <w:r>
        <w:t>plném rozsahu a opakovaně deklaruje připravenost zvládnout i vyšší objemy prostředků, a</w:t>
      </w:r>
      <w:r w:rsidR="00BB767C">
        <w:t> </w:t>
      </w:r>
      <w:r>
        <w:t>to navzdory omezeným personálním kapacitám. Rozdělování prostředků probíhá na základě každoroční</w:t>
      </w:r>
      <w:r w:rsidR="00DA5E95">
        <w:t>ho</w:t>
      </w:r>
      <w:r>
        <w:t xml:space="preserve"> </w:t>
      </w:r>
      <w:r w:rsidR="00DA5E95">
        <w:t>Plánu</w:t>
      </w:r>
      <w:r w:rsidR="00D3631F">
        <w:t xml:space="preserve"> humanitární pomoci</w:t>
      </w:r>
      <w:r>
        <w:t>, s důrazem na transparentnost</w:t>
      </w:r>
      <w:r w:rsidR="00DA5E95">
        <w:t>, účelnost a efektivitu odezvy</w:t>
      </w:r>
      <w:r>
        <w:t>.</w:t>
      </w:r>
    </w:p>
    <w:p w14:paraId="5CF53820" w14:textId="77777777" w:rsidR="00F6383B" w:rsidRDefault="00F6383B" w:rsidP="00F6383B">
      <w:pPr>
        <w:jc w:val="both"/>
      </w:pPr>
    </w:p>
    <w:p w14:paraId="4946A754" w14:textId="77777777" w:rsidR="005B7EA3" w:rsidRDefault="005B7EA3" w:rsidP="00F6383B">
      <w:pPr>
        <w:jc w:val="both"/>
      </w:pPr>
    </w:p>
    <w:p w14:paraId="46770A34" w14:textId="536E8109" w:rsidR="00F6383B" w:rsidRDefault="00F6383B" w:rsidP="00F6383B">
      <w:pPr>
        <w:jc w:val="both"/>
        <w:rPr>
          <w:b/>
        </w:rPr>
      </w:pPr>
      <w:r>
        <w:rPr>
          <w:b/>
        </w:rPr>
        <w:t xml:space="preserve">Indikativní objemy </w:t>
      </w:r>
      <w:r w:rsidRPr="0045223E">
        <w:rPr>
          <w:b/>
        </w:rPr>
        <w:t xml:space="preserve">ODA </w:t>
      </w:r>
      <w:r w:rsidR="00525C9D">
        <w:rPr>
          <w:b/>
        </w:rPr>
        <w:t xml:space="preserve">a </w:t>
      </w:r>
      <w:r w:rsidRPr="0045223E">
        <w:rPr>
          <w:b/>
        </w:rPr>
        <w:t xml:space="preserve">ZRS </w:t>
      </w:r>
      <w:r w:rsidR="00525C9D">
        <w:rPr>
          <w:b/>
        </w:rPr>
        <w:t xml:space="preserve">potřebné </w:t>
      </w:r>
      <w:r w:rsidRPr="0045223E">
        <w:rPr>
          <w:b/>
        </w:rPr>
        <w:t xml:space="preserve">v případě navyšování </w:t>
      </w:r>
      <w:r>
        <w:rPr>
          <w:b/>
        </w:rPr>
        <w:t>na</w:t>
      </w:r>
      <w:r w:rsidRPr="0045223E">
        <w:rPr>
          <w:b/>
        </w:rPr>
        <w:t xml:space="preserve"> 0,33 % HND (2030)</w:t>
      </w:r>
    </w:p>
    <w:p w14:paraId="4B98A405" w14:textId="77777777" w:rsidR="00DA5E95" w:rsidRDefault="00DA5E95" w:rsidP="00F6383B">
      <w:pPr>
        <w:jc w:val="both"/>
        <w:rPr>
          <w:b/>
        </w:rPr>
      </w:pPr>
    </w:p>
    <w:p w14:paraId="597791B2" w14:textId="40D81157" w:rsidR="00DA5E95" w:rsidRDefault="00DA5E95" w:rsidP="00F6383B">
      <w:pPr>
        <w:jc w:val="both"/>
      </w:pPr>
      <w:r>
        <w:t xml:space="preserve">Na závěr je opětovně připojen přehled, jaké objemy by měly být vyčleňovány na Oficiální rozvojovou pomoc, pokud by ČR měla do roku 2030 dosáhnout EU závazku ve výši 0,33 % HND. </w:t>
      </w:r>
    </w:p>
    <w:p w14:paraId="50B813AF" w14:textId="6E5ED5C5" w:rsidR="00DA5E95" w:rsidRPr="00DA5E95" w:rsidRDefault="005B578D" w:rsidP="00F6383B">
      <w:pPr>
        <w:jc w:val="both"/>
      </w:pPr>
      <w:r>
        <w:t>Pokud by vláda přijala závazek ODA za svůj podobně jako závazky v oblasti bezpečnosti (přičemž také ODA tyto aspekty zahrnuje), mohla by předem plánovat nejen prostředky Plánu ZRS, ale celkovou ODA, a to z hlediska podílu humanitární, rozvojové, klimatické a</w:t>
      </w:r>
      <w:r w:rsidR="00BB767C">
        <w:t> </w:t>
      </w:r>
      <w:r>
        <w:t>environmentální a migrační agendy, z hlediska strategické spolupráce s rozvojovými zeměmi i mezinárodními organizacemi i z hlediska zapojení do delegované spolupráce a</w:t>
      </w:r>
      <w:r w:rsidR="00BB767C">
        <w:t> </w:t>
      </w:r>
      <w:r>
        <w:t xml:space="preserve">finančních nástrojů a programů EU. </w:t>
      </w:r>
      <w:r w:rsidR="00DA5E95">
        <w:t>Tím by bylo možné dlouhodobě a předvídatelně plánovat také související kapacity a přínosy.</w:t>
      </w:r>
    </w:p>
    <w:p w14:paraId="39D91E98" w14:textId="77777777" w:rsidR="00DA5E95" w:rsidRPr="0045223E" w:rsidRDefault="00DA5E95" w:rsidP="00F6383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993"/>
        <w:gridCol w:w="1134"/>
        <w:gridCol w:w="992"/>
        <w:gridCol w:w="1134"/>
        <w:gridCol w:w="992"/>
        <w:gridCol w:w="992"/>
      </w:tblGrid>
      <w:tr w:rsidR="00F6383B" w14:paraId="5B856A14" w14:textId="77777777" w:rsidTr="003645E8">
        <w:tc>
          <w:tcPr>
            <w:tcW w:w="2943" w:type="dxa"/>
            <w:shd w:val="clear" w:color="auto" w:fill="auto"/>
          </w:tcPr>
          <w:p w14:paraId="5FCF39EA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Rok</w:t>
            </w:r>
          </w:p>
        </w:tc>
        <w:tc>
          <w:tcPr>
            <w:tcW w:w="993" w:type="dxa"/>
            <w:shd w:val="clear" w:color="auto" w:fill="auto"/>
          </w:tcPr>
          <w:p w14:paraId="2BEDBBB9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A476965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14:paraId="00A32295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D726E45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14:paraId="79FD131F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14:paraId="7CD39198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2030</w:t>
            </w:r>
          </w:p>
        </w:tc>
      </w:tr>
      <w:tr w:rsidR="00F6383B" w14:paraId="4DBBE92B" w14:textId="77777777" w:rsidTr="003645E8">
        <w:tc>
          <w:tcPr>
            <w:tcW w:w="2943" w:type="dxa"/>
            <w:shd w:val="clear" w:color="auto" w:fill="auto"/>
          </w:tcPr>
          <w:p w14:paraId="284376D4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ODA/HND (%)</w:t>
            </w:r>
          </w:p>
        </w:tc>
        <w:tc>
          <w:tcPr>
            <w:tcW w:w="993" w:type="dxa"/>
            <w:shd w:val="clear" w:color="auto" w:fill="auto"/>
          </w:tcPr>
          <w:p w14:paraId="3F327CA1" w14:textId="77777777" w:rsidR="00F6383B" w:rsidRPr="00F03B24" w:rsidRDefault="00F6383B" w:rsidP="003645E8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0,17</w:t>
            </w:r>
          </w:p>
        </w:tc>
        <w:tc>
          <w:tcPr>
            <w:tcW w:w="1134" w:type="dxa"/>
            <w:shd w:val="clear" w:color="auto" w:fill="auto"/>
          </w:tcPr>
          <w:p w14:paraId="0EE40F9F" w14:textId="77777777" w:rsidR="00F6383B" w:rsidRPr="00F03B24" w:rsidRDefault="00F6383B" w:rsidP="003645E8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0,20</w:t>
            </w:r>
          </w:p>
        </w:tc>
        <w:tc>
          <w:tcPr>
            <w:tcW w:w="992" w:type="dxa"/>
            <w:shd w:val="clear" w:color="auto" w:fill="auto"/>
          </w:tcPr>
          <w:p w14:paraId="5E380626" w14:textId="77777777" w:rsidR="00F6383B" w:rsidRPr="00F03B24" w:rsidRDefault="00F6383B" w:rsidP="003645E8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0,24</w:t>
            </w:r>
          </w:p>
        </w:tc>
        <w:tc>
          <w:tcPr>
            <w:tcW w:w="1134" w:type="dxa"/>
            <w:shd w:val="clear" w:color="auto" w:fill="auto"/>
          </w:tcPr>
          <w:p w14:paraId="2650D345" w14:textId="77777777" w:rsidR="00F6383B" w:rsidRPr="00F03B24" w:rsidRDefault="00F6383B" w:rsidP="003645E8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0,27</w:t>
            </w:r>
          </w:p>
        </w:tc>
        <w:tc>
          <w:tcPr>
            <w:tcW w:w="992" w:type="dxa"/>
            <w:shd w:val="clear" w:color="auto" w:fill="auto"/>
          </w:tcPr>
          <w:p w14:paraId="05C5D463" w14:textId="77777777" w:rsidR="00F6383B" w:rsidRPr="00F03B24" w:rsidRDefault="00F6383B" w:rsidP="003645E8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0,30</w:t>
            </w:r>
          </w:p>
        </w:tc>
        <w:tc>
          <w:tcPr>
            <w:tcW w:w="992" w:type="dxa"/>
            <w:shd w:val="clear" w:color="auto" w:fill="auto"/>
          </w:tcPr>
          <w:p w14:paraId="11719709" w14:textId="77777777" w:rsidR="00F6383B" w:rsidRPr="00F03B24" w:rsidRDefault="00F6383B" w:rsidP="003645E8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0,33</w:t>
            </w:r>
          </w:p>
        </w:tc>
      </w:tr>
      <w:tr w:rsidR="00F6383B" w14:paraId="4C532398" w14:textId="77777777" w:rsidTr="003645E8">
        <w:tc>
          <w:tcPr>
            <w:tcW w:w="2943" w:type="dxa"/>
            <w:shd w:val="clear" w:color="auto" w:fill="auto"/>
          </w:tcPr>
          <w:p w14:paraId="3CECF99A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HND (mil. USD) odhad</w:t>
            </w:r>
          </w:p>
        </w:tc>
        <w:tc>
          <w:tcPr>
            <w:tcW w:w="993" w:type="dxa"/>
            <w:shd w:val="clear" w:color="auto" w:fill="auto"/>
          </w:tcPr>
          <w:p w14:paraId="6A3060C2" w14:textId="5527C5AE" w:rsidR="00F6383B" w:rsidRPr="00F03B24" w:rsidRDefault="00F6383B" w:rsidP="00DA5E95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3</w:t>
            </w:r>
            <w:r w:rsidR="00DA5E95">
              <w:rPr>
                <w:sz w:val="22"/>
                <w:szCs w:val="22"/>
              </w:rPr>
              <w:t>76 300</w:t>
            </w:r>
          </w:p>
        </w:tc>
        <w:tc>
          <w:tcPr>
            <w:tcW w:w="1134" w:type="dxa"/>
            <w:shd w:val="clear" w:color="auto" w:fill="auto"/>
          </w:tcPr>
          <w:p w14:paraId="5CFCEE2F" w14:textId="66CB8236" w:rsidR="00F6383B" w:rsidRPr="00F03B24" w:rsidRDefault="00F6383B" w:rsidP="00DA5E95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3</w:t>
            </w:r>
            <w:r w:rsidR="00DA5E95">
              <w:rPr>
                <w:sz w:val="22"/>
                <w:szCs w:val="22"/>
              </w:rPr>
              <w:t>94 900</w:t>
            </w:r>
          </w:p>
        </w:tc>
        <w:tc>
          <w:tcPr>
            <w:tcW w:w="992" w:type="dxa"/>
            <w:shd w:val="clear" w:color="auto" w:fill="auto"/>
          </w:tcPr>
          <w:p w14:paraId="6E4A56A4" w14:textId="7E1C6BB8" w:rsidR="00F6383B" w:rsidRPr="00F03B24" w:rsidRDefault="00F6383B" w:rsidP="00CF63F6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4</w:t>
            </w:r>
            <w:r w:rsidR="00CF63F6">
              <w:rPr>
                <w:sz w:val="22"/>
                <w:szCs w:val="22"/>
              </w:rPr>
              <w:t>14</w:t>
            </w:r>
            <w:r w:rsidRPr="00F03B2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</w:tcPr>
          <w:p w14:paraId="34EABC0D" w14:textId="524EEF25" w:rsidR="00F6383B" w:rsidRPr="00F03B24" w:rsidRDefault="00CF63F6" w:rsidP="00364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  <w:r w:rsidR="00F6383B" w:rsidRPr="00F03B2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shd w:val="clear" w:color="auto" w:fill="auto"/>
          </w:tcPr>
          <w:p w14:paraId="2C3D1CE9" w14:textId="62989AAE" w:rsidR="00F6383B" w:rsidRPr="00F03B24" w:rsidRDefault="00CF63F6" w:rsidP="00364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="00F6383B" w:rsidRPr="00F03B2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shd w:val="clear" w:color="auto" w:fill="auto"/>
          </w:tcPr>
          <w:p w14:paraId="3F8AD67C" w14:textId="3CCEFA43" w:rsidR="00F6383B" w:rsidRPr="00F03B24" w:rsidRDefault="00F6383B" w:rsidP="00CF63F6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4</w:t>
            </w:r>
            <w:r w:rsidR="00CF63F6">
              <w:rPr>
                <w:sz w:val="22"/>
                <w:szCs w:val="22"/>
              </w:rPr>
              <w:t>8</w:t>
            </w:r>
            <w:r w:rsidRPr="00F03B24">
              <w:rPr>
                <w:sz w:val="22"/>
                <w:szCs w:val="22"/>
              </w:rPr>
              <w:t>0 000</w:t>
            </w:r>
          </w:p>
        </w:tc>
      </w:tr>
      <w:tr w:rsidR="00F6383B" w14:paraId="67253841" w14:textId="77777777" w:rsidTr="003645E8">
        <w:tc>
          <w:tcPr>
            <w:tcW w:w="2943" w:type="dxa"/>
            <w:shd w:val="clear" w:color="auto" w:fill="auto"/>
          </w:tcPr>
          <w:p w14:paraId="2C89622D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ODA (mil. USD) odhad</w:t>
            </w:r>
          </w:p>
        </w:tc>
        <w:tc>
          <w:tcPr>
            <w:tcW w:w="993" w:type="dxa"/>
            <w:shd w:val="clear" w:color="auto" w:fill="auto"/>
          </w:tcPr>
          <w:p w14:paraId="2D8817AA" w14:textId="585C8AD6" w:rsidR="00F6383B" w:rsidRPr="00F03B24" w:rsidRDefault="00CF63F6" w:rsidP="00CF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134" w:type="dxa"/>
            <w:shd w:val="clear" w:color="auto" w:fill="auto"/>
          </w:tcPr>
          <w:p w14:paraId="59009AE4" w14:textId="10B77A99" w:rsidR="00F6383B" w:rsidRPr="00F03B24" w:rsidRDefault="00CF63F6" w:rsidP="00364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</w:t>
            </w:r>
          </w:p>
        </w:tc>
        <w:tc>
          <w:tcPr>
            <w:tcW w:w="992" w:type="dxa"/>
            <w:shd w:val="clear" w:color="auto" w:fill="auto"/>
          </w:tcPr>
          <w:p w14:paraId="0742F745" w14:textId="04278FEA" w:rsidR="00F6383B" w:rsidRPr="00F03B24" w:rsidRDefault="00CF63F6" w:rsidP="00364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1134" w:type="dxa"/>
            <w:shd w:val="clear" w:color="auto" w:fill="auto"/>
          </w:tcPr>
          <w:p w14:paraId="2F14CEC2" w14:textId="02D26BA1" w:rsidR="00F6383B" w:rsidRPr="00F03B24" w:rsidRDefault="00CF63F6" w:rsidP="00364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1 160</w:t>
            </w:r>
          </w:p>
        </w:tc>
        <w:tc>
          <w:tcPr>
            <w:tcW w:w="992" w:type="dxa"/>
            <w:shd w:val="clear" w:color="auto" w:fill="auto"/>
          </w:tcPr>
          <w:p w14:paraId="4C4CC743" w14:textId="03117F5B" w:rsidR="00F6383B" w:rsidRPr="00F03B24" w:rsidRDefault="00F6383B" w:rsidP="00CF63F6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 xml:space="preserve">1 </w:t>
            </w:r>
            <w:r w:rsidR="00CF63F6">
              <w:rPr>
                <w:sz w:val="22"/>
                <w:szCs w:val="22"/>
              </w:rPr>
              <w:t>38</w:t>
            </w:r>
            <w:r w:rsidRPr="00F03B2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852690" w14:textId="222897F0" w:rsidR="00F6383B" w:rsidRPr="00F03B24" w:rsidRDefault="00F6383B" w:rsidP="00CF63F6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 xml:space="preserve">1 </w:t>
            </w:r>
            <w:r w:rsidR="00CF63F6">
              <w:rPr>
                <w:sz w:val="22"/>
                <w:szCs w:val="22"/>
              </w:rPr>
              <w:t>584</w:t>
            </w:r>
          </w:p>
        </w:tc>
      </w:tr>
      <w:tr w:rsidR="00F6383B" w14:paraId="66E6D376" w14:textId="77777777" w:rsidTr="003645E8">
        <w:tc>
          <w:tcPr>
            <w:tcW w:w="2943" w:type="dxa"/>
            <w:shd w:val="clear" w:color="auto" w:fill="auto"/>
          </w:tcPr>
          <w:p w14:paraId="19EBFC91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>ODA (mld. Kč) odhad</w:t>
            </w:r>
          </w:p>
        </w:tc>
        <w:tc>
          <w:tcPr>
            <w:tcW w:w="993" w:type="dxa"/>
            <w:shd w:val="clear" w:color="auto" w:fill="auto"/>
          </w:tcPr>
          <w:p w14:paraId="0D45102F" w14:textId="746C179A" w:rsidR="00F6383B" w:rsidRPr="00427D0E" w:rsidRDefault="00F6383B" w:rsidP="00C975BB">
            <w:pPr>
              <w:jc w:val="center"/>
              <w:rPr>
                <w:b/>
                <w:sz w:val="22"/>
                <w:szCs w:val="22"/>
              </w:rPr>
            </w:pPr>
            <w:r w:rsidRPr="00427D0E">
              <w:rPr>
                <w:b/>
                <w:sz w:val="22"/>
                <w:szCs w:val="22"/>
              </w:rPr>
              <w:t>1</w:t>
            </w:r>
            <w:r w:rsidR="00CF63F6">
              <w:rPr>
                <w:b/>
                <w:sz w:val="22"/>
                <w:szCs w:val="22"/>
              </w:rPr>
              <w:t>4</w:t>
            </w:r>
            <w:r w:rsidRPr="00427D0E">
              <w:rPr>
                <w:b/>
                <w:sz w:val="22"/>
                <w:szCs w:val="22"/>
              </w:rPr>
              <w:t>,</w:t>
            </w:r>
            <w:r w:rsidR="00C975BB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14:paraId="2D8A95D2" w14:textId="79533483" w:rsidR="00F6383B" w:rsidRPr="00427D0E" w:rsidRDefault="00F6383B" w:rsidP="00CF63F6">
            <w:pPr>
              <w:jc w:val="center"/>
              <w:rPr>
                <w:b/>
                <w:sz w:val="22"/>
                <w:szCs w:val="22"/>
              </w:rPr>
            </w:pPr>
            <w:r w:rsidRPr="00427D0E">
              <w:rPr>
                <w:b/>
                <w:sz w:val="22"/>
                <w:szCs w:val="22"/>
              </w:rPr>
              <w:t>1</w:t>
            </w:r>
            <w:r w:rsidR="00CF63F6">
              <w:rPr>
                <w:b/>
                <w:sz w:val="22"/>
                <w:szCs w:val="22"/>
              </w:rPr>
              <w:t>7</w:t>
            </w:r>
            <w:r w:rsidRPr="00427D0E">
              <w:rPr>
                <w:b/>
                <w:sz w:val="22"/>
                <w:szCs w:val="22"/>
              </w:rPr>
              <w:t>,</w:t>
            </w:r>
            <w:r w:rsidR="00CF63F6">
              <w:rPr>
                <w:b/>
                <w:sz w:val="22"/>
                <w:szCs w:val="22"/>
              </w:rPr>
              <w:t>3</w:t>
            </w:r>
            <w:r w:rsidRPr="00427D0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8A25C5A" w14:textId="466C31E4" w:rsidR="00F6383B" w:rsidRPr="002A3AFE" w:rsidRDefault="00CF63F6" w:rsidP="00D14F89">
            <w:pPr>
              <w:jc w:val="center"/>
              <w:rPr>
                <w:b/>
                <w:sz w:val="22"/>
                <w:szCs w:val="22"/>
              </w:rPr>
            </w:pPr>
            <w:r w:rsidRPr="002A3AFE">
              <w:rPr>
                <w:b/>
                <w:sz w:val="22"/>
                <w:szCs w:val="22"/>
              </w:rPr>
              <w:t>21</w:t>
            </w:r>
            <w:r w:rsidR="00F6383B" w:rsidRPr="002A3AFE">
              <w:rPr>
                <w:b/>
                <w:sz w:val="22"/>
                <w:szCs w:val="22"/>
              </w:rPr>
              <w:t>,</w:t>
            </w:r>
            <w:r w:rsidRPr="002A3AFE">
              <w:rPr>
                <w:b/>
                <w:sz w:val="22"/>
                <w:szCs w:val="22"/>
              </w:rPr>
              <w:t>8</w:t>
            </w:r>
            <w:r w:rsidR="00D14F89" w:rsidRPr="002A3AF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7BDB1FA" w14:textId="2DAAF00D" w:rsidR="00F6383B" w:rsidRPr="002A3AFE" w:rsidRDefault="00F6383B" w:rsidP="00D14F89">
            <w:pPr>
              <w:jc w:val="center"/>
              <w:rPr>
                <w:b/>
                <w:sz w:val="22"/>
                <w:szCs w:val="22"/>
              </w:rPr>
            </w:pPr>
            <w:r w:rsidRPr="002A3AFE">
              <w:rPr>
                <w:b/>
                <w:sz w:val="22"/>
                <w:szCs w:val="22"/>
              </w:rPr>
              <w:t>2</w:t>
            </w:r>
            <w:r w:rsidR="00CF63F6" w:rsidRPr="002A3AFE">
              <w:rPr>
                <w:b/>
                <w:sz w:val="22"/>
                <w:szCs w:val="22"/>
              </w:rPr>
              <w:t>5</w:t>
            </w:r>
            <w:r w:rsidRPr="002A3AFE">
              <w:rPr>
                <w:b/>
                <w:sz w:val="22"/>
                <w:szCs w:val="22"/>
              </w:rPr>
              <w:t>,</w:t>
            </w:r>
            <w:r w:rsidR="00CF63F6" w:rsidRPr="002A3AFE">
              <w:rPr>
                <w:b/>
                <w:sz w:val="22"/>
                <w:szCs w:val="22"/>
              </w:rPr>
              <w:t>5</w:t>
            </w:r>
            <w:r w:rsidR="00D14F89" w:rsidRPr="002A3AF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3619006" w14:textId="6F6AFB48" w:rsidR="00F6383B" w:rsidRPr="00427D0E" w:rsidRDefault="00CF63F6" w:rsidP="00364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30,36</w:t>
            </w:r>
          </w:p>
        </w:tc>
        <w:tc>
          <w:tcPr>
            <w:tcW w:w="992" w:type="dxa"/>
            <w:shd w:val="clear" w:color="auto" w:fill="auto"/>
          </w:tcPr>
          <w:p w14:paraId="60DF059A" w14:textId="2A469B74" w:rsidR="00F6383B" w:rsidRPr="00427D0E" w:rsidRDefault="00CF63F6" w:rsidP="00364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34,85</w:t>
            </w:r>
          </w:p>
        </w:tc>
      </w:tr>
      <w:tr w:rsidR="00F6383B" w14:paraId="216C480A" w14:textId="77777777" w:rsidTr="003645E8">
        <w:tc>
          <w:tcPr>
            <w:tcW w:w="2943" w:type="dxa"/>
            <w:shd w:val="clear" w:color="auto" w:fill="auto"/>
          </w:tcPr>
          <w:p w14:paraId="404B52FF" w14:textId="0093758A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  <w:r w:rsidRPr="00F03B24">
              <w:rPr>
                <w:b/>
                <w:sz w:val="22"/>
                <w:szCs w:val="22"/>
              </w:rPr>
              <w:t xml:space="preserve">Z toho </w:t>
            </w:r>
            <w:r w:rsidR="005B578D" w:rsidRPr="00F03B24">
              <w:rPr>
                <w:b/>
                <w:sz w:val="22"/>
                <w:szCs w:val="22"/>
              </w:rPr>
              <w:t>b</w:t>
            </w:r>
            <w:r w:rsidR="00966DB6">
              <w:rPr>
                <w:b/>
                <w:sz w:val="22"/>
                <w:szCs w:val="22"/>
              </w:rPr>
              <w:t>i</w:t>
            </w:r>
            <w:r w:rsidR="005B578D" w:rsidRPr="00F03B24">
              <w:rPr>
                <w:b/>
                <w:sz w:val="22"/>
                <w:szCs w:val="22"/>
              </w:rPr>
              <w:t>lat</w:t>
            </w:r>
            <w:r w:rsidRPr="00F03B2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ODA 30–</w:t>
            </w:r>
            <w:r w:rsidRPr="00F03B24">
              <w:rPr>
                <w:b/>
                <w:sz w:val="22"/>
                <w:szCs w:val="22"/>
              </w:rPr>
              <w:t>40 %</w:t>
            </w:r>
            <w:r>
              <w:rPr>
                <w:b/>
                <w:sz w:val="22"/>
                <w:szCs w:val="22"/>
              </w:rPr>
              <w:t xml:space="preserve"> (mld. Kč)</w:t>
            </w:r>
            <w:r w:rsidRPr="00F03B24">
              <w:rPr>
                <w:b/>
                <w:sz w:val="22"/>
                <w:szCs w:val="22"/>
              </w:rPr>
              <w:t xml:space="preserve"> odhad</w:t>
            </w:r>
          </w:p>
          <w:p w14:paraId="24BBE784" w14:textId="77777777" w:rsidR="00F6383B" w:rsidRPr="00F03B24" w:rsidRDefault="00F6383B" w:rsidP="003645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7AD757D" w14:textId="1D82F663" w:rsidR="00F6383B" w:rsidRPr="00F03B24" w:rsidRDefault="00CF63F6" w:rsidP="00364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C975B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48121A4" w14:textId="490E1538" w:rsidR="00F6383B" w:rsidRPr="00F03B24" w:rsidRDefault="00CF63F6" w:rsidP="00364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6383B" w:rsidRPr="00F03B24"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14:paraId="58F45343" w14:textId="77777777" w:rsidR="00F6383B" w:rsidRPr="00F03B24" w:rsidRDefault="00F6383B" w:rsidP="003645E8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6,5</w:t>
            </w:r>
          </w:p>
        </w:tc>
        <w:tc>
          <w:tcPr>
            <w:tcW w:w="1134" w:type="dxa"/>
            <w:shd w:val="clear" w:color="auto" w:fill="auto"/>
          </w:tcPr>
          <w:p w14:paraId="302B2482" w14:textId="1F91D76C" w:rsidR="00F6383B" w:rsidRPr="00F03B24" w:rsidRDefault="00F6383B" w:rsidP="00CF63F6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8,</w:t>
            </w:r>
            <w:r w:rsidR="00CF63F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22449AD" w14:textId="7636E952" w:rsidR="00F6383B" w:rsidRPr="00F03B24" w:rsidRDefault="00F6383B" w:rsidP="003645E8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10</w:t>
            </w:r>
            <w:r w:rsidR="00CF63F6"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14:paraId="452B1909" w14:textId="667B8BA0" w:rsidR="00F6383B" w:rsidRPr="00F03B24" w:rsidRDefault="00F6383B" w:rsidP="00CF63F6">
            <w:pPr>
              <w:jc w:val="center"/>
              <w:rPr>
                <w:sz w:val="22"/>
                <w:szCs w:val="22"/>
              </w:rPr>
            </w:pPr>
            <w:r w:rsidRPr="00F03B24">
              <w:rPr>
                <w:sz w:val="22"/>
                <w:szCs w:val="22"/>
              </w:rPr>
              <w:t>1</w:t>
            </w:r>
            <w:r w:rsidR="00CF63F6">
              <w:rPr>
                <w:sz w:val="22"/>
                <w:szCs w:val="22"/>
              </w:rPr>
              <w:t>1,6</w:t>
            </w:r>
          </w:p>
        </w:tc>
      </w:tr>
    </w:tbl>
    <w:p w14:paraId="521462FA" w14:textId="1B731FFF" w:rsidR="00F6383B" w:rsidRPr="00F913B9" w:rsidRDefault="00F913B9" w:rsidP="00F6383B">
      <w:pPr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F913B9">
        <w:rPr>
          <w:rFonts w:asciiTheme="majorBidi" w:hAnsiTheme="majorBidi" w:cstheme="majorBidi"/>
          <w:i/>
          <w:iCs/>
          <w:sz w:val="20"/>
          <w:szCs w:val="20"/>
        </w:rPr>
        <w:t>Zdroj: ORS, MZV ČR</w:t>
      </w:r>
      <w:r w:rsidR="00525C9D">
        <w:rPr>
          <w:rFonts w:asciiTheme="majorBidi" w:hAnsiTheme="majorBidi" w:cstheme="majorBidi"/>
          <w:i/>
          <w:iCs/>
          <w:sz w:val="20"/>
          <w:szCs w:val="20"/>
        </w:rPr>
        <w:t>; použitý aktuální kurz 1 USD=22 Kč</w:t>
      </w:r>
    </w:p>
    <w:p w14:paraId="7325E543" w14:textId="77777777" w:rsidR="00F6383B" w:rsidRPr="00F913B9" w:rsidRDefault="00F6383B" w:rsidP="00F6383B">
      <w:pPr>
        <w:jc w:val="both"/>
        <w:rPr>
          <w:rFonts w:asciiTheme="majorBidi" w:hAnsiTheme="majorBidi" w:cstheme="majorBidi"/>
          <w:i/>
          <w:iCs/>
          <w:sz w:val="20"/>
          <w:szCs w:val="20"/>
        </w:rPr>
      </w:pPr>
      <w:bookmarkStart w:id="0" w:name="_GoBack"/>
      <w:bookmarkEnd w:id="0"/>
    </w:p>
    <w:sectPr w:rsidR="00F6383B" w:rsidRPr="00F913B9" w:rsidSect="00B516C6">
      <w:footerReference w:type="even" r:id="rId9"/>
      <w:footerReference w:type="default" r:id="rId10"/>
      <w:pgSz w:w="11906" w:h="16838"/>
      <w:pgMar w:top="125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25445" w14:textId="77777777" w:rsidR="00E34323" w:rsidRDefault="00E34323">
      <w:r>
        <w:separator/>
      </w:r>
    </w:p>
  </w:endnote>
  <w:endnote w:type="continuationSeparator" w:id="0">
    <w:p w14:paraId="3A9F1804" w14:textId="77777777" w:rsidR="00E34323" w:rsidRDefault="00E3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DBAC1" w14:textId="77777777" w:rsidR="00BB31DE" w:rsidRDefault="00BB31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2279F9" w14:textId="77777777" w:rsidR="00BB31DE" w:rsidRDefault="00BB31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969B0" w14:textId="77777777" w:rsidR="00BB31DE" w:rsidRDefault="00BB31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3AFE">
      <w:rPr>
        <w:rStyle w:val="slostrnky"/>
        <w:noProof/>
      </w:rPr>
      <w:t>3</w:t>
    </w:r>
    <w:r>
      <w:rPr>
        <w:rStyle w:val="slostrnky"/>
      </w:rPr>
      <w:fldChar w:fldCharType="end"/>
    </w:r>
  </w:p>
  <w:p w14:paraId="664844D0" w14:textId="77777777" w:rsidR="00BB31DE" w:rsidRDefault="00BB31D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D8EA9" w14:textId="77777777" w:rsidR="00E34323" w:rsidRDefault="00E34323">
      <w:r>
        <w:separator/>
      </w:r>
    </w:p>
  </w:footnote>
  <w:footnote w:type="continuationSeparator" w:id="0">
    <w:p w14:paraId="13B24B42" w14:textId="77777777" w:rsidR="00E34323" w:rsidRDefault="00E3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E8D"/>
    <w:multiLevelType w:val="hybridMultilevel"/>
    <w:tmpl w:val="59768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64C4E"/>
    <w:multiLevelType w:val="hybridMultilevel"/>
    <w:tmpl w:val="3D264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17C52"/>
    <w:multiLevelType w:val="hybridMultilevel"/>
    <w:tmpl w:val="438A5C0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B0D2A86"/>
    <w:multiLevelType w:val="hybridMultilevel"/>
    <w:tmpl w:val="0B46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B6312"/>
    <w:multiLevelType w:val="hybridMultilevel"/>
    <w:tmpl w:val="0D6665D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31074C4"/>
    <w:multiLevelType w:val="hybridMultilevel"/>
    <w:tmpl w:val="BE7E5FE0"/>
    <w:lvl w:ilvl="0" w:tplc="87AE99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03E93"/>
    <w:multiLevelType w:val="hybridMultilevel"/>
    <w:tmpl w:val="86B8A802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isterstvo financí">
    <w15:presenceInfo w15:providerId="None" w15:userId="Ministerstvo financí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C6"/>
    <w:rsid w:val="000062C8"/>
    <w:rsid w:val="0001086D"/>
    <w:rsid w:val="00012167"/>
    <w:rsid w:val="0001369F"/>
    <w:rsid w:val="00015EA4"/>
    <w:rsid w:val="000268C3"/>
    <w:rsid w:val="000272D6"/>
    <w:rsid w:val="0003086C"/>
    <w:rsid w:val="00030978"/>
    <w:rsid w:val="00036FE3"/>
    <w:rsid w:val="00044F57"/>
    <w:rsid w:val="00045EF4"/>
    <w:rsid w:val="000467A8"/>
    <w:rsid w:val="000546BD"/>
    <w:rsid w:val="00056122"/>
    <w:rsid w:val="000614F8"/>
    <w:rsid w:val="00062423"/>
    <w:rsid w:val="000624C0"/>
    <w:rsid w:val="00064691"/>
    <w:rsid w:val="00067180"/>
    <w:rsid w:val="0007070E"/>
    <w:rsid w:val="000717B7"/>
    <w:rsid w:val="00072FC1"/>
    <w:rsid w:val="000763F6"/>
    <w:rsid w:val="00084B59"/>
    <w:rsid w:val="0009141F"/>
    <w:rsid w:val="000927C9"/>
    <w:rsid w:val="0009618D"/>
    <w:rsid w:val="000A2583"/>
    <w:rsid w:val="000A5305"/>
    <w:rsid w:val="000B64C1"/>
    <w:rsid w:val="000C0F41"/>
    <w:rsid w:val="000C78A9"/>
    <w:rsid w:val="000D0BE1"/>
    <w:rsid w:val="000D0D90"/>
    <w:rsid w:val="000F45FB"/>
    <w:rsid w:val="000F550E"/>
    <w:rsid w:val="0010045B"/>
    <w:rsid w:val="00101CBD"/>
    <w:rsid w:val="00106224"/>
    <w:rsid w:val="00110A7C"/>
    <w:rsid w:val="00114048"/>
    <w:rsid w:val="00117605"/>
    <w:rsid w:val="00124653"/>
    <w:rsid w:val="00130CD0"/>
    <w:rsid w:val="0014246F"/>
    <w:rsid w:val="001444A2"/>
    <w:rsid w:val="001447CE"/>
    <w:rsid w:val="00145484"/>
    <w:rsid w:val="00146127"/>
    <w:rsid w:val="00147ED9"/>
    <w:rsid w:val="00153CF3"/>
    <w:rsid w:val="001551D2"/>
    <w:rsid w:val="00155E56"/>
    <w:rsid w:val="00160AEB"/>
    <w:rsid w:val="00164604"/>
    <w:rsid w:val="00170614"/>
    <w:rsid w:val="00171942"/>
    <w:rsid w:val="001734D5"/>
    <w:rsid w:val="00180A5E"/>
    <w:rsid w:val="001904D7"/>
    <w:rsid w:val="00190A8E"/>
    <w:rsid w:val="001914CE"/>
    <w:rsid w:val="00193C00"/>
    <w:rsid w:val="001A0C78"/>
    <w:rsid w:val="001A1DD4"/>
    <w:rsid w:val="001A39FF"/>
    <w:rsid w:val="001A6C7B"/>
    <w:rsid w:val="001A7E76"/>
    <w:rsid w:val="001B5284"/>
    <w:rsid w:val="001D5CED"/>
    <w:rsid w:val="001E598C"/>
    <w:rsid w:val="002024BA"/>
    <w:rsid w:val="002037F6"/>
    <w:rsid w:val="00207517"/>
    <w:rsid w:val="00210005"/>
    <w:rsid w:val="002108C8"/>
    <w:rsid w:val="0021355A"/>
    <w:rsid w:val="002153B5"/>
    <w:rsid w:val="00221421"/>
    <w:rsid w:val="002245FF"/>
    <w:rsid w:val="0023701C"/>
    <w:rsid w:val="00241F07"/>
    <w:rsid w:val="0024557C"/>
    <w:rsid w:val="002551AF"/>
    <w:rsid w:val="0026263A"/>
    <w:rsid w:val="00262B6A"/>
    <w:rsid w:val="00263F81"/>
    <w:rsid w:val="0026414E"/>
    <w:rsid w:val="002679D0"/>
    <w:rsid w:val="00271060"/>
    <w:rsid w:val="00293BF2"/>
    <w:rsid w:val="002A3AFE"/>
    <w:rsid w:val="002A4751"/>
    <w:rsid w:val="002B17E6"/>
    <w:rsid w:val="002B218D"/>
    <w:rsid w:val="002B4DD7"/>
    <w:rsid w:val="002D0CE2"/>
    <w:rsid w:val="002D1907"/>
    <w:rsid w:val="002D2AEB"/>
    <w:rsid w:val="002D400A"/>
    <w:rsid w:val="002D44F8"/>
    <w:rsid w:val="002D5EB4"/>
    <w:rsid w:val="002D7E53"/>
    <w:rsid w:val="002E1947"/>
    <w:rsid w:val="002E207E"/>
    <w:rsid w:val="002E6600"/>
    <w:rsid w:val="002F79B7"/>
    <w:rsid w:val="0030563A"/>
    <w:rsid w:val="00306EE6"/>
    <w:rsid w:val="00325C12"/>
    <w:rsid w:val="003300B5"/>
    <w:rsid w:val="0035287D"/>
    <w:rsid w:val="00365089"/>
    <w:rsid w:val="003727F6"/>
    <w:rsid w:val="00373156"/>
    <w:rsid w:val="003751D4"/>
    <w:rsid w:val="00384B93"/>
    <w:rsid w:val="003925B4"/>
    <w:rsid w:val="003B148C"/>
    <w:rsid w:val="003B79B0"/>
    <w:rsid w:val="003C371B"/>
    <w:rsid w:val="003D1A49"/>
    <w:rsid w:val="003E6D1B"/>
    <w:rsid w:val="004105C9"/>
    <w:rsid w:val="00413320"/>
    <w:rsid w:val="0042193E"/>
    <w:rsid w:val="00421A39"/>
    <w:rsid w:val="004247B1"/>
    <w:rsid w:val="00424DD3"/>
    <w:rsid w:val="004265FC"/>
    <w:rsid w:val="00427D0E"/>
    <w:rsid w:val="00430496"/>
    <w:rsid w:val="00431EDD"/>
    <w:rsid w:val="004338B7"/>
    <w:rsid w:val="00433942"/>
    <w:rsid w:val="0044190C"/>
    <w:rsid w:val="00442ABE"/>
    <w:rsid w:val="00447AFF"/>
    <w:rsid w:val="00456CAE"/>
    <w:rsid w:val="00460667"/>
    <w:rsid w:val="00465067"/>
    <w:rsid w:val="00473C1F"/>
    <w:rsid w:val="00473D71"/>
    <w:rsid w:val="00480C32"/>
    <w:rsid w:val="00482C08"/>
    <w:rsid w:val="00484FE5"/>
    <w:rsid w:val="0049182E"/>
    <w:rsid w:val="004945E0"/>
    <w:rsid w:val="00495D61"/>
    <w:rsid w:val="00496830"/>
    <w:rsid w:val="00497729"/>
    <w:rsid w:val="004B0DE4"/>
    <w:rsid w:val="004B7011"/>
    <w:rsid w:val="004B701E"/>
    <w:rsid w:val="004C0060"/>
    <w:rsid w:val="004D09A0"/>
    <w:rsid w:val="004D0E20"/>
    <w:rsid w:val="004D3789"/>
    <w:rsid w:val="004D45BC"/>
    <w:rsid w:val="004D5516"/>
    <w:rsid w:val="004D69FA"/>
    <w:rsid w:val="004E1C69"/>
    <w:rsid w:val="004E48FB"/>
    <w:rsid w:val="004E6367"/>
    <w:rsid w:val="004E653B"/>
    <w:rsid w:val="004F34F6"/>
    <w:rsid w:val="004F4C98"/>
    <w:rsid w:val="004F58F3"/>
    <w:rsid w:val="004F5F92"/>
    <w:rsid w:val="004F6620"/>
    <w:rsid w:val="004F7041"/>
    <w:rsid w:val="005014D6"/>
    <w:rsid w:val="00502522"/>
    <w:rsid w:val="00505E4A"/>
    <w:rsid w:val="00510EA2"/>
    <w:rsid w:val="00515280"/>
    <w:rsid w:val="00516D55"/>
    <w:rsid w:val="005214AA"/>
    <w:rsid w:val="00522B10"/>
    <w:rsid w:val="005247D7"/>
    <w:rsid w:val="00525C9D"/>
    <w:rsid w:val="0053718E"/>
    <w:rsid w:val="00544738"/>
    <w:rsid w:val="00544EED"/>
    <w:rsid w:val="005457F5"/>
    <w:rsid w:val="0054710E"/>
    <w:rsid w:val="00552991"/>
    <w:rsid w:val="00556C9E"/>
    <w:rsid w:val="00564B42"/>
    <w:rsid w:val="00565433"/>
    <w:rsid w:val="00572A3E"/>
    <w:rsid w:val="0058670D"/>
    <w:rsid w:val="005927BD"/>
    <w:rsid w:val="005A00D0"/>
    <w:rsid w:val="005A1B31"/>
    <w:rsid w:val="005A707D"/>
    <w:rsid w:val="005A7704"/>
    <w:rsid w:val="005B0163"/>
    <w:rsid w:val="005B38CD"/>
    <w:rsid w:val="005B578D"/>
    <w:rsid w:val="005B777D"/>
    <w:rsid w:val="005B7E85"/>
    <w:rsid w:val="005B7EA3"/>
    <w:rsid w:val="005C0971"/>
    <w:rsid w:val="005D10BF"/>
    <w:rsid w:val="005D1C1C"/>
    <w:rsid w:val="005D39A7"/>
    <w:rsid w:val="005D4B76"/>
    <w:rsid w:val="005E42F8"/>
    <w:rsid w:val="005E4947"/>
    <w:rsid w:val="005F2621"/>
    <w:rsid w:val="005F2F62"/>
    <w:rsid w:val="005F495E"/>
    <w:rsid w:val="005F4C2B"/>
    <w:rsid w:val="0060285F"/>
    <w:rsid w:val="0060502C"/>
    <w:rsid w:val="006104DD"/>
    <w:rsid w:val="00610BB1"/>
    <w:rsid w:val="00614AAE"/>
    <w:rsid w:val="00615EDB"/>
    <w:rsid w:val="006160FF"/>
    <w:rsid w:val="00630138"/>
    <w:rsid w:val="00632ACF"/>
    <w:rsid w:val="00642AF5"/>
    <w:rsid w:val="0064316B"/>
    <w:rsid w:val="00644BC8"/>
    <w:rsid w:val="006464CD"/>
    <w:rsid w:val="006468E6"/>
    <w:rsid w:val="0065344B"/>
    <w:rsid w:val="00654B98"/>
    <w:rsid w:val="00655073"/>
    <w:rsid w:val="006560F2"/>
    <w:rsid w:val="006568FA"/>
    <w:rsid w:val="00665E53"/>
    <w:rsid w:val="00670EBC"/>
    <w:rsid w:val="006A4AE2"/>
    <w:rsid w:val="006A7B72"/>
    <w:rsid w:val="006B6126"/>
    <w:rsid w:val="006B647F"/>
    <w:rsid w:val="006C1FDA"/>
    <w:rsid w:val="006C43BF"/>
    <w:rsid w:val="006D30A7"/>
    <w:rsid w:val="006D3554"/>
    <w:rsid w:val="006D42DC"/>
    <w:rsid w:val="006E4D00"/>
    <w:rsid w:val="006E4F1F"/>
    <w:rsid w:val="006E66FB"/>
    <w:rsid w:val="006F3936"/>
    <w:rsid w:val="006F436A"/>
    <w:rsid w:val="007013E4"/>
    <w:rsid w:val="0070415C"/>
    <w:rsid w:val="00705904"/>
    <w:rsid w:val="00707FB0"/>
    <w:rsid w:val="00710818"/>
    <w:rsid w:val="00711BCD"/>
    <w:rsid w:val="00712148"/>
    <w:rsid w:val="007133B6"/>
    <w:rsid w:val="00713568"/>
    <w:rsid w:val="00717B90"/>
    <w:rsid w:val="00733280"/>
    <w:rsid w:val="00754ECE"/>
    <w:rsid w:val="00757F38"/>
    <w:rsid w:val="00761999"/>
    <w:rsid w:val="00765D14"/>
    <w:rsid w:val="007711BE"/>
    <w:rsid w:val="00780E73"/>
    <w:rsid w:val="00787AED"/>
    <w:rsid w:val="007916A4"/>
    <w:rsid w:val="00793BFA"/>
    <w:rsid w:val="007A0C32"/>
    <w:rsid w:val="007A1022"/>
    <w:rsid w:val="007A2A3B"/>
    <w:rsid w:val="007A4A5F"/>
    <w:rsid w:val="007A7D2E"/>
    <w:rsid w:val="007B39C0"/>
    <w:rsid w:val="007B773F"/>
    <w:rsid w:val="007C1D6C"/>
    <w:rsid w:val="007C1D74"/>
    <w:rsid w:val="007D239F"/>
    <w:rsid w:val="007D54D0"/>
    <w:rsid w:val="007E2C4A"/>
    <w:rsid w:val="007E43B8"/>
    <w:rsid w:val="007E63A1"/>
    <w:rsid w:val="007F2A79"/>
    <w:rsid w:val="007F4A34"/>
    <w:rsid w:val="007F772C"/>
    <w:rsid w:val="00807EE1"/>
    <w:rsid w:val="0081061C"/>
    <w:rsid w:val="00810F75"/>
    <w:rsid w:val="00811811"/>
    <w:rsid w:val="00815935"/>
    <w:rsid w:val="00816572"/>
    <w:rsid w:val="00817E81"/>
    <w:rsid w:val="00820189"/>
    <w:rsid w:val="008264D6"/>
    <w:rsid w:val="00834294"/>
    <w:rsid w:val="00834A62"/>
    <w:rsid w:val="008468B9"/>
    <w:rsid w:val="008501ED"/>
    <w:rsid w:val="00850B89"/>
    <w:rsid w:val="00856B3D"/>
    <w:rsid w:val="00860A2A"/>
    <w:rsid w:val="0086270D"/>
    <w:rsid w:val="0086361D"/>
    <w:rsid w:val="00865CB6"/>
    <w:rsid w:val="00865ED9"/>
    <w:rsid w:val="008663CA"/>
    <w:rsid w:val="00866FAB"/>
    <w:rsid w:val="00871931"/>
    <w:rsid w:val="008732C1"/>
    <w:rsid w:val="00875EB7"/>
    <w:rsid w:val="00877279"/>
    <w:rsid w:val="0088161B"/>
    <w:rsid w:val="00883636"/>
    <w:rsid w:val="0088413E"/>
    <w:rsid w:val="008A32D1"/>
    <w:rsid w:val="008A3884"/>
    <w:rsid w:val="008A4F23"/>
    <w:rsid w:val="008B5BB3"/>
    <w:rsid w:val="008B5BC3"/>
    <w:rsid w:val="008C09F0"/>
    <w:rsid w:val="008D4C18"/>
    <w:rsid w:val="008E1F88"/>
    <w:rsid w:val="008E34C4"/>
    <w:rsid w:val="008F5A56"/>
    <w:rsid w:val="008F691C"/>
    <w:rsid w:val="008F76E0"/>
    <w:rsid w:val="00900BE0"/>
    <w:rsid w:val="00903D67"/>
    <w:rsid w:val="00903DA6"/>
    <w:rsid w:val="00911861"/>
    <w:rsid w:val="009130E3"/>
    <w:rsid w:val="00921171"/>
    <w:rsid w:val="00924FBF"/>
    <w:rsid w:val="00930776"/>
    <w:rsid w:val="00931C5E"/>
    <w:rsid w:val="00933A9D"/>
    <w:rsid w:val="00933F63"/>
    <w:rsid w:val="0093663A"/>
    <w:rsid w:val="0093758A"/>
    <w:rsid w:val="00941292"/>
    <w:rsid w:val="00945C27"/>
    <w:rsid w:val="00953C23"/>
    <w:rsid w:val="009549EB"/>
    <w:rsid w:val="00966DB6"/>
    <w:rsid w:val="00972ABD"/>
    <w:rsid w:val="0097349D"/>
    <w:rsid w:val="009735AC"/>
    <w:rsid w:val="009810BC"/>
    <w:rsid w:val="009834E7"/>
    <w:rsid w:val="00985502"/>
    <w:rsid w:val="0099152F"/>
    <w:rsid w:val="009918B6"/>
    <w:rsid w:val="009930C6"/>
    <w:rsid w:val="009A4EF5"/>
    <w:rsid w:val="009C122F"/>
    <w:rsid w:val="009C598A"/>
    <w:rsid w:val="009C6825"/>
    <w:rsid w:val="009D507F"/>
    <w:rsid w:val="009E138B"/>
    <w:rsid w:val="009E16A0"/>
    <w:rsid w:val="009E1F71"/>
    <w:rsid w:val="009E66D3"/>
    <w:rsid w:val="009E7D20"/>
    <w:rsid w:val="009F55D7"/>
    <w:rsid w:val="00A03D55"/>
    <w:rsid w:val="00A177D8"/>
    <w:rsid w:val="00A207B4"/>
    <w:rsid w:val="00A226D6"/>
    <w:rsid w:val="00A23ED1"/>
    <w:rsid w:val="00A2409B"/>
    <w:rsid w:val="00A26909"/>
    <w:rsid w:val="00A316F2"/>
    <w:rsid w:val="00A343B5"/>
    <w:rsid w:val="00A35F2D"/>
    <w:rsid w:val="00A36DAB"/>
    <w:rsid w:val="00A44A94"/>
    <w:rsid w:val="00A46AD3"/>
    <w:rsid w:val="00A557C5"/>
    <w:rsid w:val="00A66F76"/>
    <w:rsid w:val="00A679BF"/>
    <w:rsid w:val="00A70938"/>
    <w:rsid w:val="00A750F0"/>
    <w:rsid w:val="00A82A21"/>
    <w:rsid w:val="00A844C0"/>
    <w:rsid w:val="00A91CCD"/>
    <w:rsid w:val="00A94229"/>
    <w:rsid w:val="00A96FE7"/>
    <w:rsid w:val="00A97F91"/>
    <w:rsid w:val="00AA0D99"/>
    <w:rsid w:val="00AA2E33"/>
    <w:rsid w:val="00AA6629"/>
    <w:rsid w:val="00AB2286"/>
    <w:rsid w:val="00AB6F02"/>
    <w:rsid w:val="00AC5B09"/>
    <w:rsid w:val="00AD187C"/>
    <w:rsid w:val="00AD1FA7"/>
    <w:rsid w:val="00AD557B"/>
    <w:rsid w:val="00AE1F66"/>
    <w:rsid w:val="00AE47D4"/>
    <w:rsid w:val="00AE4DA2"/>
    <w:rsid w:val="00AE4E94"/>
    <w:rsid w:val="00AE5D1D"/>
    <w:rsid w:val="00AF28A6"/>
    <w:rsid w:val="00AF522C"/>
    <w:rsid w:val="00AF5301"/>
    <w:rsid w:val="00AF6620"/>
    <w:rsid w:val="00B02B5A"/>
    <w:rsid w:val="00B02B71"/>
    <w:rsid w:val="00B035F8"/>
    <w:rsid w:val="00B03E62"/>
    <w:rsid w:val="00B0498A"/>
    <w:rsid w:val="00B07522"/>
    <w:rsid w:val="00B12918"/>
    <w:rsid w:val="00B14E8C"/>
    <w:rsid w:val="00B22FE5"/>
    <w:rsid w:val="00B32275"/>
    <w:rsid w:val="00B338B8"/>
    <w:rsid w:val="00B40C33"/>
    <w:rsid w:val="00B42655"/>
    <w:rsid w:val="00B426D7"/>
    <w:rsid w:val="00B428E9"/>
    <w:rsid w:val="00B4293A"/>
    <w:rsid w:val="00B5125C"/>
    <w:rsid w:val="00B516C6"/>
    <w:rsid w:val="00B56215"/>
    <w:rsid w:val="00B626CD"/>
    <w:rsid w:val="00B65E13"/>
    <w:rsid w:val="00B70FB3"/>
    <w:rsid w:val="00B75489"/>
    <w:rsid w:val="00B77AA0"/>
    <w:rsid w:val="00B81B2E"/>
    <w:rsid w:val="00B830AC"/>
    <w:rsid w:val="00B85AA3"/>
    <w:rsid w:val="00B921A5"/>
    <w:rsid w:val="00B9390C"/>
    <w:rsid w:val="00B97454"/>
    <w:rsid w:val="00BA6065"/>
    <w:rsid w:val="00BB31DE"/>
    <w:rsid w:val="00BB52F3"/>
    <w:rsid w:val="00BB767C"/>
    <w:rsid w:val="00BB7FA3"/>
    <w:rsid w:val="00BD0A0E"/>
    <w:rsid w:val="00BD3C30"/>
    <w:rsid w:val="00BE1EF3"/>
    <w:rsid w:val="00BE477C"/>
    <w:rsid w:val="00BF0B43"/>
    <w:rsid w:val="00BF2DFE"/>
    <w:rsid w:val="00C01BD9"/>
    <w:rsid w:val="00C02B72"/>
    <w:rsid w:val="00C23A2B"/>
    <w:rsid w:val="00C253AA"/>
    <w:rsid w:val="00C263C7"/>
    <w:rsid w:val="00C303D4"/>
    <w:rsid w:val="00C30C80"/>
    <w:rsid w:val="00C334FC"/>
    <w:rsid w:val="00C40887"/>
    <w:rsid w:val="00C4349D"/>
    <w:rsid w:val="00C45775"/>
    <w:rsid w:val="00C47952"/>
    <w:rsid w:val="00C5445D"/>
    <w:rsid w:val="00C562E1"/>
    <w:rsid w:val="00C578B8"/>
    <w:rsid w:val="00C656CA"/>
    <w:rsid w:val="00C751AC"/>
    <w:rsid w:val="00C82D89"/>
    <w:rsid w:val="00C975BB"/>
    <w:rsid w:val="00CA4F40"/>
    <w:rsid w:val="00CA7ED1"/>
    <w:rsid w:val="00CD1D02"/>
    <w:rsid w:val="00CD5484"/>
    <w:rsid w:val="00CF0614"/>
    <w:rsid w:val="00CF63F6"/>
    <w:rsid w:val="00D00A67"/>
    <w:rsid w:val="00D02A84"/>
    <w:rsid w:val="00D07530"/>
    <w:rsid w:val="00D14F89"/>
    <w:rsid w:val="00D26802"/>
    <w:rsid w:val="00D3631F"/>
    <w:rsid w:val="00D40385"/>
    <w:rsid w:val="00D4088F"/>
    <w:rsid w:val="00D40BFB"/>
    <w:rsid w:val="00D43A3A"/>
    <w:rsid w:val="00D4797E"/>
    <w:rsid w:val="00D5386B"/>
    <w:rsid w:val="00D54F0D"/>
    <w:rsid w:val="00D56394"/>
    <w:rsid w:val="00D60B1F"/>
    <w:rsid w:val="00D63A4D"/>
    <w:rsid w:val="00D63ABD"/>
    <w:rsid w:val="00D660E2"/>
    <w:rsid w:val="00D73365"/>
    <w:rsid w:val="00D7569E"/>
    <w:rsid w:val="00D93170"/>
    <w:rsid w:val="00DA2D17"/>
    <w:rsid w:val="00DA5E95"/>
    <w:rsid w:val="00DB1B62"/>
    <w:rsid w:val="00DB1DF9"/>
    <w:rsid w:val="00DB2A6E"/>
    <w:rsid w:val="00DB5978"/>
    <w:rsid w:val="00DB7A38"/>
    <w:rsid w:val="00DC0A83"/>
    <w:rsid w:val="00DC7DDC"/>
    <w:rsid w:val="00DD72CF"/>
    <w:rsid w:val="00DE176A"/>
    <w:rsid w:val="00DE3338"/>
    <w:rsid w:val="00DF2511"/>
    <w:rsid w:val="00DF3C8D"/>
    <w:rsid w:val="00DF40CE"/>
    <w:rsid w:val="00DF475C"/>
    <w:rsid w:val="00E01F85"/>
    <w:rsid w:val="00E03502"/>
    <w:rsid w:val="00E047DD"/>
    <w:rsid w:val="00E05341"/>
    <w:rsid w:val="00E1181B"/>
    <w:rsid w:val="00E12BA5"/>
    <w:rsid w:val="00E1532D"/>
    <w:rsid w:val="00E16130"/>
    <w:rsid w:val="00E219F5"/>
    <w:rsid w:val="00E23A8A"/>
    <w:rsid w:val="00E2512E"/>
    <w:rsid w:val="00E252AB"/>
    <w:rsid w:val="00E27C93"/>
    <w:rsid w:val="00E34323"/>
    <w:rsid w:val="00E35A02"/>
    <w:rsid w:val="00E43D2D"/>
    <w:rsid w:val="00E46B93"/>
    <w:rsid w:val="00E51ACC"/>
    <w:rsid w:val="00E51E96"/>
    <w:rsid w:val="00E56C0A"/>
    <w:rsid w:val="00E6254F"/>
    <w:rsid w:val="00E63900"/>
    <w:rsid w:val="00E65779"/>
    <w:rsid w:val="00E67796"/>
    <w:rsid w:val="00E7115D"/>
    <w:rsid w:val="00E739A8"/>
    <w:rsid w:val="00E755F6"/>
    <w:rsid w:val="00E87541"/>
    <w:rsid w:val="00E94D8B"/>
    <w:rsid w:val="00E97C42"/>
    <w:rsid w:val="00EA2604"/>
    <w:rsid w:val="00EA7100"/>
    <w:rsid w:val="00EB02A9"/>
    <w:rsid w:val="00EB2912"/>
    <w:rsid w:val="00EB4DA5"/>
    <w:rsid w:val="00EB582A"/>
    <w:rsid w:val="00ED3053"/>
    <w:rsid w:val="00ED71A0"/>
    <w:rsid w:val="00ED739E"/>
    <w:rsid w:val="00ED7B43"/>
    <w:rsid w:val="00EE0F30"/>
    <w:rsid w:val="00EE2AE6"/>
    <w:rsid w:val="00EE4F50"/>
    <w:rsid w:val="00EF6398"/>
    <w:rsid w:val="00F040CE"/>
    <w:rsid w:val="00F07630"/>
    <w:rsid w:val="00F106CA"/>
    <w:rsid w:val="00F12BEB"/>
    <w:rsid w:val="00F131BD"/>
    <w:rsid w:val="00F16077"/>
    <w:rsid w:val="00F232FE"/>
    <w:rsid w:val="00F2460F"/>
    <w:rsid w:val="00F26435"/>
    <w:rsid w:val="00F30016"/>
    <w:rsid w:val="00F33F3D"/>
    <w:rsid w:val="00F354C0"/>
    <w:rsid w:val="00F4509F"/>
    <w:rsid w:val="00F60FEE"/>
    <w:rsid w:val="00F6109B"/>
    <w:rsid w:val="00F613FD"/>
    <w:rsid w:val="00F6233B"/>
    <w:rsid w:val="00F6383B"/>
    <w:rsid w:val="00F70796"/>
    <w:rsid w:val="00F72846"/>
    <w:rsid w:val="00F810B6"/>
    <w:rsid w:val="00F83D51"/>
    <w:rsid w:val="00F83DCF"/>
    <w:rsid w:val="00F85E64"/>
    <w:rsid w:val="00F85EB2"/>
    <w:rsid w:val="00F90010"/>
    <w:rsid w:val="00F913B9"/>
    <w:rsid w:val="00F94775"/>
    <w:rsid w:val="00F94D08"/>
    <w:rsid w:val="00F951EE"/>
    <w:rsid w:val="00F95968"/>
    <w:rsid w:val="00FA13E1"/>
    <w:rsid w:val="00FA3D4F"/>
    <w:rsid w:val="00FB2B46"/>
    <w:rsid w:val="00FB4617"/>
    <w:rsid w:val="00FC1919"/>
    <w:rsid w:val="00FD04D6"/>
    <w:rsid w:val="00FD2B93"/>
    <w:rsid w:val="00FD5370"/>
    <w:rsid w:val="00FF380F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AC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6C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516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B516C6"/>
    <w:rPr>
      <w:sz w:val="24"/>
      <w:szCs w:val="24"/>
      <w:lang w:val="cs-CZ" w:eastAsia="cs-CZ" w:bidi="ar-SA"/>
    </w:rPr>
  </w:style>
  <w:style w:type="paragraph" w:styleId="Zkladntext">
    <w:name w:val="Body Text"/>
    <w:aliases w:val="Standard paragraph,b,Číslovaný seznam (i),Текст1,?????1"/>
    <w:basedOn w:val="Normln"/>
    <w:link w:val="ZkladntextChar"/>
    <w:rsid w:val="00B516C6"/>
    <w:pPr>
      <w:spacing w:before="120"/>
      <w:jc w:val="center"/>
    </w:pPr>
    <w:rPr>
      <w:b/>
      <w:sz w:val="28"/>
      <w:szCs w:val="28"/>
    </w:rPr>
  </w:style>
  <w:style w:type="character" w:customStyle="1" w:styleId="ZkladntextChar">
    <w:name w:val="Základní text Char"/>
    <w:aliases w:val="Standard paragraph Char,b Char,Číslovaný seznam (i) Char,Текст1 Char,?????1 Char"/>
    <w:link w:val="Zkladntext"/>
    <w:semiHidden/>
    <w:locked/>
    <w:rsid w:val="00B516C6"/>
    <w:rPr>
      <w:b/>
      <w:sz w:val="28"/>
      <w:szCs w:val="28"/>
      <w:lang w:val="cs-CZ" w:eastAsia="cs-CZ" w:bidi="ar-SA"/>
    </w:rPr>
  </w:style>
  <w:style w:type="paragraph" w:styleId="Zkladntext2">
    <w:name w:val="Body Text 2"/>
    <w:basedOn w:val="Normln"/>
    <w:link w:val="Zkladntext2Char"/>
    <w:rsid w:val="00B516C6"/>
    <w:pPr>
      <w:spacing w:before="120"/>
      <w:jc w:val="both"/>
    </w:pPr>
    <w:rPr>
      <w:szCs w:val="28"/>
    </w:rPr>
  </w:style>
  <w:style w:type="character" w:customStyle="1" w:styleId="Zkladntext2Char">
    <w:name w:val="Základní text 2 Char"/>
    <w:link w:val="Zkladntext2"/>
    <w:semiHidden/>
    <w:locked/>
    <w:rsid w:val="00B516C6"/>
    <w:rPr>
      <w:sz w:val="24"/>
      <w:szCs w:val="28"/>
      <w:lang w:val="cs-CZ" w:eastAsia="cs-CZ" w:bidi="ar-SA"/>
    </w:rPr>
  </w:style>
  <w:style w:type="paragraph" w:styleId="Zkladntext3">
    <w:name w:val="Body Text 3"/>
    <w:basedOn w:val="Normln"/>
    <w:link w:val="Zkladntext3Char"/>
    <w:rsid w:val="00B516C6"/>
    <w:pPr>
      <w:spacing w:after="120"/>
      <w:jc w:val="both"/>
    </w:pPr>
    <w:rPr>
      <w:b/>
      <w:bCs/>
    </w:rPr>
  </w:style>
  <w:style w:type="character" w:customStyle="1" w:styleId="Zkladntext3Char">
    <w:name w:val="Základní text 3 Char"/>
    <w:link w:val="Zkladntext3"/>
    <w:semiHidden/>
    <w:locked/>
    <w:rsid w:val="00B516C6"/>
    <w:rPr>
      <w:b/>
      <w:bCs/>
      <w:sz w:val="24"/>
      <w:szCs w:val="24"/>
      <w:lang w:val="cs-CZ" w:eastAsia="cs-CZ" w:bidi="ar-SA"/>
    </w:rPr>
  </w:style>
  <w:style w:type="character" w:styleId="slostrnky">
    <w:name w:val="page number"/>
    <w:rsid w:val="00B516C6"/>
    <w:rPr>
      <w:rFonts w:cs="Times New Roman"/>
    </w:rPr>
  </w:style>
  <w:style w:type="paragraph" w:styleId="Zkladntextodsazen2">
    <w:name w:val="Body Text Indent 2"/>
    <w:basedOn w:val="Normln"/>
    <w:link w:val="Zkladntextodsazen2Char"/>
    <w:rsid w:val="00B516C6"/>
    <w:pPr>
      <w:spacing w:before="120"/>
      <w:ind w:firstLine="567"/>
      <w:jc w:val="both"/>
    </w:pPr>
  </w:style>
  <w:style w:type="character" w:customStyle="1" w:styleId="Zkladntextodsazen2Char">
    <w:name w:val="Základní text odsazený 2 Char"/>
    <w:link w:val="Zkladntextodsazen2"/>
    <w:semiHidden/>
    <w:locked/>
    <w:rsid w:val="00B516C6"/>
    <w:rPr>
      <w:sz w:val="24"/>
      <w:szCs w:val="24"/>
      <w:lang w:val="cs-CZ" w:eastAsia="cs-CZ" w:bidi="ar-SA"/>
    </w:rPr>
  </w:style>
  <w:style w:type="paragraph" w:customStyle="1" w:styleId="Zaznam">
    <w:name w:val="Zaznam"/>
    <w:basedOn w:val="Normln"/>
    <w:rsid w:val="00CA7ED1"/>
    <w:pPr>
      <w:spacing w:before="20" w:after="40"/>
      <w:jc w:val="both"/>
    </w:pPr>
    <w:rPr>
      <w:szCs w:val="20"/>
    </w:rPr>
  </w:style>
  <w:style w:type="paragraph" w:styleId="Textbubliny">
    <w:name w:val="Balloon Text"/>
    <w:basedOn w:val="Normln"/>
    <w:semiHidden/>
    <w:rsid w:val="00E2512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E16130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E16130"/>
    <w:rPr>
      <w:lang w:val="cs-CZ" w:eastAsia="cs-CZ" w:bidi="ar-SA"/>
    </w:rPr>
  </w:style>
  <w:style w:type="character" w:styleId="Odkaznakoment">
    <w:name w:val="annotation reference"/>
    <w:rsid w:val="00F12B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2B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2BEB"/>
  </w:style>
  <w:style w:type="paragraph" w:styleId="Pedmtkomente">
    <w:name w:val="annotation subject"/>
    <w:basedOn w:val="Textkomente"/>
    <w:next w:val="Textkomente"/>
    <w:link w:val="PedmtkomenteChar"/>
    <w:rsid w:val="00F12BEB"/>
    <w:rPr>
      <w:b/>
      <w:bCs/>
    </w:rPr>
  </w:style>
  <w:style w:type="character" w:customStyle="1" w:styleId="PedmtkomenteChar">
    <w:name w:val="Předmět komentáře Char"/>
    <w:link w:val="Pedmtkomente"/>
    <w:rsid w:val="00F12BEB"/>
    <w:rPr>
      <w:b/>
      <w:bCs/>
    </w:rPr>
  </w:style>
  <w:style w:type="paragraph" w:styleId="Odstavecseseznamem">
    <w:name w:val="List Paragraph"/>
    <w:basedOn w:val="Normln"/>
    <w:uiPriority w:val="34"/>
    <w:qFormat/>
    <w:rsid w:val="00F040CE"/>
    <w:pPr>
      <w:ind w:left="720"/>
      <w:contextualSpacing/>
    </w:pPr>
  </w:style>
  <w:style w:type="table" w:styleId="Mkatabulky">
    <w:name w:val="Table Grid"/>
    <w:basedOn w:val="Normlntabulka"/>
    <w:uiPriority w:val="39"/>
    <w:rsid w:val="00C578B8"/>
    <w:rPr>
      <w:rFonts w:asciiTheme="minorHAnsi" w:eastAsiaTheme="minorEastAsia" w:hAnsiTheme="minorHAnsi" w:cstheme="minorBidi"/>
      <w:kern w:val="2"/>
      <w:sz w:val="24"/>
      <w:szCs w:val="24"/>
      <w:lang w:val="en-US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E63A1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rsid w:val="007E63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16C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516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B516C6"/>
    <w:rPr>
      <w:sz w:val="24"/>
      <w:szCs w:val="24"/>
      <w:lang w:val="cs-CZ" w:eastAsia="cs-CZ" w:bidi="ar-SA"/>
    </w:rPr>
  </w:style>
  <w:style w:type="paragraph" w:styleId="Zkladntext">
    <w:name w:val="Body Text"/>
    <w:aliases w:val="Standard paragraph,b,Číslovaný seznam (i),Текст1,?????1"/>
    <w:basedOn w:val="Normln"/>
    <w:link w:val="ZkladntextChar"/>
    <w:rsid w:val="00B516C6"/>
    <w:pPr>
      <w:spacing w:before="120"/>
      <w:jc w:val="center"/>
    </w:pPr>
    <w:rPr>
      <w:b/>
      <w:sz w:val="28"/>
      <w:szCs w:val="28"/>
    </w:rPr>
  </w:style>
  <w:style w:type="character" w:customStyle="1" w:styleId="ZkladntextChar">
    <w:name w:val="Základní text Char"/>
    <w:aliases w:val="Standard paragraph Char,b Char,Číslovaný seznam (i) Char,Текст1 Char,?????1 Char"/>
    <w:link w:val="Zkladntext"/>
    <w:semiHidden/>
    <w:locked/>
    <w:rsid w:val="00B516C6"/>
    <w:rPr>
      <w:b/>
      <w:sz w:val="28"/>
      <w:szCs w:val="28"/>
      <w:lang w:val="cs-CZ" w:eastAsia="cs-CZ" w:bidi="ar-SA"/>
    </w:rPr>
  </w:style>
  <w:style w:type="paragraph" w:styleId="Zkladntext2">
    <w:name w:val="Body Text 2"/>
    <w:basedOn w:val="Normln"/>
    <w:link w:val="Zkladntext2Char"/>
    <w:rsid w:val="00B516C6"/>
    <w:pPr>
      <w:spacing w:before="120"/>
      <w:jc w:val="both"/>
    </w:pPr>
    <w:rPr>
      <w:szCs w:val="28"/>
    </w:rPr>
  </w:style>
  <w:style w:type="character" w:customStyle="1" w:styleId="Zkladntext2Char">
    <w:name w:val="Základní text 2 Char"/>
    <w:link w:val="Zkladntext2"/>
    <w:semiHidden/>
    <w:locked/>
    <w:rsid w:val="00B516C6"/>
    <w:rPr>
      <w:sz w:val="24"/>
      <w:szCs w:val="28"/>
      <w:lang w:val="cs-CZ" w:eastAsia="cs-CZ" w:bidi="ar-SA"/>
    </w:rPr>
  </w:style>
  <w:style w:type="paragraph" w:styleId="Zkladntext3">
    <w:name w:val="Body Text 3"/>
    <w:basedOn w:val="Normln"/>
    <w:link w:val="Zkladntext3Char"/>
    <w:rsid w:val="00B516C6"/>
    <w:pPr>
      <w:spacing w:after="120"/>
      <w:jc w:val="both"/>
    </w:pPr>
    <w:rPr>
      <w:b/>
      <w:bCs/>
    </w:rPr>
  </w:style>
  <w:style w:type="character" w:customStyle="1" w:styleId="Zkladntext3Char">
    <w:name w:val="Základní text 3 Char"/>
    <w:link w:val="Zkladntext3"/>
    <w:semiHidden/>
    <w:locked/>
    <w:rsid w:val="00B516C6"/>
    <w:rPr>
      <w:b/>
      <w:bCs/>
      <w:sz w:val="24"/>
      <w:szCs w:val="24"/>
      <w:lang w:val="cs-CZ" w:eastAsia="cs-CZ" w:bidi="ar-SA"/>
    </w:rPr>
  </w:style>
  <w:style w:type="character" w:styleId="slostrnky">
    <w:name w:val="page number"/>
    <w:rsid w:val="00B516C6"/>
    <w:rPr>
      <w:rFonts w:cs="Times New Roman"/>
    </w:rPr>
  </w:style>
  <w:style w:type="paragraph" w:styleId="Zkladntextodsazen2">
    <w:name w:val="Body Text Indent 2"/>
    <w:basedOn w:val="Normln"/>
    <w:link w:val="Zkladntextodsazen2Char"/>
    <w:rsid w:val="00B516C6"/>
    <w:pPr>
      <w:spacing w:before="120"/>
      <w:ind w:firstLine="567"/>
      <w:jc w:val="both"/>
    </w:pPr>
  </w:style>
  <w:style w:type="character" w:customStyle="1" w:styleId="Zkladntextodsazen2Char">
    <w:name w:val="Základní text odsazený 2 Char"/>
    <w:link w:val="Zkladntextodsazen2"/>
    <w:semiHidden/>
    <w:locked/>
    <w:rsid w:val="00B516C6"/>
    <w:rPr>
      <w:sz w:val="24"/>
      <w:szCs w:val="24"/>
      <w:lang w:val="cs-CZ" w:eastAsia="cs-CZ" w:bidi="ar-SA"/>
    </w:rPr>
  </w:style>
  <w:style w:type="paragraph" w:customStyle="1" w:styleId="Zaznam">
    <w:name w:val="Zaznam"/>
    <w:basedOn w:val="Normln"/>
    <w:rsid w:val="00CA7ED1"/>
    <w:pPr>
      <w:spacing w:before="20" w:after="40"/>
      <w:jc w:val="both"/>
    </w:pPr>
    <w:rPr>
      <w:szCs w:val="20"/>
    </w:rPr>
  </w:style>
  <w:style w:type="paragraph" w:styleId="Textbubliny">
    <w:name w:val="Balloon Text"/>
    <w:basedOn w:val="Normln"/>
    <w:semiHidden/>
    <w:rsid w:val="00E2512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E16130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E16130"/>
    <w:rPr>
      <w:lang w:val="cs-CZ" w:eastAsia="cs-CZ" w:bidi="ar-SA"/>
    </w:rPr>
  </w:style>
  <w:style w:type="character" w:styleId="Odkaznakoment">
    <w:name w:val="annotation reference"/>
    <w:rsid w:val="00F12B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2B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2BEB"/>
  </w:style>
  <w:style w:type="paragraph" w:styleId="Pedmtkomente">
    <w:name w:val="annotation subject"/>
    <w:basedOn w:val="Textkomente"/>
    <w:next w:val="Textkomente"/>
    <w:link w:val="PedmtkomenteChar"/>
    <w:rsid w:val="00F12BEB"/>
    <w:rPr>
      <w:b/>
      <w:bCs/>
    </w:rPr>
  </w:style>
  <w:style w:type="character" w:customStyle="1" w:styleId="PedmtkomenteChar">
    <w:name w:val="Předmět komentáře Char"/>
    <w:link w:val="Pedmtkomente"/>
    <w:rsid w:val="00F12BEB"/>
    <w:rPr>
      <w:b/>
      <w:bCs/>
    </w:rPr>
  </w:style>
  <w:style w:type="paragraph" w:styleId="Odstavecseseznamem">
    <w:name w:val="List Paragraph"/>
    <w:basedOn w:val="Normln"/>
    <w:uiPriority w:val="34"/>
    <w:qFormat/>
    <w:rsid w:val="00F040CE"/>
    <w:pPr>
      <w:ind w:left="720"/>
      <w:contextualSpacing/>
    </w:pPr>
  </w:style>
  <w:style w:type="table" w:styleId="Mkatabulky">
    <w:name w:val="Table Grid"/>
    <w:basedOn w:val="Normlntabulka"/>
    <w:uiPriority w:val="39"/>
    <w:rsid w:val="00C578B8"/>
    <w:rPr>
      <w:rFonts w:asciiTheme="minorHAnsi" w:eastAsiaTheme="minorEastAsia" w:hAnsiTheme="minorHAnsi" w:cstheme="minorBidi"/>
      <w:kern w:val="2"/>
      <w:sz w:val="24"/>
      <w:szCs w:val="24"/>
      <w:lang w:val="en-US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E63A1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rsid w:val="007E63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13" Type="http://schemas.microsoft.com/office/2018/08/relationships/commentsExtensible" Target="commentsExtensible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17" Type="http://schemas.microsoft.com/office/2011/relationships/commentsExtended" Target="commentsExtended.xml" /><Relationship Id="rId2" Type="http://schemas.openxmlformats.org/officeDocument/2006/relationships/styles" Target="styles.xml" /><Relationship Id="rId16" Type="http://schemas.microsoft.com/office/2016/09/relationships/commentsIds" Target="commentsId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microsoft.com/office/2011/relationships/people" Target="people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ODA 2023 - HND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Celkem ODA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BC8-4F97-8119-E2DE28475D6D}"/>
              </c:ext>
            </c:extLst>
          </c:dPt>
          <c:dLbls>
            <c:dLbl>
              <c:idx val="9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7BBAB8-F60A-4BBA-A879-D659855D8F78}" type="VALUE">
                      <a:rPr lang="en-US" sz="1000"/>
                      <a:pPr>
                        <a:defRPr sz="10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DBC8-4F97-8119-E2DE28475D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Sheet1!$A$2:$A$19</c:f>
              <c:strCache>
                <c:ptCount val="18"/>
                <c:pt idx="0">
                  <c:v>Norsko</c:v>
                </c:pt>
                <c:pt idx="1">
                  <c:v>Lucembursko</c:v>
                </c:pt>
                <c:pt idx="2">
                  <c:v>Švédsko</c:v>
                </c:pt>
                <c:pt idx="3">
                  <c:v>Německo</c:v>
                </c:pt>
                <c:pt idx="4">
                  <c:v>Dánsko</c:v>
                </c:pt>
                <c:pt idx="5">
                  <c:v>…</c:v>
                </c:pt>
                <c:pt idx="6">
                  <c:v>DAC 29</c:v>
                </c:pt>
                <c:pt idx="7">
                  <c:v>…</c:v>
                </c:pt>
                <c:pt idx="8">
                  <c:v>Itálie</c:v>
                </c:pt>
                <c:pt idx="9">
                  <c:v>ČR (celkem ODA)</c:v>
                </c:pt>
                <c:pt idx="10">
                  <c:v>USA</c:v>
                </c:pt>
                <c:pt idx="11">
                  <c:v>Austrálie</c:v>
                </c:pt>
                <c:pt idx="12">
                  <c:v>Portugalsko</c:v>
                </c:pt>
                <c:pt idx="13">
                  <c:v>Jižní Korea</c:v>
                </c:pt>
                <c:pt idx="14">
                  <c:v>Řecko</c:v>
                </c:pt>
                <c:pt idx="15">
                  <c:v>Slovensko</c:v>
                </c:pt>
                <c:pt idx="16">
                  <c:v>Maďarsko</c:v>
                </c:pt>
                <c:pt idx="17">
                  <c:v>ČR (bez výdajů za uprchlíky)</c:v>
                </c:pt>
              </c:strCache>
            </c:strRef>
          </c:cat>
          <c:val>
            <c:numRef>
              <c:f>Sheet1!$B$2:$B$19</c:f>
              <c:numCache>
                <c:formatCode>General</c:formatCode>
                <c:ptCount val="18"/>
                <c:pt idx="0">
                  <c:v>1.0900000000000001</c:v>
                </c:pt>
                <c:pt idx="1">
                  <c:v>0.99</c:v>
                </c:pt>
                <c:pt idx="2">
                  <c:v>0.93</c:v>
                </c:pt>
                <c:pt idx="3">
                  <c:v>0.82</c:v>
                </c:pt>
                <c:pt idx="4">
                  <c:v>0.73</c:v>
                </c:pt>
                <c:pt idx="6">
                  <c:v>0.37</c:v>
                </c:pt>
                <c:pt idx="8">
                  <c:v>0.27</c:v>
                </c:pt>
                <c:pt idx="9">
                  <c:v>0.24</c:v>
                </c:pt>
                <c:pt idx="10">
                  <c:v>0.24</c:v>
                </c:pt>
                <c:pt idx="11">
                  <c:v>0.19</c:v>
                </c:pt>
                <c:pt idx="12">
                  <c:v>0.19</c:v>
                </c:pt>
                <c:pt idx="13">
                  <c:v>0.17</c:v>
                </c:pt>
                <c:pt idx="14">
                  <c:v>0.14000000000000001</c:v>
                </c:pt>
                <c:pt idx="15">
                  <c:v>0.14000000000000001</c:v>
                </c:pt>
                <c:pt idx="16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C8-4F97-8119-E2DE28475D6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ODA Bez výdajů na uprchlíky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Pt>
            <c:idx val="1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DBC8-4F97-8119-E2DE28475D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Sheet1!$A$2:$A$19</c:f>
              <c:strCache>
                <c:ptCount val="18"/>
                <c:pt idx="0">
                  <c:v>Norsko</c:v>
                </c:pt>
                <c:pt idx="1">
                  <c:v>Lucembursko</c:v>
                </c:pt>
                <c:pt idx="2">
                  <c:v>Švédsko</c:v>
                </c:pt>
                <c:pt idx="3">
                  <c:v>Německo</c:v>
                </c:pt>
                <c:pt idx="4">
                  <c:v>Dánsko</c:v>
                </c:pt>
                <c:pt idx="5">
                  <c:v>…</c:v>
                </c:pt>
                <c:pt idx="6">
                  <c:v>DAC 29</c:v>
                </c:pt>
                <c:pt idx="7">
                  <c:v>…</c:v>
                </c:pt>
                <c:pt idx="8">
                  <c:v>Itálie</c:v>
                </c:pt>
                <c:pt idx="9">
                  <c:v>ČR (celkem ODA)</c:v>
                </c:pt>
                <c:pt idx="10">
                  <c:v>USA</c:v>
                </c:pt>
                <c:pt idx="11">
                  <c:v>Austrálie</c:v>
                </c:pt>
                <c:pt idx="12">
                  <c:v>Portugalsko</c:v>
                </c:pt>
                <c:pt idx="13">
                  <c:v>Jižní Korea</c:v>
                </c:pt>
                <c:pt idx="14">
                  <c:v>Řecko</c:v>
                </c:pt>
                <c:pt idx="15">
                  <c:v>Slovensko</c:v>
                </c:pt>
                <c:pt idx="16">
                  <c:v>Maďarsko</c:v>
                </c:pt>
                <c:pt idx="17">
                  <c:v>ČR (bez výdajů za uprchlíky)</c:v>
                </c:pt>
              </c:strCache>
            </c:strRef>
          </c:cat>
          <c:val>
            <c:numRef>
              <c:f>Sheet1!$C$2:$C$19</c:f>
              <c:numCache>
                <c:formatCode>General</c:formatCode>
                <c:ptCount val="18"/>
                <c:pt idx="17">
                  <c:v>0.12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BC8-4F97-8119-E2DE28475D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66104064"/>
        <c:axId val="167383808"/>
      </c:barChart>
      <c:catAx>
        <c:axId val="16610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7383808"/>
        <c:crosses val="autoZero"/>
        <c:auto val="1"/>
        <c:lblAlgn val="ctr"/>
        <c:lblOffset val="100"/>
        <c:noMultiLvlLbl val="0"/>
      </c:catAx>
      <c:valAx>
        <c:axId val="16738380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61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AD59152C.dotm</Template>
  <TotalTime>0</TotalTime>
  <Pages>4</Pages>
  <Words>1608</Words>
  <Characters>9186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jhynkova</dc:creator>
  <cp:keywords/>
  <cp:lastModifiedBy>Hana POLÍVKOVÁ</cp:lastModifiedBy>
  <cp:revision>2</cp:revision>
  <cp:lastPrinted>2025-09-12T11:08:00Z</cp:lastPrinted>
  <dcterms:created xsi:type="dcterms:W3CDTF">2025-09-17T08:05:00Z</dcterms:created>
  <dcterms:modified xsi:type="dcterms:W3CDTF">2025-09-17T08:05:00Z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2025-02-12T06:57:50Z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b558be94-7b59-4721-83f7-ef8b47dcf24e</vt:lpwstr>
  </property>
  <property fmtid="{D5CDD505-2E9C-101B-9397-08002B2CF9AE}" pid="8" name="MSIP_Label_b3564849-fbfc-4795-ad59-055bb350645f_ContentBits">
    <vt:lpwstr>0</vt:lpwstr>
  </property>
</Properties>
</file>