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C4DBE" w14:textId="77777777" w:rsidR="00466239" w:rsidRPr="00506A83" w:rsidRDefault="00466239" w:rsidP="00466239">
      <w:pPr>
        <w:spacing w:before="120" w:after="120" w:line="276" w:lineRule="auto"/>
        <w:ind w:firstLine="540"/>
        <w:jc w:val="center"/>
        <w:rPr>
          <w:b/>
        </w:rPr>
      </w:pPr>
    </w:p>
    <w:p w14:paraId="53A6B39D" w14:textId="77777777" w:rsidR="00466239" w:rsidRPr="00506A83" w:rsidRDefault="00466239" w:rsidP="00466239">
      <w:pPr>
        <w:spacing w:before="120" w:after="120" w:line="276" w:lineRule="auto"/>
        <w:ind w:firstLine="540"/>
        <w:jc w:val="center"/>
        <w:rPr>
          <w:b/>
        </w:rPr>
      </w:pPr>
    </w:p>
    <w:p w14:paraId="29DA179E" w14:textId="77777777" w:rsidR="00466239" w:rsidRPr="00506A83" w:rsidRDefault="00466239" w:rsidP="00466239">
      <w:pPr>
        <w:spacing w:before="120" w:after="120" w:line="276" w:lineRule="auto"/>
        <w:ind w:firstLine="540"/>
        <w:jc w:val="center"/>
        <w:rPr>
          <w:b/>
        </w:rPr>
      </w:pPr>
    </w:p>
    <w:p w14:paraId="6B4013F8" w14:textId="77777777" w:rsidR="00466239" w:rsidRPr="00506A83" w:rsidRDefault="00466239" w:rsidP="00466239">
      <w:pPr>
        <w:spacing w:before="120" w:after="120" w:line="276" w:lineRule="auto"/>
        <w:ind w:firstLine="540"/>
        <w:jc w:val="center"/>
        <w:rPr>
          <w:b/>
        </w:rPr>
      </w:pPr>
    </w:p>
    <w:p w14:paraId="1B964861" w14:textId="77777777" w:rsidR="00466239" w:rsidRPr="00506A83" w:rsidRDefault="00466239" w:rsidP="00466239">
      <w:pPr>
        <w:spacing w:before="120" w:after="120" w:line="276" w:lineRule="auto"/>
        <w:ind w:firstLine="540"/>
        <w:jc w:val="center"/>
        <w:rPr>
          <w:b/>
        </w:rPr>
      </w:pPr>
    </w:p>
    <w:p w14:paraId="6F9E4850" w14:textId="77777777" w:rsidR="00466239" w:rsidRPr="00506A83" w:rsidRDefault="00466239" w:rsidP="00466239">
      <w:pPr>
        <w:spacing w:before="120" w:after="120" w:line="276" w:lineRule="auto"/>
        <w:ind w:firstLine="540"/>
        <w:jc w:val="center"/>
        <w:rPr>
          <w:b/>
        </w:rPr>
      </w:pPr>
    </w:p>
    <w:p w14:paraId="5C0B3759" w14:textId="77777777" w:rsidR="00466239" w:rsidRPr="00506A83" w:rsidRDefault="00466239" w:rsidP="00466239">
      <w:pPr>
        <w:spacing w:before="120" w:after="120" w:line="276" w:lineRule="auto"/>
        <w:ind w:firstLine="540"/>
        <w:jc w:val="center"/>
        <w:rPr>
          <w:b/>
        </w:rPr>
      </w:pPr>
    </w:p>
    <w:p w14:paraId="6CBE218A" w14:textId="77777777" w:rsidR="00466239" w:rsidRPr="00506A83" w:rsidRDefault="00466239" w:rsidP="00466239">
      <w:pPr>
        <w:spacing w:before="120" w:after="120" w:line="276" w:lineRule="auto"/>
        <w:ind w:firstLine="540"/>
        <w:jc w:val="center"/>
        <w:rPr>
          <w:b/>
        </w:rPr>
      </w:pPr>
    </w:p>
    <w:p w14:paraId="5544AE9C" w14:textId="77777777" w:rsidR="00466239" w:rsidRPr="00506A83" w:rsidRDefault="00466239" w:rsidP="00466239">
      <w:pPr>
        <w:spacing w:before="120" w:after="120" w:line="276" w:lineRule="auto"/>
        <w:ind w:firstLine="540"/>
        <w:jc w:val="center"/>
        <w:rPr>
          <w:b/>
        </w:rPr>
      </w:pPr>
    </w:p>
    <w:p w14:paraId="54A39C98" w14:textId="77777777" w:rsidR="00466239" w:rsidRPr="00506A83" w:rsidRDefault="00466239" w:rsidP="00466239">
      <w:pPr>
        <w:spacing w:before="120" w:after="120" w:line="276" w:lineRule="auto"/>
        <w:ind w:firstLine="540"/>
        <w:jc w:val="center"/>
        <w:rPr>
          <w:b/>
          <w:sz w:val="32"/>
          <w:szCs w:val="32"/>
        </w:rPr>
      </w:pPr>
    </w:p>
    <w:p w14:paraId="34CF8C04" w14:textId="46EB86EA" w:rsidR="00770D76" w:rsidRPr="00506A83" w:rsidRDefault="00770D76" w:rsidP="00466239">
      <w:pPr>
        <w:spacing w:before="120" w:after="120" w:line="276" w:lineRule="auto"/>
        <w:ind w:firstLine="540"/>
        <w:jc w:val="center"/>
        <w:rPr>
          <w:b/>
          <w:sz w:val="32"/>
          <w:szCs w:val="32"/>
        </w:rPr>
      </w:pPr>
      <w:r w:rsidRPr="00506A83">
        <w:rPr>
          <w:b/>
          <w:sz w:val="32"/>
          <w:szCs w:val="32"/>
        </w:rPr>
        <w:t>Informace o realizaci zahraniční rozvojové spolupráce a humanitární pomoci České republiky v roce 202</w:t>
      </w:r>
      <w:r w:rsidR="00303DD8" w:rsidRPr="00506A83">
        <w:rPr>
          <w:b/>
          <w:sz w:val="32"/>
          <w:szCs w:val="32"/>
        </w:rPr>
        <w:t>5</w:t>
      </w:r>
    </w:p>
    <w:p w14:paraId="229E09A7" w14:textId="77777777" w:rsidR="00466239" w:rsidRPr="00506A83" w:rsidRDefault="00466239" w:rsidP="005177B3">
      <w:pPr>
        <w:spacing w:before="120" w:after="120" w:line="276" w:lineRule="auto"/>
        <w:ind w:firstLine="540"/>
        <w:jc w:val="center"/>
        <w:rPr>
          <w:b/>
        </w:rPr>
      </w:pPr>
    </w:p>
    <w:p w14:paraId="27E868E5" w14:textId="77777777" w:rsidR="00466239" w:rsidRPr="00506A83" w:rsidRDefault="00466239" w:rsidP="005177B3">
      <w:pPr>
        <w:spacing w:before="120" w:after="120" w:line="276" w:lineRule="auto"/>
        <w:ind w:firstLine="540"/>
        <w:jc w:val="center"/>
        <w:rPr>
          <w:b/>
        </w:rPr>
      </w:pPr>
    </w:p>
    <w:p w14:paraId="2E8FF6AA" w14:textId="77777777" w:rsidR="00A93A4D" w:rsidRPr="00506A83" w:rsidRDefault="00A93A4D" w:rsidP="005177B3">
      <w:pPr>
        <w:spacing w:before="120" w:after="120" w:line="276" w:lineRule="auto"/>
        <w:ind w:firstLine="540"/>
        <w:jc w:val="center"/>
        <w:rPr>
          <w:b/>
        </w:rPr>
      </w:pPr>
    </w:p>
    <w:p w14:paraId="78C3E5E7" w14:textId="77777777" w:rsidR="00466239" w:rsidRPr="00506A83" w:rsidRDefault="00466239" w:rsidP="005177B3">
      <w:pPr>
        <w:spacing w:before="120" w:after="120" w:line="276" w:lineRule="auto"/>
        <w:ind w:firstLine="540"/>
        <w:jc w:val="center"/>
        <w:rPr>
          <w:b/>
        </w:rPr>
      </w:pPr>
    </w:p>
    <w:p w14:paraId="21F15E3D" w14:textId="77777777" w:rsidR="00A93A4D" w:rsidRPr="00506A83" w:rsidRDefault="00A93A4D" w:rsidP="005177B3">
      <w:pPr>
        <w:spacing w:before="120" w:after="120" w:line="276" w:lineRule="auto"/>
        <w:ind w:firstLine="540"/>
        <w:jc w:val="center"/>
        <w:rPr>
          <w:b/>
        </w:rPr>
      </w:pPr>
    </w:p>
    <w:p w14:paraId="5672EF75" w14:textId="77777777" w:rsidR="00466239" w:rsidRPr="00506A83" w:rsidRDefault="00466239" w:rsidP="005177B3">
      <w:pPr>
        <w:spacing w:before="120" w:after="120" w:line="276" w:lineRule="auto"/>
        <w:ind w:firstLine="540"/>
        <w:jc w:val="center"/>
        <w:rPr>
          <w:b/>
        </w:rPr>
      </w:pPr>
    </w:p>
    <w:p w14:paraId="05A7C864" w14:textId="77777777" w:rsidR="00466239" w:rsidRPr="00506A83" w:rsidRDefault="00466239" w:rsidP="005177B3">
      <w:pPr>
        <w:spacing w:before="120" w:after="120" w:line="276" w:lineRule="auto"/>
        <w:ind w:firstLine="540"/>
        <w:jc w:val="center"/>
        <w:rPr>
          <w:b/>
        </w:rPr>
      </w:pPr>
    </w:p>
    <w:p w14:paraId="2693F3AA" w14:textId="77777777" w:rsidR="001A3161" w:rsidRPr="00506A83" w:rsidRDefault="001A3161" w:rsidP="005177B3">
      <w:pPr>
        <w:spacing w:before="120" w:after="120" w:line="276" w:lineRule="auto"/>
        <w:ind w:firstLine="540"/>
        <w:jc w:val="center"/>
        <w:rPr>
          <w:b/>
        </w:rPr>
      </w:pPr>
    </w:p>
    <w:p w14:paraId="79B0943A" w14:textId="77777777" w:rsidR="001A3161" w:rsidRPr="00506A83" w:rsidRDefault="001A3161" w:rsidP="005177B3">
      <w:pPr>
        <w:spacing w:before="120" w:after="120" w:line="276" w:lineRule="auto"/>
        <w:ind w:firstLine="540"/>
        <w:jc w:val="center"/>
        <w:rPr>
          <w:b/>
        </w:rPr>
      </w:pPr>
    </w:p>
    <w:p w14:paraId="18A39F7C" w14:textId="77777777" w:rsidR="00466239" w:rsidRPr="00506A83" w:rsidRDefault="00466239" w:rsidP="005177B3">
      <w:pPr>
        <w:spacing w:before="120" w:after="120" w:line="276" w:lineRule="auto"/>
        <w:ind w:firstLine="540"/>
        <w:jc w:val="center"/>
        <w:rPr>
          <w:b/>
        </w:rPr>
      </w:pPr>
    </w:p>
    <w:p w14:paraId="6006057B" w14:textId="77777777" w:rsidR="00466239" w:rsidRPr="00506A83" w:rsidRDefault="00466239" w:rsidP="005177B3">
      <w:pPr>
        <w:spacing w:before="120" w:after="120" w:line="276" w:lineRule="auto"/>
        <w:ind w:firstLine="540"/>
        <w:jc w:val="center"/>
        <w:rPr>
          <w:b/>
        </w:rPr>
      </w:pPr>
    </w:p>
    <w:p w14:paraId="2C25D504" w14:textId="77777777" w:rsidR="00466239" w:rsidRPr="00506A83" w:rsidRDefault="00466239" w:rsidP="005177B3">
      <w:pPr>
        <w:spacing w:before="120" w:after="120" w:line="276" w:lineRule="auto"/>
        <w:ind w:firstLine="540"/>
        <w:jc w:val="center"/>
        <w:rPr>
          <w:b/>
        </w:rPr>
      </w:pPr>
    </w:p>
    <w:sdt>
      <w:sdtPr>
        <w:rPr>
          <w:rFonts w:ascii="Times New Roman" w:hAnsi="Times New Roman" w:cs="Times New Roman"/>
          <w:b w:val="0"/>
          <w:color w:val="auto"/>
          <w:sz w:val="24"/>
          <w:szCs w:val="24"/>
        </w:rPr>
        <w:id w:val="371348743"/>
        <w:docPartObj>
          <w:docPartGallery w:val="Table of Contents"/>
          <w:docPartUnique/>
        </w:docPartObj>
      </w:sdtPr>
      <w:sdtEndPr>
        <w:rPr>
          <w:bCs/>
        </w:rPr>
      </w:sdtEndPr>
      <w:sdtContent>
        <w:p w14:paraId="47E7980F" w14:textId="58A289B6" w:rsidR="00FD31F3" w:rsidRPr="00506A83" w:rsidRDefault="00FD31F3" w:rsidP="00124982">
          <w:pPr>
            <w:pStyle w:val="Nadpisobsahu"/>
            <w:spacing w:line="276" w:lineRule="auto"/>
            <w:rPr>
              <w:rFonts w:ascii="Times New Roman" w:hAnsi="Times New Roman" w:cs="Times New Roman"/>
              <w:color w:val="auto"/>
              <w:sz w:val="24"/>
              <w:szCs w:val="24"/>
            </w:rPr>
          </w:pPr>
          <w:r w:rsidRPr="00506A83">
            <w:rPr>
              <w:rFonts w:ascii="Times New Roman" w:hAnsi="Times New Roman" w:cs="Times New Roman"/>
              <w:color w:val="auto"/>
              <w:sz w:val="24"/>
              <w:szCs w:val="24"/>
            </w:rPr>
            <w:t>OBSAH</w:t>
          </w:r>
        </w:p>
        <w:p w14:paraId="750915A0" w14:textId="77777777" w:rsidR="001A60FD" w:rsidRPr="00506A83" w:rsidRDefault="001A60FD" w:rsidP="00124982">
          <w:pPr>
            <w:spacing w:line="276" w:lineRule="auto"/>
          </w:pPr>
        </w:p>
        <w:p w14:paraId="03572C3D" w14:textId="29024DB6" w:rsidR="006B6D87" w:rsidRPr="00506A83" w:rsidRDefault="00FD31F3">
          <w:pPr>
            <w:pStyle w:val="Obsah1"/>
            <w:rPr>
              <w:rFonts w:eastAsiaTheme="minorEastAsia" w:cs="Times New Roman"/>
              <w:b w:val="0"/>
              <w:noProof w:val="0"/>
              <w:kern w:val="2"/>
              <w14:ligatures w14:val="standardContextual"/>
            </w:rPr>
          </w:pPr>
          <w:r w:rsidRPr="00506A83">
            <w:rPr>
              <w:rFonts w:cs="Times New Roman"/>
              <w:noProof w:val="0"/>
            </w:rPr>
            <w:fldChar w:fldCharType="begin"/>
          </w:r>
          <w:r w:rsidRPr="00506A83">
            <w:rPr>
              <w:rFonts w:cs="Times New Roman"/>
              <w:noProof w:val="0"/>
            </w:rPr>
            <w:instrText xml:space="preserve"> TOC \o "1-3" \h \z \u </w:instrText>
          </w:r>
          <w:r w:rsidRPr="00506A83">
            <w:rPr>
              <w:rFonts w:cs="Times New Roman"/>
              <w:noProof w:val="0"/>
            </w:rPr>
            <w:fldChar w:fldCharType="separate"/>
          </w:r>
          <w:hyperlink w:anchor="_Toc231294135" w:history="1">
            <w:r w:rsidR="006B6D87" w:rsidRPr="00506A83">
              <w:rPr>
                <w:rStyle w:val="Hypertextovodkaz"/>
                <w:noProof w:val="0"/>
              </w:rPr>
              <w:t>1.</w:t>
            </w:r>
            <w:r w:rsidR="006B6D87" w:rsidRPr="00506A83">
              <w:rPr>
                <w:rFonts w:eastAsiaTheme="minorEastAsia" w:cs="Times New Roman"/>
                <w:b w:val="0"/>
                <w:noProof w:val="0"/>
                <w:kern w:val="2"/>
                <w14:ligatures w14:val="standardContextual"/>
              </w:rPr>
              <w:tab/>
            </w:r>
            <w:r w:rsidR="006B6D87" w:rsidRPr="00506A83">
              <w:rPr>
                <w:rStyle w:val="Hypertextovodkaz"/>
                <w:noProof w:val="0"/>
              </w:rPr>
              <w:t>Úvod</w:t>
            </w:r>
            <w:r w:rsidR="006B6D87" w:rsidRPr="00506A83">
              <w:rPr>
                <w:rFonts w:cs="Times New Roman"/>
                <w:noProof w:val="0"/>
                <w:webHidden/>
              </w:rPr>
              <w:tab/>
            </w:r>
            <w:r w:rsidR="006B6D87" w:rsidRPr="00506A83">
              <w:rPr>
                <w:rFonts w:cs="Times New Roman"/>
                <w:noProof w:val="0"/>
                <w:webHidden/>
              </w:rPr>
              <w:fldChar w:fldCharType="begin"/>
            </w:r>
            <w:r w:rsidR="006B6D87" w:rsidRPr="00506A83">
              <w:rPr>
                <w:rFonts w:cs="Times New Roman"/>
                <w:noProof w:val="0"/>
                <w:webHidden/>
              </w:rPr>
              <w:instrText xml:space="preserve"> PAGEREF _Toc231294135 \h </w:instrText>
            </w:r>
            <w:r w:rsidR="006B6D87" w:rsidRPr="00506A83">
              <w:rPr>
                <w:rFonts w:cs="Times New Roman"/>
                <w:noProof w:val="0"/>
                <w:webHidden/>
              </w:rPr>
            </w:r>
            <w:r w:rsidR="006B6D87" w:rsidRPr="00506A83">
              <w:rPr>
                <w:rFonts w:cs="Times New Roman"/>
                <w:noProof w:val="0"/>
                <w:webHidden/>
              </w:rPr>
              <w:fldChar w:fldCharType="separate"/>
            </w:r>
            <w:r w:rsidR="00177F0D" w:rsidRPr="00506A83">
              <w:rPr>
                <w:rFonts w:cs="Times New Roman"/>
                <w:noProof w:val="0"/>
                <w:webHidden/>
              </w:rPr>
              <w:t>3</w:t>
            </w:r>
            <w:r w:rsidR="006B6D87" w:rsidRPr="00506A83">
              <w:rPr>
                <w:rFonts w:cs="Times New Roman"/>
                <w:noProof w:val="0"/>
                <w:webHidden/>
              </w:rPr>
              <w:fldChar w:fldCharType="end"/>
            </w:r>
          </w:hyperlink>
        </w:p>
        <w:p w14:paraId="4248D74F" w14:textId="76E09F84" w:rsidR="006B6D87" w:rsidRPr="00506A83" w:rsidRDefault="006B6D87">
          <w:pPr>
            <w:pStyle w:val="Obsah1"/>
            <w:rPr>
              <w:rFonts w:eastAsiaTheme="minorEastAsia" w:cs="Times New Roman"/>
              <w:b w:val="0"/>
              <w:noProof w:val="0"/>
              <w:kern w:val="2"/>
              <w14:ligatures w14:val="standardContextual"/>
            </w:rPr>
          </w:pPr>
          <w:hyperlink w:anchor="_Toc231294136" w:history="1">
            <w:r w:rsidRPr="00506A83">
              <w:rPr>
                <w:rStyle w:val="Hypertextovodkaz"/>
                <w:noProof w:val="0"/>
              </w:rPr>
              <w:t>2.</w:t>
            </w:r>
            <w:r w:rsidRPr="00506A83">
              <w:rPr>
                <w:rFonts w:eastAsiaTheme="minorEastAsia" w:cs="Times New Roman"/>
                <w:b w:val="0"/>
                <w:noProof w:val="0"/>
                <w:kern w:val="2"/>
                <w14:ligatures w14:val="standardContextual"/>
              </w:rPr>
              <w:tab/>
            </w:r>
            <w:r w:rsidRPr="00506A83">
              <w:rPr>
                <w:rStyle w:val="Hypertextovodkaz"/>
                <w:noProof w:val="0"/>
              </w:rPr>
              <w:t>Zahraniční rozvojová spolupráce České republiky</w:t>
            </w:r>
            <w:r w:rsidRPr="00506A83">
              <w:rPr>
                <w:rFonts w:cs="Times New Roman"/>
                <w:noProof w:val="0"/>
                <w:webHidden/>
              </w:rPr>
              <w:tab/>
            </w:r>
            <w:r w:rsidRPr="00506A83">
              <w:rPr>
                <w:rFonts w:cs="Times New Roman"/>
                <w:noProof w:val="0"/>
                <w:webHidden/>
              </w:rPr>
              <w:fldChar w:fldCharType="begin"/>
            </w:r>
            <w:r w:rsidRPr="00506A83">
              <w:rPr>
                <w:rFonts w:cs="Times New Roman"/>
                <w:noProof w:val="0"/>
                <w:webHidden/>
              </w:rPr>
              <w:instrText xml:space="preserve"> PAGEREF _Toc231294136 \h </w:instrText>
            </w:r>
            <w:r w:rsidRPr="00506A83">
              <w:rPr>
                <w:rFonts w:cs="Times New Roman"/>
                <w:noProof w:val="0"/>
                <w:webHidden/>
              </w:rPr>
            </w:r>
            <w:r w:rsidRPr="00506A83">
              <w:rPr>
                <w:rFonts w:cs="Times New Roman"/>
                <w:noProof w:val="0"/>
                <w:webHidden/>
              </w:rPr>
              <w:fldChar w:fldCharType="separate"/>
            </w:r>
            <w:r w:rsidR="00177F0D" w:rsidRPr="00506A83">
              <w:rPr>
                <w:rFonts w:cs="Times New Roman"/>
                <w:noProof w:val="0"/>
                <w:webHidden/>
              </w:rPr>
              <w:t>4</w:t>
            </w:r>
            <w:r w:rsidRPr="00506A83">
              <w:rPr>
                <w:rFonts w:cs="Times New Roman"/>
                <w:noProof w:val="0"/>
                <w:webHidden/>
              </w:rPr>
              <w:fldChar w:fldCharType="end"/>
            </w:r>
          </w:hyperlink>
        </w:p>
        <w:p w14:paraId="7F78BF8C" w14:textId="60CCDDD1" w:rsidR="006B6D87" w:rsidRPr="00506A83" w:rsidRDefault="006B6D87">
          <w:pPr>
            <w:pStyle w:val="Obsah2"/>
            <w:rPr>
              <w:rFonts w:ascii="Times New Roman" w:eastAsiaTheme="minorEastAsia" w:hAnsi="Times New Roman" w:cs="Times New Roman"/>
              <w:noProof w:val="0"/>
              <w:kern w:val="2"/>
              <w:sz w:val="24"/>
              <w:szCs w:val="24"/>
              <w:lang w:eastAsia="cs-CZ"/>
              <w14:ligatures w14:val="standardContextual"/>
            </w:rPr>
          </w:pPr>
          <w:hyperlink w:anchor="_Toc231294137" w:history="1">
            <w:r w:rsidRPr="00506A83">
              <w:rPr>
                <w:rStyle w:val="Hypertextovodkaz"/>
                <w:rFonts w:ascii="Times New Roman" w:hAnsi="Times New Roman"/>
                <w:noProof w:val="0"/>
                <w:sz w:val="24"/>
                <w:szCs w:val="24"/>
              </w:rPr>
              <w:t>2.1.</w:t>
            </w:r>
            <w:r w:rsidRPr="00506A83">
              <w:rPr>
                <w:rFonts w:ascii="Times New Roman" w:eastAsiaTheme="minorEastAsia" w:hAnsi="Times New Roman" w:cs="Times New Roman"/>
                <w:noProof w:val="0"/>
                <w:kern w:val="2"/>
                <w:sz w:val="24"/>
                <w:szCs w:val="24"/>
                <w:lang w:eastAsia="cs-CZ"/>
                <w14:ligatures w14:val="standardContextual"/>
              </w:rPr>
              <w:tab/>
            </w:r>
            <w:r w:rsidRPr="00506A83">
              <w:rPr>
                <w:rStyle w:val="Hypertextovodkaz"/>
                <w:rFonts w:ascii="Times New Roman" w:hAnsi="Times New Roman"/>
                <w:noProof w:val="0"/>
                <w:sz w:val="24"/>
                <w:szCs w:val="24"/>
              </w:rPr>
              <w:t>Rozvojové aktivity v gesci ČRA</w:t>
            </w:r>
            <w:r w:rsidRPr="00506A83">
              <w:rPr>
                <w:rFonts w:ascii="Times New Roman" w:hAnsi="Times New Roman" w:cs="Times New Roman"/>
                <w:noProof w:val="0"/>
                <w:webHidden/>
                <w:sz w:val="24"/>
                <w:szCs w:val="24"/>
              </w:rPr>
              <w:tab/>
            </w:r>
            <w:r w:rsidRPr="00506A83">
              <w:rPr>
                <w:rFonts w:ascii="Times New Roman" w:hAnsi="Times New Roman" w:cs="Times New Roman"/>
                <w:noProof w:val="0"/>
                <w:webHidden/>
                <w:sz w:val="24"/>
                <w:szCs w:val="24"/>
              </w:rPr>
              <w:fldChar w:fldCharType="begin"/>
            </w:r>
            <w:r w:rsidRPr="00506A83">
              <w:rPr>
                <w:rFonts w:ascii="Times New Roman" w:hAnsi="Times New Roman" w:cs="Times New Roman"/>
                <w:noProof w:val="0"/>
                <w:webHidden/>
                <w:sz w:val="24"/>
                <w:szCs w:val="24"/>
              </w:rPr>
              <w:instrText xml:space="preserve"> PAGEREF _Toc231294137 \h </w:instrText>
            </w:r>
            <w:r w:rsidRPr="00506A83">
              <w:rPr>
                <w:rFonts w:ascii="Times New Roman" w:hAnsi="Times New Roman" w:cs="Times New Roman"/>
                <w:noProof w:val="0"/>
                <w:webHidden/>
                <w:sz w:val="24"/>
                <w:szCs w:val="24"/>
              </w:rPr>
            </w:r>
            <w:r w:rsidRPr="00506A83">
              <w:rPr>
                <w:rFonts w:ascii="Times New Roman" w:hAnsi="Times New Roman" w:cs="Times New Roman"/>
                <w:noProof w:val="0"/>
                <w:webHidden/>
                <w:sz w:val="24"/>
                <w:szCs w:val="24"/>
              </w:rPr>
              <w:fldChar w:fldCharType="separate"/>
            </w:r>
            <w:r w:rsidR="00177F0D" w:rsidRPr="00506A83">
              <w:rPr>
                <w:rFonts w:ascii="Times New Roman" w:hAnsi="Times New Roman" w:cs="Times New Roman"/>
                <w:noProof w:val="0"/>
                <w:webHidden/>
                <w:sz w:val="24"/>
                <w:szCs w:val="24"/>
              </w:rPr>
              <w:t>4</w:t>
            </w:r>
            <w:r w:rsidRPr="00506A83">
              <w:rPr>
                <w:rFonts w:ascii="Times New Roman" w:hAnsi="Times New Roman" w:cs="Times New Roman"/>
                <w:noProof w:val="0"/>
                <w:webHidden/>
                <w:sz w:val="24"/>
                <w:szCs w:val="24"/>
              </w:rPr>
              <w:fldChar w:fldCharType="end"/>
            </w:r>
          </w:hyperlink>
        </w:p>
        <w:p w14:paraId="5659537F" w14:textId="109F50D0" w:rsidR="006B6D87" w:rsidRPr="00506A83" w:rsidRDefault="006B6D87">
          <w:pPr>
            <w:pStyle w:val="Obsah3"/>
            <w:tabs>
              <w:tab w:val="left" w:pos="1440"/>
              <w:tab w:val="right" w:leader="dot" w:pos="9062"/>
            </w:tabs>
            <w:rPr>
              <w:rFonts w:eastAsiaTheme="minorEastAsia"/>
              <w:kern w:val="2"/>
              <w14:ligatures w14:val="standardContextual"/>
            </w:rPr>
          </w:pPr>
          <w:hyperlink w:anchor="_Toc231294138" w:history="1">
            <w:r w:rsidRPr="00506A83">
              <w:rPr>
                <w:rStyle w:val="Hypertextovodkaz"/>
                <w:rFonts w:eastAsia="DengXian Light"/>
              </w:rPr>
              <w:t>2.1.1.</w:t>
            </w:r>
            <w:r w:rsidRPr="00506A83">
              <w:rPr>
                <w:rFonts w:eastAsiaTheme="minorEastAsia"/>
                <w:kern w:val="2"/>
                <w14:ligatures w14:val="standardContextual"/>
              </w:rPr>
              <w:tab/>
            </w:r>
            <w:r w:rsidRPr="00506A83">
              <w:rPr>
                <w:rStyle w:val="Hypertextovodkaz"/>
                <w:rFonts w:eastAsia="DengXian Light"/>
              </w:rPr>
              <w:t>Rozvojové aktivity ČRA dle zeměpisného zaměření</w:t>
            </w:r>
            <w:r w:rsidRPr="00506A83">
              <w:rPr>
                <w:webHidden/>
              </w:rPr>
              <w:tab/>
            </w:r>
            <w:r w:rsidRPr="00506A83">
              <w:rPr>
                <w:webHidden/>
              </w:rPr>
              <w:fldChar w:fldCharType="begin"/>
            </w:r>
            <w:r w:rsidRPr="00506A83">
              <w:rPr>
                <w:webHidden/>
              </w:rPr>
              <w:instrText xml:space="preserve"> PAGEREF _Toc231294138 \h </w:instrText>
            </w:r>
            <w:r w:rsidRPr="00506A83">
              <w:rPr>
                <w:webHidden/>
              </w:rPr>
            </w:r>
            <w:r w:rsidRPr="00506A83">
              <w:rPr>
                <w:webHidden/>
              </w:rPr>
              <w:fldChar w:fldCharType="separate"/>
            </w:r>
            <w:r w:rsidR="00177F0D" w:rsidRPr="00506A83">
              <w:rPr>
                <w:webHidden/>
              </w:rPr>
              <w:t>5</w:t>
            </w:r>
            <w:r w:rsidRPr="00506A83">
              <w:rPr>
                <w:webHidden/>
              </w:rPr>
              <w:fldChar w:fldCharType="end"/>
            </w:r>
          </w:hyperlink>
        </w:p>
        <w:p w14:paraId="3BE50FDF" w14:textId="666AD268" w:rsidR="006B6D87" w:rsidRPr="00506A83" w:rsidRDefault="006B6D87">
          <w:pPr>
            <w:pStyle w:val="Obsah3"/>
            <w:tabs>
              <w:tab w:val="left" w:pos="1440"/>
              <w:tab w:val="right" w:leader="dot" w:pos="9062"/>
            </w:tabs>
            <w:rPr>
              <w:rFonts w:eastAsiaTheme="minorEastAsia"/>
              <w:kern w:val="2"/>
              <w14:ligatures w14:val="standardContextual"/>
            </w:rPr>
          </w:pPr>
          <w:hyperlink w:anchor="_Toc231294139" w:history="1">
            <w:r w:rsidRPr="00506A83">
              <w:rPr>
                <w:rStyle w:val="Hypertextovodkaz"/>
                <w:rFonts w:eastAsia="DengXian Light"/>
              </w:rPr>
              <w:t>2.1.2.</w:t>
            </w:r>
            <w:r w:rsidRPr="00506A83">
              <w:rPr>
                <w:rFonts w:eastAsiaTheme="minorEastAsia"/>
                <w:kern w:val="2"/>
                <w14:ligatures w14:val="standardContextual"/>
              </w:rPr>
              <w:tab/>
            </w:r>
            <w:r w:rsidRPr="00506A83">
              <w:rPr>
                <w:rStyle w:val="Hypertextovodkaz"/>
                <w:rFonts w:eastAsia="DengXian Light"/>
              </w:rPr>
              <w:t>Rozvojové aktivity ČRA dle tematického zaměření</w:t>
            </w:r>
            <w:r w:rsidRPr="00506A83">
              <w:rPr>
                <w:webHidden/>
              </w:rPr>
              <w:tab/>
            </w:r>
            <w:r w:rsidRPr="00506A83">
              <w:rPr>
                <w:webHidden/>
              </w:rPr>
              <w:fldChar w:fldCharType="begin"/>
            </w:r>
            <w:r w:rsidRPr="00506A83">
              <w:rPr>
                <w:webHidden/>
              </w:rPr>
              <w:instrText xml:space="preserve"> PAGEREF _Toc231294139 \h </w:instrText>
            </w:r>
            <w:r w:rsidRPr="00506A83">
              <w:rPr>
                <w:webHidden/>
              </w:rPr>
            </w:r>
            <w:r w:rsidRPr="00506A83">
              <w:rPr>
                <w:webHidden/>
              </w:rPr>
              <w:fldChar w:fldCharType="separate"/>
            </w:r>
            <w:r w:rsidR="00177F0D" w:rsidRPr="00506A83">
              <w:rPr>
                <w:webHidden/>
              </w:rPr>
              <w:t>16</w:t>
            </w:r>
            <w:r w:rsidRPr="00506A83">
              <w:rPr>
                <w:webHidden/>
              </w:rPr>
              <w:fldChar w:fldCharType="end"/>
            </w:r>
          </w:hyperlink>
        </w:p>
        <w:p w14:paraId="5D9EA498" w14:textId="210F769F" w:rsidR="006B6D87" w:rsidRPr="00506A83" w:rsidRDefault="006B6D87">
          <w:pPr>
            <w:pStyle w:val="Obsah3"/>
            <w:tabs>
              <w:tab w:val="left" w:pos="1440"/>
              <w:tab w:val="right" w:leader="dot" w:pos="9062"/>
            </w:tabs>
            <w:rPr>
              <w:rFonts w:eastAsiaTheme="minorEastAsia"/>
              <w:kern w:val="2"/>
              <w14:ligatures w14:val="standardContextual"/>
            </w:rPr>
          </w:pPr>
          <w:hyperlink w:anchor="_Toc231294140" w:history="1">
            <w:r w:rsidRPr="00506A83">
              <w:rPr>
                <w:rStyle w:val="Hypertextovodkaz"/>
                <w:rFonts w:eastAsia="DengXian Light"/>
              </w:rPr>
              <w:t>2.1.3.</w:t>
            </w:r>
            <w:r w:rsidRPr="00506A83">
              <w:rPr>
                <w:rFonts w:eastAsiaTheme="minorEastAsia"/>
                <w:kern w:val="2"/>
                <w14:ligatures w14:val="standardContextual"/>
              </w:rPr>
              <w:tab/>
            </w:r>
            <w:r w:rsidRPr="00506A83">
              <w:rPr>
                <w:rStyle w:val="Hypertextovodkaz"/>
                <w:rFonts w:eastAsia="DengXian Light"/>
              </w:rPr>
              <w:t>Rozvojové aktivity ČRA podle forem a programů</w:t>
            </w:r>
            <w:r w:rsidRPr="00506A83">
              <w:rPr>
                <w:webHidden/>
              </w:rPr>
              <w:tab/>
            </w:r>
            <w:r w:rsidRPr="00506A83">
              <w:rPr>
                <w:webHidden/>
              </w:rPr>
              <w:fldChar w:fldCharType="begin"/>
            </w:r>
            <w:r w:rsidRPr="00506A83">
              <w:rPr>
                <w:webHidden/>
              </w:rPr>
              <w:instrText xml:space="preserve"> PAGEREF _Toc231294140 \h </w:instrText>
            </w:r>
            <w:r w:rsidRPr="00506A83">
              <w:rPr>
                <w:webHidden/>
              </w:rPr>
            </w:r>
            <w:r w:rsidRPr="00506A83">
              <w:rPr>
                <w:webHidden/>
              </w:rPr>
              <w:fldChar w:fldCharType="separate"/>
            </w:r>
            <w:r w:rsidR="00177F0D" w:rsidRPr="00506A83">
              <w:rPr>
                <w:webHidden/>
              </w:rPr>
              <w:t>18</w:t>
            </w:r>
            <w:r w:rsidRPr="00506A83">
              <w:rPr>
                <w:webHidden/>
              </w:rPr>
              <w:fldChar w:fldCharType="end"/>
            </w:r>
          </w:hyperlink>
        </w:p>
        <w:p w14:paraId="2A1D391B" w14:textId="6ECA6112" w:rsidR="006B6D87" w:rsidRPr="00506A83" w:rsidRDefault="006B6D87">
          <w:pPr>
            <w:pStyle w:val="Obsah2"/>
            <w:rPr>
              <w:rFonts w:ascii="Times New Roman" w:eastAsiaTheme="minorEastAsia" w:hAnsi="Times New Roman" w:cs="Times New Roman"/>
              <w:noProof w:val="0"/>
              <w:kern w:val="2"/>
              <w:sz w:val="24"/>
              <w:szCs w:val="24"/>
              <w:lang w:eastAsia="cs-CZ"/>
              <w14:ligatures w14:val="standardContextual"/>
            </w:rPr>
          </w:pPr>
          <w:hyperlink w:anchor="_Toc231294141" w:history="1">
            <w:r w:rsidRPr="00506A83">
              <w:rPr>
                <w:rStyle w:val="Hypertextovodkaz"/>
                <w:rFonts w:ascii="Times New Roman" w:hAnsi="Times New Roman"/>
                <w:noProof w:val="0"/>
                <w:sz w:val="24"/>
                <w:szCs w:val="24"/>
              </w:rPr>
              <w:t>2.2.</w:t>
            </w:r>
            <w:r w:rsidRPr="00506A83">
              <w:rPr>
                <w:rFonts w:ascii="Times New Roman" w:eastAsiaTheme="minorEastAsia" w:hAnsi="Times New Roman" w:cs="Times New Roman"/>
                <w:noProof w:val="0"/>
                <w:kern w:val="2"/>
                <w:sz w:val="24"/>
                <w:szCs w:val="24"/>
                <w:lang w:eastAsia="cs-CZ"/>
                <w14:ligatures w14:val="standardContextual"/>
              </w:rPr>
              <w:tab/>
            </w:r>
            <w:r w:rsidRPr="00506A83">
              <w:rPr>
                <w:rStyle w:val="Hypertextovodkaz"/>
                <w:rFonts w:ascii="Times New Roman" w:hAnsi="Times New Roman"/>
                <w:noProof w:val="0"/>
                <w:sz w:val="24"/>
                <w:szCs w:val="24"/>
              </w:rPr>
              <w:t>Rozvojové a humanitární aktivity v gesci MZV</w:t>
            </w:r>
            <w:r w:rsidRPr="00506A83">
              <w:rPr>
                <w:rFonts w:ascii="Times New Roman" w:hAnsi="Times New Roman" w:cs="Times New Roman"/>
                <w:noProof w:val="0"/>
                <w:webHidden/>
                <w:sz w:val="24"/>
                <w:szCs w:val="24"/>
              </w:rPr>
              <w:tab/>
            </w:r>
            <w:r w:rsidRPr="00506A83">
              <w:rPr>
                <w:rFonts w:ascii="Times New Roman" w:hAnsi="Times New Roman" w:cs="Times New Roman"/>
                <w:noProof w:val="0"/>
                <w:webHidden/>
                <w:sz w:val="24"/>
                <w:szCs w:val="24"/>
              </w:rPr>
              <w:fldChar w:fldCharType="begin"/>
            </w:r>
            <w:r w:rsidRPr="00506A83">
              <w:rPr>
                <w:rFonts w:ascii="Times New Roman" w:hAnsi="Times New Roman" w:cs="Times New Roman"/>
                <w:noProof w:val="0"/>
                <w:webHidden/>
                <w:sz w:val="24"/>
                <w:szCs w:val="24"/>
              </w:rPr>
              <w:instrText xml:space="preserve"> PAGEREF _Toc231294141 \h </w:instrText>
            </w:r>
            <w:r w:rsidRPr="00506A83">
              <w:rPr>
                <w:rFonts w:ascii="Times New Roman" w:hAnsi="Times New Roman" w:cs="Times New Roman"/>
                <w:noProof w:val="0"/>
                <w:webHidden/>
                <w:sz w:val="24"/>
                <w:szCs w:val="24"/>
              </w:rPr>
            </w:r>
            <w:r w:rsidRPr="00506A83">
              <w:rPr>
                <w:rFonts w:ascii="Times New Roman" w:hAnsi="Times New Roman" w:cs="Times New Roman"/>
                <w:noProof w:val="0"/>
                <w:webHidden/>
                <w:sz w:val="24"/>
                <w:szCs w:val="24"/>
              </w:rPr>
              <w:fldChar w:fldCharType="separate"/>
            </w:r>
            <w:r w:rsidR="00177F0D" w:rsidRPr="00506A83">
              <w:rPr>
                <w:rFonts w:ascii="Times New Roman" w:hAnsi="Times New Roman" w:cs="Times New Roman"/>
                <w:noProof w:val="0"/>
                <w:webHidden/>
                <w:sz w:val="24"/>
                <w:szCs w:val="24"/>
              </w:rPr>
              <w:t>22</w:t>
            </w:r>
            <w:r w:rsidRPr="00506A83">
              <w:rPr>
                <w:rFonts w:ascii="Times New Roman" w:hAnsi="Times New Roman" w:cs="Times New Roman"/>
                <w:noProof w:val="0"/>
                <w:webHidden/>
                <w:sz w:val="24"/>
                <w:szCs w:val="24"/>
              </w:rPr>
              <w:fldChar w:fldCharType="end"/>
            </w:r>
          </w:hyperlink>
        </w:p>
        <w:p w14:paraId="3E248B23" w14:textId="0C6240ED" w:rsidR="006B6D87" w:rsidRPr="00506A83" w:rsidRDefault="006B6D87">
          <w:pPr>
            <w:pStyle w:val="Obsah3"/>
            <w:tabs>
              <w:tab w:val="left" w:pos="1440"/>
              <w:tab w:val="right" w:leader="dot" w:pos="9062"/>
            </w:tabs>
            <w:rPr>
              <w:rFonts w:eastAsiaTheme="minorEastAsia"/>
              <w:kern w:val="2"/>
              <w14:ligatures w14:val="standardContextual"/>
            </w:rPr>
          </w:pPr>
          <w:hyperlink w:anchor="_Toc231294142" w:history="1">
            <w:r w:rsidRPr="00506A83">
              <w:rPr>
                <w:rStyle w:val="Hypertextovodkaz"/>
              </w:rPr>
              <w:t>2.2.1.</w:t>
            </w:r>
            <w:r w:rsidRPr="00506A83">
              <w:rPr>
                <w:rFonts w:eastAsiaTheme="minorEastAsia"/>
                <w:kern w:val="2"/>
                <w14:ligatures w14:val="standardContextual"/>
              </w:rPr>
              <w:tab/>
            </w:r>
            <w:r w:rsidRPr="00506A83">
              <w:rPr>
                <w:rStyle w:val="Hypertextovodkaz"/>
              </w:rPr>
              <w:t>Malé lokální projekty</w:t>
            </w:r>
            <w:r w:rsidRPr="00506A83">
              <w:rPr>
                <w:webHidden/>
              </w:rPr>
              <w:tab/>
            </w:r>
            <w:r w:rsidRPr="00506A83">
              <w:rPr>
                <w:webHidden/>
              </w:rPr>
              <w:fldChar w:fldCharType="begin"/>
            </w:r>
            <w:r w:rsidRPr="00506A83">
              <w:rPr>
                <w:webHidden/>
              </w:rPr>
              <w:instrText xml:space="preserve"> PAGEREF _Toc231294142 \h </w:instrText>
            </w:r>
            <w:r w:rsidRPr="00506A83">
              <w:rPr>
                <w:webHidden/>
              </w:rPr>
            </w:r>
            <w:r w:rsidRPr="00506A83">
              <w:rPr>
                <w:webHidden/>
              </w:rPr>
              <w:fldChar w:fldCharType="separate"/>
            </w:r>
            <w:r w:rsidR="00177F0D" w:rsidRPr="00506A83">
              <w:rPr>
                <w:webHidden/>
              </w:rPr>
              <w:t>22</w:t>
            </w:r>
            <w:r w:rsidRPr="00506A83">
              <w:rPr>
                <w:webHidden/>
              </w:rPr>
              <w:fldChar w:fldCharType="end"/>
            </w:r>
          </w:hyperlink>
        </w:p>
        <w:p w14:paraId="1AFA9EC0" w14:textId="06973CB6" w:rsidR="006B6D87" w:rsidRPr="00506A83" w:rsidRDefault="006B6D87">
          <w:pPr>
            <w:pStyle w:val="Obsah3"/>
            <w:tabs>
              <w:tab w:val="left" w:pos="1440"/>
              <w:tab w:val="right" w:leader="dot" w:pos="9062"/>
            </w:tabs>
            <w:rPr>
              <w:rFonts w:eastAsiaTheme="minorEastAsia"/>
              <w:kern w:val="2"/>
              <w14:ligatures w14:val="standardContextual"/>
            </w:rPr>
          </w:pPr>
          <w:hyperlink w:anchor="_Toc231294143" w:history="1">
            <w:r w:rsidRPr="00506A83">
              <w:rPr>
                <w:rStyle w:val="Hypertextovodkaz"/>
              </w:rPr>
              <w:t>2.2.2.</w:t>
            </w:r>
            <w:r w:rsidRPr="00506A83">
              <w:rPr>
                <w:rFonts w:eastAsiaTheme="minorEastAsia"/>
                <w:kern w:val="2"/>
                <w14:ligatures w14:val="standardContextual"/>
              </w:rPr>
              <w:tab/>
            </w:r>
            <w:r w:rsidRPr="00506A83">
              <w:rPr>
                <w:rStyle w:val="Hypertextovodkaz"/>
              </w:rPr>
              <w:t>Programy s resorty (rozvojové aktivity ve spolupráci s institucemi státní správy)</w:t>
            </w:r>
            <w:r w:rsidRPr="00506A83">
              <w:rPr>
                <w:webHidden/>
              </w:rPr>
              <w:tab/>
            </w:r>
            <w:r w:rsidRPr="00506A83">
              <w:rPr>
                <w:webHidden/>
              </w:rPr>
              <w:fldChar w:fldCharType="begin"/>
            </w:r>
            <w:r w:rsidRPr="00506A83">
              <w:rPr>
                <w:webHidden/>
              </w:rPr>
              <w:instrText xml:space="preserve"> PAGEREF _Toc231294143 \h </w:instrText>
            </w:r>
            <w:r w:rsidRPr="00506A83">
              <w:rPr>
                <w:webHidden/>
              </w:rPr>
            </w:r>
            <w:r w:rsidRPr="00506A83">
              <w:rPr>
                <w:webHidden/>
              </w:rPr>
              <w:fldChar w:fldCharType="separate"/>
            </w:r>
            <w:r w:rsidR="00177F0D" w:rsidRPr="00506A83">
              <w:rPr>
                <w:webHidden/>
              </w:rPr>
              <w:t>23</w:t>
            </w:r>
            <w:r w:rsidRPr="00506A83">
              <w:rPr>
                <w:webHidden/>
              </w:rPr>
              <w:fldChar w:fldCharType="end"/>
            </w:r>
          </w:hyperlink>
        </w:p>
        <w:p w14:paraId="1BA8E7D8" w14:textId="6AD6372E" w:rsidR="006B6D87" w:rsidRPr="00506A83" w:rsidRDefault="006B6D87">
          <w:pPr>
            <w:pStyle w:val="Obsah3"/>
            <w:tabs>
              <w:tab w:val="left" w:pos="1440"/>
              <w:tab w:val="right" w:leader="dot" w:pos="9062"/>
            </w:tabs>
            <w:rPr>
              <w:rFonts w:eastAsiaTheme="minorEastAsia"/>
              <w:kern w:val="2"/>
              <w14:ligatures w14:val="standardContextual"/>
            </w:rPr>
          </w:pPr>
          <w:hyperlink w:anchor="_Toc231294144" w:history="1">
            <w:r w:rsidRPr="00506A83">
              <w:rPr>
                <w:rStyle w:val="Hypertextovodkaz"/>
              </w:rPr>
              <w:t>2.2.3.</w:t>
            </w:r>
            <w:r w:rsidRPr="00506A83">
              <w:rPr>
                <w:rFonts w:eastAsiaTheme="minorEastAsia"/>
                <w:kern w:val="2"/>
                <w14:ligatures w14:val="standardContextual"/>
              </w:rPr>
              <w:tab/>
            </w:r>
            <w:r w:rsidRPr="00506A83">
              <w:rPr>
                <w:rStyle w:val="Hypertextovodkaz"/>
              </w:rPr>
              <w:t>Program posilování kapacit VVŠ</w:t>
            </w:r>
            <w:r w:rsidRPr="00506A83">
              <w:rPr>
                <w:webHidden/>
              </w:rPr>
              <w:tab/>
            </w:r>
            <w:r w:rsidRPr="00506A83">
              <w:rPr>
                <w:webHidden/>
              </w:rPr>
              <w:fldChar w:fldCharType="begin"/>
            </w:r>
            <w:r w:rsidRPr="00506A83">
              <w:rPr>
                <w:webHidden/>
              </w:rPr>
              <w:instrText xml:space="preserve"> PAGEREF _Toc231294144 \h </w:instrText>
            </w:r>
            <w:r w:rsidRPr="00506A83">
              <w:rPr>
                <w:webHidden/>
              </w:rPr>
            </w:r>
            <w:r w:rsidRPr="00506A83">
              <w:rPr>
                <w:webHidden/>
              </w:rPr>
              <w:fldChar w:fldCharType="separate"/>
            </w:r>
            <w:r w:rsidR="00177F0D" w:rsidRPr="00506A83">
              <w:rPr>
                <w:webHidden/>
              </w:rPr>
              <w:t>25</w:t>
            </w:r>
            <w:r w:rsidRPr="00506A83">
              <w:rPr>
                <w:webHidden/>
              </w:rPr>
              <w:fldChar w:fldCharType="end"/>
            </w:r>
          </w:hyperlink>
        </w:p>
        <w:p w14:paraId="39D316DF" w14:textId="66F69F91" w:rsidR="006B6D87" w:rsidRPr="00506A83" w:rsidRDefault="006B6D87">
          <w:pPr>
            <w:pStyle w:val="Obsah3"/>
            <w:tabs>
              <w:tab w:val="left" w:pos="1440"/>
              <w:tab w:val="right" w:leader="dot" w:pos="9062"/>
            </w:tabs>
            <w:rPr>
              <w:rFonts w:eastAsiaTheme="minorEastAsia"/>
              <w:kern w:val="2"/>
              <w14:ligatures w14:val="standardContextual"/>
            </w:rPr>
          </w:pPr>
          <w:hyperlink w:anchor="_Toc231294145" w:history="1">
            <w:r w:rsidRPr="00506A83">
              <w:rPr>
                <w:rStyle w:val="Hypertextovodkaz"/>
              </w:rPr>
              <w:t>2.2.4.</w:t>
            </w:r>
            <w:r w:rsidRPr="00506A83">
              <w:rPr>
                <w:rFonts w:eastAsiaTheme="minorEastAsia"/>
                <w:kern w:val="2"/>
                <w14:ligatures w14:val="standardContextual"/>
              </w:rPr>
              <w:tab/>
            </w:r>
            <w:r w:rsidRPr="00506A83">
              <w:rPr>
                <w:rStyle w:val="Hypertextovodkaz"/>
              </w:rPr>
              <w:t>Program CyberVac</w:t>
            </w:r>
            <w:r w:rsidRPr="00506A83">
              <w:rPr>
                <w:webHidden/>
              </w:rPr>
              <w:tab/>
            </w:r>
            <w:r w:rsidRPr="00506A83">
              <w:rPr>
                <w:webHidden/>
              </w:rPr>
              <w:fldChar w:fldCharType="begin"/>
            </w:r>
            <w:r w:rsidRPr="00506A83">
              <w:rPr>
                <w:webHidden/>
              </w:rPr>
              <w:instrText xml:space="preserve"> PAGEREF _Toc231294145 \h </w:instrText>
            </w:r>
            <w:r w:rsidRPr="00506A83">
              <w:rPr>
                <w:webHidden/>
              </w:rPr>
            </w:r>
            <w:r w:rsidRPr="00506A83">
              <w:rPr>
                <w:webHidden/>
              </w:rPr>
              <w:fldChar w:fldCharType="separate"/>
            </w:r>
            <w:r w:rsidR="00177F0D" w:rsidRPr="00506A83">
              <w:rPr>
                <w:webHidden/>
              </w:rPr>
              <w:t>26</w:t>
            </w:r>
            <w:r w:rsidRPr="00506A83">
              <w:rPr>
                <w:webHidden/>
              </w:rPr>
              <w:fldChar w:fldCharType="end"/>
            </w:r>
          </w:hyperlink>
        </w:p>
        <w:p w14:paraId="722134D6" w14:textId="19EDE7E9" w:rsidR="006B6D87" w:rsidRPr="00506A83" w:rsidRDefault="006B6D87">
          <w:pPr>
            <w:pStyle w:val="Obsah3"/>
            <w:tabs>
              <w:tab w:val="left" w:pos="1440"/>
              <w:tab w:val="right" w:leader="dot" w:pos="9062"/>
            </w:tabs>
            <w:rPr>
              <w:rFonts w:eastAsiaTheme="minorEastAsia"/>
              <w:kern w:val="2"/>
              <w14:ligatures w14:val="standardContextual"/>
            </w:rPr>
          </w:pPr>
          <w:hyperlink w:anchor="_Toc231294146" w:history="1">
            <w:r w:rsidRPr="00506A83">
              <w:rPr>
                <w:rStyle w:val="Hypertextovodkaz"/>
              </w:rPr>
              <w:t>2.2.5.</w:t>
            </w:r>
            <w:r w:rsidRPr="00506A83">
              <w:rPr>
                <w:rFonts w:eastAsiaTheme="minorEastAsia"/>
                <w:kern w:val="2"/>
                <w14:ligatures w14:val="standardContextual"/>
              </w:rPr>
              <w:tab/>
            </w:r>
            <w:r w:rsidRPr="00506A83">
              <w:rPr>
                <w:rStyle w:val="Hypertextovodkaz"/>
              </w:rPr>
              <w:t>Finanční nástroje ZRS ČR</w:t>
            </w:r>
            <w:r w:rsidRPr="00506A83">
              <w:rPr>
                <w:webHidden/>
              </w:rPr>
              <w:tab/>
            </w:r>
            <w:r w:rsidRPr="00506A83">
              <w:rPr>
                <w:webHidden/>
              </w:rPr>
              <w:fldChar w:fldCharType="begin"/>
            </w:r>
            <w:r w:rsidRPr="00506A83">
              <w:rPr>
                <w:webHidden/>
              </w:rPr>
              <w:instrText xml:space="preserve"> PAGEREF _Toc231294146 \h </w:instrText>
            </w:r>
            <w:r w:rsidRPr="00506A83">
              <w:rPr>
                <w:webHidden/>
              </w:rPr>
            </w:r>
            <w:r w:rsidRPr="00506A83">
              <w:rPr>
                <w:webHidden/>
              </w:rPr>
              <w:fldChar w:fldCharType="separate"/>
            </w:r>
            <w:r w:rsidR="00177F0D" w:rsidRPr="00506A83">
              <w:rPr>
                <w:webHidden/>
              </w:rPr>
              <w:t>27</w:t>
            </w:r>
            <w:r w:rsidRPr="00506A83">
              <w:rPr>
                <w:webHidden/>
              </w:rPr>
              <w:fldChar w:fldCharType="end"/>
            </w:r>
          </w:hyperlink>
        </w:p>
        <w:p w14:paraId="7EF4EF0C" w14:textId="448F1B8C" w:rsidR="006B6D87" w:rsidRPr="00506A83" w:rsidRDefault="006B6D87">
          <w:pPr>
            <w:pStyle w:val="Obsah3"/>
            <w:tabs>
              <w:tab w:val="left" w:pos="1440"/>
              <w:tab w:val="right" w:leader="dot" w:pos="9062"/>
            </w:tabs>
            <w:rPr>
              <w:rFonts w:eastAsiaTheme="minorEastAsia"/>
              <w:kern w:val="2"/>
              <w14:ligatures w14:val="standardContextual"/>
            </w:rPr>
          </w:pPr>
          <w:hyperlink w:anchor="_Toc231294147" w:history="1">
            <w:r w:rsidRPr="00506A83">
              <w:rPr>
                <w:rStyle w:val="Hypertextovodkaz"/>
              </w:rPr>
              <w:t>2.2.6.</w:t>
            </w:r>
            <w:r w:rsidRPr="00506A83">
              <w:rPr>
                <w:rFonts w:eastAsiaTheme="minorEastAsia"/>
                <w:kern w:val="2"/>
                <w14:ligatures w14:val="standardContextual"/>
              </w:rPr>
              <w:tab/>
            </w:r>
            <w:r w:rsidRPr="00506A83">
              <w:rPr>
                <w:rStyle w:val="Hypertextovodkaz"/>
              </w:rPr>
              <w:t>Peněžní dary</w:t>
            </w:r>
            <w:r w:rsidRPr="00506A83">
              <w:rPr>
                <w:webHidden/>
              </w:rPr>
              <w:tab/>
            </w:r>
            <w:r w:rsidRPr="00506A83">
              <w:rPr>
                <w:webHidden/>
              </w:rPr>
              <w:fldChar w:fldCharType="begin"/>
            </w:r>
            <w:r w:rsidRPr="00506A83">
              <w:rPr>
                <w:webHidden/>
              </w:rPr>
              <w:instrText xml:space="preserve"> PAGEREF _Toc231294147 \h </w:instrText>
            </w:r>
            <w:r w:rsidRPr="00506A83">
              <w:rPr>
                <w:webHidden/>
              </w:rPr>
            </w:r>
            <w:r w:rsidRPr="00506A83">
              <w:rPr>
                <w:webHidden/>
              </w:rPr>
              <w:fldChar w:fldCharType="separate"/>
            </w:r>
            <w:r w:rsidR="00177F0D" w:rsidRPr="00506A83">
              <w:rPr>
                <w:webHidden/>
              </w:rPr>
              <w:t>27</w:t>
            </w:r>
            <w:r w:rsidRPr="00506A83">
              <w:rPr>
                <w:webHidden/>
              </w:rPr>
              <w:fldChar w:fldCharType="end"/>
            </w:r>
          </w:hyperlink>
        </w:p>
        <w:p w14:paraId="1583A290" w14:textId="19C97108" w:rsidR="006B6D87" w:rsidRPr="00506A83" w:rsidRDefault="006B6D87">
          <w:pPr>
            <w:pStyle w:val="Obsah3"/>
            <w:tabs>
              <w:tab w:val="left" w:pos="1440"/>
              <w:tab w:val="right" w:leader="dot" w:pos="9062"/>
            </w:tabs>
            <w:rPr>
              <w:rFonts w:eastAsiaTheme="minorEastAsia"/>
              <w:kern w:val="2"/>
              <w14:ligatures w14:val="standardContextual"/>
            </w:rPr>
          </w:pPr>
          <w:hyperlink w:anchor="_Toc231294148" w:history="1">
            <w:r w:rsidRPr="00506A83">
              <w:rPr>
                <w:rStyle w:val="Hypertextovodkaz"/>
              </w:rPr>
              <w:t>2.2.7.</w:t>
            </w:r>
            <w:r w:rsidRPr="00506A83">
              <w:rPr>
                <w:rFonts w:eastAsiaTheme="minorEastAsia"/>
                <w:kern w:val="2"/>
                <w14:ligatures w14:val="standardContextual"/>
              </w:rPr>
              <w:tab/>
            </w:r>
            <w:r w:rsidRPr="00506A83">
              <w:rPr>
                <w:rStyle w:val="Hypertextovodkaz"/>
              </w:rPr>
              <w:t>Evaluace</w:t>
            </w:r>
            <w:r w:rsidRPr="00506A83">
              <w:rPr>
                <w:webHidden/>
              </w:rPr>
              <w:tab/>
            </w:r>
            <w:r w:rsidRPr="00506A83">
              <w:rPr>
                <w:webHidden/>
              </w:rPr>
              <w:fldChar w:fldCharType="begin"/>
            </w:r>
            <w:r w:rsidRPr="00506A83">
              <w:rPr>
                <w:webHidden/>
              </w:rPr>
              <w:instrText xml:space="preserve"> PAGEREF _Toc231294148 \h </w:instrText>
            </w:r>
            <w:r w:rsidRPr="00506A83">
              <w:rPr>
                <w:webHidden/>
              </w:rPr>
            </w:r>
            <w:r w:rsidRPr="00506A83">
              <w:rPr>
                <w:webHidden/>
              </w:rPr>
              <w:fldChar w:fldCharType="separate"/>
            </w:r>
            <w:r w:rsidR="00177F0D" w:rsidRPr="00506A83">
              <w:rPr>
                <w:webHidden/>
              </w:rPr>
              <w:t>28</w:t>
            </w:r>
            <w:r w:rsidRPr="00506A83">
              <w:rPr>
                <w:webHidden/>
              </w:rPr>
              <w:fldChar w:fldCharType="end"/>
            </w:r>
          </w:hyperlink>
        </w:p>
        <w:p w14:paraId="760023E2" w14:textId="77664536" w:rsidR="006B6D87" w:rsidRPr="00506A83" w:rsidRDefault="006B6D87">
          <w:pPr>
            <w:pStyle w:val="Obsah3"/>
            <w:tabs>
              <w:tab w:val="left" w:pos="1440"/>
              <w:tab w:val="right" w:leader="dot" w:pos="9062"/>
            </w:tabs>
            <w:rPr>
              <w:rFonts w:eastAsiaTheme="minorEastAsia"/>
              <w:kern w:val="2"/>
              <w14:ligatures w14:val="standardContextual"/>
            </w:rPr>
          </w:pPr>
          <w:hyperlink w:anchor="_Toc231294149" w:history="1">
            <w:r w:rsidRPr="00506A83">
              <w:rPr>
                <w:rStyle w:val="Hypertextovodkaz"/>
              </w:rPr>
              <w:t>2.2.8.</w:t>
            </w:r>
            <w:r w:rsidRPr="00506A83">
              <w:rPr>
                <w:rFonts w:eastAsiaTheme="minorEastAsia"/>
                <w:kern w:val="2"/>
                <w14:ligatures w14:val="standardContextual"/>
              </w:rPr>
              <w:tab/>
            </w:r>
            <w:r w:rsidRPr="00506A83">
              <w:rPr>
                <w:rStyle w:val="Hypertextovodkaz"/>
              </w:rPr>
              <w:t>Komunikace, prezentace, GV a osvěta</w:t>
            </w:r>
            <w:r w:rsidRPr="00506A83">
              <w:rPr>
                <w:webHidden/>
              </w:rPr>
              <w:tab/>
            </w:r>
            <w:r w:rsidRPr="00506A83">
              <w:rPr>
                <w:webHidden/>
              </w:rPr>
              <w:fldChar w:fldCharType="begin"/>
            </w:r>
            <w:r w:rsidRPr="00506A83">
              <w:rPr>
                <w:webHidden/>
              </w:rPr>
              <w:instrText xml:space="preserve"> PAGEREF _Toc231294149 \h </w:instrText>
            </w:r>
            <w:r w:rsidRPr="00506A83">
              <w:rPr>
                <w:webHidden/>
              </w:rPr>
            </w:r>
            <w:r w:rsidRPr="00506A83">
              <w:rPr>
                <w:webHidden/>
              </w:rPr>
              <w:fldChar w:fldCharType="separate"/>
            </w:r>
            <w:r w:rsidR="00177F0D" w:rsidRPr="00506A83">
              <w:rPr>
                <w:webHidden/>
              </w:rPr>
              <w:t>28</w:t>
            </w:r>
            <w:r w:rsidRPr="00506A83">
              <w:rPr>
                <w:webHidden/>
              </w:rPr>
              <w:fldChar w:fldCharType="end"/>
            </w:r>
          </w:hyperlink>
        </w:p>
        <w:p w14:paraId="7E6D906E" w14:textId="17467B1B" w:rsidR="006B6D87" w:rsidRPr="00506A83" w:rsidRDefault="006B6D87">
          <w:pPr>
            <w:pStyle w:val="Obsah3"/>
            <w:tabs>
              <w:tab w:val="left" w:pos="1440"/>
              <w:tab w:val="right" w:leader="dot" w:pos="9062"/>
            </w:tabs>
            <w:rPr>
              <w:rFonts w:eastAsiaTheme="minorEastAsia"/>
              <w:kern w:val="2"/>
              <w14:ligatures w14:val="standardContextual"/>
            </w:rPr>
          </w:pPr>
          <w:hyperlink w:anchor="_Toc231294150" w:history="1">
            <w:r w:rsidRPr="00506A83">
              <w:rPr>
                <w:rStyle w:val="Hypertextovodkaz"/>
              </w:rPr>
              <w:t>2.2.9.</w:t>
            </w:r>
            <w:r w:rsidRPr="00506A83">
              <w:rPr>
                <w:rFonts w:eastAsiaTheme="minorEastAsia"/>
                <w:kern w:val="2"/>
                <w14:ligatures w14:val="standardContextual"/>
              </w:rPr>
              <w:tab/>
            </w:r>
            <w:r w:rsidRPr="00506A83">
              <w:rPr>
                <w:rStyle w:val="Hypertextovodkaz"/>
              </w:rPr>
              <w:t>Humanitární pomoc</w:t>
            </w:r>
            <w:r w:rsidRPr="00506A83">
              <w:rPr>
                <w:webHidden/>
              </w:rPr>
              <w:tab/>
            </w:r>
            <w:r w:rsidRPr="00506A83">
              <w:rPr>
                <w:webHidden/>
              </w:rPr>
              <w:fldChar w:fldCharType="begin"/>
            </w:r>
            <w:r w:rsidRPr="00506A83">
              <w:rPr>
                <w:webHidden/>
              </w:rPr>
              <w:instrText xml:space="preserve"> PAGEREF _Toc231294150 \h </w:instrText>
            </w:r>
            <w:r w:rsidRPr="00506A83">
              <w:rPr>
                <w:webHidden/>
              </w:rPr>
            </w:r>
            <w:r w:rsidRPr="00506A83">
              <w:rPr>
                <w:webHidden/>
              </w:rPr>
              <w:fldChar w:fldCharType="separate"/>
            </w:r>
            <w:r w:rsidR="00177F0D" w:rsidRPr="00506A83">
              <w:rPr>
                <w:webHidden/>
              </w:rPr>
              <w:t>29</w:t>
            </w:r>
            <w:r w:rsidRPr="00506A83">
              <w:rPr>
                <w:webHidden/>
              </w:rPr>
              <w:fldChar w:fldCharType="end"/>
            </w:r>
          </w:hyperlink>
        </w:p>
        <w:p w14:paraId="4C4ACB90" w14:textId="17AD7740" w:rsidR="006B6D87" w:rsidRPr="00506A83" w:rsidRDefault="006B6D87">
          <w:pPr>
            <w:pStyle w:val="Obsah3"/>
            <w:tabs>
              <w:tab w:val="left" w:pos="1440"/>
              <w:tab w:val="right" w:leader="dot" w:pos="9062"/>
            </w:tabs>
            <w:rPr>
              <w:rFonts w:eastAsiaTheme="minorEastAsia"/>
              <w:kern w:val="2"/>
              <w14:ligatures w14:val="standardContextual"/>
            </w:rPr>
          </w:pPr>
          <w:hyperlink w:anchor="_Toc231294151" w:history="1">
            <w:r w:rsidRPr="00506A83">
              <w:rPr>
                <w:rStyle w:val="Hypertextovodkaz"/>
              </w:rPr>
              <w:t>2.2.10.</w:t>
            </w:r>
            <w:r w:rsidRPr="00506A83">
              <w:rPr>
                <w:rFonts w:eastAsiaTheme="minorEastAsia"/>
                <w:kern w:val="2"/>
                <w14:ligatures w14:val="standardContextual"/>
              </w:rPr>
              <w:tab/>
            </w:r>
            <w:r w:rsidRPr="00506A83">
              <w:rPr>
                <w:rStyle w:val="Hypertextovodkaz"/>
              </w:rPr>
              <w:t>Program transformační spolupráce</w:t>
            </w:r>
            <w:r w:rsidRPr="00506A83">
              <w:rPr>
                <w:webHidden/>
              </w:rPr>
              <w:tab/>
            </w:r>
            <w:r w:rsidRPr="00506A83">
              <w:rPr>
                <w:webHidden/>
              </w:rPr>
              <w:fldChar w:fldCharType="begin"/>
            </w:r>
            <w:r w:rsidRPr="00506A83">
              <w:rPr>
                <w:webHidden/>
              </w:rPr>
              <w:instrText xml:space="preserve"> PAGEREF _Toc231294151 \h </w:instrText>
            </w:r>
            <w:r w:rsidRPr="00506A83">
              <w:rPr>
                <w:webHidden/>
              </w:rPr>
            </w:r>
            <w:r w:rsidRPr="00506A83">
              <w:rPr>
                <w:webHidden/>
              </w:rPr>
              <w:fldChar w:fldCharType="separate"/>
            </w:r>
            <w:r w:rsidR="00177F0D" w:rsidRPr="00506A83">
              <w:rPr>
                <w:webHidden/>
              </w:rPr>
              <w:t>30</w:t>
            </w:r>
            <w:r w:rsidRPr="00506A83">
              <w:rPr>
                <w:webHidden/>
              </w:rPr>
              <w:fldChar w:fldCharType="end"/>
            </w:r>
          </w:hyperlink>
        </w:p>
        <w:p w14:paraId="6C703A09" w14:textId="096EAEC3" w:rsidR="006B6D87" w:rsidRPr="00506A83" w:rsidRDefault="006B6D87">
          <w:pPr>
            <w:pStyle w:val="Obsah3"/>
            <w:tabs>
              <w:tab w:val="left" w:pos="1440"/>
              <w:tab w:val="right" w:leader="dot" w:pos="9062"/>
            </w:tabs>
            <w:rPr>
              <w:rFonts w:eastAsiaTheme="minorEastAsia"/>
              <w:kern w:val="2"/>
              <w14:ligatures w14:val="standardContextual"/>
            </w:rPr>
          </w:pPr>
          <w:hyperlink w:anchor="_Toc231294152" w:history="1">
            <w:r w:rsidRPr="00506A83">
              <w:rPr>
                <w:rStyle w:val="Hypertextovodkaz"/>
              </w:rPr>
              <w:t>2.2.11.</w:t>
            </w:r>
            <w:r w:rsidRPr="00506A83">
              <w:rPr>
                <w:rFonts w:eastAsiaTheme="minorEastAsia"/>
                <w:kern w:val="2"/>
                <w14:ligatures w14:val="standardContextual"/>
              </w:rPr>
              <w:tab/>
            </w:r>
            <w:r w:rsidRPr="00506A83">
              <w:rPr>
                <w:rStyle w:val="Hypertextovodkaz"/>
              </w:rPr>
              <w:t>Rozvojová spolupráce EU</w:t>
            </w:r>
            <w:r w:rsidRPr="00506A83">
              <w:rPr>
                <w:webHidden/>
              </w:rPr>
              <w:tab/>
            </w:r>
            <w:r w:rsidRPr="00506A83">
              <w:rPr>
                <w:webHidden/>
              </w:rPr>
              <w:fldChar w:fldCharType="begin"/>
            </w:r>
            <w:r w:rsidRPr="00506A83">
              <w:rPr>
                <w:webHidden/>
              </w:rPr>
              <w:instrText xml:space="preserve"> PAGEREF _Toc231294152 \h </w:instrText>
            </w:r>
            <w:r w:rsidRPr="00506A83">
              <w:rPr>
                <w:webHidden/>
              </w:rPr>
            </w:r>
            <w:r w:rsidRPr="00506A83">
              <w:rPr>
                <w:webHidden/>
              </w:rPr>
              <w:fldChar w:fldCharType="separate"/>
            </w:r>
            <w:r w:rsidR="00177F0D" w:rsidRPr="00506A83">
              <w:rPr>
                <w:webHidden/>
              </w:rPr>
              <w:t>30</w:t>
            </w:r>
            <w:r w:rsidRPr="00506A83">
              <w:rPr>
                <w:webHidden/>
              </w:rPr>
              <w:fldChar w:fldCharType="end"/>
            </w:r>
          </w:hyperlink>
        </w:p>
        <w:p w14:paraId="286F6C99" w14:textId="6FF5E30D" w:rsidR="006B6D87" w:rsidRPr="00506A83" w:rsidRDefault="006B6D87">
          <w:pPr>
            <w:pStyle w:val="Obsah3"/>
            <w:tabs>
              <w:tab w:val="left" w:pos="1440"/>
              <w:tab w:val="right" w:leader="dot" w:pos="9062"/>
            </w:tabs>
            <w:rPr>
              <w:rFonts w:eastAsiaTheme="minorEastAsia"/>
              <w:kern w:val="2"/>
              <w14:ligatures w14:val="standardContextual"/>
            </w:rPr>
          </w:pPr>
          <w:hyperlink w:anchor="_Toc231294153" w:history="1">
            <w:r w:rsidRPr="00506A83">
              <w:rPr>
                <w:rStyle w:val="Hypertextovodkaz"/>
              </w:rPr>
              <w:t>2.2.12.</w:t>
            </w:r>
            <w:r w:rsidRPr="00506A83">
              <w:rPr>
                <w:rFonts w:eastAsiaTheme="minorEastAsia"/>
                <w:kern w:val="2"/>
                <w14:ligatures w14:val="standardContextual"/>
              </w:rPr>
              <w:tab/>
            </w:r>
            <w:r w:rsidRPr="00506A83">
              <w:rPr>
                <w:rStyle w:val="Hypertextovodkaz"/>
              </w:rPr>
              <w:t>Mnohostranná rozvojová spolupráce</w:t>
            </w:r>
            <w:r w:rsidRPr="00506A83">
              <w:rPr>
                <w:webHidden/>
              </w:rPr>
              <w:tab/>
            </w:r>
            <w:r w:rsidRPr="00506A83">
              <w:rPr>
                <w:webHidden/>
              </w:rPr>
              <w:fldChar w:fldCharType="begin"/>
            </w:r>
            <w:r w:rsidRPr="00506A83">
              <w:rPr>
                <w:webHidden/>
              </w:rPr>
              <w:instrText xml:space="preserve"> PAGEREF _Toc231294153 \h </w:instrText>
            </w:r>
            <w:r w:rsidRPr="00506A83">
              <w:rPr>
                <w:webHidden/>
              </w:rPr>
            </w:r>
            <w:r w:rsidRPr="00506A83">
              <w:rPr>
                <w:webHidden/>
              </w:rPr>
              <w:fldChar w:fldCharType="separate"/>
            </w:r>
            <w:r w:rsidR="00177F0D" w:rsidRPr="00506A83">
              <w:rPr>
                <w:webHidden/>
              </w:rPr>
              <w:t>31</w:t>
            </w:r>
            <w:r w:rsidRPr="00506A83">
              <w:rPr>
                <w:webHidden/>
              </w:rPr>
              <w:fldChar w:fldCharType="end"/>
            </w:r>
          </w:hyperlink>
        </w:p>
        <w:p w14:paraId="55A5F0D6" w14:textId="1F7F9968" w:rsidR="006B6D87" w:rsidRPr="00506A83" w:rsidRDefault="006B6D87">
          <w:pPr>
            <w:pStyle w:val="Obsah2"/>
            <w:rPr>
              <w:rFonts w:ascii="Times New Roman" w:eastAsiaTheme="minorEastAsia" w:hAnsi="Times New Roman" w:cs="Times New Roman"/>
              <w:noProof w:val="0"/>
              <w:kern w:val="2"/>
              <w:sz w:val="24"/>
              <w:szCs w:val="24"/>
              <w:lang w:eastAsia="cs-CZ"/>
              <w14:ligatures w14:val="standardContextual"/>
            </w:rPr>
          </w:pPr>
          <w:hyperlink w:anchor="_Toc231294154" w:history="1">
            <w:r w:rsidRPr="00506A83">
              <w:rPr>
                <w:rStyle w:val="Hypertextovodkaz"/>
                <w:rFonts w:ascii="Times New Roman" w:hAnsi="Times New Roman"/>
                <w:noProof w:val="0"/>
                <w:sz w:val="24"/>
                <w:szCs w:val="24"/>
              </w:rPr>
              <w:t>2.3.</w:t>
            </w:r>
            <w:r w:rsidRPr="00506A83">
              <w:rPr>
                <w:rFonts w:ascii="Times New Roman" w:eastAsiaTheme="minorEastAsia" w:hAnsi="Times New Roman" w:cs="Times New Roman"/>
                <w:noProof w:val="0"/>
                <w:kern w:val="2"/>
                <w:sz w:val="24"/>
                <w:szCs w:val="24"/>
                <w:lang w:eastAsia="cs-CZ"/>
                <w14:ligatures w14:val="standardContextual"/>
              </w:rPr>
              <w:tab/>
            </w:r>
            <w:r w:rsidRPr="00506A83">
              <w:rPr>
                <w:rStyle w:val="Hypertextovodkaz"/>
                <w:rFonts w:ascii="Times New Roman" w:hAnsi="Times New Roman"/>
                <w:noProof w:val="0"/>
                <w:sz w:val="24"/>
                <w:szCs w:val="24"/>
              </w:rPr>
              <w:t>Vládní stabilizační programy</w:t>
            </w:r>
            <w:r w:rsidRPr="00506A83">
              <w:rPr>
                <w:rFonts w:ascii="Times New Roman" w:hAnsi="Times New Roman" w:cs="Times New Roman"/>
                <w:noProof w:val="0"/>
                <w:webHidden/>
                <w:sz w:val="24"/>
                <w:szCs w:val="24"/>
              </w:rPr>
              <w:tab/>
            </w:r>
            <w:r w:rsidRPr="00506A83">
              <w:rPr>
                <w:rFonts w:ascii="Times New Roman" w:hAnsi="Times New Roman" w:cs="Times New Roman"/>
                <w:noProof w:val="0"/>
                <w:webHidden/>
                <w:sz w:val="24"/>
                <w:szCs w:val="24"/>
              </w:rPr>
              <w:fldChar w:fldCharType="begin"/>
            </w:r>
            <w:r w:rsidRPr="00506A83">
              <w:rPr>
                <w:rFonts w:ascii="Times New Roman" w:hAnsi="Times New Roman" w:cs="Times New Roman"/>
                <w:noProof w:val="0"/>
                <w:webHidden/>
                <w:sz w:val="24"/>
                <w:szCs w:val="24"/>
              </w:rPr>
              <w:instrText xml:space="preserve"> PAGEREF _Toc231294154 \h </w:instrText>
            </w:r>
            <w:r w:rsidRPr="00506A83">
              <w:rPr>
                <w:rFonts w:ascii="Times New Roman" w:hAnsi="Times New Roman" w:cs="Times New Roman"/>
                <w:noProof w:val="0"/>
                <w:webHidden/>
                <w:sz w:val="24"/>
                <w:szCs w:val="24"/>
              </w:rPr>
            </w:r>
            <w:r w:rsidRPr="00506A83">
              <w:rPr>
                <w:rFonts w:ascii="Times New Roman" w:hAnsi="Times New Roman" w:cs="Times New Roman"/>
                <w:noProof w:val="0"/>
                <w:webHidden/>
                <w:sz w:val="24"/>
                <w:szCs w:val="24"/>
              </w:rPr>
              <w:fldChar w:fldCharType="separate"/>
            </w:r>
            <w:r w:rsidR="00177F0D" w:rsidRPr="00506A83">
              <w:rPr>
                <w:rFonts w:ascii="Times New Roman" w:hAnsi="Times New Roman" w:cs="Times New Roman"/>
                <w:noProof w:val="0"/>
                <w:webHidden/>
                <w:sz w:val="24"/>
                <w:szCs w:val="24"/>
              </w:rPr>
              <w:t>32</w:t>
            </w:r>
            <w:r w:rsidRPr="00506A83">
              <w:rPr>
                <w:rFonts w:ascii="Times New Roman" w:hAnsi="Times New Roman" w:cs="Times New Roman"/>
                <w:noProof w:val="0"/>
                <w:webHidden/>
                <w:sz w:val="24"/>
                <w:szCs w:val="24"/>
              </w:rPr>
              <w:fldChar w:fldCharType="end"/>
            </w:r>
          </w:hyperlink>
        </w:p>
        <w:p w14:paraId="5A1537FA" w14:textId="5880FD2D" w:rsidR="006B6D87" w:rsidRPr="00506A83" w:rsidRDefault="006B6D87">
          <w:pPr>
            <w:pStyle w:val="Obsah3"/>
            <w:tabs>
              <w:tab w:val="left" w:pos="1440"/>
              <w:tab w:val="right" w:leader="dot" w:pos="9062"/>
            </w:tabs>
            <w:rPr>
              <w:rFonts w:eastAsiaTheme="minorEastAsia"/>
              <w:kern w:val="2"/>
              <w14:ligatures w14:val="standardContextual"/>
            </w:rPr>
          </w:pPr>
          <w:hyperlink w:anchor="_Toc231294155" w:history="1">
            <w:r w:rsidRPr="00506A83">
              <w:rPr>
                <w:rStyle w:val="Hypertextovodkaz"/>
              </w:rPr>
              <w:t>2.3.1.</w:t>
            </w:r>
            <w:r w:rsidRPr="00506A83">
              <w:rPr>
                <w:rFonts w:eastAsiaTheme="minorEastAsia"/>
                <w:kern w:val="2"/>
                <w14:ligatures w14:val="standardContextual"/>
              </w:rPr>
              <w:tab/>
            </w:r>
            <w:r w:rsidRPr="00506A83">
              <w:rPr>
                <w:rStyle w:val="Hypertextovodkaz"/>
              </w:rPr>
              <w:t>Program Afrika dle UV 5/2023 v r. 2025</w:t>
            </w:r>
            <w:r w:rsidRPr="00506A83">
              <w:rPr>
                <w:webHidden/>
              </w:rPr>
              <w:tab/>
            </w:r>
            <w:r w:rsidRPr="00506A83">
              <w:rPr>
                <w:webHidden/>
              </w:rPr>
              <w:fldChar w:fldCharType="begin"/>
            </w:r>
            <w:r w:rsidRPr="00506A83">
              <w:rPr>
                <w:webHidden/>
              </w:rPr>
              <w:instrText xml:space="preserve"> PAGEREF _Toc231294155 \h </w:instrText>
            </w:r>
            <w:r w:rsidRPr="00506A83">
              <w:rPr>
                <w:webHidden/>
              </w:rPr>
            </w:r>
            <w:r w:rsidRPr="00506A83">
              <w:rPr>
                <w:webHidden/>
              </w:rPr>
              <w:fldChar w:fldCharType="separate"/>
            </w:r>
            <w:r w:rsidR="00177F0D" w:rsidRPr="00506A83">
              <w:rPr>
                <w:webHidden/>
              </w:rPr>
              <w:t>32</w:t>
            </w:r>
            <w:r w:rsidRPr="00506A83">
              <w:rPr>
                <w:webHidden/>
              </w:rPr>
              <w:fldChar w:fldCharType="end"/>
            </w:r>
          </w:hyperlink>
        </w:p>
        <w:p w14:paraId="7B1163C8" w14:textId="0E13F082" w:rsidR="006B6D87" w:rsidRPr="00506A83" w:rsidRDefault="006B6D87">
          <w:pPr>
            <w:pStyle w:val="Obsah3"/>
            <w:tabs>
              <w:tab w:val="left" w:pos="1440"/>
              <w:tab w:val="right" w:leader="dot" w:pos="9062"/>
            </w:tabs>
            <w:rPr>
              <w:rFonts w:eastAsiaTheme="minorEastAsia"/>
              <w:kern w:val="2"/>
              <w14:ligatures w14:val="standardContextual"/>
            </w:rPr>
          </w:pPr>
          <w:hyperlink w:anchor="_Toc231294156" w:history="1">
            <w:r w:rsidRPr="00506A83">
              <w:rPr>
                <w:rStyle w:val="Hypertextovodkaz"/>
              </w:rPr>
              <w:t>2.3.2.</w:t>
            </w:r>
            <w:r w:rsidRPr="00506A83">
              <w:rPr>
                <w:rFonts w:eastAsiaTheme="minorEastAsia"/>
                <w:kern w:val="2"/>
                <w14:ligatures w14:val="standardContextual"/>
              </w:rPr>
              <w:tab/>
            </w:r>
            <w:r w:rsidRPr="00506A83">
              <w:rPr>
                <w:rStyle w:val="Hypertextovodkaz"/>
              </w:rPr>
              <w:t>Program BVA dle UV 350/2024 v r. 2025</w:t>
            </w:r>
            <w:r w:rsidRPr="00506A83">
              <w:rPr>
                <w:webHidden/>
              </w:rPr>
              <w:tab/>
            </w:r>
            <w:r w:rsidRPr="00506A83">
              <w:rPr>
                <w:webHidden/>
              </w:rPr>
              <w:fldChar w:fldCharType="begin"/>
            </w:r>
            <w:r w:rsidRPr="00506A83">
              <w:rPr>
                <w:webHidden/>
              </w:rPr>
              <w:instrText xml:space="preserve"> PAGEREF _Toc231294156 \h </w:instrText>
            </w:r>
            <w:r w:rsidRPr="00506A83">
              <w:rPr>
                <w:webHidden/>
              </w:rPr>
            </w:r>
            <w:r w:rsidRPr="00506A83">
              <w:rPr>
                <w:webHidden/>
              </w:rPr>
              <w:fldChar w:fldCharType="separate"/>
            </w:r>
            <w:r w:rsidR="00177F0D" w:rsidRPr="00506A83">
              <w:rPr>
                <w:webHidden/>
              </w:rPr>
              <w:t>33</w:t>
            </w:r>
            <w:r w:rsidRPr="00506A83">
              <w:rPr>
                <w:webHidden/>
              </w:rPr>
              <w:fldChar w:fldCharType="end"/>
            </w:r>
          </w:hyperlink>
        </w:p>
        <w:p w14:paraId="652DFA6C" w14:textId="38F4D8CE" w:rsidR="006B6D87" w:rsidRPr="00506A83" w:rsidRDefault="006B6D87">
          <w:pPr>
            <w:pStyle w:val="Obsah3"/>
            <w:tabs>
              <w:tab w:val="left" w:pos="1440"/>
              <w:tab w:val="right" w:leader="dot" w:pos="9062"/>
            </w:tabs>
            <w:rPr>
              <w:rFonts w:eastAsiaTheme="minorEastAsia"/>
              <w:kern w:val="2"/>
              <w14:ligatures w14:val="standardContextual"/>
            </w:rPr>
          </w:pPr>
          <w:hyperlink w:anchor="_Toc231294157" w:history="1">
            <w:r w:rsidRPr="00506A83">
              <w:rPr>
                <w:rStyle w:val="Hypertextovodkaz"/>
              </w:rPr>
              <w:t>2.3.3.</w:t>
            </w:r>
            <w:r w:rsidRPr="00506A83">
              <w:rPr>
                <w:rFonts w:eastAsiaTheme="minorEastAsia"/>
                <w:kern w:val="2"/>
                <w14:ligatures w14:val="standardContextual"/>
              </w:rPr>
              <w:tab/>
            </w:r>
            <w:r w:rsidRPr="00506A83">
              <w:rPr>
                <w:rStyle w:val="Hypertextovodkaz"/>
              </w:rPr>
              <w:t>Program Ukrajina dle UV 855/2022 v r. 2025</w:t>
            </w:r>
            <w:r w:rsidRPr="00506A83">
              <w:rPr>
                <w:webHidden/>
              </w:rPr>
              <w:tab/>
            </w:r>
            <w:r w:rsidRPr="00506A83">
              <w:rPr>
                <w:webHidden/>
              </w:rPr>
              <w:fldChar w:fldCharType="begin"/>
            </w:r>
            <w:r w:rsidRPr="00506A83">
              <w:rPr>
                <w:webHidden/>
              </w:rPr>
              <w:instrText xml:space="preserve"> PAGEREF _Toc231294157 \h </w:instrText>
            </w:r>
            <w:r w:rsidRPr="00506A83">
              <w:rPr>
                <w:webHidden/>
              </w:rPr>
            </w:r>
            <w:r w:rsidRPr="00506A83">
              <w:rPr>
                <w:webHidden/>
              </w:rPr>
              <w:fldChar w:fldCharType="separate"/>
            </w:r>
            <w:r w:rsidR="00177F0D" w:rsidRPr="00506A83">
              <w:rPr>
                <w:webHidden/>
              </w:rPr>
              <w:t>34</w:t>
            </w:r>
            <w:r w:rsidRPr="00506A83">
              <w:rPr>
                <w:webHidden/>
              </w:rPr>
              <w:fldChar w:fldCharType="end"/>
            </w:r>
          </w:hyperlink>
        </w:p>
        <w:p w14:paraId="2FECEA5C" w14:textId="67CE60A3" w:rsidR="006B6D87" w:rsidRPr="00506A83" w:rsidRDefault="006B6D87">
          <w:pPr>
            <w:pStyle w:val="Obsah1"/>
            <w:rPr>
              <w:rFonts w:eastAsiaTheme="minorEastAsia" w:cs="Times New Roman"/>
              <w:b w:val="0"/>
              <w:noProof w:val="0"/>
              <w:kern w:val="2"/>
              <w14:ligatures w14:val="standardContextual"/>
            </w:rPr>
          </w:pPr>
          <w:hyperlink w:anchor="_Toc231294158" w:history="1">
            <w:r w:rsidRPr="00506A83">
              <w:rPr>
                <w:rStyle w:val="Hypertextovodkaz"/>
                <w:noProof w:val="0"/>
              </w:rPr>
              <w:t>3.</w:t>
            </w:r>
            <w:r w:rsidRPr="00506A83">
              <w:rPr>
                <w:rFonts w:eastAsiaTheme="minorEastAsia" w:cs="Times New Roman"/>
                <w:b w:val="0"/>
                <w:noProof w:val="0"/>
                <w:kern w:val="2"/>
                <w14:ligatures w14:val="standardContextual"/>
              </w:rPr>
              <w:tab/>
            </w:r>
            <w:r w:rsidRPr="00506A83">
              <w:rPr>
                <w:rStyle w:val="Hypertextovodkaz"/>
                <w:noProof w:val="0"/>
              </w:rPr>
              <w:t>Přehled dalších aktivit</w:t>
            </w:r>
            <w:r w:rsidRPr="00506A83">
              <w:rPr>
                <w:rFonts w:cs="Times New Roman"/>
                <w:noProof w:val="0"/>
                <w:webHidden/>
              </w:rPr>
              <w:tab/>
            </w:r>
            <w:r w:rsidRPr="00506A83">
              <w:rPr>
                <w:rFonts w:cs="Times New Roman"/>
                <w:noProof w:val="0"/>
                <w:webHidden/>
              </w:rPr>
              <w:fldChar w:fldCharType="begin"/>
            </w:r>
            <w:r w:rsidRPr="00506A83">
              <w:rPr>
                <w:rFonts w:cs="Times New Roman"/>
                <w:noProof w:val="0"/>
                <w:webHidden/>
              </w:rPr>
              <w:instrText xml:space="preserve"> PAGEREF _Toc231294158 \h </w:instrText>
            </w:r>
            <w:r w:rsidRPr="00506A83">
              <w:rPr>
                <w:rFonts w:cs="Times New Roman"/>
                <w:noProof w:val="0"/>
                <w:webHidden/>
              </w:rPr>
            </w:r>
            <w:r w:rsidRPr="00506A83">
              <w:rPr>
                <w:rFonts w:cs="Times New Roman"/>
                <w:noProof w:val="0"/>
                <w:webHidden/>
              </w:rPr>
              <w:fldChar w:fldCharType="separate"/>
            </w:r>
            <w:r w:rsidR="00177F0D" w:rsidRPr="00506A83">
              <w:rPr>
                <w:rFonts w:cs="Times New Roman"/>
                <w:noProof w:val="0"/>
                <w:webHidden/>
              </w:rPr>
              <w:t>37</w:t>
            </w:r>
            <w:r w:rsidRPr="00506A83">
              <w:rPr>
                <w:rFonts w:cs="Times New Roman"/>
                <w:noProof w:val="0"/>
                <w:webHidden/>
              </w:rPr>
              <w:fldChar w:fldCharType="end"/>
            </w:r>
          </w:hyperlink>
        </w:p>
        <w:p w14:paraId="2EE79F31" w14:textId="09DC4707" w:rsidR="006B6D87" w:rsidRPr="00506A83" w:rsidRDefault="006B6D87">
          <w:pPr>
            <w:pStyle w:val="Obsah2"/>
            <w:rPr>
              <w:rFonts w:ascii="Times New Roman" w:eastAsiaTheme="minorEastAsia" w:hAnsi="Times New Roman" w:cs="Times New Roman"/>
              <w:noProof w:val="0"/>
              <w:kern w:val="2"/>
              <w:sz w:val="24"/>
              <w:szCs w:val="24"/>
              <w:lang w:eastAsia="cs-CZ"/>
              <w14:ligatures w14:val="standardContextual"/>
            </w:rPr>
          </w:pPr>
          <w:hyperlink w:anchor="_Toc231294159" w:history="1">
            <w:r w:rsidRPr="00506A83">
              <w:rPr>
                <w:rStyle w:val="Hypertextovodkaz"/>
                <w:rFonts w:ascii="Times New Roman" w:hAnsi="Times New Roman"/>
                <w:noProof w:val="0"/>
                <w:sz w:val="24"/>
                <w:szCs w:val="24"/>
              </w:rPr>
              <w:t>3.1.</w:t>
            </w:r>
            <w:r w:rsidRPr="00506A83">
              <w:rPr>
                <w:rFonts w:ascii="Times New Roman" w:eastAsiaTheme="minorEastAsia" w:hAnsi="Times New Roman" w:cs="Times New Roman"/>
                <w:noProof w:val="0"/>
                <w:kern w:val="2"/>
                <w:sz w:val="24"/>
                <w:szCs w:val="24"/>
                <w:lang w:eastAsia="cs-CZ"/>
                <w14:ligatures w14:val="standardContextual"/>
              </w:rPr>
              <w:tab/>
            </w:r>
            <w:r w:rsidRPr="00506A83">
              <w:rPr>
                <w:rStyle w:val="Hypertextovodkaz"/>
                <w:rFonts w:ascii="Times New Roman" w:hAnsi="Times New Roman"/>
                <w:noProof w:val="0"/>
                <w:sz w:val="24"/>
                <w:szCs w:val="24"/>
              </w:rPr>
              <w:t>Program Pomoc na místě</w:t>
            </w:r>
            <w:r w:rsidRPr="00506A83">
              <w:rPr>
                <w:rFonts w:ascii="Times New Roman" w:hAnsi="Times New Roman" w:cs="Times New Roman"/>
                <w:noProof w:val="0"/>
                <w:webHidden/>
                <w:sz w:val="24"/>
                <w:szCs w:val="24"/>
              </w:rPr>
              <w:tab/>
            </w:r>
            <w:r w:rsidRPr="00506A83">
              <w:rPr>
                <w:rFonts w:ascii="Times New Roman" w:hAnsi="Times New Roman" w:cs="Times New Roman"/>
                <w:noProof w:val="0"/>
                <w:webHidden/>
                <w:sz w:val="24"/>
                <w:szCs w:val="24"/>
              </w:rPr>
              <w:fldChar w:fldCharType="begin"/>
            </w:r>
            <w:r w:rsidRPr="00506A83">
              <w:rPr>
                <w:rFonts w:ascii="Times New Roman" w:hAnsi="Times New Roman" w:cs="Times New Roman"/>
                <w:noProof w:val="0"/>
                <w:webHidden/>
                <w:sz w:val="24"/>
                <w:szCs w:val="24"/>
              </w:rPr>
              <w:instrText xml:space="preserve"> PAGEREF _Toc231294159 \h </w:instrText>
            </w:r>
            <w:r w:rsidRPr="00506A83">
              <w:rPr>
                <w:rFonts w:ascii="Times New Roman" w:hAnsi="Times New Roman" w:cs="Times New Roman"/>
                <w:noProof w:val="0"/>
                <w:webHidden/>
                <w:sz w:val="24"/>
                <w:szCs w:val="24"/>
              </w:rPr>
            </w:r>
            <w:r w:rsidRPr="00506A83">
              <w:rPr>
                <w:rFonts w:ascii="Times New Roman" w:hAnsi="Times New Roman" w:cs="Times New Roman"/>
                <w:noProof w:val="0"/>
                <w:webHidden/>
                <w:sz w:val="24"/>
                <w:szCs w:val="24"/>
              </w:rPr>
              <w:fldChar w:fldCharType="separate"/>
            </w:r>
            <w:r w:rsidR="00177F0D" w:rsidRPr="00506A83">
              <w:rPr>
                <w:rFonts w:ascii="Times New Roman" w:hAnsi="Times New Roman" w:cs="Times New Roman"/>
                <w:noProof w:val="0"/>
                <w:webHidden/>
                <w:sz w:val="24"/>
                <w:szCs w:val="24"/>
              </w:rPr>
              <w:t>38</w:t>
            </w:r>
            <w:r w:rsidRPr="00506A83">
              <w:rPr>
                <w:rFonts w:ascii="Times New Roman" w:hAnsi="Times New Roman" w:cs="Times New Roman"/>
                <w:noProof w:val="0"/>
                <w:webHidden/>
                <w:sz w:val="24"/>
                <w:szCs w:val="24"/>
              </w:rPr>
              <w:fldChar w:fldCharType="end"/>
            </w:r>
          </w:hyperlink>
        </w:p>
        <w:p w14:paraId="06D2F77E" w14:textId="6A7D1F82" w:rsidR="006B6D87" w:rsidRPr="00506A83" w:rsidRDefault="006B6D87">
          <w:pPr>
            <w:pStyle w:val="Obsah2"/>
            <w:rPr>
              <w:rFonts w:ascii="Times New Roman" w:eastAsiaTheme="minorEastAsia" w:hAnsi="Times New Roman" w:cs="Times New Roman"/>
              <w:noProof w:val="0"/>
              <w:kern w:val="2"/>
              <w:sz w:val="24"/>
              <w:szCs w:val="24"/>
              <w:lang w:eastAsia="cs-CZ"/>
              <w14:ligatures w14:val="standardContextual"/>
            </w:rPr>
          </w:pPr>
          <w:hyperlink w:anchor="_Toc231294160" w:history="1">
            <w:r w:rsidRPr="00506A83">
              <w:rPr>
                <w:rStyle w:val="Hypertextovodkaz"/>
                <w:rFonts w:ascii="Times New Roman" w:hAnsi="Times New Roman"/>
                <w:noProof w:val="0"/>
                <w:sz w:val="24"/>
                <w:szCs w:val="24"/>
              </w:rPr>
              <w:t>3.2.</w:t>
            </w:r>
            <w:r w:rsidRPr="00506A83">
              <w:rPr>
                <w:rFonts w:ascii="Times New Roman" w:eastAsiaTheme="minorEastAsia" w:hAnsi="Times New Roman" w:cs="Times New Roman"/>
                <w:noProof w:val="0"/>
                <w:kern w:val="2"/>
                <w:sz w:val="24"/>
                <w:szCs w:val="24"/>
                <w:lang w:eastAsia="cs-CZ"/>
                <w14:ligatures w14:val="standardContextual"/>
              </w:rPr>
              <w:tab/>
            </w:r>
            <w:r w:rsidRPr="00506A83">
              <w:rPr>
                <w:rStyle w:val="Hypertextovodkaz"/>
                <w:rFonts w:ascii="Times New Roman" w:hAnsi="Times New Roman"/>
                <w:noProof w:val="0"/>
                <w:sz w:val="24"/>
                <w:szCs w:val="24"/>
              </w:rPr>
              <w:t>MEDEVAC</w:t>
            </w:r>
            <w:r w:rsidRPr="00506A83">
              <w:rPr>
                <w:rFonts w:ascii="Times New Roman" w:hAnsi="Times New Roman" w:cs="Times New Roman"/>
                <w:noProof w:val="0"/>
                <w:webHidden/>
                <w:sz w:val="24"/>
                <w:szCs w:val="24"/>
              </w:rPr>
              <w:tab/>
            </w:r>
            <w:r w:rsidRPr="00506A83">
              <w:rPr>
                <w:rFonts w:ascii="Times New Roman" w:hAnsi="Times New Roman" w:cs="Times New Roman"/>
                <w:noProof w:val="0"/>
                <w:webHidden/>
                <w:sz w:val="24"/>
                <w:szCs w:val="24"/>
              </w:rPr>
              <w:fldChar w:fldCharType="begin"/>
            </w:r>
            <w:r w:rsidRPr="00506A83">
              <w:rPr>
                <w:rFonts w:ascii="Times New Roman" w:hAnsi="Times New Roman" w:cs="Times New Roman"/>
                <w:noProof w:val="0"/>
                <w:webHidden/>
                <w:sz w:val="24"/>
                <w:szCs w:val="24"/>
              </w:rPr>
              <w:instrText xml:space="preserve"> PAGEREF _Toc231294160 \h </w:instrText>
            </w:r>
            <w:r w:rsidRPr="00506A83">
              <w:rPr>
                <w:rFonts w:ascii="Times New Roman" w:hAnsi="Times New Roman" w:cs="Times New Roman"/>
                <w:noProof w:val="0"/>
                <w:webHidden/>
                <w:sz w:val="24"/>
                <w:szCs w:val="24"/>
              </w:rPr>
            </w:r>
            <w:r w:rsidRPr="00506A83">
              <w:rPr>
                <w:rFonts w:ascii="Times New Roman" w:hAnsi="Times New Roman" w:cs="Times New Roman"/>
                <w:noProof w:val="0"/>
                <w:webHidden/>
                <w:sz w:val="24"/>
                <w:szCs w:val="24"/>
              </w:rPr>
              <w:fldChar w:fldCharType="separate"/>
            </w:r>
            <w:r w:rsidR="00177F0D" w:rsidRPr="00506A83">
              <w:rPr>
                <w:rFonts w:ascii="Times New Roman" w:hAnsi="Times New Roman" w:cs="Times New Roman"/>
                <w:noProof w:val="0"/>
                <w:webHidden/>
                <w:sz w:val="24"/>
                <w:szCs w:val="24"/>
              </w:rPr>
              <w:t>38</w:t>
            </w:r>
            <w:r w:rsidRPr="00506A83">
              <w:rPr>
                <w:rFonts w:ascii="Times New Roman" w:hAnsi="Times New Roman" w:cs="Times New Roman"/>
                <w:noProof w:val="0"/>
                <w:webHidden/>
                <w:sz w:val="24"/>
                <w:szCs w:val="24"/>
              </w:rPr>
              <w:fldChar w:fldCharType="end"/>
            </w:r>
          </w:hyperlink>
        </w:p>
        <w:p w14:paraId="666D4455" w14:textId="6A383F31" w:rsidR="006B6D87" w:rsidRPr="00506A83" w:rsidRDefault="006B6D87">
          <w:pPr>
            <w:pStyle w:val="Obsah2"/>
            <w:rPr>
              <w:rFonts w:ascii="Times New Roman" w:eastAsiaTheme="minorEastAsia" w:hAnsi="Times New Roman" w:cs="Times New Roman"/>
              <w:noProof w:val="0"/>
              <w:kern w:val="2"/>
              <w:sz w:val="24"/>
              <w:szCs w:val="24"/>
              <w:lang w:eastAsia="cs-CZ"/>
              <w14:ligatures w14:val="standardContextual"/>
            </w:rPr>
          </w:pPr>
          <w:hyperlink w:anchor="_Toc231294161" w:history="1">
            <w:r w:rsidRPr="00506A83">
              <w:rPr>
                <w:rStyle w:val="Hypertextovodkaz"/>
                <w:rFonts w:ascii="Times New Roman" w:hAnsi="Times New Roman"/>
                <w:noProof w:val="0"/>
                <w:sz w:val="24"/>
                <w:szCs w:val="24"/>
              </w:rPr>
              <w:t>3.3.</w:t>
            </w:r>
            <w:r w:rsidRPr="00506A83">
              <w:rPr>
                <w:rFonts w:ascii="Times New Roman" w:eastAsiaTheme="minorEastAsia" w:hAnsi="Times New Roman" w:cs="Times New Roman"/>
                <w:noProof w:val="0"/>
                <w:kern w:val="2"/>
                <w:sz w:val="24"/>
                <w:szCs w:val="24"/>
                <w:lang w:eastAsia="cs-CZ"/>
                <w14:ligatures w14:val="standardContextual"/>
              </w:rPr>
              <w:tab/>
            </w:r>
            <w:r w:rsidRPr="00506A83">
              <w:rPr>
                <w:rStyle w:val="Hypertextovodkaz"/>
                <w:rFonts w:ascii="Times New Roman" w:hAnsi="Times New Roman"/>
                <w:noProof w:val="0"/>
                <w:sz w:val="24"/>
                <w:szCs w:val="24"/>
              </w:rPr>
              <w:t>Oddlužení</w:t>
            </w:r>
            <w:r w:rsidRPr="00506A83">
              <w:rPr>
                <w:rFonts w:ascii="Times New Roman" w:hAnsi="Times New Roman" w:cs="Times New Roman"/>
                <w:noProof w:val="0"/>
                <w:webHidden/>
                <w:sz w:val="24"/>
                <w:szCs w:val="24"/>
              </w:rPr>
              <w:tab/>
            </w:r>
            <w:r w:rsidRPr="00506A83">
              <w:rPr>
                <w:rFonts w:ascii="Times New Roman" w:hAnsi="Times New Roman" w:cs="Times New Roman"/>
                <w:noProof w:val="0"/>
                <w:webHidden/>
                <w:sz w:val="24"/>
                <w:szCs w:val="24"/>
              </w:rPr>
              <w:fldChar w:fldCharType="begin"/>
            </w:r>
            <w:r w:rsidRPr="00506A83">
              <w:rPr>
                <w:rFonts w:ascii="Times New Roman" w:hAnsi="Times New Roman" w:cs="Times New Roman"/>
                <w:noProof w:val="0"/>
                <w:webHidden/>
                <w:sz w:val="24"/>
                <w:szCs w:val="24"/>
              </w:rPr>
              <w:instrText xml:space="preserve"> PAGEREF _Toc231294161 \h </w:instrText>
            </w:r>
            <w:r w:rsidRPr="00506A83">
              <w:rPr>
                <w:rFonts w:ascii="Times New Roman" w:hAnsi="Times New Roman" w:cs="Times New Roman"/>
                <w:noProof w:val="0"/>
                <w:webHidden/>
                <w:sz w:val="24"/>
                <w:szCs w:val="24"/>
              </w:rPr>
            </w:r>
            <w:r w:rsidRPr="00506A83">
              <w:rPr>
                <w:rFonts w:ascii="Times New Roman" w:hAnsi="Times New Roman" w:cs="Times New Roman"/>
                <w:noProof w:val="0"/>
                <w:webHidden/>
                <w:sz w:val="24"/>
                <w:szCs w:val="24"/>
              </w:rPr>
              <w:fldChar w:fldCharType="separate"/>
            </w:r>
            <w:r w:rsidR="00177F0D" w:rsidRPr="00506A83">
              <w:rPr>
                <w:rFonts w:ascii="Times New Roman" w:hAnsi="Times New Roman" w:cs="Times New Roman"/>
                <w:noProof w:val="0"/>
                <w:webHidden/>
                <w:sz w:val="24"/>
                <w:szCs w:val="24"/>
              </w:rPr>
              <w:t>39</w:t>
            </w:r>
            <w:r w:rsidRPr="00506A83">
              <w:rPr>
                <w:rFonts w:ascii="Times New Roman" w:hAnsi="Times New Roman" w:cs="Times New Roman"/>
                <w:noProof w:val="0"/>
                <w:webHidden/>
                <w:sz w:val="24"/>
                <w:szCs w:val="24"/>
              </w:rPr>
              <w:fldChar w:fldCharType="end"/>
            </w:r>
          </w:hyperlink>
        </w:p>
        <w:p w14:paraId="08E36D7D" w14:textId="7C01117E" w:rsidR="006B6D87" w:rsidRPr="00506A83" w:rsidRDefault="006B6D87">
          <w:pPr>
            <w:pStyle w:val="Obsah2"/>
            <w:rPr>
              <w:rFonts w:ascii="Times New Roman" w:eastAsiaTheme="minorEastAsia" w:hAnsi="Times New Roman" w:cs="Times New Roman"/>
              <w:noProof w:val="0"/>
              <w:kern w:val="2"/>
              <w:sz w:val="24"/>
              <w:szCs w:val="24"/>
              <w:lang w:eastAsia="cs-CZ"/>
              <w14:ligatures w14:val="standardContextual"/>
            </w:rPr>
          </w:pPr>
          <w:hyperlink w:anchor="_Toc231294162" w:history="1">
            <w:r w:rsidRPr="00506A83">
              <w:rPr>
                <w:rStyle w:val="Hypertextovodkaz"/>
                <w:rFonts w:ascii="Times New Roman" w:hAnsi="Times New Roman"/>
                <w:noProof w:val="0"/>
                <w:sz w:val="24"/>
                <w:szCs w:val="24"/>
              </w:rPr>
              <w:t>3.4.</w:t>
            </w:r>
            <w:r w:rsidRPr="00506A83">
              <w:rPr>
                <w:rFonts w:ascii="Times New Roman" w:eastAsiaTheme="minorEastAsia" w:hAnsi="Times New Roman" w:cs="Times New Roman"/>
                <w:noProof w:val="0"/>
                <w:kern w:val="2"/>
                <w:sz w:val="24"/>
                <w:szCs w:val="24"/>
                <w:lang w:eastAsia="cs-CZ"/>
                <w14:ligatures w14:val="standardContextual"/>
              </w:rPr>
              <w:tab/>
            </w:r>
            <w:r w:rsidRPr="00506A83">
              <w:rPr>
                <w:rStyle w:val="Hypertextovodkaz"/>
                <w:rFonts w:ascii="Times New Roman" w:hAnsi="Times New Roman"/>
                <w:noProof w:val="0"/>
                <w:sz w:val="24"/>
                <w:szCs w:val="24"/>
              </w:rPr>
              <w:t>Mezinárodní finanční instituce</w:t>
            </w:r>
            <w:r w:rsidRPr="00506A83">
              <w:rPr>
                <w:rFonts w:ascii="Times New Roman" w:hAnsi="Times New Roman" w:cs="Times New Roman"/>
                <w:noProof w:val="0"/>
                <w:webHidden/>
                <w:sz w:val="24"/>
                <w:szCs w:val="24"/>
              </w:rPr>
              <w:tab/>
            </w:r>
            <w:r w:rsidRPr="00506A83">
              <w:rPr>
                <w:rFonts w:ascii="Times New Roman" w:hAnsi="Times New Roman" w:cs="Times New Roman"/>
                <w:noProof w:val="0"/>
                <w:webHidden/>
                <w:sz w:val="24"/>
                <w:szCs w:val="24"/>
              </w:rPr>
              <w:fldChar w:fldCharType="begin"/>
            </w:r>
            <w:r w:rsidRPr="00506A83">
              <w:rPr>
                <w:rFonts w:ascii="Times New Roman" w:hAnsi="Times New Roman" w:cs="Times New Roman"/>
                <w:noProof w:val="0"/>
                <w:webHidden/>
                <w:sz w:val="24"/>
                <w:szCs w:val="24"/>
              </w:rPr>
              <w:instrText xml:space="preserve"> PAGEREF _Toc231294162 \h </w:instrText>
            </w:r>
            <w:r w:rsidRPr="00506A83">
              <w:rPr>
                <w:rFonts w:ascii="Times New Roman" w:hAnsi="Times New Roman" w:cs="Times New Roman"/>
                <w:noProof w:val="0"/>
                <w:webHidden/>
                <w:sz w:val="24"/>
                <w:szCs w:val="24"/>
              </w:rPr>
            </w:r>
            <w:r w:rsidRPr="00506A83">
              <w:rPr>
                <w:rFonts w:ascii="Times New Roman" w:hAnsi="Times New Roman" w:cs="Times New Roman"/>
                <w:noProof w:val="0"/>
                <w:webHidden/>
                <w:sz w:val="24"/>
                <w:szCs w:val="24"/>
              </w:rPr>
              <w:fldChar w:fldCharType="separate"/>
            </w:r>
            <w:r w:rsidR="00177F0D" w:rsidRPr="00506A83">
              <w:rPr>
                <w:rFonts w:ascii="Times New Roman" w:hAnsi="Times New Roman" w:cs="Times New Roman"/>
                <w:noProof w:val="0"/>
                <w:webHidden/>
                <w:sz w:val="24"/>
                <w:szCs w:val="24"/>
              </w:rPr>
              <w:t>39</w:t>
            </w:r>
            <w:r w:rsidRPr="00506A83">
              <w:rPr>
                <w:rFonts w:ascii="Times New Roman" w:hAnsi="Times New Roman" w:cs="Times New Roman"/>
                <w:noProof w:val="0"/>
                <w:webHidden/>
                <w:sz w:val="24"/>
                <w:szCs w:val="24"/>
              </w:rPr>
              <w:fldChar w:fldCharType="end"/>
            </w:r>
          </w:hyperlink>
        </w:p>
        <w:p w14:paraId="17EC0A83" w14:textId="5796C1BA" w:rsidR="006B6D87" w:rsidRPr="00506A83" w:rsidRDefault="006B6D87">
          <w:pPr>
            <w:pStyle w:val="Obsah3"/>
            <w:tabs>
              <w:tab w:val="left" w:pos="1440"/>
              <w:tab w:val="right" w:leader="dot" w:pos="9062"/>
            </w:tabs>
            <w:rPr>
              <w:rFonts w:eastAsiaTheme="minorEastAsia"/>
              <w:kern w:val="2"/>
              <w14:ligatures w14:val="standardContextual"/>
            </w:rPr>
          </w:pPr>
          <w:hyperlink w:anchor="_Toc231294163" w:history="1">
            <w:r w:rsidRPr="00506A83">
              <w:rPr>
                <w:rStyle w:val="Hypertextovodkaz"/>
              </w:rPr>
              <w:t>3.4.1.</w:t>
            </w:r>
            <w:r w:rsidRPr="00506A83">
              <w:rPr>
                <w:rFonts w:eastAsiaTheme="minorEastAsia"/>
                <w:kern w:val="2"/>
                <w14:ligatures w14:val="standardContextual"/>
              </w:rPr>
              <w:tab/>
            </w:r>
            <w:r w:rsidRPr="00506A83">
              <w:rPr>
                <w:rStyle w:val="Hypertextovodkaz"/>
              </w:rPr>
              <w:t>Skupina Světové banky (WBG)</w:t>
            </w:r>
            <w:r w:rsidRPr="00506A83">
              <w:rPr>
                <w:webHidden/>
              </w:rPr>
              <w:tab/>
            </w:r>
            <w:r w:rsidRPr="00506A83">
              <w:rPr>
                <w:webHidden/>
              </w:rPr>
              <w:fldChar w:fldCharType="begin"/>
            </w:r>
            <w:r w:rsidRPr="00506A83">
              <w:rPr>
                <w:webHidden/>
              </w:rPr>
              <w:instrText xml:space="preserve"> PAGEREF _Toc231294163 \h </w:instrText>
            </w:r>
            <w:r w:rsidRPr="00506A83">
              <w:rPr>
                <w:webHidden/>
              </w:rPr>
            </w:r>
            <w:r w:rsidRPr="00506A83">
              <w:rPr>
                <w:webHidden/>
              </w:rPr>
              <w:fldChar w:fldCharType="separate"/>
            </w:r>
            <w:r w:rsidR="00177F0D" w:rsidRPr="00506A83">
              <w:rPr>
                <w:webHidden/>
              </w:rPr>
              <w:t>39</w:t>
            </w:r>
            <w:r w:rsidRPr="00506A83">
              <w:rPr>
                <w:webHidden/>
              </w:rPr>
              <w:fldChar w:fldCharType="end"/>
            </w:r>
          </w:hyperlink>
        </w:p>
        <w:p w14:paraId="555BFC9C" w14:textId="390E5287" w:rsidR="006B6D87" w:rsidRPr="00506A83" w:rsidRDefault="006B6D87">
          <w:pPr>
            <w:pStyle w:val="Obsah3"/>
            <w:tabs>
              <w:tab w:val="right" w:leader="dot" w:pos="9062"/>
            </w:tabs>
            <w:rPr>
              <w:rFonts w:eastAsiaTheme="minorEastAsia"/>
              <w:kern w:val="2"/>
              <w14:ligatures w14:val="standardContextual"/>
            </w:rPr>
          </w:pPr>
          <w:hyperlink w:anchor="_Toc231294164" w:history="1">
            <w:r w:rsidRPr="00506A83">
              <w:rPr>
                <w:rStyle w:val="Hypertextovodkaz"/>
              </w:rPr>
              <w:t>3.4.2. Rozvojová banka Rady Evropy (CEB)</w:t>
            </w:r>
            <w:r w:rsidRPr="00506A83">
              <w:rPr>
                <w:webHidden/>
              </w:rPr>
              <w:tab/>
            </w:r>
            <w:r w:rsidRPr="00506A83">
              <w:rPr>
                <w:webHidden/>
              </w:rPr>
              <w:fldChar w:fldCharType="begin"/>
            </w:r>
            <w:r w:rsidRPr="00506A83">
              <w:rPr>
                <w:webHidden/>
              </w:rPr>
              <w:instrText xml:space="preserve"> PAGEREF _Toc231294164 \h </w:instrText>
            </w:r>
            <w:r w:rsidRPr="00506A83">
              <w:rPr>
                <w:webHidden/>
              </w:rPr>
            </w:r>
            <w:r w:rsidRPr="00506A83">
              <w:rPr>
                <w:webHidden/>
              </w:rPr>
              <w:fldChar w:fldCharType="separate"/>
            </w:r>
            <w:r w:rsidR="00177F0D" w:rsidRPr="00506A83">
              <w:rPr>
                <w:webHidden/>
              </w:rPr>
              <w:t>40</w:t>
            </w:r>
            <w:r w:rsidRPr="00506A83">
              <w:rPr>
                <w:webHidden/>
              </w:rPr>
              <w:fldChar w:fldCharType="end"/>
            </w:r>
          </w:hyperlink>
        </w:p>
        <w:p w14:paraId="44F6CF47" w14:textId="1B7ACE0E" w:rsidR="006B6D87" w:rsidRPr="00506A83" w:rsidRDefault="006B6D87">
          <w:pPr>
            <w:pStyle w:val="Obsah3"/>
            <w:tabs>
              <w:tab w:val="right" w:leader="dot" w:pos="9062"/>
            </w:tabs>
            <w:rPr>
              <w:rFonts w:eastAsiaTheme="minorEastAsia"/>
              <w:kern w:val="2"/>
              <w14:ligatures w14:val="standardContextual"/>
            </w:rPr>
          </w:pPr>
          <w:hyperlink w:anchor="_Toc231294165" w:history="1">
            <w:r w:rsidRPr="00506A83">
              <w:rPr>
                <w:rStyle w:val="Hypertextovodkaz"/>
              </w:rPr>
              <w:t>3.4.3. Evropská banka pro obnovu a rozvoj (EBRD)</w:t>
            </w:r>
            <w:r w:rsidRPr="00506A83">
              <w:rPr>
                <w:webHidden/>
              </w:rPr>
              <w:tab/>
            </w:r>
            <w:r w:rsidRPr="00506A83">
              <w:rPr>
                <w:webHidden/>
              </w:rPr>
              <w:fldChar w:fldCharType="begin"/>
            </w:r>
            <w:r w:rsidRPr="00506A83">
              <w:rPr>
                <w:webHidden/>
              </w:rPr>
              <w:instrText xml:space="preserve"> PAGEREF _Toc231294165 \h </w:instrText>
            </w:r>
            <w:r w:rsidRPr="00506A83">
              <w:rPr>
                <w:webHidden/>
              </w:rPr>
            </w:r>
            <w:r w:rsidRPr="00506A83">
              <w:rPr>
                <w:webHidden/>
              </w:rPr>
              <w:fldChar w:fldCharType="separate"/>
            </w:r>
            <w:r w:rsidR="00177F0D" w:rsidRPr="00506A83">
              <w:rPr>
                <w:webHidden/>
              </w:rPr>
              <w:t>40</w:t>
            </w:r>
            <w:r w:rsidRPr="00506A83">
              <w:rPr>
                <w:webHidden/>
              </w:rPr>
              <w:fldChar w:fldCharType="end"/>
            </w:r>
          </w:hyperlink>
        </w:p>
        <w:p w14:paraId="4B7AB221" w14:textId="44EDF638" w:rsidR="006B6D87" w:rsidRPr="00506A83" w:rsidRDefault="006B6D87">
          <w:pPr>
            <w:pStyle w:val="Obsah3"/>
            <w:tabs>
              <w:tab w:val="right" w:leader="dot" w:pos="9062"/>
            </w:tabs>
            <w:rPr>
              <w:rFonts w:eastAsiaTheme="minorEastAsia"/>
              <w:kern w:val="2"/>
              <w14:ligatures w14:val="standardContextual"/>
            </w:rPr>
          </w:pPr>
          <w:hyperlink w:anchor="_Toc231294166" w:history="1">
            <w:r w:rsidRPr="00506A83">
              <w:rPr>
                <w:rStyle w:val="Hypertextovodkaz"/>
              </w:rPr>
              <w:t>3.4.4. Evropský rozvojový fond (EDF)</w:t>
            </w:r>
            <w:r w:rsidRPr="00506A83">
              <w:rPr>
                <w:webHidden/>
              </w:rPr>
              <w:tab/>
            </w:r>
            <w:r w:rsidRPr="00506A83">
              <w:rPr>
                <w:webHidden/>
              </w:rPr>
              <w:fldChar w:fldCharType="begin"/>
            </w:r>
            <w:r w:rsidRPr="00506A83">
              <w:rPr>
                <w:webHidden/>
              </w:rPr>
              <w:instrText xml:space="preserve"> PAGEREF _Toc231294166 \h </w:instrText>
            </w:r>
            <w:r w:rsidRPr="00506A83">
              <w:rPr>
                <w:webHidden/>
              </w:rPr>
            </w:r>
            <w:r w:rsidRPr="00506A83">
              <w:rPr>
                <w:webHidden/>
              </w:rPr>
              <w:fldChar w:fldCharType="separate"/>
            </w:r>
            <w:r w:rsidR="00177F0D" w:rsidRPr="00506A83">
              <w:rPr>
                <w:webHidden/>
              </w:rPr>
              <w:t>40</w:t>
            </w:r>
            <w:r w:rsidRPr="00506A83">
              <w:rPr>
                <w:webHidden/>
              </w:rPr>
              <w:fldChar w:fldCharType="end"/>
            </w:r>
          </w:hyperlink>
        </w:p>
        <w:p w14:paraId="3D1085F0" w14:textId="19561EDD" w:rsidR="006B6D87" w:rsidRPr="00506A83" w:rsidRDefault="006B6D87">
          <w:pPr>
            <w:pStyle w:val="Obsah2"/>
            <w:rPr>
              <w:rFonts w:ascii="Times New Roman" w:eastAsiaTheme="minorEastAsia" w:hAnsi="Times New Roman" w:cs="Times New Roman"/>
              <w:noProof w:val="0"/>
              <w:kern w:val="2"/>
              <w:sz w:val="24"/>
              <w:szCs w:val="24"/>
              <w:lang w:eastAsia="cs-CZ"/>
              <w14:ligatures w14:val="standardContextual"/>
            </w:rPr>
          </w:pPr>
          <w:hyperlink w:anchor="_Toc231294167" w:history="1">
            <w:r w:rsidRPr="00506A83">
              <w:rPr>
                <w:rStyle w:val="Hypertextovodkaz"/>
                <w:rFonts w:ascii="Times New Roman" w:hAnsi="Times New Roman"/>
                <w:noProof w:val="0"/>
                <w:sz w:val="24"/>
                <w:szCs w:val="24"/>
              </w:rPr>
              <w:t>3.5.</w:t>
            </w:r>
            <w:r w:rsidRPr="00506A83">
              <w:rPr>
                <w:rFonts w:ascii="Times New Roman" w:eastAsiaTheme="minorEastAsia" w:hAnsi="Times New Roman" w:cs="Times New Roman"/>
                <w:noProof w:val="0"/>
                <w:kern w:val="2"/>
                <w:sz w:val="24"/>
                <w:szCs w:val="24"/>
                <w:lang w:eastAsia="cs-CZ"/>
                <w14:ligatures w14:val="standardContextual"/>
              </w:rPr>
              <w:tab/>
            </w:r>
            <w:r w:rsidRPr="00506A83">
              <w:rPr>
                <w:rStyle w:val="Hypertextovodkaz"/>
                <w:rFonts w:ascii="Times New Roman" w:hAnsi="Times New Roman"/>
                <w:noProof w:val="0"/>
                <w:sz w:val="24"/>
                <w:szCs w:val="24"/>
              </w:rPr>
              <w:t>Podpora životního prostředí a klimatu</w:t>
            </w:r>
            <w:r w:rsidRPr="00506A83">
              <w:rPr>
                <w:rFonts w:ascii="Times New Roman" w:hAnsi="Times New Roman" w:cs="Times New Roman"/>
                <w:noProof w:val="0"/>
                <w:webHidden/>
                <w:sz w:val="24"/>
                <w:szCs w:val="24"/>
              </w:rPr>
              <w:tab/>
            </w:r>
            <w:r w:rsidRPr="00506A83">
              <w:rPr>
                <w:rFonts w:ascii="Times New Roman" w:hAnsi="Times New Roman" w:cs="Times New Roman"/>
                <w:noProof w:val="0"/>
                <w:webHidden/>
                <w:sz w:val="24"/>
                <w:szCs w:val="24"/>
              </w:rPr>
              <w:fldChar w:fldCharType="begin"/>
            </w:r>
            <w:r w:rsidRPr="00506A83">
              <w:rPr>
                <w:rFonts w:ascii="Times New Roman" w:hAnsi="Times New Roman" w:cs="Times New Roman"/>
                <w:noProof w:val="0"/>
                <w:webHidden/>
                <w:sz w:val="24"/>
                <w:szCs w:val="24"/>
              </w:rPr>
              <w:instrText xml:space="preserve"> PAGEREF _Toc231294167 \h </w:instrText>
            </w:r>
            <w:r w:rsidRPr="00506A83">
              <w:rPr>
                <w:rFonts w:ascii="Times New Roman" w:hAnsi="Times New Roman" w:cs="Times New Roman"/>
                <w:noProof w:val="0"/>
                <w:webHidden/>
                <w:sz w:val="24"/>
                <w:szCs w:val="24"/>
              </w:rPr>
            </w:r>
            <w:r w:rsidRPr="00506A83">
              <w:rPr>
                <w:rFonts w:ascii="Times New Roman" w:hAnsi="Times New Roman" w:cs="Times New Roman"/>
                <w:noProof w:val="0"/>
                <w:webHidden/>
                <w:sz w:val="24"/>
                <w:szCs w:val="24"/>
              </w:rPr>
              <w:fldChar w:fldCharType="separate"/>
            </w:r>
            <w:r w:rsidR="00177F0D" w:rsidRPr="00506A83">
              <w:rPr>
                <w:rFonts w:ascii="Times New Roman" w:hAnsi="Times New Roman" w:cs="Times New Roman"/>
                <w:noProof w:val="0"/>
                <w:webHidden/>
                <w:sz w:val="24"/>
                <w:szCs w:val="24"/>
              </w:rPr>
              <w:t>41</w:t>
            </w:r>
            <w:r w:rsidRPr="00506A83">
              <w:rPr>
                <w:rFonts w:ascii="Times New Roman" w:hAnsi="Times New Roman" w:cs="Times New Roman"/>
                <w:noProof w:val="0"/>
                <w:webHidden/>
                <w:sz w:val="24"/>
                <w:szCs w:val="24"/>
              </w:rPr>
              <w:fldChar w:fldCharType="end"/>
            </w:r>
          </w:hyperlink>
        </w:p>
        <w:p w14:paraId="3DEF1BE2" w14:textId="06F68E15" w:rsidR="006B6D87" w:rsidRPr="00506A83" w:rsidRDefault="006B6D87">
          <w:pPr>
            <w:pStyle w:val="Obsah2"/>
            <w:rPr>
              <w:rFonts w:ascii="Times New Roman" w:eastAsiaTheme="minorEastAsia" w:hAnsi="Times New Roman" w:cs="Times New Roman"/>
              <w:noProof w:val="0"/>
              <w:kern w:val="2"/>
              <w:sz w:val="24"/>
              <w:szCs w:val="24"/>
              <w:lang w:eastAsia="cs-CZ"/>
              <w14:ligatures w14:val="standardContextual"/>
            </w:rPr>
          </w:pPr>
          <w:hyperlink w:anchor="_Toc231294168" w:history="1">
            <w:r w:rsidRPr="00506A83">
              <w:rPr>
                <w:rStyle w:val="Hypertextovodkaz"/>
                <w:rFonts w:ascii="Times New Roman" w:hAnsi="Times New Roman"/>
                <w:noProof w:val="0"/>
                <w:sz w:val="24"/>
                <w:szCs w:val="24"/>
              </w:rPr>
              <w:t>3.6.</w:t>
            </w:r>
            <w:r w:rsidRPr="00506A83">
              <w:rPr>
                <w:rFonts w:ascii="Times New Roman" w:eastAsiaTheme="minorEastAsia" w:hAnsi="Times New Roman" w:cs="Times New Roman"/>
                <w:noProof w:val="0"/>
                <w:kern w:val="2"/>
                <w:sz w:val="24"/>
                <w:szCs w:val="24"/>
                <w:lang w:eastAsia="cs-CZ"/>
                <w14:ligatures w14:val="standardContextual"/>
              </w:rPr>
              <w:tab/>
            </w:r>
            <w:r w:rsidRPr="00506A83">
              <w:rPr>
                <w:rStyle w:val="Hypertextovodkaz"/>
                <w:rFonts w:ascii="Times New Roman" w:hAnsi="Times New Roman"/>
                <w:noProof w:val="0"/>
                <w:sz w:val="24"/>
                <w:szCs w:val="24"/>
              </w:rPr>
              <w:t>Civilní mise EU a OBSE</w:t>
            </w:r>
            <w:r w:rsidRPr="00506A83">
              <w:rPr>
                <w:rFonts w:ascii="Times New Roman" w:hAnsi="Times New Roman" w:cs="Times New Roman"/>
                <w:noProof w:val="0"/>
                <w:webHidden/>
                <w:sz w:val="24"/>
                <w:szCs w:val="24"/>
              </w:rPr>
              <w:tab/>
            </w:r>
            <w:r w:rsidRPr="00506A83">
              <w:rPr>
                <w:rFonts w:ascii="Times New Roman" w:hAnsi="Times New Roman" w:cs="Times New Roman"/>
                <w:noProof w:val="0"/>
                <w:webHidden/>
                <w:sz w:val="24"/>
                <w:szCs w:val="24"/>
              </w:rPr>
              <w:fldChar w:fldCharType="begin"/>
            </w:r>
            <w:r w:rsidRPr="00506A83">
              <w:rPr>
                <w:rFonts w:ascii="Times New Roman" w:hAnsi="Times New Roman" w:cs="Times New Roman"/>
                <w:noProof w:val="0"/>
                <w:webHidden/>
                <w:sz w:val="24"/>
                <w:szCs w:val="24"/>
              </w:rPr>
              <w:instrText xml:space="preserve"> PAGEREF _Toc231294168 \h </w:instrText>
            </w:r>
            <w:r w:rsidRPr="00506A83">
              <w:rPr>
                <w:rFonts w:ascii="Times New Roman" w:hAnsi="Times New Roman" w:cs="Times New Roman"/>
                <w:noProof w:val="0"/>
                <w:webHidden/>
                <w:sz w:val="24"/>
                <w:szCs w:val="24"/>
              </w:rPr>
            </w:r>
            <w:r w:rsidRPr="00506A83">
              <w:rPr>
                <w:rFonts w:ascii="Times New Roman" w:hAnsi="Times New Roman" w:cs="Times New Roman"/>
                <w:noProof w:val="0"/>
                <w:webHidden/>
                <w:sz w:val="24"/>
                <w:szCs w:val="24"/>
              </w:rPr>
              <w:fldChar w:fldCharType="separate"/>
            </w:r>
            <w:r w:rsidR="00177F0D" w:rsidRPr="00506A83">
              <w:rPr>
                <w:rFonts w:ascii="Times New Roman" w:hAnsi="Times New Roman" w:cs="Times New Roman"/>
                <w:noProof w:val="0"/>
                <w:webHidden/>
                <w:sz w:val="24"/>
                <w:szCs w:val="24"/>
              </w:rPr>
              <w:t>41</w:t>
            </w:r>
            <w:r w:rsidRPr="00506A83">
              <w:rPr>
                <w:rFonts w:ascii="Times New Roman" w:hAnsi="Times New Roman" w:cs="Times New Roman"/>
                <w:noProof w:val="0"/>
                <w:webHidden/>
                <w:sz w:val="24"/>
                <w:szCs w:val="24"/>
              </w:rPr>
              <w:fldChar w:fldCharType="end"/>
            </w:r>
          </w:hyperlink>
        </w:p>
        <w:p w14:paraId="190D82D2" w14:textId="4C56F2F1" w:rsidR="006B6D87" w:rsidRPr="00506A83" w:rsidRDefault="006B6D87">
          <w:pPr>
            <w:pStyle w:val="Obsah2"/>
            <w:rPr>
              <w:rFonts w:ascii="Times New Roman" w:eastAsiaTheme="minorEastAsia" w:hAnsi="Times New Roman" w:cs="Times New Roman"/>
              <w:noProof w:val="0"/>
              <w:kern w:val="2"/>
              <w:sz w:val="24"/>
              <w:szCs w:val="24"/>
              <w:lang w:eastAsia="cs-CZ"/>
              <w14:ligatures w14:val="standardContextual"/>
            </w:rPr>
          </w:pPr>
          <w:hyperlink w:anchor="_Toc231294169" w:history="1">
            <w:r w:rsidRPr="00506A83">
              <w:rPr>
                <w:rStyle w:val="Hypertextovodkaz"/>
                <w:rFonts w:ascii="Times New Roman" w:hAnsi="Times New Roman"/>
                <w:noProof w:val="0"/>
                <w:sz w:val="24"/>
                <w:szCs w:val="24"/>
              </w:rPr>
              <w:t>3.7.</w:t>
            </w:r>
            <w:r w:rsidRPr="00506A83">
              <w:rPr>
                <w:rFonts w:ascii="Times New Roman" w:eastAsiaTheme="minorEastAsia" w:hAnsi="Times New Roman" w:cs="Times New Roman"/>
                <w:noProof w:val="0"/>
                <w:kern w:val="2"/>
                <w:sz w:val="24"/>
                <w:szCs w:val="24"/>
                <w:lang w:eastAsia="cs-CZ"/>
                <w14:ligatures w14:val="standardContextual"/>
              </w:rPr>
              <w:tab/>
            </w:r>
            <w:r w:rsidRPr="00506A83">
              <w:rPr>
                <w:rStyle w:val="Hypertextovodkaz"/>
                <w:rFonts w:ascii="Times New Roman" w:hAnsi="Times New Roman"/>
                <w:noProof w:val="0"/>
                <w:sz w:val="24"/>
                <w:szCs w:val="24"/>
              </w:rPr>
              <w:t>Pomoc Afghánistánu v letech 2021 až 2024 dle UV 662/2021</w:t>
            </w:r>
            <w:r w:rsidRPr="00506A83">
              <w:rPr>
                <w:rFonts w:ascii="Times New Roman" w:hAnsi="Times New Roman" w:cs="Times New Roman"/>
                <w:noProof w:val="0"/>
                <w:webHidden/>
                <w:sz w:val="24"/>
                <w:szCs w:val="24"/>
              </w:rPr>
              <w:tab/>
            </w:r>
            <w:r w:rsidRPr="00506A83">
              <w:rPr>
                <w:rFonts w:ascii="Times New Roman" w:hAnsi="Times New Roman" w:cs="Times New Roman"/>
                <w:noProof w:val="0"/>
                <w:webHidden/>
                <w:sz w:val="24"/>
                <w:szCs w:val="24"/>
              </w:rPr>
              <w:fldChar w:fldCharType="begin"/>
            </w:r>
            <w:r w:rsidRPr="00506A83">
              <w:rPr>
                <w:rFonts w:ascii="Times New Roman" w:hAnsi="Times New Roman" w:cs="Times New Roman"/>
                <w:noProof w:val="0"/>
                <w:webHidden/>
                <w:sz w:val="24"/>
                <w:szCs w:val="24"/>
              </w:rPr>
              <w:instrText xml:space="preserve"> PAGEREF _Toc231294169 \h </w:instrText>
            </w:r>
            <w:r w:rsidRPr="00506A83">
              <w:rPr>
                <w:rFonts w:ascii="Times New Roman" w:hAnsi="Times New Roman" w:cs="Times New Roman"/>
                <w:noProof w:val="0"/>
                <w:webHidden/>
                <w:sz w:val="24"/>
                <w:szCs w:val="24"/>
              </w:rPr>
            </w:r>
            <w:r w:rsidRPr="00506A83">
              <w:rPr>
                <w:rFonts w:ascii="Times New Roman" w:hAnsi="Times New Roman" w:cs="Times New Roman"/>
                <w:noProof w:val="0"/>
                <w:webHidden/>
                <w:sz w:val="24"/>
                <w:szCs w:val="24"/>
              </w:rPr>
              <w:fldChar w:fldCharType="separate"/>
            </w:r>
            <w:r w:rsidR="00177F0D" w:rsidRPr="00506A83">
              <w:rPr>
                <w:rFonts w:ascii="Times New Roman" w:hAnsi="Times New Roman" w:cs="Times New Roman"/>
                <w:noProof w:val="0"/>
                <w:webHidden/>
                <w:sz w:val="24"/>
                <w:szCs w:val="24"/>
              </w:rPr>
              <w:t>42</w:t>
            </w:r>
            <w:r w:rsidRPr="00506A83">
              <w:rPr>
                <w:rFonts w:ascii="Times New Roman" w:hAnsi="Times New Roman" w:cs="Times New Roman"/>
                <w:noProof w:val="0"/>
                <w:webHidden/>
                <w:sz w:val="24"/>
                <w:szCs w:val="24"/>
              </w:rPr>
              <w:fldChar w:fldCharType="end"/>
            </w:r>
          </w:hyperlink>
        </w:p>
        <w:p w14:paraId="36608456" w14:textId="5C18BB75" w:rsidR="006B6D87" w:rsidRPr="00506A83" w:rsidRDefault="006B6D87">
          <w:pPr>
            <w:pStyle w:val="Obsah2"/>
            <w:rPr>
              <w:rFonts w:ascii="Times New Roman" w:eastAsiaTheme="minorEastAsia" w:hAnsi="Times New Roman" w:cs="Times New Roman"/>
              <w:noProof w:val="0"/>
              <w:kern w:val="2"/>
              <w:sz w:val="24"/>
              <w:szCs w:val="24"/>
              <w:lang w:eastAsia="cs-CZ"/>
              <w14:ligatures w14:val="standardContextual"/>
            </w:rPr>
          </w:pPr>
          <w:hyperlink w:anchor="_Toc231294170" w:history="1">
            <w:r w:rsidRPr="00506A83">
              <w:rPr>
                <w:rStyle w:val="Hypertextovodkaz"/>
                <w:rFonts w:ascii="Times New Roman" w:hAnsi="Times New Roman"/>
                <w:noProof w:val="0"/>
                <w:sz w:val="24"/>
                <w:szCs w:val="24"/>
              </w:rPr>
              <w:t>3.8.</w:t>
            </w:r>
            <w:r w:rsidRPr="00506A83">
              <w:rPr>
                <w:rFonts w:ascii="Times New Roman" w:eastAsiaTheme="minorEastAsia" w:hAnsi="Times New Roman" w:cs="Times New Roman"/>
                <w:noProof w:val="0"/>
                <w:kern w:val="2"/>
                <w:sz w:val="24"/>
                <w:szCs w:val="24"/>
                <w:lang w:eastAsia="cs-CZ"/>
                <w14:ligatures w14:val="standardContextual"/>
              </w:rPr>
              <w:tab/>
            </w:r>
            <w:r w:rsidRPr="00506A83">
              <w:rPr>
                <w:rStyle w:val="Hypertextovodkaz"/>
                <w:rFonts w:ascii="Times New Roman" w:hAnsi="Times New Roman"/>
                <w:noProof w:val="0"/>
                <w:sz w:val="24"/>
                <w:szCs w:val="24"/>
              </w:rPr>
              <w:t>Pomoc uprchlíkům na území ČR</w:t>
            </w:r>
            <w:r w:rsidRPr="00506A83">
              <w:rPr>
                <w:rFonts w:ascii="Times New Roman" w:hAnsi="Times New Roman" w:cs="Times New Roman"/>
                <w:noProof w:val="0"/>
                <w:webHidden/>
                <w:sz w:val="24"/>
                <w:szCs w:val="24"/>
              </w:rPr>
              <w:tab/>
            </w:r>
            <w:r w:rsidRPr="00506A83">
              <w:rPr>
                <w:rFonts w:ascii="Times New Roman" w:hAnsi="Times New Roman" w:cs="Times New Roman"/>
                <w:noProof w:val="0"/>
                <w:webHidden/>
                <w:sz w:val="24"/>
                <w:szCs w:val="24"/>
              </w:rPr>
              <w:fldChar w:fldCharType="begin"/>
            </w:r>
            <w:r w:rsidRPr="00506A83">
              <w:rPr>
                <w:rFonts w:ascii="Times New Roman" w:hAnsi="Times New Roman" w:cs="Times New Roman"/>
                <w:noProof w:val="0"/>
                <w:webHidden/>
                <w:sz w:val="24"/>
                <w:szCs w:val="24"/>
              </w:rPr>
              <w:instrText xml:space="preserve"> PAGEREF _Toc231294170 \h </w:instrText>
            </w:r>
            <w:r w:rsidRPr="00506A83">
              <w:rPr>
                <w:rFonts w:ascii="Times New Roman" w:hAnsi="Times New Roman" w:cs="Times New Roman"/>
                <w:noProof w:val="0"/>
                <w:webHidden/>
                <w:sz w:val="24"/>
                <w:szCs w:val="24"/>
              </w:rPr>
            </w:r>
            <w:r w:rsidRPr="00506A83">
              <w:rPr>
                <w:rFonts w:ascii="Times New Roman" w:hAnsi="Times New Roman" w:cs="Times New Roman"/>
                <w:noProof w:val="0"/>
                <w:webHidden/>
                <w:sz w:val="24"/>
                <w:szCs w:val="24"/>
              </w:rPr>
              <w:fldChar w:fldCharType="separate"/>
            </w:r>
            <w:r w:rsidR="00177F0D" w:rsidRPr="00506A83">
              <w:rPr>
                <w:rFonts w:ascii="Times New Roman" w:hAnsi="Times New Roman" w:cs="Times New Roman"/>
                <w:noProof w:val="0"/>
                <w:webHidden/>
                <w:sz w:val="24"/>
                <w:szCs w:val="24"/>
              </w:rPr>
              <w:t>43</w:t>
            </w:r>
            <w:r w:rsidRPr="00506A83">
              <w:rPr>
                <w:rFonts w:ascii="Times New Roman" w:hAnsi="Times New Roman" w:cs="Times New Roman"/>
                <w:noProof w:val="0"/>
                <w:webHidden/>
                <w:sz w:val="24"/>
                <w:szCs w:val="24"/>
              </w:rPr>
              <w:fldChar w:fldCharType="end"/>
            </w:r>
          </w:hyperlink>
        </w:p>
        <w:p w14:paraId="2FC1AD1C" w14:textId="64BAFAE4" w:rsidR="006B6D87" w:rsidRPr="00506A83" w:rsidRDefault="006B6D87">
          <w:pPr>
            <w:pStyle w:val="Obsah1"/>
            <w:rPr>
              <w:rFonts w:eastAsiaTheme="minorEastAsia" w:cs="Times New Roman"/>
              <w:b w:val="0"/>
              <w:noProof w:val="0"/>
              <w:kern w:val="2"/>
              <w14:ligatures w14:val="standardContextual"/>
            </w:rPr>
          </w:pPr>
          <w:hyperlink w:anchor="_Toc231294171" w:history="1">
            <w:r w:rsidRPr="00506A83">
              <w:rPr>
                <w:rStyle w:val="Hypertextovodkaz"/>
                <w:noProof w:val="0"/>
              </w:rPr>
              <w:t>4.</w:t>
            </w:r>
            <w:r w:rsidRPr="00506A83">
              <w:rPr>
                <w:rFonts w:eastAsiaTheme="minorEastAsia" w:cs="Times New Roman"/>
                <w:b w:val="0"/>
                <w:noProof w:val="0"/>
                <w:kern w:val="2"/>
                <w14:ligatures w14:val="standardContextual"/>
              </w:rPr>
              <w:tab/>
            </w:r>
            <w:r w:rsidRPr="00506A83">
              <w:rPr>
                <w:rStyle w:val="Hypertextovodkaz"/>
                <w:noProof w:val="0"/>
              </w:rPr>
              <w:t>Předběžný přehled ODA za rok 2025</w:t>
            </w:r>
            <w:r w:rsidRPr="00506A83">
              <w:rPr>
                <w:rFonts w:cs="Times New Roman"/>
                <w:noProof w:val="0"/>
                <w:webHidden/>
              </w:rPr>
              <w:tab/>
            </w:r>
            <w:r w:rsidRPr="00506A83">
              <w:rPr>
                <w:rFonts w:cs="Times New Roman"/>
                <w:noProof w:val="0"/>
                <w:webHidden/>
              </w:rPr>
              <w:fldChar w:fldCharType="begin"/>
            </w:r>
            <w:r w:rsidRPr="00506A83">
              <w:rPr>
                <w:rFonts w:cs="Times New Roman"/>
                <w:noProof w:val="0"/>
                <w:webHidden/>
              </w:rPr>
              <w:instrText xml:space="preserve"> PAGEREF _Toc231294171 \h </w:instrText>
            </w:r>
            <w:r w:rsidRPr="00506A83">
              <w:rPr>
                <w:rFonts w:cs="Times New Roman"/>
                <w:noProof w:val="0"/>
                <w:webHidden/>
              </w:rPr>
            </w:r>
            <w:r w:rsidRPr="00506A83">
              <w:rPr>
                <w:rFonts w:cs="Times New Roman"/>
                <w:noProof w:val="0"/>
                <w:webHidden/>
              </w:rPr>
              <w:fldChar w:fldCharType="separate"/>
            </w:r>
            <w:r w:rsidR="00177F0D" w:rsidRPr="00506A83">
              <w:rPr>
                <w:rFonts w:cs="Times New Roman"/>
                <w:noProof w:val="0"/>
                <w:webHidden/>
              </w:rPr>
              <w:t>44</w:t>
            </w:r>
            <w:r w:rsidRPr="00506A83">
              <w:rPr>
                <w:rFonts w:cs="Times New Roman"/>
                <w:noProof w:val="0"/>
                <w:webHidden/>
              </w:rPr>
              <w:fldChar w:fldCharType="end"/>
            </w:r>
          </w:hyperlink>
        </w:p>
        <w:p w14:paraId="341AEB28" w14:textId="5235570A" w:rsidR="006B6D87" w:rsidRPr="00506A83" w:rsidRDefault="006B6D87">
          <w:pPr>
            <w:pStyle w:val="Obsah1"/>
            <w:rPr>
              <w:rFonts w:eastAsiaTheme="minorEastAsia" w:cs="Times New Roman"/>
              <w:b w:val="0"/>
              <w:noProof w:val="0"/>
              <w:kern w:val="2"/>
              <w14:ligatures w14:val="standardContextual"/>
            </w:rPr>
          </w:pPr>
          <w:hyperlink w:anchor="_Toc231294172" w:history="1">
            <w:r w:rsidRPr="00506A83">
              <w:rPr>
                <w:rStyle w:val="Hypertextovodkaz"/>
                <w:noProof w:val="0"/>
              </w:rPr>
              <w:t>5.</w:t>
            </w:r>
            <w:r w:rsidRPr="00506A83">
              <w:rPr>
                <w:rFonts w:eastAsiaTheme="minorEastAsia" w:cs="Times New Roman"/>
                <w:b w:val="0"/>
                <w:noProof w:val="0"/>
                <w:kern w:val="2"/>
                <w14:ligatures w14:val="standardContextual"/>
              </w:rPr>
              <w:tab/>
            </w:r>
            <w:r w:rsidRPr="00506A83">
              <w:rPr>
                <w:rStyle w:val="Hypertextovodkaz"/>
                <w:noProof w:val="0"/>
              </w:rPr>
              <w:t>Závěr</w:t>
            </w:r>
            <w:r w:rsidRPr="00506A83">
              <w:rPr>
                <w:rFonts w:cs="Times New Roman"/>
                <w:noProof w:val="0"/>
                <w:webHidden/>
              </w:rPr>
              <w:tab/>
            </w:r>
            <w:r w:rsidRPr="00506A83">
              <w:rPr>
                <w:rFonts w:cs="Times New Roman"/>
                <w:noProof w:val="0"/>
                <w:webHidden/>
              </w:rPr>
              <w:fldChar w:fldCharType="begin"/>
            </w:r>
            <w:r w:rsidRPr="00506A83">
              <w:rPr>
                <w:rFonts w:cs="Times New Roman"/>
                <w:noProof w:val="0"/>
                <w:webHidden/>
              </w:rPr>
              <w:instrText xml:space="preserve"> PAGEREF _Toc231294172 \h </w:instrText>
            </w:r>
            <w:r w:rsidRPr="00506A83">
              <w:rPr>
                <w:rFonts w:cs="Times New Roman"/>
                <w:noProof w:val="0"/>
                <w:webHidden/>
              </w:rPr>
            </w:r>
            <w:r w:rsidRPr="00506A83">
              <w:rPr>
                <w:rFonts w:cs="Times New Roman"/>
                <w:noProof w:val="0"/>
                <w:webHidden/>
              </w:rPr>
              <w:fldChar w:fldCharType="separate"/>
            </w:r>
            <w:r w:rsidR="00177F0D" w:rsidRPr="00506A83">
              <w:rPr>
                <w:rFonts w:cs="Times New Roman"/>
                <w:noProof w:val="0"/>
                <w:webHidden/>
              </w:rPr>
              <w:t>45</w:t>
            </w:r>
            <w:r w:rsidRPr="00506A83">
              <w:rPr>
                <w:rFonts w:cs="Times New Roman"/>
                <w:noProof w:val="0"/>
                <w:webHidden/>
              </w:rPr>
              <w:fldChar w:fldCharType="end"/>
            </w:r>
          </w:hyperlink>
        </w:p>
        <w:p w14:paraId="07BC2B29" w14:textId="58563F7E" w:rsidR="006B6D87" w:rsidRPr="00506A83" w:rsidRDefault="006B6D87">
          <w:pPr>
            <w:pStyle w:val="Obsah1"/>
            <w:rPr>
              <w:rFonts w:eastAsiaTheme="minorEastAsia" w:cs="Times New Roman"/>
              <w:b w:val="0"/>
              <w:noProof w:val="0"/>
              <w:kern w:val="2"/>
              <w14:ligatures w14:val="standardContextual"/>
            </w:rPr>
          </w:pPr>
          <w:hyperlink w:anchor="_Toc231294173" w:history="1">
            <w:r w:rsidRPr="00506A83">
              <w:rPr>
                <w:rStyle w:val="Hypertextovodkaz"/>
                <w:noProof w:val="0"/>
              </w:rPr>
              <w:t>6.</w:t>
            </w:r>
            <w:r w:rsidRPr="00506A83">
              <w:rPr>
                <w:rFonts w:eastAsiaTheme="minorEastAsia" w:cs="Times New Roman"/>
                <w:b w:val="0"/>
                <w:noProof w:val="0"/>
                <w:kern w:val="2"/>
                <w14:ligatures w14:val="standardContextual"/>
              </w:rPr>
              <w:tab/>
            </w:r>
            <w:r w:rsidRPr="00506A83">
              <w:rPr>
                <w:rStyle w:val="Hypertextovodkaz"/>
                <w:noProof w:val="0"/>
              </w:rPr>
              <w:t>Přílohy</w:t>
            </w:r>
            <w:r w:rsidRPr="00506A83">
              <w:rPr>
                <w:rFonts w:cs="Times New Roman"/>
                <w:noProof w:val="0"/>
                <w:webHidden/>
              </w:rPr>
              <w:tab/>
            </w:r>
            <w:r w:rsidRPr="00506A83">
              <w:rPr>
                <w:rFonts w:cs="Times New Roman"/>
                <w:noProof w:val="0"/>
                <w:webHidden/>
              </w:rPr>
              <w:fldChar w:fldCharType="begin"/>
            </w:r>
            <w:r w:rsidRPr="00506A83">
              <w:rPr>
                <w:rFonts w:cs="Times New Roman"/>
                <w:noProof w:val="0"/>
                <w:webHidden/>
              </w:rPr>
              <w:instrText xml:space="preserve"> PAGEREF _Toc231294173 \h </w:instrText>
            </w:r>
            <w:r w:rsidRPr="00506A83">
              <w:rPr>
                <w:rFonts w:cs="Times New Roman"/>
                <w:noProof w:val="0"/>
                <w:webHidden/>
              </w:rPr>
            </w:r>
            <w:r w:rsidRPr="00506A83">
              <w:rPr>
                <w:rFonts w:cs="Times New Roman"/>
                <w:noProof w:val="0"/>
                <w:webHidden/>
              </w:rPr>
              <w:fldChar w:fldCharType="separate"/>
            </w:r>
            <w:r w:rsidR="00177F0D" w:rsidRPr="00506A83">
              <w:rPr>
                <w:rFonts w:cs="Times New Roman"/>
                <w:noProof w:val="0"/>
                <w:webHidden/>
              </w:rPr>
              <w:t>46</w:t>
            </w:r>
            <w:r w:rsidRPr="00506A83">
              <w:rPr>
                <w:rFonts w:cs="Times New Roman"/>
                <w:noProof w:val="0"/>
                <w:webHidden/>
              </w:rPr>
              <w:fldChar w:fldCharType="end"/>
            </w:r>
          </w:hyperlink>
        </w:p>
        <w:p w14:paraId="1AC162E6" w14:textId="58D07E43" w:rsidR="00FD31F3" w:rsidRPr="00506A83" w:rsidRDefault="00FD31F3" w:rsidP="00124982">
          <w:pPr>
            <w:spacing w:line="276" w:lineRule="auto"/>
          </w:pPr>
          <w:r w:rsidRPr="00506A83">
            <w:rPr>
              <w:b/>
              <w:bCs/>
            </w:rPr>
            <w:fldChar w:fldCharType="end"/>
          </w:r>
        </w:p>
      </w:sdtContent>
    </w:sdt>
    <w:p w14:paraId="1361AA05" w14:textId="77777777" w:rsidR="00E4172B" w:rsidRPr="00506A83" w:rsidRDefault="00E4172B">
      <w:pPr>
        <w:rPr>
          <w:b/>
          <w:sz w:val="28"/>
        </w:rPr>
      </w:pPr>
      <w:bookmarkStart w:id="0" w:name="_Toc228190580"/>
      <w:r w:rsidRPr="00506A83">
        <w:br w:type="page"/>
      </w:r>
    </w:p>
    <w:p w14:paraId="6EB5CAB8" w14:textId="7A75C709" w:rsidR="007F0199" w:rsidRPr="00506A83" w:rsidRDefault="00F6243B" w:rsidP="001A60FD">
      <w:pPr>
        <w:pStyle w:val="Nadpis1"/>
        <w:numPr>
          <w:ilvl w:val="0"/>
          <w:numId w:val="40"/>
        </w:numPr>
        <w:spacing w:before="120" w:after="120" w:line="276" w:lineRule="auto"/>
        <w:rPr>
          <w:rFonts w:ascii="Times New Roman" w:hAnsi="Times New Roman" w:cs="Times New Roman"/>
        </w:rPr>
      </w:pPr>
      <w:bookmarkStart w:id="1" w:name="_Toc231294135"/>
      <w:r w:rsidRPr="00506A83">
        <w:rPr>
          <w:rFonts w:ascii="Times New Roman" w:hAnsi="Times New Roman" w:cs="Times New Roman"/>
        </w:rPr>
        <w:lastRenderedPageBreak/>
        <w:t>Úvod</w:t>
      </w:r>
      <w:bookmarkEnd w:id="0"/>
      <w:bookmarkEnd w:id="1"/>
      <w:r w:rsidRPr="00506A83">
        <w:rPr>
          <w:rFonts w:ascii="Times New Roman" w:hAnsi="Times New Roman" w:cs="Times New Roman"/>
        </w:rPr>
        <w:t xml:space="preserve"> </w:t>
      </w:r>
    </w:p>
    <w:p w14:paraId="12A87542" w14:textId="77777777" w:rsidR="00F0606A" w:rsidRPr="00506A83" w:rsidRDefault="00F0606A" w:rsidP="00F0606A">
      <w:pPr>
        <w:spacing w:before="120" w:after="120" w:line="276" w:lineRule="auto"/>
        <w:jc w:val="both"/>
      </w:pPr>
      <w:r w:rsidRPr="00506A83">
        <w:t xml:space="preserve">Hlavním cílem předloženého materiálu je podat souhrnný přehled o realizaci zahraniční rozvojové spolupráce (ZRS), transformační spolupráce (TRANS) a humanitární pomoci (HP) v roce 2025, včetně transparentního přehledu čerpání a využití prostředků vyčleněných na tyto aktivity zejména </w:t>
      </w:r>
      <w:r w:rsidRPr="00506A83">
        <w:rPr>
          <w:b/>
        </w:rPr>
        <w:t xml:space="preserve">usnesením vlády ze dne 10. července 2024 č. 471 o dvoustranné zahraniční rozvojové spolupráci v roce 2025 </w:t>
      </w:r>
      <w:r w:rsidRPr="00506A83">
        <w:rPr>
          <w:bCs/>
        </w:rPr>
        <w:t xml:space="preserve">a ke střednědobému výhledu jejího financování do roku 2027 </w:t>
      </w:r>
      <w:r w:rsidRPr="00506A83">
        <w:t>(dále UV 471/2024).</w:t>
      </w:r>
    </w:p>
    <w:p w14:paraId="72F9D3B6" w14:textId="74E57AAA" w:rsidR="00F0606A" w:rsidRPr="00506A83" w:rsidRDefault="00F0606A" w:rsidP="00F0606A">
      <w:pPr>
        <w:spacing w:before="120" w:after="120" w:line="276" w:lineRule="auto"/>
        <w:jc w:val="both"/>
      </w:pPr>
      <w:r w:rsidRPr="00506A83">
        <w:t xml:space="preserve">V souladu s usnesením vlády ze dne 21. března 2018 č. 189 materiál dále zahrnuje informaci </w:t>
      </w:r>
      <w:r w:rsidRPr="00506A83">
        <w:rPr>
          <w:bCs/>
        </w:rPr>
        <w:t>o</w:t>
      </w:r>
      <w:r w:rsidR="006F4B4C" w:rsidRPr="00506A83">
        <w:rPr>
          <w:bCs/>
        </w:rPr>
        <w:t> </w:t>
      </w:r>
      <w:r w:rsidRPr="00506A83">
        <w:rPr>
          <w:bCs/>
        </w:rPr>
        <w:t xml:space="preserve">realizaci dalších asistenčních programů v roce 2025, zejména </w:t>
      </w:r>
      <w:r w:rsidRPr="00506A83">
        <w:rPr>
          <w:b/>
        </w:rPr>
        <w:t>Programu humanitární, stabilizační, rekonstrukční a hospodářské asistence Ukrajině v letech 2023-2025</w:t>
      </w:r>
      <w:r w:rsidRPr="00506A83">
        <w:t xml:space="preserve"> v návaznosti na usnesení vlády ze dne 12. října 2022 č. 855 (UV 855/2022). </w:t>
      </w:r>
    </w:p>
    <w:p w14:paraId="753BE2D4" w14:textId="77777777" w:rsidR="00F0606A" w:rsidRPr="00506A83" w:rsidRDefault="00F0606A" w:rsidP="00F0606A">
      <w:pPr>
        <w:spacing w:before="120" w:after="120" w:line="276" w:lineRule="auto"/>
        <w:jc w:val="both"/>
      </w:pPr>
      <w:r w:rsidRPr="00506A83">
        <w:t xml:space="preserve">Dále je zahrnut přehled realizace v roce 2025 </w:t>
      </w:r>
      <w:r w:rsidRPr="00506A83">
        <w:rPr>
          <w:b/>
          <w:bCs/>
        </w:rPr>
        <w:t xml:space="preserve">Rekonstrukčního programu České republiky v regionu Blízkého východu v období 2025–2027 </w:t>
      </w:r>
      <w:r w:rsidRPr="00506A83">
        <w:rPr>
          <w:bCs/>
        </w:rPr>
        <w:t xml:space="preserve">v návaznosti na usnesení vlády </w:t>
      </w:r>
      <w:r w:rsidRPr="00506A83">
        <w:t xml:space="preserve">ze dne 29. května 2024 č. 350 (dále UV 350/2024) a Programu na naplňování cílů ČR v Africe na léta 2023-2025 v roce 2025. </w:t>
      </w:r>
    </w:p>
    <w:p w14:paraId="1579C6A5" w14:textId="76562BDE" w:rsidR="00F0606A" w:rsidRPr="00506A83" w:rsidRDefault="00F0606A" w:rsidP="00F0606A">
      <w:pPr>
        <w:spacing w:before="120" w:after="120" w:line="276" w:lineRule="auto"/>
        <w:jc w:val="both"/>
      </w:pPr>
      <w:r w:rsidRPr="00506A83">
        <w:t>V podkapitole 3.7. je zařazena konečná informace o výsledcích souvisejících s poskytnutím peněžního daru České republiky na podporu fungování Afghánských národních obranných a</w:t>
      </w:r>
      <w:r w:rsidR="006F4B4C" w:rsidRPr="00506A83">
        <w:t> </w:t>
      </w:r>
      <w:r w:rsidRPr="00506A83">
        <w:t>bezpečnostních sil a na podporu udržitelného rozvoje Afghánistánu v letech 2021 až 2024.</w:t>
      </w:r>
    </w:p>
    <w:p w14:paraId="7BC66382" w14:textId="77777777" w:rsidR="00F0606A" w:rsidRPr="00506A83" w:rsidRDefault="00F0606A" w:rsidP="00F0606A">
      <w:pPr>
        <w:spacing w:before="120" w:after="120" w:line="276" w:lineRule="auto"/>
        <w:jc w:val="both"/>
      </w:pPr>
      <w:r w:rsidRPr="00506A83">
        <w:t xml:space="preserve">Materiál dále obsahuje přehled ostatních forem dvoustranné i mnohostranné rozvojové spolupráce ČR, které jsou hrazeny z jiných zdrojů nad rámec uvedených usnesení vlády, avšak jsou započitatelné jako </w:t>
      </w:r>
      <w:r w:rsidRPr="00506A83">
        <w:rPr>
          <w:b/>
          <w:bCs/>
        </w:rPr>
        <w:t>oficiální rozvojová pomoc</w:t>
      </w:r>
      <w:r w:rsidRPr="00506A83">
        <w:t xml:space="preserve"> (Official Development Assistance – ODA). Předběžný celkový přehled ODA ČR za rok 2025 je představen v kapitole 4 tohoto materiálu. Jde o data poskytnutá Výboru pro rozvojovou pomoc Organizace pro hospodářskou spolupráci a rozvoj (OECD/DAC) v březnu 2026 v rámci tzv. předběžného dotazníku. Konečná data k ODA 2025 budou k dispozici na podzim 2026 na webové stránce Ministerstva zahraničních věcí ČR.</w:t>
      </w:r>
    </w:p>
    <w:p w14:paraId="04E45B94" w14:textId="77777777" w:rsidR="00F0606A" w:rsidRPr="00506A83" w:rsidRDefault="00F0606A" w:rsidP="00F0606A">
      <w:pPr>
        <w:spacing w:before="120" w:after="120" w:line="276" w:lineRule="auto"/>
        <w:jc w:val="both"/>
        <w:rPr>
          <w:b/>
        </w:rPr>
      </w:pPr>
      <w:r w:rsidRPr="00506A83">
        <w:t xml:space="preserve">Textový přehled realizovaných aktivit je doplněn přílohami, které shrnují </w:t>
      </w:r>
      <w:r w:rsidRPr="00506A83">
        <w:rPr>
          <w:b/>
        </w:rPr>
        <w:t>využití schválených prostředků ve struktuře Plánu ZRS na rok 2025 (příloha č. 1) i dle projektů České rozvojové agentury (ČRA – příloha č. 2), MZV a ostatních gestorů (příloha č. 3).</w:t>
      </w:r>
    </w:p>
    <w:p w14:paraId="4799FF3A" w14:textId="77777777" w:rsidR="00F0606A" w:rsidRPr="00506A83" w:rsidRDefault="00F0606A" w:rsidP="00F0606A">
      <w:pPr>
        <w:spacing w:before="120" w:after="120" w:line="276" w:lineRule="auto"/>
        <w:jc w:val="both"/>
      </w:pPr>
      <w:r w:rsidRPr="00506A83">
        <w:t>Veškeré prostředky vyčleněné na zahraniční rozvojovou spolupráci, transformační spolupráci a humanitární pomoc v roce 2025 byly čerpány v souladu s rozpočtovými a účetními pravidly, v souladu se schválenými účely a se zásadou transparentnosti a rozpočtové odpovědnosti. Implementace těchto aktivit byla průběžně konzultována s Radou pro ZRS a jejími příslušnými pracovními skupinami.</w:t>
      </w:r>
    </w:p>
    <w:p w14:paraId="030ED347" w14:textId="2F354117" w:rsidR="004433E4" w:rsidRPr="00506A83" w:rsidRDefault="00F0606A" w:rsidP="005177B3">
      <w:pPr>
        <w:spacing w:before="120" w:after="120" w:line="276" w:lineRule="auto"/>
        <w:jc w:val="both"/>
      </w:pPr>
      <w:r w:rsidRPr="00506A83">
        <w:t>Materiál se vládě předkládá pro informaci.</w:t>
      </w:r>
      <w:r w:rsidR="004433E4" w:rsidRPr="00506A83">
        <w:br w:type="page"/>
      </w:r>
    </w:p>
    <w:p w14:paraId="546AE27C" w14:textId="21F99D15" w:rsidR="00F6243B" w:rsidRPr="00506A83" w:rsidRDefault="00F6243B" w:rsidP="00013A1D">
      <w:pPr>
        <w:pStyle w:val="Nadpis1"/>
        <w:numPr>
          <w:ilvl w:val="0"/>
          <w:numId w:val="37"/>
        </w:numPr>
        <w:spacing w:before="120" w:after="120" w:line="276" w:lineRule="auto"/>
        <w:rPr>
          <w:rFonts w:ascii="Times New Roman" w:hAnsi="Times New Roman" w:cs="Times New Roman"/>
        </w:rPr>
      </w:pPr>
      <w:bookmarkStart w:id="2" w:name="_Toc228190581"/>
      <w:bookmarkStart w:id="3" w:name="_Toc231294136"/>
      <w:r w:rsidRPr="00506A83">
        <w:rPr>
          <w:rFonts w:ascii="Times New Roman" w:hAnsi="Times New Roman" w:cs="Times New Roman"/>
        </w:rPr>
        <w:lastRenderedPageBreak/>
        <w:t>Zahraniční rozvojová spolupráce České republiky</w:t>
      </w:r>
      <w:bookmarkEnd w:id="2"/>
      <w:bookmarkEnd w:id="3"/>
    </w:p>
    <w:p w14:paraId="7298B142" w14:textId="1B774497" w:rsidR="00F6243B" w:rsidRPr="00506A83" w:rsidRDefault="00F6243B" w:rsidP="00D026C1">
      <w:pPr>
        <w:pStyle w:val="Nadpis2"/>
      </w:pPr>
      <w:bookmarkStart w:id="4" w:name="_Toc228190582"/>
      <w:bookmarkStart w:id="5" w:name="_Toc231294137"/>
      <w:r w:rsidRPr="00506A83">
        <w:t>Rozvojové aktivity v gesci ČRA</w:t>
      </w:r>
      <w:bookmarkEnd w:id="4"/>
      <w:bookmarkEnd w:id="5"/>
      <w:r w:rsidRPr="00506A83">
        <w:t xml:space="preserve"> </w:t>
      </w:r>
    </w:p>
    <w:p w14:paraId="45E3EF6A" w14:textId="3E5B2C00" w:rsidR="00303DD8" w:rsidRPr="00506A83" w:rsidRDefault="00303DD8" w:rsidP="005177B3">
      <w:pPr>
        <w:pStyle w:val="Default"/>
        <w:spacing w:before="120" w:after="120" w:line="276" w:lineRule="auto"/>
        <w:jc w:val="both"/>
        <w:rPr>
          <w:color w:val="auto"/>
        </w:rPr>
      </w:pPr>
      <w:r w:rsidRPr="00506A83">
        <w:rPr>
          <w:color w:val="auto"/>
        </w:rPr>
        <w:t xml:space="preserve">Na realizaci dvoustranné </w:t>
      </w:r>
      <w:r w:rsidR="00742E40" w:rsidRPr="00506A83">
        <w:rPr>
          <w:color w:val="auto"/>
        </w:rPr>
        <w:t>ZRS</w:t>
      </w:r>
      <w:r w:rsidRPr="00506A83">
        <w:rPr>
          <w:color w:val="auto"/>
        </w:rPr>
        <w:t xml:space="preserve"> a delegované spolupráce s EU se výrazně podílí Česká rozvojová agentura (dále „ČRA“), implementační agentura MZV zřízená zákonem č. 151/2010 Sb.</w:t>
      </w:r>
    </w:p>
    <w:p w14:paraId="00FC1AE1" w14:textId="57DDC6E0" w:rsidR="00DC368E" w:rsidRPr="00506A83" w:rsidRDefault="00B21909" w:rsidP="005177B3">
      <w:pPr>
        <w:pStyle w:val="Default"/>
        <w:spacing w:before="120" w:after="120" w:line="276" w:lineRule="auto"/>
        <w:jc w:val="both"/>
        <w:rPr>
          <w:color w:val="auto"/>
        </w:rPr>
      </w:pPr>
      <w:r w:rsidRPr="00506A83">
        <w:rPr>
          <w:color w:val="auto"/>
        </w:rPr>
        <w:t>Podrobn</w:t>
      </w:r>
      <w:r w:rsidR="004C1A3B" w:rsidRPr="00506A83">
        <w:rPr>
          <w:color w:val="auto"/>
        </w:rPr>
        <w:t>é</w:t>
      </w:r>
      <w:r w:rsidRPr="00506A83">
        <w:rPr>
          <w:color w:val="auto"/>
        </w:rPr>
        <w:t xml:space="preserve"> informace o rozvojových aktivitách v gesci ČRA je předmětem </w:t>
      </w:r>
      <w:r w:rsidRPr="00506A83">
        <w:rPr>
          <w:b/>
          <w:bCs/>
          <w:color w:val="auto"/>
        </w:rPr>
        <w:t>Zprávy o činnosti a</w:t>
      </w:r>
      <w:r w:rsidR="004964CB" w:rsidRPr="00506A83">
        <w:rPr>
          <w:b/>
          <w:bCs/>
          <w:color w:val="auto"/>
        </w:rPr>
        <w:t> </w:t>
      </w:r>
      <w:r w:rsidRPr="00506A83">
        <w:rPr>
          <w:b/>
          <w:bCs/>
          <w:color w:val="auto"/>
        </w:rPr>
        <w:t xml:space="preserve">hospodaření ČRA v roce 2025 </w:t>
      </w:r>
      <w:r w:rsidRPr="00506A83">
        <w:rPr>
          <w:color w:val="auto"/>
        </w:rPr>
        <w:t xml:space="preserve">(Výroční zpráva 2025), kterou ČRA každoročně zpracovává na základě svého Statutu a předkládá zřizovateli, tj. Ministerstvu zahraničních věcí (viz </w:t>
      </w:r>
      <w:r w:rsidRPr="00506A83">
        <w:rPr>
          <w:rFonts w:eastAsiaTheme="majorEastAsia"/>
        </w:rPr>
        <w:t>www.czechaid.</w:t>
      </w:r>
      <w:r w:rsidR="00760B9D" w:rsidRPr="00506A83">
        <w:rPr>
          <w:rFonts w:eastAsiaTheme="majorEastAsia"/>
        </w:rPr>
        <w:t>gov.</w:t>
      </w:r>
      <w:r w:rsidRPr="00506A83">
        <w:rPr>
          <w:rFonts w:eastAsiaTheme="majorEastAsia"/>
        </w:rPr>
        <w:t>cz</w:t>
      </w:r>
      <w:r w:rsidR="00212803" w:rsidRPr="00506A83">
        <w:t>)</w:t>
      </w:r>
      <w:r w:rsidRPr="00506A83">
        <w:rPr>
          <w:color w:val="auto"/>
        </w:rPr>
        <w:t xml:space="preserve">. </w:t>
      </w:r>
    </w:p>
    <w:p w14:paraId="629FDC17" w14:textId="10017318" w:rsidR="00DC368E" w:rsidRPr="00506A83" w:rsidRDefault="00B21909" w:rsidP="005177B3">
      <w:pPr>
        <w:pStyle w:val="Default"/>
        <w:spacing w:before="120" w:after="120" w:line="276" w:lineRule="auto"/>
        <w:jc w:val="both"/>
        <w:rPr>
          <w:color w:val="auto"/>
        </w:rPr>
      </w:pPr>
      <w:r w:rsidRPr="00506A83">
        <w:rPr>
          <w:color w:val="auto"/>
        </w:rPr>
        <w:t xml:space="preserve">Těžištěm rozvojových aktivit v gesci ČRA jsou </w:t>
      </w:r>
      <w:r w:rsidRPr="00506A83">
        <w:rPr>
          <w:b/>
          <w:bCs/>
          <w:color w:val="auto"/>
        </w:rPr>
        <w:t xml:space="preserve">rozvojové projekty </w:t>
      </w:r>
      <w:r w:rsidRPr="00506A83">
        <w:rPr>
          <w:color w:val="auto"/>
        </w:rPr>
        <w:t xml:space="preserve">realizované </w:t>
      </w:r>
      <w:r w:rsidRPr="00506A83">
        <w:rPr>
          <w:b/>
          <w:bCs/>
          <w:color w:val="auto"/>
        </w:rPr>
        <w:t xml:space="preserve">v prioritních partnerských zemích dvoustranné </w:t>
      </w:r>
      <w:r w:rsidRPr="00506A83">
        <w:rPr>
          <w:color w:val="auto"/>
        </w:rPr>
        <w:t xml:space="preserve">ZRS. V souladu se Strategií ZRS ČR byly projekty v roce 2025 realizovány především </w:t>
      </w:r>
      <w:r w:rsidRPr="00506A83">
        <w:rPr>
          <w:b/>
          <w:bCs/>
          <w:color w:val="auto"/>
        </w:rPr>
        <w:t xml:space="preserve">v šesti prioritních zemích </w:t>
      </w:r>
      <w:r w:rsidRPr="00506A83">
        <w:rPr>
          <w:color w:val="auto"/>
        </w:rPr>
        <w:t xml:space="preserve">(Bosna a Hercegovina, Etiopie, Gruzie, Kambodža, Moldavsko a Zambie). Dvoustranná ZRS dále v roce 2025 směřovala také do </w:t>
      </w:r>
      <w:r w:rsidRPr="00506A83">
        <w:rPr>
          <w:b/>
          <w:bCs/>
          <w:color w:val="auto"/>
        </w:rPr>
        <w:t xml:space="preserve">specifické projektové </w:t>
      </w:r>
      <w:r w:rsidRPr="00506A83">
        <w:rPr>
          <w:color w:val="auto"/>
        </w:rPr>
        <w:t xml:space="preserve">země (Ukrajina). Některé Horizontální programy (např. Program rozvojového partnerství pro soukromý sektor či Trilaterální program) jsou otevřené i pro další rozvojové země. </w:t>
      </w:r>
      <w:r w:rsidRPr="00506A83">
        <w:rPr>
          <w:rFonts w:eastAsia="Georgia"/>
        </w:rPr>
        <w:t xml:space="preserve">V roce </w:t>
      </w:r>
      <w:r w:rsidRPr="00506A83">
        <w:rPr>
          <w:color w:val="auto"/>
        </w:rPr>
        <w:t>2025 byly takto podpořeny např</w:t>
      </w:r>
      <w:r w:rsidR="004C1A3B" w:rsidRPr="00506A83">
        <w:rPr>
          <w:color w:val="auto"/>
        </w:rPr>
        <w:t>íklad</w:t>
      </w:r>
      <w:r w:rsidRPr="00506A83">
        <w:rPr>
          <w:color w:val="auto"/>
        </w:rPr>
        <w:t xml:space="preserve"> projekty v Ghaně, Keni, </w:t>
      </w:r>
      <w:r w:rsidR="00742E40" w:rsidRPr="00506A83">
        <w:rPr>
          <w:color w:val="auto"/>
        </w:rPr>
        <w:t xml:space="preserve">Peru či </w:t>
      </w:r>
      <w:r w:rsidRPr="00506A83">
        <w:rPr>
          <w:color w:val="auto"/>
        </w:rPr>
        <w:t>Sýrii.</w:t>
      </w:r>
    </w:p>
    <w:p w14:paraId="4E7C11ED" w14:textId="6F9FAF94" w:rsidR="00265A82" w:rsidRPr="00506A83" w:rsidRDefault="00B21909" w:rsidP="005177B3">
      <w:pPr>
        <w:spacing w:before="120" w:after="120" w:line="276" w:lineRule="auto"/>
        <w:jc w:val="both"/>
      </w:pPr>
      <w:r w:rsidRPr="00506A83">
        <w:t>Na realizaci ZRS ČR v gesci ČRA byl v souladu s UV 471/2024 stanoven rozpočet ve výši 4</w:t>
      </w:r>
      <w:r w:rsidR="0024425F" w:rsidRPr="00506A83">
        <w:t>0</w:t>
      </w:r>
      <w:r w:rsidRPr="00506A83">
        <w:t>5</w:t>
      </w:r>
      <w:r w:rsidR="004964CB" w:rsidRPr="00506A83">
        <w:t> </w:t>
      </w:r>
      <w:r w:rsidR="004942F6" w:rsidRPr="00506A83">
        <w:t>8</w:t>
      </w:r>
      <w:r w:rsidRPr="00506A83">
        <w:t xml:space="preserve">66 005 Kč. </w:t>
      </w:r>
    </w:p>
    <w:p w14:paraId="4A932722" w14:textId="32E8CFB1" w:rsidR="00265A82" w:rsidRPr="00506A83" w:rsidRDefault="00265A82" w:rsidP="005177B3">
      <w:pPr>
        <w:spacing w:before="120" w:after="120" w:line="276" w:lineRule="auto"/>
        <w:jc w:val="both"/>
      </w:pPr>
      <w:r w:rsidRPr="00506A83">
        <w:t xml:space="preserve">Skutečné </w:t>
      </w:r>
      <w:r w:rsidR="0024583C" w:rsidRPr="00506A83">
        <w:t xml:space="preserve">čerpání </w:t>
      </w:r>
      <w:r w:rsidR="00742E40" w:rsidRPr="00506A83">
        <w:t xml:space="preserve">ČRA </w:t>
      </w:r>
      <w:r w:rsidRPr="00506A83">
        <w:t>ze státního rozpočtu</w:t>
      </w:r>
      <w:r w:rsidR="00A63428" w:rsidRPr="00506A83">
        <w:t xml:space="preserve"> byly v roce 2025 v celkové výši 3</w:t>
      </w:r>
      <w:r w:rsidR="0024583C" w:rsidRPr="00506A83">
        <w:t>52 642 994, 52 </w:t>
      </w:r>
      <w:r w:rsidR="00A63428" w:rsidRPr="00506A83">
        <w:t>Kč</w:t>
      </w:r>
      <w:r w:rsidRPr="00506A83">
        <w:t xml:space="preserve"> </w:t>
      </w:r>
      <w:r w:rsidR="00787D12" w:rsidRPr="00506A83">
        <w:t xml:space="preserve">a </w:t>
      </w:r>
      <w:r w:rsidR="008524CB" w:rsidRPr="00506A83">
        <w:t xml:space="preserve">z </w:t>
      </w:r>
      <w:r w:rsidR="00787D12" w:rsidRPr="00506A83">
        <w:t xml:space="preserve">dalších zdrojů </w:t>
      </w:r>
      <w:r w:rsidR="0024583C" w:rsidRPr="00506A83">
        <w:t xml:space="preserve">(delegovaná spolupráce) </w:t>
      </w:r>
      <w:r w:rsidR="008524CB" w:rsidRPr="00506A83">
        <w:t>ve</w:t>
      </w:r>
      <w:r w:rsidRPr="00506A83">
        <w:t xml:space="preserve"> výši</w:t>
      </w:r>
      <w:r w:rsidR="008524CB" w:rsidRPr="00506A83">
        <w:t xml:space="preserve"> 74 601 923,55</w:t>
      </w:r>
      <w:r w:rsidR="00761610" w:rsidRPr="00506A83">
        <w:t xml:space="preserve"> Kč</w:t>
      </w:r>
      <w:r w:rsidR="006A5CC1" w:rsidRPr="00506A83">
        <w:t>, celkově tedy ve výši</w:t>
      </w:r>
      <w:r w:rsidRPr="00506A83">
        <w:t xml:space="preserve"> </w:t>
      </w:r>
      <w:r w:rsidRPr="00506A83">
        <w:rPr>
          <w:b/>
          <w:bCs/>
        </w:rPr>
        <w:t>4</w:t>
      </w:r>
      <w:r w:rsidR="0024583C" w:rsidRPr="00506A83">
        <w:rPr>
          <w:b/>
          <w:bCs/>
        </w:rPr>
        <w:t xml:space="preserve">27 244 918,07 </w:t>
      </w:r>
      <w:r w:rsidRPr="00506A83">
        <w:rPr>
          <w:b/>
          <w:bCs/>
        </w:rPr>
        <w:t>Kč</w:t>
      </w:r>
      <w:r w:rsidRPr="00506A83">
        <w:t>. Do celkové částky jsou započítány následující aktivity:</w:t>
      </w:r>
    </w:p>
    <w:p w14:paraId="0A512B35" w14:textId="77777777" w:rsidR="00265A82" w:rsidRPr="00506A83" w:rsidRDefault="00265A82" w:rsidP="005177B3">
      <w:pPr>
        <w:pStyle w:val="Odstavecseseznamem"/>
        <w:numPr>
          <w:ilvl w:val="0"/>
          <w:numId w:val="27"/>
        </w:numPr>
        <w:spacing w:before="120" w:after="120" w:line="276" w:lineRule="auto"/>
        <w:contextualSpacing/>
        <w:jc w:val="both"/>
        <w:rPr>
          <w:lang w:val="cs-CZ"/>
        </w:rPr>
      </w:pPr>
      <w:r w:rsidRPr="00506A83">
        <w:rPr>
          <w:lang w:val="cs-CZ"/>
        </w:rPr>
        <w:t>Bilaterální projekty:</w:t>
      </w:r>
    </w:p>
    <w:p w14:paraId="0217568E" w14:textId="77777777" w:rsidR="005177B3" w:rsidRPr="00506A83" w:rsidRDefault="00265A82" w:rsidP="005177B3">
      <w:pPr>
        <w:pStyle w:val="Odstavecseseznamem"/>
        <w:numPr>
          <w:ilvl w:val="1"/>
          <w:numId w:val="27"/>
        </w:numPr>
        <w:spacing w:before="120" w:after="120" w:line="276" w:lineRule="auto"/>
        <w:contextualSpacing/>
        <w:jc w:val="both"/>
        <w:rPr>
          <w:lang w:val="cs-CZ"/>
        </w:rPr>
      </w:pPr>
      <w:r w:rsidRPr="00506A83">
        <w:rPr>
          <w:lang w:val="cs-CZ"/>
        </w:rPr>
        <w:t>v prioritních zemích</w:t>
      </w:r>
    </w:p>
    <w:p w14:paraId="1C0FFEE7" w14:textId="718478B3" w:rsidR="00265A82" w:rsidRPr="00506A83" w:rsidRDefault="00742E40" w:rsidP="005177B3">
      <w:pPr>
        <w:pStyle w:val="Odstavecseseznamem"/>
        <w:numPr>
          <w:ilvl w:val="1"/>
          <w:numId w:val="27"/>
        </w:numPr>
        <w:spacing w:before="120" w:after="120" w:line="276" w:lineRule="auto"/>
        <w:contextualSpacing/>
        <w:jc w:val="both"/>
        <w:rPr>
          <w:lang w:val="cs-CZ"/>
        </w:rPr>
      </w:pPr>
      <w:r w:rsidRPr="00506A83">
        <w:rPr>
          <w:lang w:val="cs-CZ"/>
        </w:rPr>
        <w:t>ve s</w:t>
      </w:r>
      <w:r w:rsidR="00265A82" w:rsidRPr="00506A83">
        <w:rPr>
          <w:lang w:val="cs-CZ"/>
        </w:rPr>
        <w:t>pecifické zem</w:t>
      </w:r>
      <w:r w:rsidRPr="00506A83">
        <w:rPr>
          <w:lang w:val="cs-CZ"/>
        </w:rPr>
        <w:t>i</w:t>
      </w:r>
      <w:r w:rsidR="00265A82" w:rsidRPr="00506A83">
        <w:rPr>
          <w:lang w:val="cs-CZ"/>
        </w:rPr>
        <w:t xml:space="preserve"> – Ukrajina</w:t>
      </w:r>
    </w:p>
    <w:p w14:paraId="2CB2AB7A" w14:textId="77777777" w:rsidR="00265A82" w:rsidRPr="00506A83" w:rsidRDefault="00265A82" w:rsidP="005177B3">
      <w:pPr>
        <w:pStyle w:val="Odstavecseseznamem"/>
        <w:numPr>
          <w:ilvl w:val="0"/>
          <w:numId w:val="27"/>
        </w:numPr>
        <w:spacing w:before="120" w:after="120" w:line="276" w:lineRule="auto"/>
        <w:contextualSpacing/>
        <w:jc w:val="both"/>
        <w:rPr>
          <w:lang w:val="cs-CZ"/>
        </w:rPr>
      </w:pPr>
      <w:r w:rsidRPr="00506A83">
        <w:rPr>
          <w:lang w:val="cs-CZ"/>
        </w:rPr>
        <w:t>Další rozvojové aktivity v gesci ČRA:</w:t>
      </w:r>
    </w:p>
    <w:p w14:paraId="5D692CB4" w14:textId="0133D084" w:rsidR="00265A82" w:rsidRPr="00506A83" w:rsidRDefault="00742E40" w:rsidP="005177B3">
      <w:pPr>
        <w:pStyle w:val="Odstavecseseznamem"/>
        <w:numPr>
          <w:ilvl w:val="1"/>
          <w:numId w:val="27"/>
        </w:numPr>
        <w:spacing w:before="120" w:after="120" w:line="276" w:lineRule="auto"/>
        <w:contextualSpacing/>
        <w:jc w:val="both"/>
        <w:rPr>
          <w:lang w:val="cs-CZ"/>
        </w:rPr>
      </w:pPr>
      <w:r w:rsidRPr="00506A83">
        <w:rPr>
          <w:lang w:val="cs-CZ"/>
        </w:rPr>
        <w:t>d</w:t>
      </w:r>
      <w:r w:rsidR="00265A82" w:rsidRPr="00506A83">
        <w:rPr>
          <w:lang w:val="cs-CZ"/>
        </w:rPr>
        <w:t xml:space="preserve">otační programy pro NNO, kraje a vysoké školy, vč. </w:t>
      </w:r>
      <w:r w:rsidRPr="00506A83">
        <w:rPr>
          <w:lang w:val="cs-CZ"/>
        </w:rPr>
        <w:t>t</w:t>
      </w:r>
      <w:r w:rsidR="00265A82" w:rsidRPr="00506A83">
        <w:rPr>
          <w:lang w:val="cs-CZ"/>
        </w:rPr>
        <w:t>rojstranných projektů</w:t>
      </w:r>
    </w:p>
    <w:p w14:paraId="26E4D6E0" w14:textId="3BD317F1" w:rsidR="00265A82" w:rsidRPr="00506A83" w:rsidRDefault="00742E40" w:rsidP="005177B3">
      <w:pPr>
        <w:pStyle w:val="Odstavecseseznamem"/>
        <w:numPr>
          <w:ilvl w:val="1"/>
          <w:numId w:val="27"/>
        </w:numPr>
        <w:spacing w:before="120" w:after="120" w:line="276" w:lineRule="auto"/>
        <w:contextualSpacing/>
        <w:jc w:val="both"/>
        <w:rPr>
          <w:lang w:val="cs-CZ"/>
        </w:rPr>
      </w:pPr>
      <w:r w:rsidRPr="00506A83">
        <w:rPr>
          <w:lang w:val="cs-CZ"/>
        </w:rPr>
        <w:t>p</w:t>
      </w:r>
      <w:r w:rsidR="00265A82" w:rsidRPr="00506A83">
        <w:rPr>
          <w:lang w:val="cs-CZ"/>
        </w:rPr>
        <w:t>odpora zapojení soukromého sektoru do ZRS (B2B)</w:t>
      </w:r>
    </w:p>
    <w:p w14:paraId="34140EEA" w14:textId="77777777" w:rsidR="00265A82" w:rsidRPr="00506A83" w:rsidRDefault="00265A82" w:rsidP="005177B3">
      <w:pPr>
        <w:pStyle w:val="Odstavecseseznamem"/>
        <w:numPr>
          <w:ilvl w:val="0"/>
          <w:numId w:val="27"/>
        </w:numPr>
        <w:spacing w:before="120" w:after="120" w:line="276" w:lineRule="auto"/>
        <w:contextualSpacing/>
        <w:jc w:val="both"/>
        <w:rPr>
          <w:lang w:val="cs-CZ"/>
        </w:rPr>
      </w:pPr>
      <w:r w:rsidRPr="00506A83">
        <w:rPr>
          <w:lang w:val="cs-CZ"/>
        </w:rPr>
        <w:t>Administrativní náklady</w:t>
      </w:r>
    </w:p>
    <w:p w14:paraId="008D020D" w14:textId="3AF9DB72" w:rsidR="00265A82" w:rsidRPr="00506A83" w:rsidRDefault="00265A82" w:rsidP="005177B3">
      <w:pPr>
        <w:pStyle w:val="Odstavecseseznamem"/>
        <w:numPr>
          <w:ilvl w:val="0"/>
          <w:numId w:val="27"/>
        </w:numPr>
        <w:spacing w:before="120" w:after="120" w:line="276" w:lineRule="auto"/>
        <w:contextualSpacing/>
        <w:jc w:val="both"/>
        <w:rPr>
          <w:lang w:val="cs-CZ"/>
        </w:rPr>
      </w:pPr>
      <w:r w:rsidRPr="00506A83">
        <w:rPr>
          <w:lang w:val="cs-CZ"/>
        </w:rPr>
        <w:t>Prostředk</w:t>
      </w:r>
      <w:r w:rsidR="00742E40" w:rsidRPr="00506A83">
        <w:rPr>
          <w:lang w:val="cs-CZ"/>
        </w:rPr>
        <w:t>y</w:t>
      </w:r>
      <w:r w:rsidRPr="00506A83">
        <w:rPr>
          <w:lang w:val="cs-CZ"/>
        </w:rPr>
        <w:t xml:space="preserve"> z Evropské komise (dále „EK“) v rámci </w:t>
      </w:r>
      <w:r w:rsidR="00742E40" w:rsidRPr="00506A83">
        <w:rPr>
          <w:b/>
          <w:bCs/>
          <w:lang w:val="cs-CZ"/>
        </w:rPr>
        <w:t>d</w:t>
      </w:r>
      <w:r w:rsidRPr="00506A83">
        <w:rPr>
          <w:b/>
          <w:bCs/>
          <w:lang w:val="cs-CZ"/>
        </w:rPr>
        <w:t>elegované spolupráce</w:t>
      </w:r>
      <w:r w:rsidRPr="00506A83">
        <w:rPr>
          <w:lang w:val="cs-CZ"/>
        </w:rPr>
        <w:t xml:space="preserve"> (dále „DS“) </w:t>
      </w:r>
    </w:p>
    <w:p w14:paraId="21780A82" w14:textId="10FBAD66" w:rsidR="00265A82" w:rsidRPr="00506A83" w:rsidRDefault="00265A82" w:rsidP="005177B3">
      <w:pPr>
        <w:spacing w:before="120" w:after="120" w:line="276" w:lineRule="auto"/>
        <w:contextualSpacing/>
        <w:jc w:val="both"/>
        <w:rPr>
          <w:b/>
        </w:rPr>
      </w:pPr>
      <w:r w:rsidRPr="00506A83">
        <w:rPr>
          <w:b/>
        </w:rPr>
        <w:t xml:space="preserve">Za rok 2025 </w:t>
      </w:r>
      <w:r w:rsidR="00742E40" w:rsidRPr="00506A83">
        <w:rPr>
          <w:b/>
        </w:rPr>
        <w:t>ČRA</w:t>
      </w:r>
      <w:r w:rsidRPr="00506A83">
        <w:rPr>
          <w:b/>
        </w:rPr>
        <w:t xml:space="preserve"> realizoval</w:t>
      </w:r>
      <w:r w:rsidR="00742E40" w:rsidRPr="00506A83">
        <w:rPr>
          <w:b/>
        </w:rPr>
        <w:t>a</w:t>
      </w:r>
      <w:r w:rsidRPr="00506A83">
        <w:rPr>
          <w:b/>
        </w:rPr>
        <w:t xml:space="preserve"> celkem 105 projektů. </w:t>
      </w:r>
    </w:p>
    <w:p w14:paraId="1A2E90FA" w14:textId="138BAE10" w:rsidR="00265A82" w:rsidRPr="00506A83" w:rsidRDefault="00265A82" w:rsidP="005177B3">
      <w:pPr>
        <w:spacing w:before="120" w:after="120" w:line="276" w:lineRule="auto"/>
        <w:jc w:val="both"/>
      </w:pPr>
      <w:r w:rsidRPr="00506A83">
        <w:t>ČRA v souladu s Metodikou ZRS prováděl</w:t>
      </w:r>
      <w:r w:rsidR="00742E40" w:rsidRPr="00506A83">
        <w:t>a</w:t>
      </w:r>
      <w:r w:rsidRPr="00506A83">
        <w:t xml:space="preserve"> průběžný monitoring zaměřený na výsledky všech svých aktivit v součinnosti se ZÚ v příslušné zemi minimálně dvakrát ročně. Výsledky průběžně prezentoval</w:t>
      </w:r>
      <w:r w:rsidR="00742E40" w:rsidRPr="00506A83">
        <w:t>a</w:t>
      </w:r>
      <w:r w:rsidRPr="00506A83">
        <w:t xml:space="preserve"> na webu a sítích ČRA i MZV. Větší a dlouhodobější aktivity jsou také podrobovány nezávislé externí evaluaci, kterou koordinuje MZV (viz 2.2.</w:t>
      </w:r>
      <w:r w:rsidR="00AC6122" w:rsidRPr="00506A83">
        <w:t>7</w:t>
      </w:r>
      <w:r w:rsidRPr="00506A83">
        <w:t>).</w:t>
      </w:r>
    </w:p>
    <w:p w14:paraId="50ED5EEE" w14:textId="7E7A5F75" w:rsidR="00265A82" w:rsidRPr="00506A83" w:rsidRDefault="00265A82" w:rsidP="005177B3">
      <w:pPr>
        <w:spacing w:before="120" w:after="120" w:line="276" w:lineRule="auto"/>
        <w:jc w:val="both"/>
      </w:pPr>
      <w:r w:rsidRPr="00506A83">
        <w:lastRenderedPageBreak/>
        <w:t>Mezi hlavní výsledky českých realizací patří zlepšení přístupu místního obyvatelstva k vodě, sanitaci, odbornému vzdělávání</w:t>
      </w:r>
      <w:r w:rsidR="003165C0" w:rsidRPr="00506A83">
        <w:t xml:space="preserve"> a</w:t>
      </w:r>
      <w:r w:rsidRPr="00506A83">
        <w:t xml:space="preserve"> </w:t>
      </w:r>
      <w:r w:rsidR="004C1A3B" w:rsidRPr="00506A83">
        <w:t xml:space="preserve">k </w:t>
      </w:r>
      <w:r w:rsidRPr="00506A83">
        <w:t>trh</w:t>
      </w:r>
      <w:r w:rsidR="004C1A3B" w:rsidRPr="00506A83">
        <w:t>ům</w:t>
      </w:r>
      <w:r w:rsidRPr="00506A83">
        <w:t xml:space="preserve"> se zemědělskými výrobky. Další skupinou výsledků je vybudování kapacit veřejných úřadů např. pro fytosanitární kontrolu </w:t>
      </w:r>
      <w:r w:rsidR="00742E40" w:rsidRPr="00506A83">
        <w:t xml:space="preserve">potřebnou pro export zemědělské produkce i domácí bezpečnost potravin </w:t>
      </w:r>
      <w:r w:rsidRPr="00506A83">
        <w:t>a také změna či doplnění příslušné legislativy</w:t>
      </w:r>
      <w:r w:rsidR="004C1A3B" w:rsidRPr="00506A83">
        <w:t>, které zlepšuje</w:t>
      </w:r>
      <w:r w:rsidR="00742E40" w:rsidRPr="00506A83">
        <w:t xml:space="preserve"> prostředí pro navazující ekonomické aktivity</w:t>
      </w:r>
      <w:r w:rsidRPr="00506A83">
        <w:t>. Častým výsledkem je navázání dlouhodobého partnerství na úrovni veřejných úřadů, univerzit, neziskových organizací i firem a získání substantivního financování z jiných zdrojů, včetně delegované spolupráce.</w:t>
      </w:r>
    </w:p>
    <w:p w14:paraId="1CCCBE5A" w14:textId="77777777" w:rsidR="00265A82" w:rsidRPr="00506A83" w:rsidRDefault="00265A82" w:rsidP="005177B3">
      <w:pPr>
        <w:spacing w:before="120" w:after="120" w:line="276" w:lineRule="auto"/>
        <w:jc w:val="both"/>
      </w:pPr>
      <w:r w:rsidRPr="00506A83">
        <w:t>Podrobný přehled čerpání ve vztahu k Plánu ZRS na rok 2025 je uveden v příloze č. 1; výčet jednotlivých projektů a dalších aktivit v gesci ČRA obsahuje příloha č. 2.</w:t>
      </w:r>
    </w:p>
    <w:p w14:paraId="2BBACC63" w14:textId="77777777" w:rsidR="005177B3" w:rsidRPr="00506A83" w:rsidRDefault="005177B3" w:rsidP="005177B3">
      <w:pPr>
        <w:spacing w:before="120" w:after="120" w:line="276" w:lineRule="auto"/>
        <w:jc w:val="both"/>
      </w:pPr>
    </w:p>
    <w:p w14:paraId="173D436A" w14:textId="718638FB" w:rsidR="00B21909" w:rsidRPr="00506A83" w:rsidRDefault="00B21909" w:rsidP="0012521C">
      <w:pPr>
        <w:pStyle w:val="Nadpis3"/>
        <w:numPr>
          <w:ilvl w:val="2"/>
          <w:numId w:val="37"/>
        </w:numPr>
        <w:spacing w:before="120" w:after="120" w:line="276" w:lineRule="auto"/>
        <w:rPr>
          <w:rFonts w:ascii="Times New Roman" w:eastAsia="DengXian Light" w:hAnsi="Times New Roman" w:cs="Times New Roman"/>
        </w:rPr>
      </w:pPr>
      <w:bookmarkStart w:id="6" w:name="_Toc228190583"/>
      <w:bookmarkStart w:id="7" w:name="_Toc231294138"/>
      <w:r w:rsidRPr="00506A83">
        <w:rPr>
          <w:rFonts w:ascii="Times New Roman" w:eastAsia="DengXian Light" w:hAnsi="Times New Roman" w:cs="Times New Roman"/>
        </w:rPr>
        <w:t>Rozvojové aktivity ČRA dle zeměpisného zaměření</w:t>
      </w:r>
      <w:bookmarkEnd w:id="6"/>
      <w:bookmarkEnd w:id="7"/>
      <w:r w:rsidRPr="00506A83">
        <w:rPr>
          <w:rFonts w:ascii="Times New Roman" w:eastAsia="DengXian Light" w:hAnsi="Times New Roman" w:cs="Times New Roman"/>
        </w:rPr>
        <w:t xml:space="preserve"> </w:t>
      </w:r>
    </w:p>
    <w:p w14:paraId="252F3353" w14:textId="7566DFA8" w:rsidR="00265A82" w:rsidRPr="00506A83" w:rsidRDefault="00265A82" w:rsidP="005177B3">
      <w:pPr>
        <w:spacing w:before="120" w:after="120" w:line="276" w:lineRule="auto"/>
        <w:jc w:val="both"/>
        <w:rPr>
          <w:rFonts w:eastAsia="DengXian Light"/>
        </w:rPr>
      </w:pPr>
      <w:r w:rsidRPr="00506A83">
        <w:rPr>
          <w:rFonts w:eastAsia="DengXian Light"/>
        </w:rPr>
        <w:t xml:space="preserve">ČRA v roce 2025 realizovala své aktivity z geografického hlediska především v šesti prioritních zemích dvoustranné </w:t>
      </w:r>
      <w:r w:rsidR="00742E40" w:rsidRPr="00506A83">
        <w:rPr>
          <w:rFonts w:eastAsia="DengXian Light"/>
        </w:rPr>
        <w:t xml:space="preserve">ZRS </w:t>
      </w:r>
      <w:r w:rsidRPr="00506A83">
        <w:rPr>
          <w:rFonts w:eastAsia="DengXian Light"/>
        </w:rPr>
        <w:t>Č</w:t>
      </w:r>
      <w:r w:rsidR="00742E40" w:rsidRPr="00506A83">
        <w:rPr>
          <w:rFonts w:eastAsia="DengXian Light"/>
        </w:rPr>
        <w:t>R</w:t>
      </w:r>
      <w:r w:rsidRPr="00506A83">
        <w:rPr>
          <w:rFonts w:eastAsia="DengXian Light"/>
        </w:rPr>
        <w:t xml:space="preserve">, jimiž jsou Bosna a Hercegovina, Etiopie, Gruzie, Kambodža, Moldavsko a Zambie, a dále ve specifické zemi Ukrajině. V jednotlivých zemích byly realizovány projekty reagující na místní rozvojové potřeby a současně navazující na dlouhodobé programy spolupráce a tematické priority stanovené v příslušných programech ZRS. Vedle bilaterálních projektů zahrnovala spolupráce rovněž aktivity realizované prostřednictvím delegované spolupráce, trojstranných projektů, programu </w:t>
      </w:r>
      <w:r w:rsidR="00742E40" w:rsidRPr="00506A83">
        <w:rPr>
          <w:rFonts w:eastAsia="DengXian Light"/>
        </w:rPr>
        <w:t>rozvojov</w:t>
      </w:r>
      <w:r w:rsidR="00BD1EAB" w:rsidRPr="00506A83">
        <w:rPr>
          <w:rFonts w:eastAsia="DengXian Light"/>
        </w:rPr>
        <w:t>ého</w:t>
      </w:r>
      <w:r w:rsidR="00742E40" w:rsidRPr="00506A83">
        <w:rPr>
          <w:rFonts w:eastAsia="DengXian Light"/>
        </w:rPr>
        <w:t xml:space="preserve"> partnerství</w:t>
      </w:r>
      <w:r w:rsidR="00BD1EAB" w:rsidRPr="00506A83">
        <w:rPr>
          <w:rFonts w:eastAsia="DengXian Light"/>
        </w:rPr>
        <w:t xml:space="preserve"> pro soukromý sektor</w:t>
      </w:r>
      <w:r w:rsidR="00742E40" w:rsidRPr="00506A83">
        <w:rPr>
          <w:rFonts w:eastAsia="DengXian Light"/>
        </w:rPr>
        <w:t xml:space="preserve"> (</w:t>
      </w:r>
      <w:r w:rsidRPr="00506A83">
        <w:rPr>
          <w:rFonts w:eastAsia="DengXian Light"/>
        </w:rPr>
        <w:t>B2B</w:t>
      </w:r>
      <w:r w:rsidR="00742E40" w:rsidRPr="00506A83">
        <w:rPr>
          <w:rFonts w:eastAsia="DengXian Light"/>
        </w:rPr>
        <w:t>)</w:t>
      </w:r>
      <w:r w:rsidRPr="00506A83">
        <w:rPr>
          <w:rFonts w:eastAsia="DengXian Light"/>
        </w:rPr>
        <w:t xml:space="preserve"> a v případě Ukrajiny také v rámci Programu humanitární, stabilizační, rekonstrukční a hospodářské asistence</w:t>
      </w:r>
      <w:r w:rsidR="00742E40" w:rsidRPr="00506A83">
        <w:rPr>
          <w:rFonts w:eastAsia="DengXian Light"/>
        </w:rPr>
        <w:t xml:space="preserve"> 2023-2025</w:t>
      </w:r>
      <w:r w:rsidRPr="00506A83">
        <w:rPr>
          <w:rFonts w:eastAsia="DengXian Light"/>
        </w:rPr>
        <w:t>.</w:t>
      </w:r>
    </w:p>
    <w:p w14:paraId="42A84143" w14:textId="2F2C1FBD" w:rsidR="00265A82" w:rsidRPr="00506A83" w:rsidRDefault="00265A82" w:rsidP="005177B3">
      <w:pPr>
        <w:spacing w:before="120" w:after="120" w:line="276" w:lineRule="auto"/>
        <w:contextualSpacing/>
        <w:jc w:val="both"/>
        <w:rPr>
          <w:rFonts w:eastAsia="Georgia"/>
          <w:b/>
          <w:bCs/>
          <w:sz w:val="28"/>
          <w:szCs w:val="28"/>
        </w:rPr>
      </w:pPr>
      <w:r w:rsidRPr="00506A83">
        <w:rPr>
          <w:rFonts w:eastAsia="Georgia"/>
          <w:b/>
          <w:bCs/>
          <w:sz w:val="28"/>
          <w:szCs w:val="28"/>
        </w:rPr>
        <w:t xml:space="preserve">Bosna a Hercegovina  </w:t>
      </w:r>
    </w:p>
    <w:tbl>
      <w:tblPr>
        <w:tblStyle w:val="Mkatabulky"/>
        <w:tblW w:w="9322" w:type="dxa"/>
        <w:tblLook w:val="04A0" w:firstRow="1" w:lastRow="0" w:firstColumn="1" w:lastColumn="0" w:noHBand="0" w:noVBand="1"/>
      </w:tblPr>
      <w:tblGrid>
        <w:gridCol w:w="2802"/>
        <w:gridCol w:w="6520"/>
      </w:tblGrid>
      <w:tr w:rsidR="00265A82" w:rsidRPr="00506A83" w14:paraId="5C6E9DF3" w14:textId="77777777" w:rsidTr="5C8FC553">
        <w:trPr>
          <w:trHeight w:val="2095"/>
        </w:trPr>
        <w:tc>
          <w:tcPr>
            <w:tcW w:w="2802" w:type="dxa"/>
            <w:vMerge w:val="restart"/>
            <w:shd w:val="clear" w:color="auto" w:fill="C1E4F5" w:themeFill="accent1" w:themeFillTint="33"/>
          </w:tcPr>
          <w:p w14:paraId="4BDC8154" w14:textId="77777777" w:rsidR="00265A82" w:rsidRPr="00506A83" w:rsidRDefault="00265A82" w:rsidP="005177B3">
            <w:pPr>
              <w:spacing w:before="120" w:after="120" w:line="276" w:lineRule="auto"/>
              <w:rPr>
                <w:rFonts w:ascii="Times New Roman" w:hAnsi="Times New Roman"/>
                <w:b/>
                <w:bCs/>
              </w:rPr>
            </w:pPr>
            <w:r w:rsidRPr="00506A83">
              <w:rPr>
                <w:rFonts w:ascii="Times New Roman" w:hAnsi="Times New Roman"/>
                <w:b/>
                <w:bCs/>
              </w:rPr>
              <w:t>Bilaterální projekty</w:t>
            </w:r>
          </w:p>
          <w:p w14:paraId="655A531F" w14:textId="77777777" w:rsidR="00265A82" w:rsidRPr="00506A83" w:rsidRDefault="00265A82" w:rsidP="005177B3">
            <w:pPr>
              <w:spacing w:before="120" w:after="120" w:line="276" w:lineRule="auto"/>
              <w:rPr>
                <w:rFonts w:ascii="Times New Roman" w:hAnsi="Times New Roman"/>
              </w:rPr>
            </w:pPr>
          </w:p>
          <w:p w14:paraId="5533C3C5" w14:textId="77777777" w:rsidR="00265A82" w:rsidRPr="00506A83" w:rsidRDefault="00265A82" w:rsidP="005177B3">
            <w:pPr>
              <w:spacing w:before="120" w:after="120" w:line="276" w:lineRule="auto"/>
              <w:rPr>
                <w:rFonts w:ascii="Times New Roman" w:eastAsia="Georgia" w:hAnsi="Times New Roman"/>
              </w:rPr>
            </w:pPr>
          </w:p>
        </w:tc>
        <w:tc>
          <w:tcPr>
            <w:tcW w:w="6520" w:type="dxa"/>
          </w:tcPr>
          <w:p w14:paraId="3DEA51E8" w14:textId="77777777" w:rsidR="00265A82" w:rsidRPr="00506A83" w:rsidRDefault="00265A82" w:rsidP="005177B3">
            <w:pPr>
              <w:spacing w:before="120" w:after="120" w:line="276" w:lineRule="auto"/>
              <w:rPr>
                <w:rFonts w:ascii="Times New Roman" w:hAnsi="Times New Roman"/>
              </w:rPr>
            </w:pPr>
            <w:r w:rsidRPr="00506A83">
              <w:rPr>
                <w:rFonts w:ascii="Times New Roman" w:hAnsi="Times New Roman"/>
                <w:b/>
                <w:bCs/>
              </w:rPr>
              <w:t>Celková částka:</w:t>
            </w:r>
            <w:r w:rsidRPr="00506A83">
              <w:rPr>
                <w:rFonts w:ascii="Times New Roman" w:hAnsi="Times New Roman"/>
              </w:rPr>
              <w:t xml:space="preserve"> 54 962 387,44 Kč</w:t>
            </w:r>
            <w:r w:rsidRPr="00506A83">
              <w:rPr>
                <w:rFonts w:ascii="Times New Roman" w:hAnsi="Times New Roman"/>
                <w:b/>
                <w:bCs/>
              </w:rPr>
              <w:t xml:space="preserve">, </w:t>
            </w:r>
            <w:r w:rsidRPr="00506A83">
              <w:rPr>
                <w:rFonts w:ascii="Times New Roman" w:hAnsi="Times New Roman"/>
              </w:rPr>
              <w:t>z toho:</w:t>
            </w:r>
          </w:p>
          <w:p w14:paraId="6154F5FD" w14:textId="77777777" w:rsidR="00265A82" w:rsidRPr="00506A83" w:rsidRDefault="00265A82" w:rsidP="005177B3">
            <w:pPr>
              <w:pStyle w:val="Odstavecseseznamem"/>
              <w:numPr>
                <w:ilvl w:val="0"/>
                <w:numId w:val="29"/>
              </w:numPr>
              <w:spacing w:before="120" w:after="120" w:line="276" w:lineRule="auto"/>
              <w:jc w:val="both"/>
              <w:rPr>
                <w:rFonts w:ascii="Times New Roman" w:hAnsi="Times New Roman"/>
                <w:lang w:val="cs-CZ"/>
              </w:rPr>
            </w:pPr>
            <w:r w:rsidRPr="00506A83">
              <w:rPr>
                <w:rFonts w:ascii="Times New Roman" w:hAnsi="Times New Roman"/>
                <w:lang w:val="cs-CZ"/>
              </w:rPr>
              <w:t>43,8 mil.</w:t>
            </w:r>
            <w:r w:rsidRPr="00506A83">
              <w:rPr>
                <w:rFonts w:ascii="Times New Roman" w:hAnsi="Times New Roman"/>
                <w:b/>
                <w:bCs/>
                <w:lang w:val="cs-CZ"/>
              </w:rPr>
              <w:t xml:space="preserve"> v</w:t>
            </w:r>
            <w:r w:rsidRPr="00506A83">
              <w:rPr>
                <w:rFonts w:ascii="Times New Roman" w:hAnsi="Times New Roman"/>
                <w:lang w:val="cs-CZ"/>
              </w:rPr>
              <w:t xml:space="preserve"> rámci bilaterálních projektů (částka je včetně 164 tis. Kč v rámci DS se </w:t>
            </w:r>
            <w:r w:rsidRPr="00506A83">
              <w:rPr>
                <w:rFonts w:ascii="Times New Roman" w:hAnsi="Times New Roman"/>
                <w:b/>
                <w:bCs/>
                <w:lang w:val="cs-CZ"/>
              </w:rPr>
              <w:t xml:space="preserve">spoluúčastí </w:t>
            </w:r>
            <w:r w:rsidRPr="00506A83">
              <w:rPr>
                <w:rFonts w:ascii="Times New Roman" w:hAnsi="Times New Roman"/>
                <w:lang w:val="cs-CZ"/>
              </w:rPr>
              <w:t>ČRA)</w:t>
            </w:r>
          </w:p>
          <w:p w14:paraId="2A035207" w14:textId="5F14C01F" w:rsidR="00265A82" w:rsidRPr="00506A83" w:rsidRDefault="00265A82" w:rsidP="005177B3">
            <w:pPr>
              <w:pStyle w:val="Odstavecseseznamem"/>
              <w:numPr>
                <w:ilvl w:val="0"/>
                <w:numId w:val="29"/>
              </w:numPr>
              <w:spacing w:before="120" w:after="120" w:line="276" w:lineRule="auto"/>
              <w:jc w:val="both"/>
              <w:rPr>
                <w:rFonts w:ascii="Times New Roman" w:hAnsi="Times New Roman"/>
                <w:lang w:val="cs-CZ"/>
              </w:rPr>
            </w:pPr>
            <w:r w:rsidRPr="00506A83">
              <w:rPr>
                <w:rFonts w:ascii="Times New Roman" w:hAnsi="Times New Roman"/>
                <w:lang w:val="cs-CZ"/>
              </w:rPr>
              <w:t xml:space="preserve">11,1 mil. Kč v rámci rozpočtových opatření </w:t>
            </w:r>
            <w:r w:rsidRPr="00506A83">
              <w:rPr>
                <w:rFonts w:ascii="Times New Roman" w:eastAsia="Georgia" w:hAnsi="Times New Roman"/>
                <w:lang w:val="cs-CZ"/>
              </w:rPr>
              <w:t>z ČRA</w:t>
            </w:r>
          </w:p>
        </w:tc>
      </w:tr>
      <w:tr w:rsidR="00265A82" w:rsidRPr="00506A83" w14:paraId="2E5AC7EF" w14:textId="77777777" w:rsidTr="5C8FC553">
        <w:trPr>
          <w:trHeight w:val="605"/>
        </w:trPr>
        <w:tc>
          <w:tcPr>
            <w:tcW w:w="2802" w:type="dxa"/>
            <w:vMerge/>
          </w:tcPr>
          <w:p w14:paraId="1AAE5117" w14:textId="77777777" w:rsidR="00265A82" w:rsidRPr="00506A83" w:rsidRDefault="00265A82" w:rsidP="005177B3">
            <w:pPr>
              <w:spacing w:before="120" w:after="120" w:line="276" w:lineRule="auto"/>
              <w:rPr>
                <w:rFonts w:ascii="Times New Roman" w:eastAsia="Georgia" w:hAnsi="Times New Roman"/>
              </w:rPr>
            </w:pPr>
          </w:p>
        </w:tc>
        <w:tc>
          <w:tcPr>
            <w:tcW w:w="6520" w:type="dxa"/>
          </w:tcPr>
          <w:p w14:paraId="6B942BA2" w14:textId="5A564CB9" w:rsidR="00265A82" w:rsidRPr="00506A83" w:rsidRDefault="00265A82" w:rsidP="005177B3">
            <w:pPr>
              <w:spacing w:before="120" w:after="120" w:line="276" w:lineRule="auto"/>
              <w:jc w:val="both"/>
              <w:rPr>
                <w:rFonts w:ascii="Times New Roman" w:hAnsi="Times New Roman"/>
                <w:b/>
                <w:bCs/>
              </w:rPr>
            </w:pPr>
            <w:r w:rsidRPr="00506A83">
              <w:rPr>
                <w:rFonts w:ascii="Times New Roman" w:hAnsi="Times New Roman"/>
                <w:b/>
                <w:bCs/>
              </w:rPr>
              <w:t>Počet projektů:</w:t>
            </w:r>
            <w:r w:rsidRPr="00506A83">
              <w:rPr>
                <w:rFonts w:ascii="Times New Roman" w:hAnsi="Times New Roman"/>
              </w:rPr>
              <w:t xml:space="preserve"> 10</w:t>
            </w:r>
          </w:p>
        </w:tc>
      </w:tr>
      <w:tr w:rsidR="00265A82" w:rsidRPr="00506A83" w14:paraId="15DA93A0" w14:textId="77777777" w:rsidTr="5C8FC553">
        <w:tc>
          <w:tcPr>
            <w:tcW w:w="2802" w:type="dxa"/>
            <w:vMerge w:val="restart"/>
            <w:shd w:val="clear" w:color="auto" w:fill="C1E4F5" w:themeFill="accent1" w:themeFillTint="33"/>
          </w:tcPr>
          <w:p w14:paraId="6BB4ECD2" w14:textId="77777777" w:rsidR="00265A82" w:rsidRPr="00506A83" w:rsidRDefault="00265A82" w:rsidP="005177B3">
            <w:pPr>
              <w:spacing w:before="120" w:after="120" w:line="276" w:lineRule="auto"/>
              <w:rPr>
                <w:rFonts w:ascii="Times New Roman" w:hAnsi="Times New Roman"/>
              </w:rPr>
            </w:pPr>
            <w:r w:rsidRPr="00506A83">
              <w:rPr>
                <w:rFonts w:ascii="Times New Roman" w:hAnsi="Times New Roman"/>
                <w:b/>
                <w:bCs/>
              </w:rPr>
              <w:t>Delegovaná spolupráce</w:t>
            </w:r>
            <w:r w:rsidRPr="00506A83">
              <w:rPr>
                <w:rFonts w:ascii="Times New Roman" w:hAnsi="Times New Roman"/>
              </w:rPr>
              <w:t xml:space="preserve"> (DS)</w:t>
            </w:r>
          </w:p>
          <w:p w14:paraId="47A92241" w14:textId="77777777" w:rsidR="00265A82" w:rsidRPr="00506A83" w:rsidRDefault="00265A82" w:rsidP="005177B3">
            <w:pPr>
              <w:spacing w:before="120" w:after="120" w:line="276" w:lineRule="auto"/>
              <w:rPr>
                <w:rFonts w:ascii="Times New Roman" w:hAnsi="Times New Roman"/>
                <w:i/>
                <w:iCs/>
              </w:rPr>
            </w:pPr>
            <w:r w:rsidRPr="00506A83">
              <w:rPr>
                <w:rFonts w:ascii="Times New Roman" w:hAnsi="Times New Roman"/>
                <w:i/>
                <w:iCs/>
                <w:sz w:val="21"/>
                <w:szCs w:val="21"/>
              </w:rPr>
              <w:t xml:space="preserve">Pozn. </w:t>
            </w:r>
            <w:r w:rsidRPr="00506A83">
              <w:rPr>
                <w:rFonts w:ascii="Times New Roman" w:hAnsi="Times New Roman"/>
                <w:i/>
                <w:iCs/>
                <w:sz w:val="21"/>
                <w:szCs w:val="21"/>
              </w:rPr>
              <w:tab/>
              <w:t>Prostředky z Evropské komise</w:t>
            </w:r>
          </w:p>
        </w:tc>
        <w:tc>
          <w:tcPr>
            <w:tcW w:w="6520" w:type="dxa"/>
          </w:tcPr>
          <w:p w14:paraId="3E93DFFF" w14:textId="77777777" w:rsidR="00265A82" w:rsidRPr="00506A83" w:rsidRDefault="00265A82" w:rsidP="005177B3">
            <w:pPr>
              <w:spacing w:before="120" w:after="120" w:line="276" w:lineRule="auto"/>
              <w:rPr>
                <w:rFonts w:ascii="Times New Roman" w:hAnsi="Times New Roman"/>
                <w:b/>
                <w:bCs/>
              </w:rPr>
            </w:pPr>
            <w:r w:rsidRPr="00506A83">
              <w:rPr>
                <w:rFonts w:ascii="Times New Roman" w:hAnsi="Times New Roman"/>
                <w:b/>
                <w:bCs/>
              </w:rPr>
              <w:t>Celková částka:</w:t>
            </w:r>
            <w:r w:rsidRPr="00506A83">
              <w:rPr>
                <w:rFonts w:ascii="Times New Roman" w:hAnsi="Times New Roman"/>
              </w:rPr>
              <w:t xml:space="preserve"> 6 098 744,88 Kč</w:t>
            </w:r>
          </w:p>
          <w:p w14:paraId="3CB5646E" w14:textId="77777777" w:rsidR="00265A82" w:rsidRPr="00506A83" w:rsidRDefault="00265A82" w:rsidP="005177B3">
            <w:pPr>
              <w:spacing w:before="120" w:after="120" w:line="276" w:lineRule="auto"/>
              <w:rPr>
                <w:rFonts w:ascii="Times New Roman" w:eastAsia="Georgia" w:hAnsi="Times New Roman"/>
                <w:i/>
                <w:iCs/>
              </w:rPr>
            </w:pPr>
            <w:r w:rsidRPr="00506A83">
              <w:rPr>
                <w:rFonts w:ascii="Times New Roman" w:hAnsi="Times New Roman"/>
                <w:i/>
                <w:iCs/>
                <w:sz w:val="22"/>
                <w:szCs w:val="22"/>
              </w:rPr>
              <w:t>*Spoluúčast zakomponována do kategorie „bilaterální projekty“</w:t>
            </w:r>
          </w:p>
        </w:tc>
      </w:tr>
      <w:tr w:rsidR="00265A82" w:rsidRPr="00506A83" w14:paraId="205444B6" w14:textId="77777777" w:rsidTr="5C8FC553">
        <w:tc>
          <w:tcPr>
            <w:tcW w:w="2802" w:type="dxa"/>
            <w:vMerge/>
          </w:tcPr>
          <w:p w14:paraId="7D5E156C" w14:textId="77777777" w:rsidR="00265A82" w:rsidRPr="00506A83" w:rsidRDefault="00265A82" w:rsidP="005177B3">
            <w:pPr>
              <w:spacing w:before="120" w:after="120" w:line="276" w:lineRule="auto"/>
              <w:rPr>
                <w:rFonts w:ascii="Times New Roman" w:hAnsi="Times New Roman"/>
              </w:rPr>
            </w:pPr>
          </w:p>
        </w:tc>
        <w:tc>
          <w:tcPr>
            <w:tcW w:w="6520" w:type="dxa"/>
          </w:tcPr>
          <w:p w14:paraId="57D4F8A9" w14:textId="3BCA4AEC" w:rsidR="00265A82" w:rsidRPr="00506A83" w:rsidRDefault="00265A82" w:rsidP="005177B3">
            <w:pPr>
              <w:spacing w:before="120" w:after="120" w:line="276" w:lineRule="auto"/>
              <w:rPr>
                <w:rFonts w:ascii="Times New Roman" w:hAnsi="Times New Roman"/>
                <w:b/>
                <w:bCs/>
              </w:rPr>
            </w:pPr>
            <w:r w:rsidRPr="00506A83">
              <w:rPr>
                <w:rFonts w:ascii="Times New Roman" w:hAnsi="Times New Roman"/>
                <w:b/>
                <w:bCs/>
              </w:rPr>
              <w:t xml:space="preserve">Počet projektů: </w:t>
            </w:r>
            <w:r w:rsidRPr="00506A83">
              <w:rPr>
                <w:rFonts w:ascii="Times New Roman" w:hAnsi="Times New Roman"/>
              </w:rPr>
              <w:t xml:space="preserve">2 </w:t>
            </w:r>
          </w:p>
        </w:tc>
      </w:tr>
      <w:tr w:rsidR="00265A82" w:rsidRPr="00506A83" w14:paraId="2A218FCE" w14:textId="77777777" w:rsidTr="5C8FC553">
        <w:tc>
          <w:tcPr>
            <w:tcW w:w="2802" w:type="dxa"/>
            <w:vMerge w:val="restart"/>
            <w:shd w:val="clear" w:color="auto" w:fill="C1E4F5" w:themeFill="accent1" w:themeFillTint="33"/>
          </w:tcPr>
          <w:p w14:paraId="08C6A694" w14:textId="77777777" w:rsidR="00265A82" w:rsidRPr="00506A83" w:rsidRDefault="00265A82" w:rsidP="005177B3">
            <w:pPr>
              <w:spacing w:before="120" w:after="120" w:line="276" w:lineRule="auto"/>
              <w:rPr>
                <w:rFonts w:ascii="Times New Roman" w:eastAsia="Georgia" w:hAnsi="Times New Roman"/>
                <w:b/>
                <w:bCs/>
              </w:rPr>
            </w:pPr>
            <w:r w:rsidRPr="00506A83">
              <w:rPr>
                <w:rFonts w:ascii="Times New Roman" w:eastAsia="Georgia" w:hAnsi="Times New Roman"/>
                <w:b/>
                <w:bCs/>
              </w:rPr>
              <w:t>Trojstranné projekty</w:t>
            </w:r>
          </w:p>
        </w:tc>
        <w:tc>
          <w:tcPr>
            <w:tcW w:w="6520" w:type="dxa"/>
          </w:tcPr>
          <w:p w14:paraId="0A243568" w14:textId="5AA900EC" w:rsidR="00265A82" w:rsidRPr="00506A83" w:rsidRDefault="00265A82" w:rsidP="005177B3">
            <w:pPr>
              <w:spacing w:before="120" w:after="120" w:line="276" w:lineRule="auto"/>
              <w:rPr>
                <w:rFonts w:ascii="Times New Roman" w:hAnsi="Times New Roman"/>
                <w:b/>
                <w:bCs/>
              </w:rPr>
            </w:pPr>
            <w:r w:rsidRPr="00506A83">
              <w:rPr>
                <w:rFonts w:ascii="Times New Roman" w:hAnsi="Times New Roman"/>
                <w:b/>
                <w:bCs/>
              </w:rPr>
              <w:t>Celková částka:</w:t>
            </w:r>
            <w:r w:rsidRPr="00506A83">
              <w:rPr>
                <w:rFonts w:ascii="Times New Roman" w:hAnsi="Times New Roman"/>
              </w:rPr>
              <w:t xml:space="preserve"> 219 391,13 Kč</w:t>
            </w:r>
          </w:p>
        </w:tc>
      </w:tr>
      <w:tr w:rsidR="00265A82" w:rsidRPr="00506A83" w14:paraId="5D4DADE4" w14:textId="77777777" w:rsidTr="5C8FC553">
        <w:tc>
          <w:tcPr>
            <w:tcW w:w="2802" w:type="dxa"/>
            <w:vMerge/>
          </w:tcPr>
          <w:p w14:paraId="64968E14" w14:textId="77777777" w:rsidR="00265A82" w:rsidRPr="00506A83" w:rsidRDefault="00265A82" w:rsidP="005177B3">
            <w:pPr>
              <w:spacing w:before="120" w:after="120" w:line="276" w:lineRule="auto"/>
              <w:rPr>
                <w:rFonts w:ascii="Times New Roman" w:eastAsia="Georgia" w:hAnsi="Times New Roman"/>
                <w:b/>
                <w:bCs/>
              </w:rPr>
            </w:pPr>
          </w:p>
        </w:tc>
        <w:tc>
          <w:tcPr>
            <w:tcW w:w="6520" w:type="dxa"/>
          </w:tcPr>
          <w:p w14:paraId="7ED5709A" w14:textId="77777777" w:rsidR="00265A82" w:rsidRPr="00506A83" w:rsidRDefault="00265A82" w:rsidP="005177B3">
            <w:pPr>
              <w:spacing w:before="120" w:after="120" w:line="276" w:lineRule="auto"/>
              <w:rPr>
                <w:rFonts w:ascii="Times New Roman" w:hAnsi="Times New Roman"/>
                <w:b/>
                <w:bCs/>
              </w:rPr>
            </w:pPr>
            <w:r w:rsidRPr="00506A83">
              <w:rPr>
                <w:rFonts w:ascii="Times New Roman" w:hAnsi="Times New Roman"/>
                <w:b/>
                <w:bCs/>
              </w:rPr>
              <w:t xml:space="preserve">Počet projektů: </w:t>
            </w:r>
            <w:r w:rsidRPr="00506A83">
              <w:rPr>
                <w:rFonts w:ascii="Times New Roman" w:hAnsi="Times New Roman"/>
              </w:rPr>
              <w:t>1</w:t>
            </w:r>
          </w:p>
        </w:tc>
      </w:tr>
    </w:tbl>
    <w:p w14:paraId="057172FE" w14:textId="10229780" w:rsidR="00CD7E46" w:rsidRPr="00506A83" w:rsidRDefault="00CD7E46" w:rsidP="005177B3">
      <w:pPr>
        <w:spacing w:before="120" w:after="120" w:line="276" w:lineRule="auto"/>
        <w:jc w:val="both"/>
        <w:rPr>
          <w:kern w:val="2"/>
          <w14:ligatures w14:val="standardContextual"/>
        </w:rPr>
      </w:pPr>
      <w:r w:rsidRPr="00506A83">
        <w:lastRenderedPageBreak/>
        <w:t xml:space="preserve">V roce 2025 realizovala ČRA v Bosně a Hercegovině celkem </w:t>
      </w:r>
      <w:r w:rsidRPr="00506A83">
        <w:rPr>
          <w:b/>
          <w:bCs/>
        </w:rPr>
        <w:t>deset projektů</w:t>
      </w:r>
      <w:r w:rsidRPr="00506A83">
        <w:t xml:space="preserve"> bilaterální </w:t>
      </w:r>
      <w:r w:rsidRPr="00506A83">
        <w:rPr>
          <w:b/>
          <w:bCs/>
        </w:rPr>
        <w:t>ZRS</w:t>
      </w:r>
      <w:r w:rsidR="004C1A3B" w:rsidRPr="00506A83">
        <w:rPr>
          <w:b/>
          <w:bCs/>
        </w:rPr>
        <w:t>.</w:t>
      </w:r>
      <w:r w:rsidRPr="00506A83">
        <w:t xml:space="preserve"> Projekty se zaměřovaly na tyto prioritní sektorové oblasti: </w:t>
      </w:r>
      <w:r w:rsidRPr="00506A83">
        <w:rPr>
          <w:b/>
          <w:bCs/>
        </w:rPr>
        <w:t>řádná demokratická správa věcí veřejných</w:t>
      </w:r>
      <w:r w:rsidRPr="00506A83">
        <w:t xml:space="preserve"> (zahrnující sektor </w:t>
      </w:r>
      <w:r w:rsidRPr="00506A83">
        <w:rPr>
          <w:b/>
          <w:bCs/>
        </w:rPr>
        <w:t>veřejná správa a občanská společnost</w:t>
      </w:r>
      <w:r w:rsidRPr="00506A83">
        <w:t xml:space="preserve">), </w:t>
      </w:r>
      <w:r w:rsidRPr="00506A83">
        <w:rPr>
          <w:b/>
          <w:bCs/>
        </w:rPr>
        <w:t>voda a</w:t>
      </w:r>
      <w:r w:rsidR="004964CB" w:rsidRPr="00506A83">
        <w:rPr>
          <w:b/>
          <w:bCs/>
        </w:rPr>
        <w:t> </w:t>
      </w:r>
      <w:r w:rsidRPr="00506A83">
        <w:rPr>
          <w:b/>
          <w:bCs/>
        </w:rPr>
        <w:t>sanitace</w:t>
      </w:r>
      <w:r w:rsidRPr="00506A83">
        <w:t xml:space="preserve">, </w:t>
      </w:r>
      <w:r w:rsidRPr="00506A83">
        <w:rPr>
          <w:b/>
          <w:bCs/>
        </w:rPr>
        <w:t>ekonomický růst a obnovitelné zdroje</w:t>
      </w:r>
      <w:r w:rsidRPr="00506A83">
        <w:t xml:space="preserve"> (zahrnující sektor </w:t>
      </w:r>
      <w:r w:rsidRPr="00506A83">
        <w:rPr>
          <w:b/>
          <w:bCs/>
        </w:rPr>
        <w:t>výroba a dodávky energie</w:t>
      </w:r>
      <w:r w:rsidRPr="00506A83">
        <w:t>) a</w:t>
      </w:r>
      <w:r w:rsidR="007B5E03" w:rsidRPr="00506A83">
        <w:t> </w:t>
      </w:r>
      <w:r w:rsidRPr="00506A83">
        <w:rPr>
          <w:b/>
          <w:bCs/>
        </w:rPr>
        <w:t>životní prostředí a rozvoj venkova</w:t>
      </w:r>
      <w:r w:rsidRPr="00506A83">
        <w:t xml:space="preserve"> (zahrnující sektor </w:t>
      </w:r>
      <w:r w:rsidRPr="00506A83">
        <w:rPr>
          <w:b/>
          <w:bCs/>
        </w:rPr>
        <w:t>zemědělství a lesnictví</w:t>
      </w:r>
      <w:r w:rsidRPr="00506A83">
        <w:t>).</w:t>
      </w:r>
    </w:p>
    <w:p w14:paraId="4A4BADD3" w14:textId="4460FBEA" w:rsidR="00CD7E46" w:rsidRPr="00506A83" w:rsidRDefault="00CD7E46" w:rsidP="005177B3">
      <w:pPr>
        <w:spacing w:before="120" w:after="120" w:line="276" w:lineRule="auto"/>
        <w:jc w:val="both"/>
        <w:rPr>
          <w:kern w:val="2"/>
          <w14:ligatures w14:val="standardContextual"/>
        </w:rPr>
      </w:pPr>
      <w:r w:rsidRPr="00506A83">
        <w:t xml:space="preserve">V oblasti </w:t>
      </w:r>
      <w:r w:rsidRPr="00506A83">
        <w:rPr>
          <w:b/>
          <w:bCs/>
        </w:rPr>
        <w:t>řádná demokratická správa věcí veřejných</w:t>
      </w:r>
      <w:r w:rsidRPr="00506A83">
        <w:t xml:space="preserve"> pokračoval projekt </w:t>
      </w:r>
      <w:r w:rsidRPr="00506A83">
        <w:rPr>
          <w:b/>
          <w:bCs/>
        </w:rPr>
        <w:t>„Innovation of Geological Information Systems in Bosnia and Herzegovina“</w:t>
      </w:r>
      <w:r w:rsidRPr="00506A83">
        <w:t xml:space="preserve">, který v roce 2025 přinesl inventarizaci dat, návrh technické infrastruktury a posílení kapacit geologických služeb. Dodávka specializovaného softwaru </w:t>
      </w:r>
      <w:r w:rsidR="001A49AE" w:rsidRPr="00506A83">
        <w:t>přispěla ke zvýšení</w:t>
      </w:r>
      <w:r w:rsidR="00ED2DB8" w:rsidRPr="00506A83">
        <w:t xml:space="preserve"> efektivity správy geologických dat a</w:t>
      </w:r>
      <w:r w:rsidR="004964CB" w:rsidRPr="00506A83">
        <w:t> </w:t>
      </w:r>
      <w:r w:rsidR="00ED2DB8" w:rsidRPr="00506A83">
        <w:t>posílení institucionální transparentnosti.</w:t>
      </w:r>
    </w:p>
    <w:p w14:paraId="57CEE86F" w14:textId="250ABF6C" w:rsidR="00CD7E46" w:rsidRPr="00506A83" w:rsidRDefault="00CD7E46" w:rsidP="005177B3">
      <w:pPr>
        <w:spacing w:before="120" w:after="120" w:line="276" w:lineRule="auto"/>
        <w:jc w:val="both"/>
        <w:rPr>
          <w:kern w:val="2"/>
          <w14:ligatures w14:val="standardContextual"/>
        </w:rPr>
      </w:pPr>
      <w:r w:rsidRPr="00506A83">
        <w:t xml:space="preserve">Projekt </w:t>
      </w:r>
      <w:r w:rsidRPr="00506A83">
        <w:rPr>
          <w:b/>
          <w:bCs/>
        </w:rPr>
        <w:t>„Inkluzivní socio-ekonomická iniciativa Brčko distrikt“</w:t>
      </w:r>
      <w:r w:rsidRPr="00506A83">
        <w:t xml:space="preserve"> v roce 2025 pokračoval v</w:t>
      </w:r>
      <w:r w:rsidR="004964CB" w:rsidRPr="00506A83">
        <w:t> </w:t>
      </w:r>
      <w:r w:rsidRPr="00506A83">
        <w:t>podpoře zaměstnatelnosti a podnikání marginalizovaných skupin obyvatel. Realizované aktivity posilovaly praktické dovednosti odpovídající místní poptávce na trhu práce</w:t>
      </w:r>
      <w:r w:rsidR="000110E5" w:rsidRPr="00506A83">
        <w:t>.</w:t>
      </w:r>
    </w:p>
    <w:p w14:paraId="7138FCB4" w14:textId="020C4840" w:rsidR="00CD7E46" w:rsidRPr="00506A83" w:rsidRDefault="00CD7E46" w:rsidP="005177B3">
      <w:pPr>
        <w:spacing w:before="120" w:after="120" w:line="276" w:lineRule="auto"/>
        <w:jc w:val="both"/>
        <w:rPr>
          <w:kern w:val="2"/>
          <w14:ligatures w14:val="standardContextual"/>
        </w:rPr>
      </w:pPr>
      <w:r w:rsidRPr="00506A83">
        <w:t xml:space="preserve">V rámci dlouhodobé intervence </w:t>
      </w:r>
      <w:r w:rsidRPr="00506A83">
        <w:rPr>
          <w:b/>
          <w:bCs/>
        </w:rPr>
        <w:t>„Zvyšování bezpečnosti potravin v Bosně a Hercegovině“</w:t>
      </w:r>
      <w:r w:rsidRPr="00506A83">
        <w:t xml:space="preserve"> probíhaly v roce 2025 odborné aktivity, školení a doplňování laboratorního vybavení, realizované českým </w:t>
      </w:r>
      <w:r w:rsidRPr="00506A83">
        <w:rPr>
          <w:b/>
          <w:bCs/>
        </w:rPr>
        <w:t>Ústředním kontrolním a zkušebním ústavem zemědělským</w:t>
      </w:r>
      <w:r w:rsidRPr="00506A83">
        <w:t>. Projekt posiluje kontrolní mechanismy v oblasti pesticidů a přídatných látek a zvyšuje institucionální způsobilost bosenských orgánů pro plnění požadavků EU, čímž přímo podporuje bezpečnost potravin i připravenost vývozu na trh EU.</w:t>
      </w:r>
    </w:p>
    <w:p w14:paraId="071E9332" w14:textId="4491FF4F" w:rsidR="00CD7E46" w:rsidRPr="00506A83" w:rsidRDefault="00CD7E46" w:rsidP="005177B3">
      <w:pPr>
        <w:spacing w:before="120" w:after="120" w:line="276" w:lineRule="auto"/>
        <w:jc w:val="both"/>
        <w:rPr>
          <w:kern w:val="2"/>
          <w14:ligatures w14:val="standardContextual"/>
        </w:rPr>
      </w:pPr>
      <w:r w:rsidRPr="00506A83">
        <w:t xml:space="preserve">Současně v této oblasti pokračoval projekt </w:t>
      </w:r>
      <w:r w:rsidRPr="00506A83">
        <w:rPr>
          <w:b/>
          <w:bCs/>
        </w:rPr>
        <w:t>„Participativní budování kapacit a zázemí ve</w:t>
      </w:r>
      <w:r w:rsidR="004964CB" w:rsidRPr="00506A83">
        <w:rPr>
          <w:b/>
          <w:bCs/>
        </w:rPr>
        <w:t> </w:t>
      </w:r>
      <w:r w:rsidRPr="00506A83">
        <w:rPr>
          <w:b/>
          <w:bCs/>
        </w:rPr>
        <w:t>vybraných obcích Bosny a Hercegoviny“</w:t>
      </w:r>
      <w:r w:rsidRPr="00506A83">
        <w:t>, zaměřený na zlepšování životních podmínek venkovských obyvatel a posilování místní produkce. V roce 2025 byly na základě studií hodnotových řetězců dodány zemědělcům v deseti municipalitách konkrétní technologie a</w:t>
      </w:r>
      <w:r w:rsidR="004964CB" w:rsidRPr="00506A83">
        <w:t> </w:t>
      </w:r>
      <w:r w:rsidRPr="00506A83">
        <w:t xml:space="preserve">vybavení a proběhla série workshopů a školení. </w:t>
      </w:r>
    </w:p>
    <w:p w14:paraId="5DA24D57" w14:textId="336288A9" w:rsidR="00CD7E46" w:rsidRPr="00506A83" w:rsidRDefault="00CD7E46" w:rsidP="005177B3">
      <w:pPr>
        <w:spacing w:before="120" w:after="120" w:line="276" w:lineRule="auto"/>
        <w:jc w:val="both"/>
        <w:rPr>
          <w:kern w:val="2"/>
          <w14:ligatures w14:val="standardContextual"/>
        </w:rPr>
      </w:pPr>
      <w:r w:rsidRPr="00506A83">
        <w:t xml:space="preserve">Ve druhé polovině roku 2025 byl zahájen nový projekt </w:t>
      </w:r>
      <w:r w:rsidRPr="00506A83">
        <w:rPr>
          <w:b/>
          <w:bCs/>
        </w:rPr>
        <w:t>„Budování systému cirkulární ekonomiky v municipalitách Tešanj, Žepče a Teslić“</w:t>
      </w:r>
      <w:r w:rsidRPr="00506A83">
        <w:t xml:space="preserve">, který vytváří předpoklady pro zavedení funkčního systému nakládání s odpady. </w:t>
      </w:r>
      <w:r w:rsidR="00DF31DC" w:rsidRPr="00506A83">
        <w:t>Byla</w:t>
      </w:r>
      <w:r w:rsidRPr="00506A83">
        <w:t xml:space="preserve"> realizována úvodní analytická fáze (mapování odpadového hospodářství, identifikace legislativních a technických potřeb a</w:t>
      </w:r>
      <w:r w:rsidR="007B5E03" w:rsidRPr="00506A83">
        <w:t> </w:t>
      </w:r>
      <w:r w:rsidRPr="00506A83">
        <w:t>příprava ekonomické studie proveditelnosti)</w:t>
      </w:r>
      <w:r w:rsidR="0042448D" w:rsidRPr="00506A83">
        <w:t xml:space="preserve">. </w:t>
      </w:r>
      <w:r w:rsidR="5B0E7C38" w:rsidRPr="00506A83">
        <w:t>Projekt vytváří předpoklady pro zapojení do návazného projektu, který však již bude financovaný z prostředků EU, a to v rámci tzv. Delegované</w:t>
      </w:r>
      <w:r w:rsidR="33EB2991" w:rsidRPr="00506A83">
        <w:t xml:space="preserve"> spolupráce.</w:t>
      </w:r>
    </w:p>
    <w:p w14:paraId="119483AF" w14:textId="02D6CA80" w:rsidR="00CD7E46" w:rsidRPr="00506A83" w:rsidRDefault="00CD7E46" w:rsidP="005177B3">
      <w:pPr>
        <w:spacing w:before="120" w:after="120" w:line="276" w:lineRule="auto"/>
        <w:jc w:val="both"/>
        <w:rPr>
          <w:kern w:val="2"/>
          <w14:ligatures w14:val="standardContextual"/>
        </w:rPr>
      </w:pPr>
      <w:r w:rsidRPr="00506A83">
        <w:t xml:space="preserve">V sektoru </w:t>
      </w:r>
      <w:r w:rsidRPr="00506A83">
        <w:rPr>
          <w:b/>
          <w:bCs/>
        </w:rPr>
        <w:t>voda a sanitace</w:t>
      </w:r>
      <w:r w:rsidRPr="00506A83">
        <w:t xml:space="preserve"> pokračovala ČRA v roce 2025 v modernizaci zásobování pitnou vodou, zlepšování vodohospodářské infrastruktury a posilování řízení vodních zdrojů. Klíčovým projektem zůstává </w:t>
      </w:r>
      <w:r w:rsidRPr="00506A83">
        <w:rPr>
          <w:b/>
          <w:bCs/>
        </w:rPr>
        <w:t>„Rekonstrukce a rozšíření úpravny pitné vody v municipalitě Teslić“</w:t>
      </w:r>
      <w:r w:rsidRPr="00506A83">
        <w:t>, v jehož rámci byl dokončen nový technologický blok a zahájena rekonstrukce původního bloku, což směřuje ke zvýšení celkové kapacity zařízení, stabilnějšímu provozu a</w:t>
      </w:r>
      <w:r w:rsidR="004964CB" w:rsidRPr="00506A83">
        <w:t> </w:t>
      </w:r>
      <w:r w:rsidRPr="00506A83">
        <w:t>vyšší spolehlivosti dodávek. Součástí byl</w:t>
      </w:r>
      <w:r w:rsidR="00BA78FE" w:rsidRPr="00506A83">
        <w:t>a</w:t>
      </w:r>
      <w:r w:rsidRPr="00506A83">
        <w:t xml:space="preserve"> také školení provozního personálu a osvětové aktivity na ochranu pitné vody. Projekt </w:t>
      </w:r>
      <w:r w:rsidRPr="00506A83">
        <w:rPr>
          <w:b/>
          <w:bCs/>
        </w:rPr>
        <w:t>„Technologická dodávka pro úpravnu pitné vody Stjepan Polje“</w:t>
      </w:r>
      <w:r w:rsidRPr="00506A83">
        <w:t xml:space="preserve"> se v roce 2025 soustředil na přípravu projektové dokumentace pro obec Stjepan </w:t>
      </w:r>
      <w:r w:rsidRPr="00506A83">
        <w:lastRenderedPageBreak/>
        <w:t xml:space="preserve">Polje v municipalitě Gračanica. Projekt </w:t>
      </w:r>
      <w:r w:rsidRPr="00506A83">
        <w:rPr>
          <w:b/>
          <w:bCs/>
        </w:rPr>
        <w:t>„Efektivnější zásobování pitnou vodou v</w:t>
      </w:r>
      <w:r w:rsidR="004964CB" w:rsidRPr="00506A83">
        <w:rPr>
          <w:b/>
          <w:bCs/>
        </w:rPr>
        <w:t> </w:t>
      </w:r>
      <w:r w:rsidRPr="00506A83">
        <w:rPr>
          <w:b/>
          <w:bCs/>
        </w:rPr>
        <w:t>municipalitě Sokolac“</w:t>
      </w:r>
      <w:r w:rsidRPr="00506A83">
        <w:t xml:space="preserve"> byl v roce 2025 dokončen zpracováním hlavního strategického plánu vodovodu, který poskytuje odborný základ pro dlouhodobé plánování, přípravu navazujících investic (včetně potenciálního zapojení externích zdrojů) a efektivnější využívání vodních zdrojů v municipalitě.</w:t>
      </w:r>
    </w:p>
    <w:p w14:paraId="4FAF7208" w14:textId="1B6ABD88" w:rsidR="00265A82" w:rsidRPr="00506A83" w:rsidRDefault="00265A82" w:rsidP="005177B3">
      <w:pPr>
        <w:spacing w:before="120" w:after="120" w:line="276" w:lineRule="auto"/>
        <w:jc w:val="both"/>
        <w:rPr>
          <w:rFonts w:eastAsia="Georgia"/>
        </w:rPr>
      </w:pPr>
      <w:r w:rsidRPr="00506A83">
        <w:rPr>
          <w:rFonts w:eastAsia="Georgia"/>
        </w:rPr>
        <w:t xml:space="preserve">V sektorové oblasti </w:t>
      </w:r>
      <w:r w:rsidRPr="00506A83">
        <w:rPr>
          <w:rFonts w:eastAsia="Georgia"/>
          <w:b/>
          <w:bCs/>
        </w:rPr>
        <w:t>ekonomický růst a obnovitelné zdroje</w:t>
      </w:r>
      <w:r w:rsidRPr="00506A83">
        <w:rPr>
          <w:rFonts w:eastAsia="Georgia"/>
        </w:rPr>
        <w:t xml:space="preserve"> byl v roce 2025 dokončen projekt</w:t>
      </w:r>
      <w:r w:rsidRPr="00506A83">
        <w:rPr>
          <w:rFonts w:eastAsia="Georgia"/>
          <w:b/>
          <w:bCs/>
        </w:rPr>
        <w:t xml:space="preserve"> </w:t>
      </w:r>
      <w:r w:rsidRPr="00506A83">
        <w:rPr>
          <w:rFonts w:eastAsia="Georgia"/>
        </w:rPr>
        <w:t>„Čistá energie ve veřejných institucích v Banja Luce“. Projekt přinesl komplexní modernizaci otopných systémů ve dvou veřejných školách, kde byly původní zdroje tepla na bázi uhlí, dřeva a lehkého topného oleje nahrazeny ekologičtějšími systémy využívajícími biomasu.</w:t>
      </w:r>
      <w:r w:rsidR="0042448D" w:rsidRPr="00506A83">
        <w:rPr>
          <w:rFonts w:eastAsia="Georgia"/>
        </w:rPr>
        <w:t xml:space="preserve"> </w:t>
      </w:r>
      <w:r w:rsidR="2AC505D0" w:rsidRPr="00506A83">
        <w:rPr>
          <w:rFonts w:eastAsia="Georgia"/>
        </w:rPr>
        <w:t>Díky projektu vznikla reference pro budoucí dodávky technologií na komerčním základě.</w:t>
      </w:r>
    </w:p>
    <w:p w14:paraId="2827F47E" w14:textId="0D7BC60C" w:rsidR="00265A82" w:rsidRPr="00506A83" w:rsidRDefault="00265A82" w:rsidP="007B5E03">
      <w:pPr>
        <w:spacing w:before="120" w:after="120" w:line="276" w:lineRule="auto"/>
        <w:jc w:val="both"/>
        <w:rPr>
          <w:rFonts w:eastAsia="Georgia"/>
        </w:rPr>
      </w:pPr>
      <w:r w:rsidRPr="00506A83">
        <w:rPr>
          <w:rFonts w:eastAsia="Georgia"/>
        </w:rPr>
        <w:t xml:space="preserve">V oblasti </w:t>
      </w:r>
      <w:r w:rsidRPr="00506A83">
        <w:rPr>
          <w:rFonts w:eastAsia="Georgia"/>
          <w:b/>
          <w:bCs/>
        </w:rPr>
        <w:t>životního prostředí a rozvoje venkova</w:t>
      </w:r>
      <w:r w:rsidRPr="00506A83">
        <w:rPr>
          <w:rFonts w:eastAsia="Georgia"/>
        </w:rPr>
        <w:t xml:space="preserve"> byl zahájen projekt „Zlepšení fytosanitárního sektoru v Bosně a Hercegovině“, jehož cílem je vytvoření jednotného fytosanitárního registru a posílení institucionální spolupráce mezi státní správou, odbornými institucemi a zemědělskou praxí. Projekt představuje důležitý krok ke zvýšení potravinové bezpečnosti, zlepšení sledovatelnosti a efektivnější správě dat v oblasti rostlinné výroby.</w:t>
      </w:r>
    </w:p>
    <w:p w14:paraId="3423DE4B" w14:textId="3ACE2776" w:rsidR="00265A82" w:rsidRPr="00506A83" w:rsidRDefault="00265A82" w:rsidP="005177B3">
      <w:pPr>
        <w:spacing w:before="120" w:after="120" w:line="276" w:lineRule="auto"/>
        <w:jc w:val="both"/>
        <w:rPr>
          <w:rFonts w:eastAsia="Georgia"/>
          <w:b/>
          <w:bCs/>
          <w:sz w:val="28"/>
          <w:szCs w:val="28"/>
        </w:rPr>
      </w:pPr>
      <w:r w:rsidRPr="00506A83">
        <w:rPr>
          <w:rFonts w:eastAsia="Georgia"/>
          <w:b/>
          <w:bCs/>
          <w:sz w:val="28"/>
          <w:szCs w:val="28"/>
        </w:rPr>
        <w:t>Etiopie</w:t>
      </w:r>
    </w:p>
    <w:tbl>
      <w:tblPr>
        <w:tblStyle w:val="Mkatabulky"/>
        <w:tblW w:w="9322" w:type="dxa"/>
        <w:tblLook w:val="04A0" w:firstRow="1" w:lastRow="0" w:firstColumn="1" w:lastColumn="0" w:noHBand="0" w:noVBand="1"/>
      </w:tblPr>
      <w:tblGrid>
        <w:gridCol w:w="2802"/>
        <w:gridCol w:w="6520"/>
      </w:tblGrid>
      <w:tr w:rsidR="00265A82" w:rsidRPr="00506A83" w14:paraId="6C12AB44" w14:textId="77777777" w:rsidTr="50799D89">
        <w:tc>
          <w:tcPr>
            <w:tcW w:w="2802" w:type="dxa"/>
            <w:vMerge w:val="restart"/>
            <w:shd w:val="clear" w:color="auto" w:fill="C1E4F5" w:themeFill="accent1" w:themeFillTint="33"/>
          </w:tcPr>
          <w:p w14:paraId="5F13C001" w14:textId="77777777" w:rsidR="00265A82" w:rsidRPr="00506A83" w:rsidRDefault="00265A82" w:rsidP="005177B3">
            <w:pPr>
              <w:spacing w:before="120" w:after="120" w:line="276" w:lineRule="auto"/>
              <w:rPr>
                <w:rFonts w:ascii="Times New Roman" w:hAnsi="Times New Roman"/>
                <w:b/>
                <w:bCs/>
              </w:rPr>
            </w:pPr>
            <w:r w:rsidRPr="00506A83">
              <w:rPr>
                <w:rFonts w:ascii="Times New Roman" w:hAnsi="Times New Roman"/>
                <w:b/>
                <w:bCs/>
              </w:rPr>
              <w:t>Bilaterální projekty</w:t>
            </w:r>
          </w:p>
          <w:p w14:paraId="13B9E1A0" w14:textId="77777777" w:rsidR="00265A82" w:rsidRPr="00506A83" w:rsidRDefault="00265A82" w:rsidP="005177B3">
            <w:pPr>
              <w:spacing w:before="120" w:after="120" w:line="276" w:lineRule="auto"/>
              <w:rPr>
                <w:rFonts w:ascii="Times New Roman" w:hAnsi="Times New Roman"/>
              </w:rPr>
            </w:pPr>
          </w:p>
          <w:p w14:paraId="5D1162E2" w14:textId="77777777" w:rsidR="00265A82" w:rsidRPr="00506A83" w:rsidRDefault="00265A82" w:rsidP="005177B3">
            <w:pPr>
              <w:spacing w:before="120" w:after="120" w:line="276" w:lineRule="auto"/>
              <w:rPr>
                <w:rFonts w:ascii="Times New Roman" w:eastAsia="Georgia" w:hAnsi="Times New Roman"/>
              </w:rPr>
            </w:pPr>
          </w:p>
        </w:tc>
        <w:tc>
          <w:tcPr>
            <w:tcW w:w="6520" w:type="dxa"/>
          </w:tcPr>
          <w:p w14:paraId="7F0B54EF" w14:textId="77777777" w:rsidR="00265A82" w:rsidRPr="00506A83" w:rsidRDefault="00265A82" w:rsidP="005177B3">
            <w:pPr>
              <w:spacing w:before="120" w:after="120" w:line="276" w:lineRule="auto"/>
              <w:rPr>
                <w:rFonts w:ascii="Times New Roman" w:hAnsi="Times New Roman"/>
                <w:b/>
                <w:bCs/>
              </w:rPr>
            </w:pPr>
            <w:r w:rsidRPr="00506A83">
              <w:rPr>
                <w:rFonts w:ascii="Times New Roman" w:hAnsi="Times New Roman"/>
                <w:b/>
                <w:bCs/>
              </w:rPr>
              <w:t>Celková částka:</w:t>
            </w:r>
            <w:r w:rsidRPr="00506A83">
              <w:rPr>
                <w:rFonts w:ascii="Times New Roman" w:hAnsi="Times New Roman"/>
              </w:rPr>
              <w:t xml:space="preserve"> 69 901 512,89 K</w:t>
            </w:r>
            <w:r w:rsidRPr="00506A83">
              <w:rPr>
                <w:rFonts w:ascii="Times New Roman" w:hAnsi="Times New Roman"/>
                <w:b/>
                <w:bCs/>
              </w:rPr>
              <w:t xml:space="preserve">č </w:t>
            </w:r>
            <w:r w:rsidRPr="00506A83">
              <w:rPr>
                <w:rFonts w:ascii="Times New Roman" w:hAnsi="Times New Roman"/>
              </w:rPr>
              <w:t>z toho:</w:t>
            </w:r>
          </w:p>
          <w:p w14:paraId="70C6570C" w14:textId="77777777" w:rsidR="00265A82" w:rsidRPr="00506A83" w:rsidRDefault="00265A82" w:rsidP="005177B3">
            <w:pPr>
              <w:pStyle w:val="Odstavecseseznamem"/>
              <w:numPr>
                <w:ilvl w:val="0"/>
                <w:numId w:val="31"/>
              </w:numPr>
              <w:spacing w:before="120" w:after="120" w:line="276" w:lineRule="auto"/>
              <w:rPr>
                <w:rFonts w:ascii="Times New Roman" w:hAnsi="Times New Roman"/>
                <w:lang w:val="cs-CZ"/>
              </w:rPr>
            </w:pPr>
            <w:r w:rsidRPr="00506A83">
              <w:rPr>
                <w:rFonts w:ascii="Times New Roman" w:hAnsi="Times New Roman"/>
                <w:lang w:val="cs-CZ"/>
              </w:rPr>
              <w:t>55,8 mil. Kč v rámci bilaterálních projektů</w:t>
            </w:r>
          </w:p>
          <w:p w14:paraId="3E4EB215" w14:textId="5658E859" w:rsidR="00265A82" w:rsidRPr="00506A83" w:rsidRDefault="00265A82" w:rsidP="007E7149">
            <w:pPr>
              <w:pStyle w:val="Odstavecseseznamem"/>
              <w:numPr>
                <w:ilvl w:val="0"/>
                <w:numId w:val="31"/>
              </w:numPr>
              <w:spacing w:before="120" w:after="120" w:line="276" w:lineRule="auto"/>
              <w:rPr>
                <w:rFonts w:ascii="Times New Roman" w:hAnsi="Times New Roman"/>
                <w:lang w:val="cs-CZ"/>
              </w:rPr>
            </w:pPr>
            <w:r w:rsidRPr="00506A83">
              <w:rPr>
                <w:rFonts w:ascii="Times New Roman" w:hAnsi="Times New Roman"/>
                <w:lang w:val="cs-CZ"/>
              </w:rPr>
              <w:t>14,1 mil. Kč v rámci rozpočtových opatření z ČRA</w:t>
            </w:r>
          </w:p>
        </w:tc>
      </w:tr>
      <w:tr w:rsidR="00265A82" w:rsidRPr="00506A83" w14:paraId="0A9EBAAA" w14:textId="77777777" w:rsidTr="50799D89">
        <w:tc>
          <w:tcPr>
            <w:tcW w:w="2802" w:type="dxa"/>
            <w:vMerge/>
          </w:tcPr>
          <w:p w14:paraId="2341462B" w14:textId="77777777" w:rsidR="00265A82" w:rsidRPr="00506A83" w:rsidRDefault="00265A82" w:rsidP="005177B3">
            <w:pPr>
              <w:spacing w:before="120" w:after="120" w:line="276" w:lineRule="auto"/>
              <w:rPr>
                <w:rFonts w:ascii="Times New Roman" w:eastAsia="Georgia" w:hAnsi="Times New Roman"/>
              </w:rPr>
            </w:pPr>
          </w:p>
        </w:tc>
        <w:tc>
          <w:tcPr>
            <w:tcW w:w="6520" w:type="dxa"/>
          </w:tcPr>
          <w:p w14:paraId="6273AC1D" w14:textId="331124C7" w:rsidR="00265A82" w:rsidRPr="00506A83" w:rsidRDefault="00265A82" w:rsidP="005177B3">
            <w:pPr>
              <w:spacing w:before="120" w:after="120" w:line="276" w:lineRule="auto"/>
              <w:jc w:val="both"/>
              <w:rPr>
                <w:rFonts w:ascii="Times New Roman" w:eastAsia="Georgia" w:hAnsi="Times New Roman"/>
              </w:rPr>
            </w:pPr>
            <w:r w:rsidRPr="00506A83">
              <w:rPr>
                <w:rFonts w:ascii="Times New Roman" w:hAnsi="Times New Roman"/>
                <w:b/>
                <w:bCs/>
              </w:rPr>
              <w:t>Počet projektů:</w:t>
            </w:r>
            <w:r w:rsidRPr="00506A83">
              <w:rPr>
                <w:rFonts w:ascii="Times New Roman" w:hAnsi="Times New Roman"/>
              </w:rPr>
              <w:t xml:space="preserve"> 9</w:t>
            </w:r>
          </w:p>
        </w:tc>
      </w:tr>
      <w:tr w:rsidR="00265A82" w:rsidRPr="00506A83" w14:paraId="6983FBCA" w14:textId="77777777" w:rsidTr="50799D89">
        <w:tc>
          <w:tcPr>
            <w:tcW w:w="2802" w:type="dxa"/>
            <w:vMerge w:val="restart"/>
            <w:shd w:val="clear" w:color="auto" w:fill="C1E4F5" w:themeFill="accent1" w:themeFillTint="33"/>
          </w:tcPr>
          <w:p w14:paraId="0F905D7D" w14:textId="77777777" w:rsidR="00265A82" w:rsidRPr="00506A83" w:rsidRDefault="00265A82" w:rsidP="005177B3">
            <w:pPr>
              <w:spacing w:before="120" w:after="120" w:line="276" w:lineRule="auto"/>
              <w:rPr>
                <w:rFonts w:ascii="Times New Roman" w:eastAsia="Georgia" w:hAnsi="Times New Roman"/>
                <w:b/>
                <w:bCs/>
              </w:rPr>
            </w:pPr>
            <w:r w:rsidRPr="00506A83">
              <w:rPr>
                <w:rFonts w:ascii="Times New Roman" w:eastAsia="Georgia" w:hAnsi="Times New Roman"/>
                <w:b/>
                <w:bCs/>
              </w:rPr>
              <w:t>Trojstranné projekty</w:t>
            </w:r>
          </w:p>
        </w:tc>
        <w:tc>
          <w:tcPr>
            <w:tcW w:w="6520" w:type="dxa"/>
          </w:tcPr>
          <w:p w14:paraId="50124F96" w14:textId="60A19D01" w:rsidR="00265A82" w:rsidRPr="00506A83" w:rsidRDefault="00265A82" w:rsidP="005177B3">
            <w:pPr>
              <w:spacing w:before="120" w:after="120" w:line="276" w:lineRule="auto"/>
              <w:rPr>
                <w:rFonts w:ascii="Times New Roman" w:hAnsi="Times New Roman"/>
                <w:b/>
                <w:bCs/>
              </w:rPr>
            </w:pPr>
            <w:r w:rsidRPr="00506A83">
              <w:rPr>
                <w:rFonts w:ascii="Times New Roman" w:hAnsi="Times New Roman"/>
                <w:b/>
                <w:bCs/>
              </w:rPr>
              <w:t>Celková částka:</w:t>
            </w:r>
            <w:r w:rsidRPr="00506A83">
              <w:rPr>
                <w:rFonts w:ascii="Times New Roman" w:hAnsi="Times New Roman"/>
              </w:rPr>
              <w:t xml:space="preserve"> 13 820 667,25 Kč</w:t>
            </w:r>
          </w:p>
        </w:tc>
      </w:tr>
      <w:tr w:rsidR="00265A82" w:rsidRPr="00506A83" w14:paraId="16A2890A" w14:textId="77777777" w:rsidTr="50799D89">
        <w:tc>
          <w:tcPr>
            <w:tcW w:w="2802" w:type="dxa"/>
            <w:vMerge/>
          </w:tcPr>
          <w:p w14:paraId="075F6D79" w14:textId="77777777" w:rsidR="00265A82" w:rsidRPr="00506A83" w:rsidRDefault="00265A82" w:rsidP="005177B3">
            <w:pPr>
              <w:spacing w:before="120" w:after="120" w:line="276" w:lineRule="auto"/>
              <w:rPr>
                <w:rFonts w:ascii="Times New Roman" w:eastAsia="Georgia" w:hAnsi="Times New Roman"/>
                <w:b/>
                <w:bCs/>
              </w:rPr>
            </w:pPr>
          </w:p>
        </w:tc>
        <w:tc>
          <w:tcPr>
            <w:tcW w:w="6520" w:type="dxa"/>
          </w:tcPr>
          <w:p w14:paraId="72F75C72" w14:textId="77777777" w:rsidR="00265A82" w:rsidRPr="00506A83" w:rsidRDefault="00265A82" w:rsidP="005177B3">
            <w:pPr>
              <w:spacing w:before="120" w:after="120" w:line="276" w:lineRule="auto"/>
              <w:rPr>
                <w:rFonts w:ascii="Times New Roman" w:hAnsi="Times New Roman"/>
                <w:b/>
                <w:bCs/>
              </w:rPr>
            </w:pPr>
            <w:r w:rsidRPr="00506A83">
              <w:rPr>
                <w:rFonts w:ascii="Times New Roman" w:hAnsi="Times New Roman"/>
                <w:b/>
                <w:bCs/>
              </w:rPr>
              <w:t xml:space="preserve">Počet projektů: </w:t>
            </w:r>
            <w:r w:rsidRPr="00506A83">
              <w:rPr>
                <w:rFonts w:ascii="Times New Roman" w:hAnsi="Times New Roman"/>
              </w:rPr>
              <w:t>5</w:t>
            </w:r>
          </w:p>
        </w:tc>
      </w:tr>
    </w:tbl>
    <w:p w14:paraId="746FEF44" w14:textId="77777777" w:rsidR="00265A82" w:rsidRPr="00506A83" w:rsidRDefault="00265A82" w:rsidP="005177B3">
      <w:pPr>
        <w:spacing w:before="120" w:after="120" w:line="276" w:lineRule="auto"/>
        <w:jc w:val="both"/>
        <w:rPr>
          <w:rFonts w:eastAsia="Georgia"/>
          <w:b/>
          <w:bCs/>
        </w:rPr>
      </w:pPr>
    </w:p>
    <w:p w14:paraId="053AEB1C" w14:textId="6D48A628" w:rsidR="00265A82" w:rsidRPr="00506A83" w:rsidRDefault="00265A82" w:rsidP="00344885">
      <w:pPr>
        <w:spacing w:before="120" w:after="120" w:line="276" w:lineRule="auto"/>
        <w:jc w:val="both"/>
      </w:pPr>
      <w:r w:rsidRPr="00506A83">
        <w:rPr>
          <w:rFonts w:eastAsia="Georgia"/>
        </w:rPr>
        <w:t xml:space="preserve">V roce 2025 realizovala ČRA v Etiopii celkem devět bilaterálních projektů české zahraniční rozvojové spolupráce, a to v sektorech </w:t>
      </w:r>
      <w:r w:rsidRPr="00506A83">
        <w:rPr>
          <w:rFonts w:eastAsia="Georgia"/>
          <w:b/>
          <w:bCs/>
        </w:rPr>
        <w:t>zemědělství a lesnictví</w:t>
      </w:r>
      <w:r w:rsidRPr="00506A83">
        <w:rPr>
          <w:rFonts w:eastAsia="Georgia"/>
        </w:rPr>
        <w:t xml:space="preserve"> a </w:t>
      </w:r>
      <w:r w:rsidRPr="00506A83">
        <w:rPr>
          <w:rFonts w:eastAsia="Georgia"/>
          <w:b/>
          <w:bCs/>
        </w:rPr>
        <w:t>voda a sanitace</w:t>
      </w:r>
      <w:r w:rsidRPr="00506A83">
        <w:rPr>
          <w:rFonts w:eastAsia="Georgia"/>
        </w:rPr>
        <w:t xml:space="preserve">, s důrazem na sektorovou oblast </w:t>
      </w:r>
      <w:r w:rsidRPr="00506A83">
        <w:rPr>
          <w:rFonts w:eastAsia="Georgia"/>
          <w:b/>
          <w:bCs/>
        </w:rPr>
        <w:t>udržitelného nakládání s přírodními zdroji</w:t>
      </w:r>
      <w:r w:rsidRPr="00506A83">
        <w:rPr>
          <w:rFonts w:eastAsia="Georgia"/>
        </w:rPr>
        <w:t xml:space="preserve">. </w:t>
      </w:r>
    </w:p>
    <w:p w14:paraId="405A37C3" w14:textId="6372ED95" w:rsidR="00265A82" w:rsidRPr="00506A83" w:rsidRDefault="00265A82" w:rsidP="005177B3">
      <w:pPr>
        <w:spacing w:before="120" w:after="120" w:line="276" w:lineRule="auto"/>
        <w:jc w:val="both"/>
      </w:pPr>
      <w:r w:rsidRPr="00506A83">
        <w:rPr>
          <w:rFonts w:eastAsia="Georgia"/>
        </w:rPr>
        <w:t xml:space="preserve">V sektoru </w:t>
      </w:r>
      <w:r w:rsidRPr="00506A83">
        <w:rPr>
          <w:rFonts w:eastAsia="Georgia"/>
          <w:b/>
          <w:bCs/>
        </w:rPr>
        <w:t>zemědělství a lesnictví</w:t>
      </w:r>
      <w:r w:rsidRPr="00506A83">
        <w:rPr>
          <w:rFonts w:eastAsia="Georgia"/>
        </w:rPr>
        <w:t xml:space="preserve"> byl rok 2025 ve znamení dokončení několika projektů zaměřených na obnovu krajiny „Adaptace zemědělských systémů na změny klimatu na rozvodí Reqame, v oblastech Halaba a Silte“ a „Adaptace zemědělských systémů na změny klimatu na rozvodí hory Hambaricho v oblasti Kembata Tembaro“.</w:t>
      </w:r>
      <w:r w:rsidRPr="00506A83">
        <w:rPr>
          <w:rFonts w:eastAsia="Georgia"/>
          <w:b/>
          <w:bCs/>
        </w:rPr>
        <w:t xml:space="preserve"> </w:t>
      </w:r>
    </w:p>
    <w:p w14:paraId="4B124225" w14:textId="79CB0078" w:rsidR="001119D3" w:rsidRPr="00506A83" w:rsidRDefault="001119D3" w:rsidP="005177B3">
      <w:pPr>
        <w:spacing w:before="120" w:after="120" w:line="276" w:lineRule="auto"/>
        <w:jc w:val="both"/>
        <w:rPr>
          <w:kern w:val="2"/>
          <w14:ligatures w14:val="standardContextual"/>
        </w:rPr>
      </w:pPr>
      <w:r w:rsidRPr="00506A83">
        <w:t xml:space="preserve">Realizace projektu </w:t>
      </w:r>
      <w:r w:rsidRPr="00506A83">
        <w:rPr>
          <w:b/>
          <w:bCs/>
        </w:rPr>
        <w:t>„Rehabilitace mokřadů Cheleleka a lesů v oblasti Wondo Genet“</w:t>
      </w:r>
      <w:r w:rsidRPr="00506A83">
        <w:t xml:space="preserve"> v roce 2025 kombinovala technická a biologická protierozní opatření, ochranu půdy, podporu hospodaření s vodou a prvky řešení odpadového hospodářství</w:t>
      </w:r>
      <w:r w:rsidR="0085533A" w:rsidRPr="00506A83">
        <w:t xml:space="preserve">. </w:t>
      </w:r>
      <w:r w:rsidRPr="00506A83">
        <w:t xml:space="preserve">Mezi pokračujícími </w:t>
      </w:r>
      <w:r w:rsidRPr="00506A83">
        <w:lastRenderedPageBreak/>
        <w:t xml:space="preserve">intervencemi byl také projekt </w:t>
      </w:r>
      <w:r w:rsidRPr="00506A83">
        <w:rPr>
          <w:b/>
          <w:bCs/>
        </w:rPr>
        <w:t>„Zlepšení kvality života zajištěním dostupnosti a udržitelným nakládáním s</w:t>
      </w:r>
      <w:r w:rsidR="004964CB" w:rsidRPr="00506A83">
        <w:rPr>
          <w:b/>
          <w:bCs/>
        </w:rPr>
        <w:t> </w:t>
      </w:r>
      <w:r w:rsidRPr="00506A83">
        <w:rPr>
          <w:b/>
          <w:bCs/>
        </w:rPr>
        <w:t>vodními zdroji v regionu Sidama a zónách Gamo a Gofa, Etiopie“</w:t>
      </w:r>
      <w:r w:rsidRPr="00506A83">
        <w:t xml:space="preserve">, realizovaný </w:t>
      </w:r>
      <w:r w:rsidRPr="00506A83">
        <w:rPr>
          <w:b/>
          <w:bCs/>
        </w:rPr>
        <w:t>Českou geologickou službou</w:t>
      </w:r>
      <w:r w:rsidRPr="00506A83">
        <w:t>, který v roce 2025 rozvíjel hydrogeologické a</w:t>
      </w:r>
      <w:r w:rsidR="007B5E03" w:rsidRPr="00506A83">
        <w:t> </w:t>
      </w:r>
      <w:r w:rsidRPr="00506A83">
        <w:t xml:space="preserve">hydrochemické mapování, tvorbu kvantitativních modelů a nástroje pro plánování využití podzemních vod. Nově zahájený projekt </w:t>
      </w:r>
      <w:r w:rsidRPr="00506A83">
        <w:rPr>
          <w:b/>
          <w:bCs/>
        </w:rPr>
        <w:t>„Obnova regionu Tigray: Udržitelné živobytí skrze přístup k vodě a rozvoj hodnotových řetězců“</w:t>
      </w:r>
      <w:r w:rsidRPr="00506A83">
        <w:t xml:space="preserve"> reaguje na dopady konfliktu v</w:t>
      </w:r>
      <w:r w:rsidR="004C1A3B" w:rsidRPr="00506A83">
        <w:t> </w:t>
      </w:r>
      <w:r w:rsidRPr="00506A83">
        <w:t>letech</w:t>
      </w:r>
      <w:r w:rsidR="004C1A3B" w:rsidRPr="00506A83">
        <w:t> </w:t>
      </w:r>
      <w:r w:rsidRPr="00506A83">
        <w:t>202</w:t>
      </w:r>
      <w:r w:rsidR="007B5E03" w:rsidRPr="00506A83">
        <w:t>0</w:t>
      </w:r>
      <w:r w:rsidR="004C1A3B" w:rsidRPr="00506A83">
        <w:t> - 2</w:t>
      </w:r>
      <w:r w:rsidRPr="00506A83">
        <w:t>022</w:t>
      </w:r>
      <w:r w:rsidR="004C1A3B" w:rsidRPr="00506A83">
        <w:t> </w:t>
      </w:r>
      <w:r w:rsidRPr="00506A83">
        <w:t>a posiluje odolné zemědělské systémy.</w:t>
      </w:r>
    </w:p>
    <w:p w14:paraId="0CF88982" w14:textId="3DE1E55A" w:rsidR="001119D3" w:rsidRPr="00506A83" w:rsidRDefault="001119D3" w:rsidP="000C040B">
      <w:pPr>
        <w:spacing w:before="120" w:after="120" w:line="276" w:lineRule="auto"/>
        <w:jc w:val="both"/>
      </w:pPr>
      <w:r w:rsidRPr="00506A83">
        <w:t xml:space="preserve">Projekty v sektoru </w:t>
      </w:r>
      <w:r w:rsidRPr="00506A83">
        <w:rPr>
          <w:b/>
          <w:bCs/>
        </w:rPr>
        <w:t>voda a sanitace</w:t>
      </w:r>
      <w:r w:rsidRPr="00506A83">
        <w:t xml:space="preserve"> v roce 2025 navázaly na dlouhodobé intervence zaměřené na zlepšení přístupu k pitné vodě a posílení kapacit institucí a provozovatelů. Dokončena byla realizace </w:t>
      </w:r>
      <w:r w:rsidRPr="00506A83">
        <w:rPr>
          <w:b/>
          <w:bCs/>
        </w:rPr>
        <w:t>„Zavedení udržitelného systému zásobování pitnou vodou wored Bura, Dale a</w:t>
      </w:r>
      <w:r w:rsidR="004964CB" w:rsidRPr="00506A83">
        <w:rPr>
          <w:b/>
          <w:bCs/>
        </w:rPr>
        <w:t> </w:t>
      </w:r>
      <w:r w:rsidRPr="00506A83">
        <w:rPr>
          <w:b/>
          <w:bCs/>
        </w:rPr>
        <w:t>Bona Zuriya“</w:t>
      </w:r>
      <w:r w:rsidRPr="00506A83">
        <w:t xml:space="preserve"> v rámci projektu </w:t>
      </w:r>
      <w:r w:rsidRPr="00506A83">
        <w:rPr>
          <w:b/>
          <w:bCs/>
        </w:rPr>
        <w:t>„Zlepšení kvality života obyvatel zóny Sidama cestou zajištění dostupnosti a udržitelného hospodaření s vodními zdroji“</w:t>
      </w:r>
      <w:r w:rsidRPr="00506A83">
        <w:t>, která kromě výstavby vodovodních systémů zahrn</w:t>
      </w:r>
      <w:r w:rsidR="004C1A3B" w:rsidRPr="00506A83">
        <w:t>ovala</w:t>
      </w:r>
      <w:r w:rsidRPr="00506A83">
        <w:t xml:space="preserve"> rozsáhlé kapacitní aktivity (provoz, řízení, nastavování tarifů a</w:t>
      </w:r>
      <w:r w:rsidR="004964CB" w:rsidRPr="00506A83">
        <w:t> </w:t>
      </w:r>
      <w:r w:rsidRPr="00506A83">
        <w:t xml:space="preserve">komunitní osvěta). Dále byl ukončen projekt </w:t>
      </w:r>
      <w:r w:rsidRPr="00506A83">
        <w:rPr>
          <w:b/>
          <w:bCs/>
        </w:rPr>
        <w:t>„Budování kapacit vybraných vodárenských podniků a vodních úřadů v poskytování služeb WASH v regionech SNNP, Sidama a</w:t>
      </w:r>
      <w:r w:rsidR="004964CB" w:rsidRPr="00506A83">
        <w:rPr>
          <w:b/>
          <w:bCs/>
        </w:rPr>
        <w:t> </w:t>
      </w:r>
      <w:r w:rsidRPr="00506A83">
        <w:rPr>
          <w:b/>
          <w:bCs/>
        </w:rPr>
        <w:t>Oromia“</w:t>
      </w:r>
      <w:r w:rsidRPr="00506A83">
        <w:t xml:space="preserve">, jenž posílil odborné dovednosti, transparentnost a odpovědnost institucí správy vodních zdrojů. Dokončen byl také projekt </w:t>
      </w:r>
      <w:r w:rsidRPr="00506A83">
        <w:rPr>
          <w:b/>
          <w:bCs/>
        </w:rPr>
        <w:t>„Podpora pracovních příležitostí v sektoru WASH pomocí kvalitního technického a odborného vzdělávání ve vybraných zónách SNNPR a Oromie“</w:t>
      </w:r>
      <w:r w:rsidRPr="00506A83">
        <w:t xml:space="preserve">. V roce 2025 byla rovněž dokončena </w:t>
      </w:r>
      <w:r w:rsidRPr="00506A83">
        <w:rPr>
          <w:b/>
          <w:bCs/>
        </w:rPr>
        <w:t>„Overall Verification of the Functionality of the Technical Solution for the Awaye Keraro Site</w:t>
      </w:r>
      <w:r w:rsidR="004C1A3B" w:rsidRPr="00506A83">
        <w:rPr>
          <w:b/>
          <w:bCs/>
        </w:rPr>
        <w:t>“</w:t>
      </w:r>
      <w:r w:rsidR="000C040B" w:rsidRPr="00506A83">
        <w:rPr>
          <w:b/>
          <w:bCs/>
        </w:rPr>
        <w:t>.</w:t>
      </w:r>
    </w:p>
    <w:p w14:paraId="13CBC61F" w14:textId="159ABF1D" w:rsidR="53BF51E0" w:rsidRPr="00506A83" w:rsidRDefault="53BF51E0" w:rsidP="005177B3">
      <w:pPr>
        <w:spacing w:before="120" w:after="120" w:line="276" w:lineRule="auto"/>
        <w:jc w:val="both"/>
      </w:pPr>
      <w:r w:rsidRPr="00506A83">
        <w:t>Uvedené projekty vytvářejí nezbytný referenční rámec pro zapojení ČRA</w:t>
      </w:r>
      <w:r w:rsidR="2E280337" w:rsidRPr="00506A83">
        <w:t xml:space="preserve"> (a jejím prostřednictvím českých řešení)</w:t>
      </w:r>
      <w:r w:rsidRPr="00506A83">
        <w:t xml:space="preserve"> do projektů financovaných EU</w:t>
      </w:r>
      <w:r w:rsidR="64BC1068" w:rsidRPr="00506A83">
        <w:t xml:space="preserve"> v oblasti vody, sanitace a</w:t>
      </w:r>
      <w:r w:rsidR="004964CB" w:rsidRPr="00506A83">
        <w:t> </w:t>
      </w:r>
      <w:r w:rsidR="64BC1068" w:rsidRPr="00506A83">
        <w:t xml:space="preserve">zdravotnictví. </w:t>
      </w:r>
    </w:p>
    <w:p w14:paraId="0CB781E5" w14:textId="32A00EBF" w:rsidR="00265A82" w:rsidRPr="00506A83" w:rsidRDefault="00265A82" w:rsidP="005177B3">
      <w:pPr>
        <w:spacing w:before="120" w:after="120" w:line="276" w:lineRule="auto"/>
        <w:jc w:val="both"/>
        <w:rPr>
          <w:rFonts w:eastAsia="Georgia"/>
          <w:b/>
          <w:bCs/>
          <w:sz w:val="28"/>
          <w:szCs w:val="28"/>
        </w:rPr>
      </w:pPr>
      <w:r w:rsidRPr="00506A83">
        <w:rPr>
          <w:rFonts w:eastAsia="Georgia"/>
          <w:b/>
          <w:bCs/>
          <w:sz w:val="28"/>
          <w:szCs w:val="28"/>
        </w:rPr>
        <w:t xml:space="preserve">Gruzie </w:t>
      </w:r>
    </w:p>
    <w:tbl>
      <w:tblPr>
        <w:tblStyle w:val="Mkatabulky"/>
        <w:tblW w:w="9322" w:type="dxa"/>
        <w:tblLook w:val="04A0" w:firstRow="1" w:lastRow="0" w:firstColumn="1" w:lastColumn="0" w:noHBand="0" w:noVBand="1"/>
      </w:tblPr>
      <w:tblGrid>
        <w:gridCol w:w="2802"/>
        <w:gridCol w:w="6520"/>
      </w:tblGrid>
      <w:tr w:rsidR="00265A82" w:rsidRPr="00506A83" w14:paraId="5D8CC71A" w14:textId="77777777" w:rsidTr="50799D89">
        <w:tc>
          <w:tcPr>
            <w:tcW w:w="2802" w:type="dxa"/>
            <w:vMerge w:val="restart"/>
            <w:shd w:val="clear" w:color="auto" w:fill="C1E4F5" w:themeFill="accent1" w:themeFillTint="33"/>
          </w:tcPr>
          <w:p w14:paraId="76FEDA3F" w14:textId="77777777" w:rsidR="00265A82" w:rsidRPr="00506A83" w:rsidRDefault="00265A82" w:rsidP="005177B3">
            <w:pPr>
              <w:spacing w:before="120" w:after="120" w:line="276" w:lineRule="auto"/>
              <w:rPr>
                <w:rFonts w:ascii="Times New Roman" w:hAnsi="Times New Roman"/>
                <w:b/>
                <w:bCs/>
              </w:rPr>
            </w:pPr>
            <w:r w:rsidRPr="00506A83">
              <w:rPr>
                <w:rFonts w:ascii="Times New Roman" w:hAnsi="Times New Roman"/>
                <w:b/>
                <w:bCs/>
              </w:rPr>
              <w:t>Bilaterální projekty</w:t>
            </w:r>
          </w:p>
          <w:p w14:paraId="2A079B99" w14:textId="77777777" w:rsidR="00265A82" w:rsidRPr="00506A83" w:rsidRDefault="00265A82" w:rsidP="005177B3">
            <w:pPr>
              <w:spacing w:before="120" w:after="120" w:line="276" w:lineRule="auto"/>
              <w:rPr>
                <w:rFonts w:ascii="Times New Roman" w:hAnsi="Times New Roman"/>
              </w:rPr>
            </w:pPr>
          </w:p>
          <w:p w14:paraId="00E9080A" w14:textId="77777777" w:rsidR="00265A82" w:rsidRPr="00506A83" w:rsidRDefault="00265A82" w:rsidP="005177B3">
            <w:pPr>
              <w:spacing w:before="120" w:after="120" w:line="276" w:lineRule="auto"/>
              <w:rPr>
                <w:rFonts w:ascii="Times New Roman" w:eastAsia="Georgia" w:hAnsi="Times New Roman"/>
              </w:rPr>
            </w:pPr>
          </w:p>
        </w:tc>
        <w:tc>
          <w:tcPr>
            <w:tcW w:w="6520" w:type="dxa"/>
          </w:tcPr>
          <w:p w14:paraId="06E617BE" w14:textId="77777777" w:rsidR="00265A82" w:rsidRPr="00506A83" w:rsidRDefault="00265A82" w:rsidP="005177B3">
            <w:pPr>
              <w:spacing w:before="120" w:after="120" w:line="276" w:lineRule="auto"/>
              <w:rPr>
                <w:rFonts w:ascii="Times New Roman" w:hAnsi="Times New Roman"/>
              </w:rPr>
            </w:pPr>
            <w:r w:rsidRPr="00506A83">
              <w:rPr>
                <w:rFonts w:ascii="Times New Roman" w:hAnsi="Times New Roman"/>
                <w:b/>
                <w:bCs/>
              </w:rPr>
              <w:t>Celková částka:</w:t>
            </w:r>
            <w:r w:rsidRPr="00506A83">
              <w:rPr>
                <w:rFonts w:ascii="Times New Roman" w:hAnsi="Times New Roman"/>
              </w:rPr>
              <w:t xml:space="preserve"> 49 197 692,54 Kč z toho:</w:t>
            </w:r>
          </w:p>
          <w:p w14:paraId="442978AA" w14:textId="20A0FEF5" w:rsidR="00265A82" w:rsidRPr="00506A83" w:rsidRDefault="00265A82" w:rsidP="005177B3">
            <w:pPr>
              <w:pStyle w:val="Odstavecseseznamem"/>
              <w:numPr>
                <w:ilvl w:val="0"/>
                <w:numId w:val="30"/>
              </w:numPr>
              <w:spacing w:before="120" w:after="120" w:line="276" w:lineRule="auto"/>
              <w:jc w:val="both"/>
              <w:rPr>
                <w:rFonts w:ascii="Times New Roman" w:eastAsia="Georgia" w:hAnsi="Times New Roman"/>
                <w:lang w:val="cs-CZ"/>
              </w:rPr>
            </w:pPr>
            <w:r w:rsidRPr="00506A83">
              <w:rPr>
                <w:rFonts w:ascii="Times New Roman" w:eastAsia="Georgia" w:hAnsi="Times New Roman"/>
                <w:lang w:val="cs-CZ"/>
              </w:rPr>
              <w:t>41,2 mil. Kč v rámci bilaterálních projektů (včetně 4,3 mil. Kč v rámci DS se spoluúčastí ČRA).</w:t>
            </w:r>
          </w:p>
          <w:p w14:paraId="533CC635" w14:textId="6842543B" w:rsidR="00265A82" w:rsidRPr="00506A83" w:rsidRDefault="00265A82" w:rsidP="005177B3">
            <w:pPr>
              <w:pStyle w:val="Odstavecseseznamem"/>
              <w:numPr>
                <w:ilvl w:val="0"/>
                <w:numId w:val="30"/>
              </w:numPr>
              <w:spacing w:before="120" w:after="120" w:line="276" w:lineRule="auto"/>
              <w:jc w:val="both"/>
              <w:rPr>
                <w:rFonts w:ascii="Times New Roman" w:eastAsia="Georgia" w:hAnsi="Times New Roman"/>
                <w:lang w:val="cs-CZ"/>
              </w:rPr>
            </w:pPr>
            <w:r w:rsidRPr="00506A83">
              <w:rPr>
                <w:rFonts w:ascii="Times New Roman" w:eastAsia="Georgia" w:hAnsi="Times New Roman"/>
                <w:lang w:val="cs-CZ"/>
              </w:rPr>
              <w:t>8 mil. Kč v rámci rozpočtového opatření z ČRA.</w:t>
            </w:r>
          </w:p>
        </w:tc>
      </w:tr>
      <w:tr w:rsidR="00265A82" w:rsidRPr="00506A83" w14:paraId="652D654B" w14:textId="77777777" w:rsidTr="50799D89">
        <w:tc>
          <w:tcPr>
            <w:tcW w:w="2802" w:type="dxa"/>
            <w:vMerge/>
          </w:tcPr>
          <w:p w14:paraId="7CBF2734" w14:textId="77777777" w:rsidR="00265A82" w:rsidRPr="00506A83" w:rsidRDefault="00265A82" w:rsidP="005177B3">
            <w:pPr>
              <w:spacing w:before="120" w:after="120" w:line="276" w:lineRule="auto"/>
              <w:rPr>
                <w:rFonts w:ascii="Times New Roman" w:eastAsia="Georgia" w:hAnsi="Times New Roman"/>
              </w:rPr>
            </w:pPr>
          </w:p>
        </w:tc>
        <w:tc>
          <w:tcPr>
            <w:tcW w:w="6520" w:type="dxa"/>
          </w:tcPr>
          <w:p w14:paraId="320E2EFD" w14:textId="53A655F1" w:rsidR="00265A82" w:rsidRPr="00506A83" w:rsidRDefault="00265A82" w:rsidP="005177B3">
            <w:pPr>
              <w:spacing w:before="120" w:after="120" w:line="276" w:lineRule="auto"/>
              <w:jc w:val="both"/>
              <w:rPr>
                <w:rFonts w:ascii="Times New Roman" w:eastAsia="Georgia" w:hAnsi="Times New Roman"/>
              </w:rPr>
            </w:pPr>
            <w:r w:rsidRPr="00506A83">
              <w:rPr>
                <w:rFonts w:ascii="Times New Roman" w:hAnsi="Times New Roman"/>
                <w:b/>
                <w:bCs/>
              </w:rPr>
              <w:t>Počet projektů:</w:t>
            </w:r>
            <w:r w:rsidRPr="00506A83">
              <w:rPr>
                <w:rFonts w:ascii="Times New Roman" w:hAnsi="Times New Roman"/>
              </w:rPr>
              <w:t xml:space="preserve"> </w:t>
            </w:r>
            <w:r w:rsidRPr="00506A83">
              <w:rPr>
                <w:rFonts w:ascii="Times New Roman" w:hAnsi="Times New Roman"/>
                <w:b/>
                <w:bCs/>
              </w:rPr>
              <w:t>7</w:t>
            </w:r>
          </w:p>
        </w:tc>
      </w:tr>
      <w:tr w:rsidR="00265A82" w:rsidRPr="00506A83" w14:paraId="7FCF01D3" w14:textId="77777777" w:rsidTr="50799D89">
        <w:tc>
          <w:tcPr>
            <w:tcW w:w="2802" w:type="dxa"/>
            <w:vMerge w:val="restart"/>
            <w:shd w:val="clear" w:color="auto" w:fill="C1E4F5" w:themeFill="accent1" w:themeFillTint="33"/>
          </w:tcPr>
          <w:p w14:paraId="1993CFBB" w14:textId="77777777" w:rsidR="00265A82" w:rsidRPr="00506A83" w:rsidRDefault="00265A82" w:rsidP="005177B3">
            <w:pPr>
              <w:spacing w:before="120" w:after="120" w:line="276" w:lineRule="auto"/>
              <w:rPr>
                <w:rFonts w:ascii="Times New Roman" w:hAnsi="Times New Roman"/>
              </w:rPr>
            </w:pPr>
            <w:r w:rsidRPr="00506A83">
              <w:rPr>
                <w:rFonts w:ascii="Times New Roman" w:hAnsi="Times New Roman"/>
                <w:b/>
                <w:bCs/>
              </w:rPr>
              <w:t>Delegovaná spolupráce</w:t>
            </w:r>
            <w:r w:rsidRPr="00506A83">
              <w:rPr>
                <w:rFonts w:ascii="Times New Roman" w:hAnsi="Times New Roman"/>
              </w:rPr>
              <w:t xml:space="preserve"> (DS)</w:t>
            </w:r>
          </w:p>
          <w:p w14:paraId="5694F879" w14:textId="77777777" w:rsidR="00265A82" w:rsidRPr="00506A83" w:rsidRDefault="00265A82" w:rsidP="005177B3">
            <w:pPr>
              <w:spacing w:before="120" w:after="120" w:line="276" w:lineRule="auto"/>
              <w:rPr>
                <w:rFonts w:ascii="Times New Roman" w:hAnsi="Times New Roman"/>
              </w:rPr>
            </w:pPr>
          </w:p>
        </w:tc>
        <w:tc>
          <w:tcPr>
            <w:tcW w:w="6520" w:type="dxa"/>
          </w:tcPr>
          <w:p w14:paraId="2DF1C419" w14:textId="77777777" w:rsidR="007E7149" w:rsidRPr="00506A83" w:rsidRDefault="00265A82" w:rsidP="007E7149">
            <w:pPr>
              <w:spacing w:before="120" w:after="120" w:line="276" w:lineRule="auto"/>
              <w:rPr>
                <w:rFonts w:ascii="Times New Roman" w:hAnsi="Times New Roman"/>
              </w:rPr>
            </w:pPr>
            <w:r w:rsidRPr="00506A83">
              <w:rPr>
                <w:rFonts w:ascii="Times New Roman" w:hAnsi="Times New Roman"/>
                <w:b/>
                <w:bCs/>
              </w:rPr>
              <w:t xml:space="preserve">Celková částka: </w:t>
            </w:r>
            <w:r w:rsidRPr="00506A83">
              <w:rPr>
                <w:rFonts w:ascii="Times New Roman" w:hAnsi="Times New Roman"/>
              </w:rPr>
              <w:t>20 389 286,21 Kč</w:t>
            </w:r>
          </w:p>
          <w:p w14:paraId="3951524C" w14:textId="1134B433" w:rsidR="00265A82" w:rsidRPr="00506A83" w:rsidRDefault="00265A82" w:rsidP="007E7149">
            <w:pPr>
              <w:spacing w:before="120" w:after="120" w:line="276" w:lineRule="auto"/>
              <w:rPr>
                <w:rFonts w:ascii="Times New Roman" w:eastAsia="Georgia" w:hAnsi="Times New Roman"/>
                <w:i/>
                <w:iCs/>
              </w:rPr>
            </w:pPr>
            <w:r w:rsidRPr="00506A83">
              <w:rPr>
                <w:rFonts w:ascii="Times New Roman" w:hAnsi="Times New Roman"/>
                <w:i/>
                <w:iCs/>
                <w:sz w:val="22"/>
                <w:szCs w:val="22"/>
              </w:rPr>
              <w:t>*Spoluúčast zakomponována do kategorie „bilaterální projekty“</w:t>
            </w:r>
          </w:p>
        </w:tc>
      </w:tr>
      <w:tr w:rsidR="00265A82" w:rsidRPr="00506A83" w14:paraId="315FF9CD" w14:textId="77777777" w:rsidTr="50799D89">
        <w:tc>
          <w:tcPr>
            <w:tcW w:w="2802" w:type="dxa"/>
            <w:vMerge/>
          </w:tcPr>
          <w:p w14:paraId="43860226" w14:textId="77777777" w:rsidR="00265A82" w:rsidRPr="00506A83" w:rsidRDefault="00265A82" w:rsidP="005177B3">
            <w:pPr>
              <w:spacing w:before="120" w:after="120" w:line="276" w:lineRule="auto"/>
              <w:rPr>
                <w:rFonts w:ascii="Times New Roman" w:hAnsi="Times New Roman"/>
              </w:rPr>
            </w:pPr>
          </w:p>
        </w:tc>
        <w:tc>
          <w:tcPr>
            <w:tcW w:w="6520" w:type="dxa"/>
          </w:tcPr>
          <w:p w14:paraId="237A9983" w14:textId="25CF672A" w:rsidR="00265A82" w:rsidRPr="00506A83" w:rsidRDefault="00265A82" w:rsidP="005177B3">
            <w:pPr>
              <w:spacing w:before="120" w:after="120" w:line="276" w:lineRule="auto"/>
              <w:rPr>
                <w:rFonts w:ascii="Times New Roman" w:hAnsi="Times New Roman"/>
              </w:rPr>
            </w:pPr>
            <w:r w:rsidRPr="00506A83">
              <w:rPr>
                <w:rFonts w:ascii="Times New Roman" w:hAnsi="Times New Roman"/>
                <w:b/>
                <w:bCs/>
              </w:rPr>
              <w:t xml:space="preserve">Počet projektů: </w:t>
            </w:r>
            <w:r w:rsidRPr="00506A83">
              <w:rPr>
                <w:rFonts w:ascii="Times New Roman" w:hAnsi="Times New Roman"/>
              </w:rPr>
              <w:t>2</w:t>
            </w:r>
          </w:p>
        </w:tc>
      </w:tr>
      <w:tr w:rsidR="00265A82" w:rsidRPr="00506A83" w14:paraId="75A90F6E" w14:textId="77777777" w:rsidTr="50799D89">
        <w:tc>
          <w:tcPr>
            <w:tcW w:w="2802" w:type="dxa"/>
            <w:vMerge w:val="restart"/>
            <w:shd w:val="clear" w:color="auto" w:fill="C1E4F5" w:themeFill="accent1" w:themeFillTint="33"/>
          </w:tcPr>
          <w:p w14:paraId="53F8D2A9" w14:textId="77777777" w:rsidR="00265A82" w:rsidRPr="00506A83" w:rsidRDefault="00265A82" w:rsidP="005177B3">
            <w:pPr>
              <w:spacing w:before="120" w:after="120" w:line="276" w:lineRule="auto"/>
              <w:rPr>
                <w:rFonts w:ascii="Times New Roman" w:eastAsia="Georgia" w:hAnsi="Times New Roman"/>
                <w:b/>
                <w:bCs/>
              </w:rPr>
            </w:pPr>
            <w:r w:rsidRPr="00506A83">
              <w:rPr>
                <w:rFonts w:ascii="Times New Roman" w:eastAsia="Georgia" w:hAnsi="Times New Roman"/>
                <w:b/>
                <w:bCs/>
              </w:rPr>
              <w:t>Trojstranné projekty</w:t>
            </w:r>
          </w:p>
        </w:tc>
        <w:tc>
          <w:tcPr>
            <w:tcW w:w="6520" w:type="dxa"/>
          </w:tcPr>
          <w:p w14:paraId="715F7219" w14:textId="20B58E60" w:rsidR="00265A82" w:rsidRPr="00506A83" w:rsidRDefault="00265A82" w:rsidP="005177B3">
            <w:pPr>
              <w:spacing w:before="120" w:after="120" w:line="276" w:lineRule="auto"/>
              <w:rPr>
                <w:rFonts w:ascii="Times New Roman" w:hAnsi="Times New Roman"/>
                <w:b/>
                <w:bCs/>
              </w:rPr>
            </w:pPr>
            <w:r w:rsidRPr="00506A83">
              <w:rPr>
                <w:rFonts w:ascii="Times New Roman" w:hAnsi="Times New Roman"/>
                <w:b/>
                <w:bCs/>
              </w:rPr>
              <w:t xml:space="preserve">Celková částka: </w:t>
            </w:r>
            <w:r w:rsidRPr="00506A83">
              <w:rPr>
                <w:rFonts w:ascii="Times New Roman" w:hAnsi="Times New Roman"/>
              </w:rPr>
              <w:t>615 250,00 Kč</w:t>
            </w:r>
          </w:p>
        </w:tc>
      </w:tr>
      <w:tr w:rsidR="00265A82" w:rsidRPr="00506A83" w14:paraId="4C11DC04" w14:textId="77777777" w:rsidTr="50799D89">
        <w:tc>
          <w:tcPr>
            <w:tcW w:w="2802" w:type="dxa"/>
            <w:vMerge/>
          </w:tcPr>
          <w:p w14:paraId="71C1F3CE" w14:textId="77777777" w:rsidR="00265A82" w:rsidRPr="00506A83" w:rsidRDefault="00265A82" w:rsidP="005177B3">
            <w:pPr>
              <w:spacing w:before="120" w:after="120" w:line="276" w:lineRule="auto"/>
              <w:rPr>
                <w:rFonts w:ascii="Times New Roman" w:eastAsia="Georgia" w:hAnsi="Times New Roman"/>
                <w:b/>
                <w:bCs/>
              </w:rPr>
            </w:pPr>
          </w:p>
        </w:tc>
        <w:tc>
          <w:tcPr>
            <w:tcW w:w="6520" w:type="dxa"/>
          </w:tcPr>
          <w:p w14:paraId="38B327FD" w14:textId="77777777" w:rsidR="00265A82" w:rsidRPr="00506A83" w:rsidRDefault="00265A82" w:rsidP="005177B3">
            <w:pPr>
              <w:spacing w:before="120" w:after="120" w:line="276" w:lineRule="auto"/>
              <w:rPr>
                <w:rFonts w:ascii="Times New Roman" w:hAnsi="Times New Roman"/>
                <w:b/>
                <w:bCs/>
              </w:rPr>
            </w:pPr>
            <w:r w:rsidRPr="00506A83">
              <w:rPr>
                <w:rFonts w:ascii="Times New Roman" w:hAnsi="Times New Roman"/>
                <w:b/>
                <w:bCs/>
              </w:rPr>
              <w:t xml:space="preserve">Počet projektů: </w:t>
            </w:r>
            <w:r w:rsidRPr="00506A83">
              <w:rPr>
                <w:rFonts w:ascii="Times New Roman" w:hAnsi="Times New Roman"/>
              </w:rPr>
              <w:t>1</w:t>
            </w:r>
          </w:p>
        </w:tc>
      </w:tr>
    </w:tbl>
    <w:p w14:paraId="64326DC0" w14:textId="77777777" w:rsidR="00265A82" w:rsidRPr="00506A83" w:rsidRDefault="00265A82" w:rsidP="005177B3">
      <w:pPr>
        <w:pStyle w:val="Odstavecseseznamem"/>
        <w:spacing w:before="120" w:after="120" w:line="276" w:lineRule="auto"/>
        <w:jc w:val="both"/>
        <w:rPr>
          <w:rFonts w:eastAsia="Georgia"/>
          <w:lang w:val="cs-CZ"/>
        </w:rPr>
      </w:pPr>
    </w:p>
    <w:p w14:paraId="35B4E716" w14:textId="7ECBF351" w:rsidR="001119D3" w:rsidRPr="00506A83" w:rsidRDefault="001119D3" w:rsidP="005177B3">
      <w:pPr>
        <w:spacing w:before="120" w:after="120" w:line="276" w:lineRule="auto"/>
        <w:jc w:val="both"/>
        <w:rPr>
          <w:kern w:val="2"/>
          <w14:ligatures w14:val="standardContextual"/>
        </w:rPr>
      </w:pPr>
      <w:r w:rsidRPr="00506A83">
        <w:t xml:space="preserve">V roce 2025 realizovala ČRA v Gruzii celkem </w:t>
      </w:r>
      <w:r w:rsidRPr="00506A83">
        <w:rPr>
          <w:b/>
          <w:bCs/>
        </w:rPr>
        <w:t>sedm</w:t>
      </w:r>
      <w:r w:rsidRPr="00506A83">
        <w:t xml:space="preserve"> bilaterálních projektů české zahraniční rozvojové spolupráce ve třech prioritních sektorových oblastech: </w:t>
      </w:r>
      <w:r w:rsidRPr="00506A83">
        <w:rPr>
          <w:b/>
          <w:bCs/>
        </w:rPr>
        <w:t>inkluzivní sociální rozvoj</w:t>
      </w:r>
      <w:r w:rsidRPr="00506A83">
        <w:t xml:space="preserve"> (</w:t>
      </w:r>
      <w:r w:rsidR="00AD2D0A" w:rsidRPr="00506A83">
        <w:t xml:space="preserve">zahrnující </w:t>
      </w:r>
      <w:r w:rsidRPr="00506A83">
        <w:t xml:space="preserve">sektor </w:t>
      </w:r>
      <w:r w:rsidRPr="00506A83">
        <w:rPr>
          <w:b/>
          <w:bCs/>
        </w:rPr>
        <w:t>zdravotnictví</w:t>
      </w:r>
      <w:r w:rsidRPr="00506A83">
        <w:t xml:space="preserve">), </w:t>
      </w:r>
      <w:r w:rsidRPr="00506A83">
        <w:rPr>
          <w:b/>
          <w:bCs/>
        </w:rPr>
        <w:t>životní prostředí a rozvoj venkova</w:t>
      </w:r>
      <w:r w:rsidRPr="00506A83">
        <w:t xml:space="preserve"> (</w:t>
      </w:r>
      <w:r w:rsidR="00AD2D0A" w:rsidRPr="00506A83">
        <w:t xml:space="preserve">zahrnující </w:t>
      </w:r>
      <w:r w:rsidRPr="00506A83">
        <w:t xml:space="preserve">sektor </w:t>
      </w:r>
      <w:r w:rsidRPr="00506A83">
        <w:rPr>
          <w:b/>
          <w:bCs/>
        </w:rPr>
        <w:t>zemědělství a lesnictví</w:t>
      </w:r>
      <w:r w:rsidRPr="00506A83">
        <w:t xml:space="preserve">) a </w:t>
      </w:r>
      <w:r w:rsidRPr="00506A83">
        <w:rPr>
          <w:b/>
          <w:bCs/>
        </w:rPr>
        <w:t>podpora veřejné správy a občanské společnosti</w:t>
      </w:r>
      <w:r w:rsidRPr="00506A83">
        <w:t xml:space="preserve"> (</w:t>
      </w:r>
      <w:r w:rsidR="00AD2D0A" w:rsidRPr="00506A83">
        <w:t xml:space="preserve">zahrnující </w:t>
      </w:r>
      <w:r w:rsidRPr="00506A83">
        <w:t xml:space="preserve">sektor </w:t>
      </w:r>
      <w:r w:rsidRPr="00506A83">
        <w:rPr>
          <w:b/>
          <w:bCs/>
        </w:rPr>
        <w:t>veřejná správa a občanská společnost</w:t>
      </w:r>
      <w:r w:rsidR="00D953C8" w:rsidRPr="00506A83">
        <w:t>).</w:t>
      </w:r>
    </w:p>
    <w:p w14:paraId="3A6CBFB0" w14:textId="4C954D16" w:rsidR="001119D3" w:rsidRPr="00506A83" w:rsidRDefault="001119D3" w:rsidP="005177B3">
      <w:pPr>
        <w:spacing w:before="120" w:after="120" w:line="276" w:lineRule="auto"/>
        <w:jc w:val="both"/>
        <w:rPr>
          <w:kern w:val="2"/>
          <w14:ligatures w14:val="standardContextual"/>
        </w:rPr>
      </w:pPr>
      <w:r w:rsidRPr="00506A83">
        <w:t xml:space="preserve">V oblasti </w:t>
      </w:r>
      <w:r w:rsidRPr="00506A83">
        <w:rPr>
          <w:b/>
          <w:bCs/>
        </w:rPr>
        <w:t>inkluzivního sociálního rozvoje</w:t>
      </w:r>
      <w:r w:rsidRPr="00506A83">
        <w:t xml:space="preserve"> pokračovala ČRA v podpoře dostupnosti sociálních a zdravotních služeb pro děti, mládež a další zranitelné skupiny. Projekt </w:t>
      </w:r>
      <w:r w:rsidRPr="00506A83">
        <w:rPr>
          <w:b/>
          <w:bCs/>
        </w:rPr>
        <w:t>„Podpora rozvoje sociálních služeb pro mládež v Dusheti“</w:t>
      </w:r>
      <w:r w:rsidRPr="00506A83">
        <w:t xml:space="preserve"> v roce 2025 dále rozvíjel kompetence a</w:t>
      </w:r>
      <w:r w:rsidR="004964CB" w:rsidRPr="00506A83">
        <w:t> </w:t>
      </w:r>
      <w:r w:rsidRPr="00506A83">
        <w:t xml:space="preserve">zaměstnatelnost mladých lidí a zlepšoval jejich uplatnění na trhu práce. Dokončen byl projekt </w:t>
      </w:r>
      <w:r w:rsidRPr="00506A83">
        <w:rPr>
          <w:b/>
          <w:bCs/>
        </w:rPr>
        <w:t>„Zlepšení služeb rané péče a inkluzivního vzdělání pro děti se speciálními potřebami v</w:t>
      </w:r>
      <w:r w:rsidR="004964CB" w:rsidRPr="00506A83">
        <w:rPr>
          <w:b/>
          <w:bCs/>
        </w:rPr>
        <w:t> </w:t>
      </w:r>
      <w:r w:rsidRPr="00506A83">
        <w:rPr>
          <w:b/>
          <w:bCs/>
        </w:rPr>
        <w:t>Gruzii“</w:t>
      </w:r>
      <w:r w:rsidRPr="00506A83">
        <w:t>, který rozšířil dostupnost rané péče a podpory rodin v cílových regionech. Systémovou intervenc</w:t>
      </w:r>
      <w:r w:rsidR="00EF700E" w:rsidRPr="00506A83">
        <w:t>i</w:t>
      </w:r>
      <w:r w:rsidRPr="00506A83">
        <w:t xml:space="preserve"> v sektoru zdravotnictví </w:t>
      </w:r>
      <w:r w:rsidR="005E5F2B" w:rsidRPr="00506A83">
        <w:t>před</w:t>
      </w:r>
      <w:r w:rsidR="00EF700E" w:rsidRPr="00506A83">
        <w:t>stavuje</w:t>
      </w:r>
      <w:r w:rsidRPr="00506A83">
        <w:t xml:space="preserve"> projekt </w:t>
      </w:r>
      <w:r w:rsidRPr="00506A83">
        <w:rPr>
          <w:b/>
          <w:bCs/>
        </w:rPr>
        <w:t>„Prevence rakoviny a</w:t>
      </w:r>
      <w:r w:rsidR="004964CB" w:rsidRPr="00506A83">
        <w:rPr>
          <w:b/>
          <w:bCs/>
        </w:rPr>
        <w:t> </w:t>
      </w:r>
      <w:r w:rsidRPr="00506A83">
        <w:rPr>
          <w:b/>
          <w:bCs/>
        </w:rPr>
        <w:t>zlepšení péče v Gruzii“</w:t>
      </w:r>
      <w:r w:rsidRPr="00506A83">
        <w:t xml:space="preserve">, realizovaný </w:t>
      </w:r>
      <w:r w:rsidRPr="00506A83">
        <w:rPr>
          <w:b/>
          <w:bCs/>
        </w:rPr>
        <w:t>Charitou ČR</w:t>
      </w:r>
      <w:r w:rsidRPr="00506A83">
        <w:t xml:space="preserve">, který se v roce 2025 zaměřil zejména na zkvalitnění sběru a zpracování dat v onkologickém registru a zavádění digitálních nástrojů pro screening a diagnostiku; součástí bylo také vybavení pracovišť, </w:t>
      </w:r>
      <w:r w:rsidR="00E44490" w:rsidRPr="00506A83">
        <w:t>posilování kapacit zdravotnick</w:t>
      </w:r>
      <w:r w:rsidR="001C07B5" w:rsidRPr="00506A83">
        <w:t>ého personálu</w:t>
      </w:r>
      <w:r w:rsidRPr="00506A83">
        <w:t xml:space="preserve"> a osvětové aktivity zaměřené na prevenci a včasné odhalení onemocnění. V oblasti </w:t>
      </w:r>
      <w:r w:rsidRPr="00506A83">
        <w:rPr>
          <w:b/>
          <w:bCs/>
        </w:rPr>
        <w:t>životního prostředí a rozvoje venkova</w:t>
      </w:r>
      <w:r w:rsidRPr="00506A83">
        <w:t xml:space="preserve"> se aktivity soustředily na rozvoj chráněných území a zlepšení podmínek místních komunit. V CHKO Aragvi byly v roce 2025 dokončeny projekty </w:t>
      </w:r>
      <w:r w:rsidRPr="00506A83">
        <w:rPr>
          <w:b/>
          <w:bCs/>
        </w:rPr>
        <w:t>„Zvyšování bezpečnosti a podpora rozvoje turistických stezek v</w:t>
      </w:r>
      <w:r w:rsidR="004964CB" w:rsidRPr="00506A83">
        <w:rPr>
          <w:b/>
          <w:bCs/>
        </w:rPr>
        <w:t> </w:t>
      </w:r>
      <w:r w:rsidRPr="00506A83">
        <w:rPr>
          <w:b/>
          <w:bCs/>
        </w:rPr>
        <w:t>Aragvi“</w:t>
      </w:r>
      <w:r w:rsidRPr="00506A83">
        <w:t xml:space="preserve"> (vyznačení a zkvalitnění tras jako přínos pro bezpečnost a udržitelný cestovní ruch) a </w:t>
      </w:r>
      <w:r w:rsidRPr="00506A83">
        <w:rPr>
          <w:b/>
          <w:bCs/>
        </w:rPr>
        <w:t>„Lepší vzdělávání, zdravotnictví a sociální služby pro komunity v Aragvi“</w:t>
      </w:r>
      <w:r w:rsidRPr="00506A83">
        <w:t xml:space="preserve"> (podpora ohrožených domácností při rekvalifikaci a zahájení podnikání). V CHKO Tana a Tedzami pokračoval projekt </w:t>
      </w:r>
      <w:r w:rsidRPr="00506A83">
        <w:rPr>
          <w:b/>
          <w:bCs/>
        </w:rPr>
        <w:t>„Harmonický rozvoj CHKO Tana a Tedzami a místních komunit“</w:t>
      </w:r>
      <w:r w:rsidRPr="00506A83">
        <w:t xml:space="preserve">, který v roce 2025 kombinoval přípravu plánu řízení území s aktivitami na podporu místní socioekonomické situace. Na tento přístup navazuje projekt </w:t>
      </w:r>
      <w:r w:rsidRPr="00506A83">
        <w:rPr>
          <w:b/>
          <w:bCs/>
        </w:rPr>
        <w:t>„Lesnický projekt v chráněné krajinné oblasti Tana a Tedzami (Gruzie)“</w:t>
      </w:r>
      <w:r w:rsidRPr="00506A83">
        <w:t>, jenž podporuje moderní lesnické postupy, využití inovativních technologií, monitoring zdravotního stavu lesů a posilování odborných kapacit institucí.</w:t>
      </w:r>
    </w:p>
    <w:p w14:paraId="47EDA625" w14:textId="49CE0E5E" w:rsidR="00265A82" w:rsidRPr="00506A83" w:rsidRDefault="00265A82" w:rsidP="007E7149">
      <w:pPr>
        <w:spacing w:before="120" w:after="120" w:line="276" w:lineRule="auto"/>
        <w:jc w:val="both"/>
        <w:rPr>
          <w:rFonts w:eastAsia="Georgia"/>
        </w:rPr>
      </w:pPr>
      <w:r w:rsidRPr="00506A83">
        <w:rPr>
          <w:rFonts w:eastAsia="Georgia"/>
        </w:rPr>
        <w:t xml:space="preserve">Oblast </w:t>
      </w:r>
      <w:r w:rsidRPr="00506A83">
        <w:rPr>
          <w:rFonts w:eastAsia="Georgia"/>
          <w:b/>
          <w:bCs/>
        </w:rPr>
        <w:t>podpory veřejné správy a občanské společnosti</w:t>
      </w:r>
      <w:r w:rsidRPr="00506A83">
        <w:rPr>
          <w:rFonts w:eastAsia="Georgia"/>
        </w:rPr>
        <w:t>, do níž spadaly zbývající dva realizované projekty, je podrobněji rozpracována v části věnované delegované spolupráci.</w:t>
      </w:r>
    </w:p>
    <w:p w14:paraId="5A86DC8E" w14:textId="77777777" w:rsidR="007E7149" w:rsidRPr="00506A83" w:rsidRDefault="007E7149" w:rsidP="007E7149">
      <w:pPr>
        <w:spacing w:before="120" w:after="120" w:line="276" w:lineRule="auto"/>
        <w:jc w:val="both"/>
        <w:rPr>
          <w:rFonts w:eastAsia="Georgia"/>
        </w:rPr>
      </w:pPr>
    </w:p>
    <w:p w14:paraId="6FC90362" w14:textId="77777777" w:rsidR="00F94F82" w:rsidRPr="00506A83" w:rsidRDefault="00F94F82" w:rsidP="007E7149">
      <w:pPr>
        <w:spacing w:before="120" w:after="120" w:line="276" w:lineRule="auto"/>
        <w:jc w:val="both"/>
        <w:rPr>
          <w:rFonts w:eastAsia="Georgia"/>
        </w:rPr>
      </w:pPr>
    </w:p>
    <w:p w14:paraId="454FD91C" w14:textId="1900BB80" w:rsidR="00F0726A" w:rsidRPr="00506A83" w:rsidRDefault="00F0726A">
      <w:pPr>
        <w:rPr>
          <w:rFonts w:eastAsia="Georgia"/>
        </w:rPr>
      </w:pPr>
      <w:r w:rsidRPr="00506A83">
        <w:rPr>
          <w:rFonts w:eastAsia="Georgia"/>
        </w:rPr>
        <w:br w:type="page"/>
      </w:r>
    </w:p>
    <w:p w14:paraId="5CCB81B8" w14:textId="0A003722" w:rsidR="00265A82" w:rsidRPr="00506A83" w:rsidRDefault="00265A82" w:rsidP="005177B3">
      <w:pPr>
        <w:spacing w:before="120" w:after="120" w:line="276" w:lineRule="auto"/>
        <w:jc w:val="both"/>
        <w:rPr>
          <w:rFonts w:eastAsia="Cardo"/>
          <w:b/>
          <w:bCs/>
          <w:sz w:val="28"/>
          <w:szCs w:val="28"/>
        </w:rPr>
      </w:pPr>
      <w:r w:rsidRPr="00506A83">
        <w:rPr>
          <w:rFonts w:eastAsia="Cardo"/>
          <w:b/>
          <w:bCs/>
          <w:sz w:val="28"/>
          <w:szCs w:val="28"/>
        </w:rPr>
        <w:lastRenderedPageBreak/>
        <w:t>Kambodža</w:t>
      </w:r>
    </w:p>
    <w:tbl>
      <w:tblPr>
        <w:tblStyle w:val="Mkatabulky"/>
        <w:tblW w:w="9322" w:type="dxa"/>
        <w:tblLook w:val="04A0" w:firstRow="1" w:lastRow="0" w:firstColumn="1" w:lastColumn="0" w:noHBand="0" w:noVBand="1"/>
      </w:tblPr>
      <w:tblGrid>
        <w:gridCol w:w="2802"/>
        <w:gridCol w:w="6520"/>
      </w:tblGrid>
      <w:tr w:rsidR="00265A82" w:rsidRPr="00506A83" w14:paraId="505F4584" w14:textId="77777777" w:rsidTr="00A91C00">
        <w:tc>
          <w:tcPr>
            <w:tcW w:w="2802" w:type="dxa"/>
            <w:vMerge w:val="restart"/>
            <w:shd w:val="clear" w:color="auto" w:fill="C1E4F5" w:themeFill="accent1" w:themeFillTint="33"/>
          </w:tcPr>
          <w:p w14:paraId="063C5094" w14:textId="77777777" w:rsidR="00265A82" w:rsidRPr="00506A83" w:rsidRDefault="00265A82" w:rsidP="005177B3">
            <w:pPr>
              <w:spacing w:before="120" w:after="120" w:line="276" w:lineRule="auto"/>
              <w:rPr>
                <w:rFonts w:ascii="Times New Roman" w:hAnsi="Times New Roman"/>
                <w:b/>
                <w:bCs/>
              </w:rPr>
            </w:pPr>
            <w:r w:rsidRPr="00506A83">
              <w:rPr>
                <w:rFonts w:ascii="Times New Roman" w:hAnsi="Times New Roman"/>
                <w:b/>
                <w:bCs/>
              </w:rPr>
              <w:t>Bilaterální projekty</w:t>
            </w:r>
          </w:p>
          <w:p w14:paraId="436FA838" w14:textId="77777777" w:rsidR="00265A82" w:rsidRPr="00506A83" w:rsidRDefault="00265A82" w:rsidP="005177B3">
            <w:pPr>
              <w:spacing w:before="120" w:after="120" w:line="276" w:lineRule="auto"/>
              <w:rPr>
                <w:rFonts w:ascii="Times New Roman" w:eastAsia="Georgia" w:hAnsi="Times New Roman"/>
              </w:rPr>
            </w:pPr>
          </w:p>
        </w:tc>
        <w:tc>
          <w:tcPr>
            <w:tcW w:w="6520" w:type="dxa"/>
          </w:tcPr>
          <w:p w14:paraId="2D9536AD" w14:textId="77777777" w:rsidR="00265A82" w:rsidRPr="00506A83" w:rsidRDefault="00265A82" w:rsidP="005177B3">
            <w:pPr>
              <w:spacing w:before="120" w:after="120" w:line="276" w:lineRule="auto"/>
              <w:jc w:val="both"/>
              <w:rPr>
                <w:rFonts w:ascii="Times New Roman" w:eastAsia="Georgia" w:hAnsi="Times New Roman"/>
              </w:rPr>
            </w:pPr>
            <w:r w:rsidRPr="00506A83">
              <w:rPr>
                <w:rFonts w:ascii="Times New Roman" w:hAnsi="Times New Roman"/>
                <w:b/>
                <w:bCs/>
              </w:rPr>
              <w:t>Celková částka:</w:t>
            </w:r>
            <w:r w:rsidRPr="00506A83">
              <w:rPr>
                <w:rFonts w:ascii="Times New Roman" w:hAnsi="Times New Roman"/>
              </w:rPr>
              <w:t xml:space="preserve"> </w:t>
            </w:r>
            <w:r w:rsidRPr="00506A83">
              <w:rPr>
                <w:rFonts w:ascii="Times New Roman" w:eastAsia="Georgia" w:hAnsi="Times New Roman"/>
              </w:rPr>
              <w:t xml:space="preserve">31 004 308 Kč </w:t>
            </w:r>
          </w:p>
        </w:tc>
      </w:tr>
      <w:tr w:rsidR="00265A82" w:rsidRPr="00506A83" w14:paraId="4FC15EC3" w14:textId="77777777" w:rsidTr="00A91C00">
        <w:tc>
          <w:tcPr>
            <w:tcW w:w="2802" w:type="dxa"/>
            <w:vMerge/>
            <w:shd w:val="clear" w:color="auto" w:fill="C1E4F5" w:themeFill="accent1" w:themeFillTint="33"/>
          </w:tcPr>
          <w:p w14:paraId="71FABB68" w14:textId="77777777" w:rsidR="00265A82" w:rsidRPr="00506A83" w:rsidRDefault="00265A82" w:rsidP="005177B3">
            <w:pPr>
              <w:spacing w:before="120" w:after="120" w:line="276" w:lineRule="auto"/>
              <w:rPr>
                <w:rFonts w:ascii="Times New Roman" w:eastAsia="Georgia" w:hAnsi="Times New Roman"/>
              </w:rPr>
            </w:pPr>
          </w:p>
        </w:tc>
        <w:tc>
          <w:tcPr>
            <w:tcW w:w="6520" w:type="dxa"/>
          </w:tcPr>
          <w:p w14:paraId="3AF4788C" w14:textId="77777777" w:rsidR="00265A82" w:rsidRPr="00506A83" w:rsidRDefault="00265A82" w:rsidP="005177B3">
            <w:pPr>
              <w:spacing w:before="120" w:after="120" w:line="276" w:lineRule="auto"/>
              <w:jc w:val="both"/>
              <w:rPr>
                <w:rFonts w:ascii="Times New Roman" w:eastAsia="Georgia" w:hAnsi="Times New Roman"/>
              </w:rPr>
            </w:pPr>
            <w:r w:rsidRPr="00506A83">
              <w:rPr>
                <w:rFonts w:ascii="Times New Roman" w:hAnsi="Times New Roman"/>
                <w:b/>
                <w:bCs/>
              </w:rPr>
              <w:t>Počet projektů:</w:t>
            </w:r>
            <w:r w:rsidRPr="00506A83">
              <w:rPr>
                <w:rFonts w:ascii="Times New Roman" w:hAnsi="Times New Roman"/>
              </w:rPr>
              <w:t xml:space="preserve"> 4</w:t>
            </w:r>
          </w:p>
        </w:tc>
      </w:tr>
      <w:tr w:rsidR="00265A82" w:rsidRPr="00506A83" w14:paraId="78EDB442" w14:textId="77777777" w:rsidTr="00A91C00">
        <w:tc>
          <w:tcPr>
            <w:tcW w:w="2802" w:type="dxa"/>
            <w:vMerge w:val="restart"/>
            <w:shd w:val="clear" w:color="auto" w:fill="C1E4F5" w:themeFill="accent1" w:themeFillTint="33"/>
          </w:tcPr>
          <w:p w14:paraId="3ED0E494" w14:textId="77777777" w:rsidR="00265A82" w:rsidRPr="00506A83" w:rsidRDefault="00265A82" w:rsidP="005177B3">
            <w:pPr>
              <w:spacing w:before="120" w:after="120" w:line="276" w:lineRule="auto"/>
              <w:rPr>
                <w:rFonts w:ascii="Times New Roman" w:eastAsia="Georgia" w:hAnsi="Times New Roman"/>
              </w:rPr>
            </w:pPr>
            <w:r w:rsidRPr="00506A83">
              <w:rPr>
                <w:rFonts w:ascii="Times New Roman" w:eastAsia="Georgia" w:hAnsi="Times New Roman"/>
                <w:b/>
                <w:bCs/>
              </w:rPr>
              <w:t>B2B</w:t>
            </w:r>
          </w:p>
        </w:tc>
        <w:tc>
          <w:tcPr>
            <w:tcW w:w="6520" w:type="dxa"/>
          </w:tcPr>
          <w:p w14:paraId="514FAEB2" w14:textId="7023C3BA" w:rsidR="00265A82" w:rsidRPr="00506A83" w:rsidRDefault="00265A82" w:rsidP="005177B3">
            <w:pPr>
              <w:spacing w:before="120" w:after="120" w:line="276" w:lineRule="auto"/>
              <w:rPr>
                <w:rFonts w:ascii="Times New Roman" w:eastAsia="Georgia" w:hAnsi="Times New Roman"/>
              </w:rPr>
            </w:pPr>
            <w:r w:rsidRPr="00506A83">
              <w:rPr>
                <w:rFonts w:ascii="Times New Roman" w:hAnsi="Times New Roman"/>
                <w:b/>
                <w:bCs/>
              </w:rPr>
              <w:t xml:space="preserve">Celková částka: </w:t>
            </w:r>
            <w:r w:rsidRPr="00506A83">
              <w:rPr>
                <w:rFonts w:ascii="Times New Roman" w:hAnsi="Times New Roman"/>
              </w:rPr>
              <w:t>1 710 785,45 Kč</w:t>
            </w:r>
          </w:p>
        </w:tc>
      </w:tr>
      <w:tr w:rsidR="00265A82" w:rsidRPr="00506A83" w14:paraId="6D9F3BD0" w14:textId="77777777" w:rsidTr="00A91C00">
        <w:tc>
          <w:tcPr>
            <w:tcW w:w="2802" w:type="dxa"/>
            <w:vMerge/>
            <w:shd w:val="clear" w:color="auto" w:fill="C1E4F5" w:themeFill="accent1" w:themeFillTint="33"/>
          </w:tcPr>
          <w:p w14:paraId="522940C3" w14:textId="77777777" w:rsidR="00265A82" w:rsidRPr="00506A83" w:rsidRDefault="00265A82" w:rsidP="005177B3">
            <w:pPr>
              <w:spacing w:before="120" w:after="120" w:line="276" w:lineRule="auto"/>
              <w:rPr>
                <w:rFonts w:ascii="Times New Roman" w:eastAsia="Georgia" w:hAnsi="Times New Roman"/>
                <w:b/>
                <w:bCs/>
              </w:rPr>
            </w:pPr>
          </w:p>
        </w:tc>
        <w:tc>
          <w:tcPr>
            <w:tcW w:w="6520" w:type="dxa"/>
          </w:tcPr>
          <w:p w14:paraId="13A64B30" w14:textId="77777777" w:rsidR="00265A82" w:rsidRPr="00506A83" w:rsidRDefault="00265A82" w:rsidP="005177B3">
            <w:pPr>
              <w:spacing w:before="120" w:after="120" w:line="276" w:lineRule="auto"/>
              <w:rPr>
                <w:rFonts w:ascii="Times New Roman" w:hAnsi="Times New Roman"/>
                <w:b/>
                <w:bCs/>
              </w:rPr>
            </w:pPr>
            <w:r w:rsidRPr="00506A83">
              <w:rPr>
                <w:rFonts w:ascii="Times New Roman" w:hAnsi="Times New Roman"/>
                <w:b/>
                <w:bCs/>
              </w:rPr>
              <w:t xml:space="preserve">Počet projektů: </w:t>
            </w:r>
            <w:r w:rsidRPr="00506A83">
              <w:rPr>
                <w:rFonts w:ascii="Times New Roman" w:hAnsi="Times New Roman"/>
              </w:rPr>
              <w:t>1</w:t>
            </w:r>
          </w:p>
        </w:tc>
      </w:tr>
      <w:tr w:rsidR="00265A82" w:rsidRPr="00506A83" w14:paraId="39A68F56" w14:textId="77777777" w:rsidTr="00A91C00">
        <w:tc>
          <w:tcPr>
            <w:tcW w:w="2802" w:type="dxa"/>
            <w:vMerge w:val="restart"/>
            <w:shd w:val="clear" w:color="auto" w:fill="C1E4F5" w:themeFill="accent1" w:themeFillTint="33"/>
          </w:tcPr>
          <w:p w14:paraId="10C6906E" w14:textId="77777777" w:rsidR="00265A82" w:rsidRPr="00506A83" w:rsidRDefault="00265A82" w:rsidP="005177B3">
            <w:pPr>
              <w:spacing w:before="120" w:after="120" w:line="276" w:lineRule="auto"/>
              <w:rPr>
                <w:rFonts w:ascii="Times New Roman" w:eastAsia="Georgia" w:hAnsi="Times New Roman"/>
                <w:b/>
                <w:bCs/>
              </w:rPr>
            </w:pPr>
            <w:r w:rsidRPr="00506A83">
              <w:rPr>
                <w:rFonts w:ascii="Times New Roman" w:eastAsia="Georgia" w:hAnsi="Times New Roman"/>
                <w:b/>
                <w:bCs/>
              </w:rPr>
              <w:t>Trojstranné projekty</w:t>
            </w:r>
          </w:p>
        </w:tc>
        <w:tc>
          <w:tcPr>
            <w:tcW w:w="6520" w:type="dxa"/>
          </w:tcPr>
          <w:p w14:paraId="7C508FB8" w14:textId="2718A205" w:rsidR="00265A82" w:rsidRPr="00506A83" w:rsidRDefault="00265A82" w:rsidP="005177B3">
            <w:pPr>
              <w:spacing w:before="120" w:after="120" w:line="276" w:lineRule="auto"/>
              <w:rPr>
                <w:rFonts w:ascii="Times New Roman" w:hAnsi="Times New Roman"/>
                <w:b/>
                <w:bCs/>
              </w:rPr>
            </w:pPr>
            <w:r w:rsidRPr="00506A83">
              <w:rPr>
                <w:rFonts w:ascii="Times New Roman" w:hAnsi="Times New Roman"/>
                <w:b/>
                <w:bCs/>
              </w:rPr>
              <w:t xml:space="preserve">Celková částka: </w:t>
            </w:r>
            <w:r w:rsidRPr="00506A83">
              <w:rPr>
                <w:rFonts w:ascii="Times New Roman" w:hAnsi="Times New Roman"/>
              </w:rPr>
              <w:t>9 431 187,25 Kč</w:t>
            </w:r>
          </w:p>
        </w:tc>
      </w:tr>
      <w:tr w:rsidR="00265A82" w:rsidRPr="00506A83" w14:paraId="22487CDF" w14:textId="77777777" w:rsidTr="00A91C00">
        <w:tc>
          <w:tcPr>
            <w:tcW w:w="2802" w:type="dxa"/>
            <w:vMerge/>
            <w:shd w:val="clear" w:color="auto" w:fill="C1E4F5" w:themeFill="accent1" w:themeFillTint="33"/>
          </w:tcPr>
          <w:p w14:paraId="45D5BC12" w14:textId="77777777" w:rsidR="00265A82" w:rsidRPr="00506A83" w:rsidRDefault="00265A82" w:rsidP="005177B3">
            <w:pPr>
              <w:spacing w:before="120" w:after="120" w:line="276" w:lineRule="auto"/>
              <w:rPr>
                <w:rFonts w:ascii="Times New Roman" w:eastAsia="Georgia" w:hAnsi="Times New Roman"/>
                <w:b/>
                <w:bCs/>
              </w:rPr>
            </w:pPr>
          </w:p>
        </w:tc>
        <w:tc>
          <w:tcPr>
            <w:tcW w:w="6520" w:type="dxa"/>
          </w:tcPr>
          <w:p w14:paraId="339CD29C" w14:textId="77777777" w:rsidR="00265A82" w:rsidRPr="00506A83" w:rsidRDefault="00265A82" w:rsidP="005177B3">
            <w:pPr>
              <w:spacing w:before="120" w:after="120" w:line="276" w:lineRule="auto"/>
              <w:rPr>
                <w:rFonts w:ascii="Times New Roman" w:hAnsi="Times New Roman"/>
                <w:b/>
                <w:bCs/>
              </w:rPr>
            </w:pPr>
            <w:r w:rsidRPr="00506A83">
              <w:rPr>
                <w:rFonts w:ascii="Times New Roman" w:hAnsi="Times New Roman"/>
                <w:b/>
                <w:bCs/>
              </w:rPr>
              <w:t xml:space="preserve">Počet projektů: </w:t>
            </w:r>
            <w:r w:rsidRPr="00506A83">
              <w:rPr>
                <w:rFonts w:ascii="Times New Roman" w:hAnsi="Times New Roman"/>
              </w:rPr>
              <w:t>3</w:t>
            </w:r>
          </w:p>
        </w:tc>
      </w:tr>
    </w:tbl>
    <w:p w14:paraId="53F66F62" w14:textId="77777777" w:rsidR="007E7149" w:rsidRPr="00506A83" w:rsidRDefault="007E7149" w:rsidP="005177B3">
      <w:pPr>
        <w:spacing w:before="120" w:after="120" w:line="276" w:lineRule="auto"/>
        <w:jc w:val="both"/>
      </w:pPr>
    </w:p>
    <w:p w14:paraId="6AEDB83E" w14:textId="1B047F9E" w:rsidR="001119D3" w:rsidRPr="00506A83" w:rsidRDefault="001119D3" w:rsidP="005177B3">
      <w:pPr>
        <w:spacing w:before="120" w:after="120" w:line="276" w:lineRule="auto"/>
        <w:jc w:val="both"/>
        <w:rPr>
          <w:kern w:val="2"/>
          <w14:ligatures w14:val="standardContextual"/>
        </w:rPr>
      </w:pPr>
      <w:r w:rsidRPr="00506A83">
        <w:t xml:space="preserve">V rámci bilaterální spolupráce se projekty realizované v roce 2025 v Kambodži zaměřovaly na sektory </w:t>
      </w:r>
      <w:r w:rsidRPr="00506A83">
        <w:rPr>
          <w:b/>
          <w:bCs/>
        </w:rPr>
        <w:t>zdravotnictví</w:t>
      </w:r>
      <w:r w:rsidRPr="00506A83">
        <w:t xml:space="preserve"> a </w:t>
      </w:r>
      <w:r w:rsidRPr="00506A83">
        <w:rPr>
          <w:b/>
          <w:bCs/>
        </w:rPr>
        <w:t>vzdělávání</w:t>
      </w:r>
      <w:r w:rsidRPr="00506A83">
        <w:t>.</w:t>
      </w:r>
      <w:r w:rsidR="2DCA1C57" w:rsidRPr="00506A83">
        <w:t xml:space="preserve"> </w:t>
      </w:r>
      <w:r w:rsidR="3D82A639" w:rsidRPr="00506A83">
        <w:t>Na referenční dodávky v rámci zdravotnictví již zároveň navázaly komerční aktivity českých firem, které byly do projektu zapojeny</w:t>
      </w:r>
      <w:r w:rsidR="44AACEE2" w:rsidRPr="00506A83">
        <w:t>.</w:t>
      </w:r>
    </w:p>
    <w:p w14:paraId="697E535F" w14:textId="75A5A654" w:rsidR="001119D3" w:rsidRPr="00506A83" w:rsidRDefault="001119D3" w:rsidP="005177B3">
      <w:pPr>
        <w:spacing w:before="120" w:after="120" w:line="276" w:lineRule="auto"/>
        <w:jc w:val="both"/>
        <w:rPr>
          <w:kern w:val="2"/>
          <w14:ligatures w14:val="standardContextual"/>
        </w:rPr>
      </w:pPr>
      <w:r w:rsidRPr="00506A83">
        <w:t xml:space="preserve">V sektoru </w:t>
      </w:r>
      <w:r w:rsidRPr="00506A83">
        <w:rPr>
          <w:b/>
          <w:bCs/>
        </w:rPr>
        <w:t>zdravotnictví</w:t>
      </w:r>
      <w:r w:rsidRPr="00506A83">
        <w:t xml:space="preserve"> pokračovala v roce 2025 realizace projektu </w:t>
      </w:r>
      <w:r w:rsidRPr="00506A83">
        <w:rPr>
          <w:b/>
          <w:bCs/>
        </w:rPr>
        <w:t>„České perinatologické ruce letí do Kambodže, fáze II, CZ PeriCare II“</w:t>
      </w:r>
      <w:r w:rsidRPr="00506A83">
        <w:t>, který navazuje na předchozí fáze zvyšování kvality perinatologické péče v kambodžských nemocnicích a přispívá ke snižování mateřské a</w:t>
      </w:r>
      <w:r w:rsidR="004964CB" w:rsidRPr="00506A83">
        <w:t> </w:t>
      </w:r>
      <w:r w:rsidRPr="00506A83">
        <w:t xml:space="preserve">novorozenecké úmrtnosti. V roce 2025 byl dokončen projekt </w:t>
      </w:r>
      <w:r w:rsidRPr="00506A83">
        <w:rPr>
          <w:b/>
          <w:bCs/>
        </w:rPr>
        <w:t>„Podpora vzdělání a</w:t>
      </w:r>
      <w:r w:rsidR="004964CB" w:rsidRPr="00506A83">
        <w:rPr>
          <w:b/>
          <w:bCs/>
        </w:rPr>
        <w:t> </w:t>
      </w:r>
      <w:r w:rsidRPr="00506A83">
        <w:rPr>
          <w:b/>
          <w:bCs/>
        </w:rPr>
        <w:t>propagace biomedicínského inženýrství v Kambodži“</w:t>
      </w:r>
      <w:r w:rsidRPr="00506A83">
        <w:t xml:space="preserve">, realizovaný </w:t>
      </w:r>
      <w:r w:rsidRPr="00506A83">
        <w:rPr>
          <w:b/>
          <w:bCs/>
        </w:rPr>
        <w:t>Českým vysokým učením technickým v Praze</w:t>
      </w:r>
      <w:r w:rsidRPr="00506A83">
        <w:t xml:space="preserve">, který propojil sektory </w:t>
      </w:r>
      <w:r w:rsidRPr="00506A83">
        <w:rPr>
          <w:b/>
          <w:bCs/>
        </w:rPr>
        <w:t>zdravotnictví</w:t>
      </w:r>
      <w:r w:rsidRPr="00506A83">
        <w:t xml:space="preserve"> a </w:t>
      </w:r>
      <w:r w:rsidRPr="00506A83">
        <w:rPr>
          <w:b/>
          <w:bCs/>
        </w:rPr>
        <w:t>vzdělávání</w:t>
      </w:r>
      <w:r w:rsidRPr="00506A83">
        <w:t>: posílil kvalitu výuky biomedicínského inženýrství revizí sylabů a tvorbou laboratorních úloh, zkvalitnil laboratorní zázemí pro praktickou výuku a podpořil propagaci oboru. Výsledkem je stabilizace a zkvalitnění jediného oboru biomedicínského inženýrství v zemi (Associate Degree in Medical Engineering) založeného v rámci předchozí české bilaterální podpory.</w:t>
      </w:r>
    </w:p>
    <w:p w14:paraId="0330AE7C" w14:textId="18CF49F8" w:rsidR="004975D8" w:rsidRPr="00506A83" w:rsidRDefault="001119D3" w:rsidP="005177B3">
      <w:pPr>
        <w:spacing w:before="120" w:after="120" w:line="276" w:lineRule="auto"/>
        <w:jc w:val="both"/>
        <w:rPr>
          <w:rFonts w:ascii="Georgia" w:eastAsia="Georgia" w:hAnsi="Georgia" w:cs="Georgia"/>
        </w:rPr>
      </w:pPr>
      <w:r w:rsidRPr="00506A83">
        <w:t xml:space="preserve">V oblasti </w:t>
      </w:r>
      <w:r w:rsidRPr="00506A83">
        <w:rPr>
          <w:b/>
          <w:bCs/>
        </w:rPr>
        <w:t>vzdělávání</w:t>
      </w:r>
      <w:r w:rsidRPr="00506A83">
        <w:t xml:space="preserve"> byl v roce 2025 dokončen projekt </w:t>
      </w:r>
      <w:r w:rsidRPr="00506A83">
        <w:rPr>
          <w:b/>
          <w:bCs/>
        </w:rPr>
        <w:t>„Zlepšení kvality středoškolského technického vzdělávání v oblasti akvakultury v</w:t>
      </w:r>
      <w:r w:rsidR="008730A4" w:rsidRPr="00506A83">
        <w:rPr>
          <w:b/>
          <w:bCs/>
        </w:rPr>
        <w:t> </w:t>
      </w:r>
      <w:r w:rsidRPr="00506A83">
        <w:rPr>
          <w:b/>
          <w:bCs/>
        </w:rPr>
        <w:t>Kambodži</w:t>
      </w:r>
      <w:r w:rsidR="008730A4" w:rsidRPr="00506A83">
        <w:rPr>
          <w:b/>
          <w:bCs/>
        </w:rPr>
        <w:t xml:space="preserve">“. </w:t>
      </w:r>
      <w:r w:rsidR="00586734" w:rsidRPr="00506A83">
        <w:t>V</w:t>
      </w:r>
      <w:r w:rsidRPr="00506A83">
        <w:t xml:space="preserve"> provincii Battambang </w:t>
      </w:r>
      <w:r w:rsidR="00586734" w:rsidRPr="00506A83">
        <w:t xml:space="preserve">byl </w:t>
      </w:r>
      <w:r w:rsidRPr="00506A83">
        <w:t xml:space="preserve">zahájen projekt </w:t>
      </w:r>
      <w:r w:rsidRPr="00506A83">
        <w:rPr>
          <w:b/>
          <w:bCs/>
        </w:rPr>
        <w:t>„SmartAgriCambodia: Podpora udržitelného zemědělství v</w:t>
      </w:r>
      <w:r w:rsidR="007B5E03" w:rsidRPr="00506A83">
        <w:rPr>
          <w:b/>
          <w:bCs/>
        </w:rPr>
        <w:t> </w:t>
      </w:r>
      <w:r w:rsidRPr="00506A83">
        <w:rPr>
          <w:b/>
          <w:bCs/>
        </w:rPr>
        <w:t>Battambangu“</w:t>
      </w:r>
      <w:r w:rsidRPr="00506A83">
        <w:t xml:space="preserve">, jenž </w:t>
      </w:r>
      <w:r w:rsidR="003757BF" w:rsidRPr="00506A83">
        <w:t>se zaměřuje na modernizaci odborného zemědělského vzdělávání a</w:t>
      </w:r>
      <w:r w:rsidR="007B5E03" w:rsidRPr="00506A83">
        <w:t> </w:t>
      </w:r>
      <w:r w:rsidR="003757BF" w:rsidRPr="00506A83">
        <w:t>podporu zemědělství prostřednictvím zavádění principů chytrého zemědělství, moderních technologií a českých technických řešení. Jeho cílem je posílit odborné, institucionální a</w:t>
      </w:r>
      <w:r w:rsidR="007B5E03" w:rsidRPr="00506A83">
        <w:t> </w:t>
      </w:r>
      <w:r w:rsidR="003757BF" w:rsidRPr="00506A83">
        <w:t>technické kapacity, které umožní zvyšování produktivity, kvality zemědělské produkce a lepší uplatnění místních producentů na trhu.</w:t>
      </w:r>
      <w:r w:rsidR="00A129F8" w:rsidRPr="00506A83">
        <w:t xml:space="preserve"> </w:t>
      </w:r>
      <w:r w:rsidR="004975D8" w:rsidRPr="00506A83">
        <w:t xml:space="preserve">Klíčovým výstupem </w:t>
      </w:r>
      <w:r w:rsidR="008B013C" w:rsidRPr="00506A83">
        <w:t xml:space="preserve">prvního roku projektu </w:t>
      </w:r>
      <w:r w:rsidR="004975D8" w:rsidRPr="00506A83">
        <w:t>byla rozsáhlá analytická práce zaměřená na zemědělská družstva a hlavní zemědělské hodnotové řetězce, která umožnila detailní identifikaci bariér i rozvojových příležitostí pro zvýšení produktivity, kvality produkce a přístupu na trh. Na jejím základě byla rovněž vybrána družstva, která budou v letech 2026–2027 podpořena dodávkami českých technologických řešení.</w:t>
      </w:r>
    </w:p>
    <w:p w14:paraId="3E8B1AA6" w14:textId="77777777" w:rsidR="00F94F82" w:rsidRPr="00506A83" w:rsidRDefault="00F94F82" w:rsidP="005177B3">
      <w:pPr>
        <w:spacing w:before="120" w:after="120" w:line="276" w:lineRule="auto"/>
        <w:jc w:val="both"/>
        <w:rPr>
          <w:rFonts w:eastAsia="Georgia"/>
          <w:b/>
          <w:bCs/>
          <w:sz w:val="28"/>
          <w:szCs w:val="28"/>
        </w:rPr>
      </w:pPr>
    </w:p>
    <w:p w14:paraId="5F0892FE" w14:textId="2348E522" w:rsidR="00265A82" w:rsidRPr="00506A83" w:rsidRDefault="00265A82" w:rsidP="005177B3">
      <w:pPr>
        <w:spacing w:before="120" w:after="120" w:line="276" w:lineRule="auto"/>
        <w:jc w:val="both"/>
        <w:rPr>
          <w:rFonts w:eastAsia="Georgia"/>
          <w:b/>
          <w:bCs/>
          <w:sz w:val="28"/>
          <w:szCs w:val="28"/>
        </w:rPr>
      </w:pPr>
      <w:r w:rsidRPr="00506A83">
        <w:rPr>
          <w:rFonts w:eastAsia="Georgia"/>
          <w:b/>
          <w:bCs/>
          <w:sz w:val="28"/>
          <w:szCs w:val="28"/>
        </w:rPr>
        <w:lastRenderedPageBreak/>
        <w:t>Moldavsko</w:t>
      </w:r>
    </w:p>
    <w:tbl>
      <w:tblPr>
        <w:tblStyle w:val="Mkatabulky"/>
        <w:tblW w:w="9322" w:type="dxa"/>
        <w:tblLook w:val="04A0" w:firstRow="1" w:lastRow="0" w:firstColumn="1" w:lastColumn="0" w:noHBand="0" w:noVBand="1"/>
      </w:tblPr>
      <w:tblGrid>
        <w:gridCol w:w="2802"/>
        <w:gridCol w:w="6520"/>
      </w:tblGrid>
      <w:tr w:rsidR="00265A82" w:rsidRPr="00506A83" w14:paraId="59F5A836" w14:textId="77777777" w:rsidTr="50799D89">
        <w:tc>
          <w:tcPr>
            <w:tcW w:w="2802" w:type="dxa"/>
            <w:vMerge w:val="restart"/>
            <w:shd w:val="clear" w:color="auto" w:fill="C1E4F5" w:themeFill="accent1" w:themeFillTint="33"/>
          </w:tcPr>
          <w:p w14:paraId="66FC136E" w14:textId="77777777" w:rsidR="00265A82" w:rsidRPr="00506A83" w:rsidRDefault="00265A82" w:rsidP="005177B3">
            <w:pPr>
              <w:spacing w:before="120" w:after="120" w:line="276" w:lineRule="auto"/>
              <w:rPr>
                <w:rFonts w:ascii="Times New Roman" w:hAnsi="Times New Roman"/>
                <w:b/>
                <w:bCs/>
              </w:rPr>
            </w:pPr>
            <w:r w:rsidRPr="00506A83">
              <w:rPr>
                <w:rFonts w:ascii="Times New Roman" w:hAnsi="Times New Roman"/>
                <w:b/>
                <w:bCs/>
              </w:rPr>
              <w:t>Bilaterální projekty</w:t>
            </w:r>
          </w:p>
          <w:p w14:paraId="6F825825" w14:textId="77777777" w:rsidR="00265A82" w:rsidRPr="00506A83" w:rsidRDefault="00265A82" w:rsidP="005177B3">
            <w:pPr>
              <w:spacing w:before="120" w:after="120" w:line="276" w:lineRule="auto"/>
              <w:rPr>
                <w:rFonts w:ascii="Times New Roman" w:hAnsi="Times New Roman"/>
              </w:rPr>
            </w:pPr>
          </w:p>
          <w:p w14:paraId="767C86F0" w14:textId="77777777" w:rsidR="00265A82" w:rsidRPr="00506A83" w:rsidRDefault="00265A82" w:rsidP="005177B3">
            <w:pPr>
              <w:spacing w:before="120" w:after="120" w:line="276" w:lineRule="auto"/>
              <w:rPr>
                <w:rFonts w:ascii="Times New Roman" w:eastAsia="Georgia" w:hAnsi="Times New Roman"/>
              </w:rPr>
            </w:pPr>
          </w:p>
        </w:tc>
        <w:tc>
          <w:tcPr>
            <w:tcW w:w="6520" w:type="dxa"/>
          </w:tcPr>
          <w:p w14:paraId="22519D00" w14:textId="1E2880DE" w:rsidR="00265A82" w:rsidRPr="00506A83" w:rsidRDefault="00265A82" w:rsidP="005177B3">
            <w:pPr>
              <w:spacing w:before="120" w:after="120" w:line="276" w:lineRule="auto"/>
              <w:jc w:val="both"/>
              <w:rPr>
                <w:rFonts w:ascii="Times New Roman" w:eastAsia="Georgia" w:hAnsi="Times New Roman"/>
              </w:rPr>
            </w:pPr>
            <w:r w:rsidRPr="00506A83">
              <w:rPr>
                <w:rFonts w:ascii="Times New Roman" w:hAnsi="Times New Roman"/>
                <w:b/>
                <w:bCs/>
              </w:rPr>
              <w:t>Celková částka:</w:t>
            </w:r>
            <w:r w:rsidRPr="00506A83">
              <w:rPr>
                <w:rFonts w:ascii="Times New Roman" w:hAnsi="Times New Roman"/>
              </w:rPr>
              <w:t xml:space="preserve"> </w:t>
            </w:r>
            <w:r w:rsidRPr="00506A83">
              <w:rPr>
                <w:rFonts w:ascii="Times New Roman" w:eastAsia="Georgia" w:hAnsi="Times New Roman"/>
              </w:rPr>
              <w:t>54 897 348,1</w:t>
            </w:r>
            <w:r w:rsidR="004C1A3B" w:rsidRPr="00506A83">
              <w:rPr>
                <w:rFonts w:ascii="Times New Roman" w:eastAsia="Georgia" w:hAnsi="Times New Roman"/>
              </w:rPr>
              <w:t>0</w:t>
            </w:r>
            <w:r w:rsidRPr="00506A83">
              <w:rPr>
                <w:rFonts w:ascii="Times New Roman" w:eastAsia="Georgia" w:hAnsi="Times New Roman"/>
              </w:rPr>
              <w:t xml:space="preserve"> Kč z toho:</w:t>
            </w:r>
          </w:p>
          <w:p w14:paraId="3000CD90" w14:textId="77777777" w:rsidR="00265A82" w:rsidRPr="00506A83" w:rsidRDefault="00265A82" w:rsidP="00E514CD">
            <w:pPr>
              <w:pStyle w:val="Odstavecseseznamem"/>
              <w:numPr>
                <w:ilvl w:val="0"/>
                <w:numId w:val="28"/>
              </w:numPr>
              <w:spacing w:before="120" w:after="120" w:line="276" w:lineRule="auto"/>
              <w:ind w:left="714" w:hanging="357"/>
              <w:contextualSpacing/>
              <w:jc w:val="both"/>
              <w:rPr>
                <w:rFonts w:ascii="Times New Roman" w:eastAsia="Georgia" w:hAnsi="Times New Roman"/>
                <w:lang w:val="cs-CZ"/>
              </w:rPr>
            </w:pPr>
            <w:r w:rsidRPr="00506A83">
              <w:rPr>
                <w:rFonts w:ascii="Times New Roman" w:eastAsia="Georgia" w:hAnsi="Times New Roman"/>
                <w:lang w:val="cs-CZ"/>
              </w:rPr>
              <w:t xml:space="preserve">32,7 mil. Kč v rámci bilaterálních projektů, </w:t>
            </w:r>
          </w:p>
          <w:p w14:paraId="494AE9BC" w14:textId="1F4CF4EC" w:rsidR="00265A82" w:rsidRPr="00506A83" w:rsidRDefault="00265A82" w:rsidP="00E514CD">
            <w:pPr>
              <w:pStyle w:val="Odstavecseseznamem"/>
              <w:numPr>
                <w:ilvl w:val="0"/>
                <w:numId w:val="28"/>
              </w:numPr>
              <w:spacing w:before="120" w:after="120" w:line="276" w:lineRule="auto"/>
              <w:ind w:left="714" w:hanging="357"/>
              <w:contextualSpacing/>
              <w:jc w:val="both"/>
              <w:rPr>
                <w:rFonts w:ascii="Times New Roman" w:eastAsia="Georgia" w:hAnsi="Times New Roman"/>
                <w:lang w:val="cs-CZ"/>
              </w:rPr>
            </w:pPr>
            <w:r w:rsidRPr="00506A83">
              <w:rPr>
                <w:rFonts w:ascii="Times New Roman" w:eastAsia="Georgia" w:hAnsi="Times New Roman"/>
                <w:lang w:val="cs-CZ"/>
              </w:rPr>
              <w:t xml:space="preserve">22,2 mil. Kč v rámci rozpočtových opatření z ČRA </w:t>
            </w:r>
          </w:p>
        </w:tc>
      </w:tr>
      <w:tr w:rsidR="00265A82" w:rsidRPr="00506A83" w14:paraId="36E5B360" w14:textId="77777777" w:rsidTr="50799D89">
        <w:tc>
          <w:tcPr>
            <w:tcW w:w="2802" w:type="dxa"/>
            <w:vMerge/>
          </w:tcPr>
          <w:p w14:paraId="4043146E" w14:textId="77777777" w:rsidR="00265A82" w:rsidRPr="00506A83" w:rsidRDefault="00265A82" w:rsidP="005177B3">
            <w:pPr>
              <w:spacing w:before="120" w:after="120" w:line="276" w:lineRule="auto"/>
              <w:rPr>
                <w:rFonts w:ascii="Times New Roman" w:eastAsia="Georgia" w:hAnsi="Times New Roman"/>
              </w:rPr>
            </w:pPr>
          </w:p>
        </w:tc>
        <w:tc>
          <w:tcPr>
            <w:tcW w:w="6520" w:type="dxa"/>
          </w:tcPr>
          <w:p w14:paraId="6873A09E" w14:textId="77777777" w:rsidR="00265A82" w:rsidRPr="00506A83" w:rsidRDefault="00265A82" w:rsidP="005177B3">
            <w:pPr>
              <w:spacing w:before="120" w:after="120" w:line="276" w:lineRule="auto"/>
              <w:jc w:val="both"/>
              <w:rPr>
                <w:rFonts w:ascii="Times New Roman" w:eastAsia="Georgia" w:hAnsi="Times New Roman"/>
              </w:rPr>
            </w:pPr>
            <w:r w:rsidRPr="00506A83">
              <w:rPr>
                <w:rFonts w:ascii="Times New Roman" w:hAnsi="Times New Roman"/>
                <w:b/>
                <w:bCs/>
              </w:rPr>
              <w:t>Počet projektů:</w:t>
            </w:r>
            <w:r w:rsidRPr="00506A83">
              <w:rPr>
                <w:rFonts w:ascii="Times New Roman" w:hAnsi="Times New Roman"/>
              </w:rPr>
              <w:t xml:space="preserve"> 13</w:t>
            </w:r>
          </w:p>
        </w:tc>
      </w:tr>
      <w:tr w:rsidR="00265A82" w:rsidRPr="00506A83" w14:paraId="01F4863B" w14:textId="77777777" w:rsidTr="50799D89">
        <w:tc>
          <w:tcPr>
            <w:tcW w:w="2802" w:type="dxa"/>
            <w:vMerge w:val="restart"/>
            <w:shd w:val="clear" w:color="auto" w:fill="C1E4F5" w:themeFill="accent1" w:themeFillTint="33"/>
          </w:tcPr>
          <w:p w14:paraId="251F4BE2" w14:textId="77777777" w:rsidR="00265A82" w:rsidRPr="00506A83" w:rsidRDefault="00265A82" w:rsidP="005177B3">
            <w:pPr>
              <w:spacing w:before="120" w:after="120" w:line="276" w:lineRule="auto"/>
              <w:rPr>
                <w:rFonts w:ascii="Times New Roman" w:hAnsi="Times New Roman"/>
              </w:rPr>
            </w:pPr>
            <w:r w:rsidRPr="00506A83">
              <w:rPr>
                <w:rFonts w:ascii="Times New Roman" w:hAnsi="Times New Roman"/>
                <w:b/>
                <w:bCs/>
              </w:rPr>
              <w:t>Delegovaná spolupráce</w:t>
            </w:r>
            <w:r w:rsidRPr="00506A83">
              <w:rPr>
                <w:rFonts w:ascii="Times New Roman" w:hAnsi="Times New Roman"/>
              </w:rPr>
              <w:t xml:space="preserve"> (DS)</w:t>
            </w:r>
          </w:p>
          <w:p w14:paraId="3CAEE70E" w14:textId="77777777" w:rsidR="00265A82" w:rsidRPr="00506A83" w:rsidRDefault="00265A82" w:rsidP="005177B3">
            <w:pPr>
              <w:spacing w:before="120" w:after="120" w:line="276" w:lineRule="auto"/>
              <w:rPr>
                <w:rFonts w:ascii="Times New Roman" w:hAnsi="Times New Roman"/>
              </w:rPr>
            </w:pPr>
          </w:p>
        </w:tc>
        <w:tc>
          <w:tcPr>
            <w:tcW w:w="6520" w:type="dxa"/>
          </w:tcPr>
          <w:p w14:paraId="1CE2E8A4" w14:textId="77777777" w:rsidR="00265A82" w:rsidRPr="00506A83" w:rsidRDefault="00265A82" w:rsidP="005177B3">
            <w:pPr>
              <w:spacing w:before="120" w:after="120" w:line="276" w:lineRule="auto"/>
              <w:rPr>
                <w:rFonts w:ascii="Times New Roman" w:hAnsi="Times New Roman"/>
                <w:b/>
                <w:bCs/>
              </w:rPr>
            </w:pPr>
            <w:r w:rsidRPr="00506A83">
              <w:rPr>
                <w:rFonts w:ascii="Times New Roman" w:hAnsi="Times New Roman"/>
                <w:b/>
                <w:bCs/>
              </w:rPr>
              <w:t xml:space="preserve">Celková částka: </w:t>
            </w:r>
            <w:r w:rsidRPr="00506A83">
              <w:rPr>
                <w:rFonts w:ascii="Times New Roman" w:hAnsi="Times New Roman"/>
              </w:rPr>
              <w:t>5 315 630,75 Kč</w:t>
            </w:r>
          </w:p>
          <w:p w14:paraId="4FF4EB52" w14:textId="77777777" w:rsidR="00265A82" w:rsidRPr="00506A83" w:rsidRDefault="00265A82" w:rsidP="005177B3">
            <w:pPr>
              <w:spacing w:before="120" w:after="120" w:line="276" w:lineRule="auto"/>
              <w:rPr>
                <w:rFonts w:ascii="Times New Roman" w:eastAsia="Georgia" w:hAnsi="Times New Roman"/>
                <w:i/>
                <w:iCs/>
              </w:rPr>
            </w:pPr>
            <w:r w:rsidRPr="00506A83">
              <w:rPr>
                <w:rFonts w:ascii="Times New Roman" w:hAnsi="Times New Roman"/>
                <w:i/>
                <w:iCs/>
                <w:sz w:val="22"/>
                <w:szCs w:val="22"/>
              </w:rPr>
              <w:t>*Spoluúčast zakomponována do kategorie „bilaterální projekty“</w:t>
            </w:r>
          </w:p>
        </w:tc>
      </w:tr>
      <w:tr w:rsidR="00265A82" w:rsidRPr="00506A83" w14:paraId="17BC9527" w14:textId="77777777" w:rsidTr="50799D89">
        <w:tc>
          <w:tcPr>
            <w:tcW w:w="2802" w:type="dxa"/>
            <w:vMerge/>
          </w:tcPr>
          <w:p w14:paraId="1CCE25F4" w14:textId="77777777" w:rsidR="00265A82" w:rsidRPr="00506A83" w:rsidRDefault="00265A82" w:rsidP="005177B3">
            <w:pPr>
              <w:spacing w:before="120" w:after="120" w:line="276" w:lineRule="auto"/>
              <w:rPr>
                <w:rFonts w:ascii="Times New Roman" w:hAnsi="Times New Roman"/>
              </w:rPr>
            </w:pPr>
          </w:p>
        </w:tc>
        <w:tc>
          <w:tcPr>
            <w:tcW w:w="6520" w:type="dxa"/>
          </w:tcPr>
          <w:p w14:paraId="3B03B17B" w14:textId="4C1E9977" w:rsidR="00265A82" w:rsidRPr="00506A83" w:rsidRDefault="00265A82" w:rsidP="007E7149">
            <w:pPr>
              <w:spacing w:before="120" w:after="120" w:line="276" w:lineRule="auto"/>
              <w:rPr>
                <w:rFonts w:ascii="Times New Roman" w:hAnsi="Times New Roman"/>
              </w:rPr>
            </w:pPr>
            <w:r w:rsidRPr="00506A83">
              <w:rPr>
                <w:rFonts w:ascii="Times New Roman" w:hAnsi="Times New Roman"/>
                <w:b/>
                <w:bCs/>
              </w:rPr>
              <w:t xml:space="preserve">Počet projektů: </w:t>
            </w:r>
            <w:r w:rsidRPr="00506A83">
              <w:rPr>
                <w:rFonts w:ascii="Times New Roman" w:hAnsi="Times New Roman"/>
              </w:rPr>
              <w:t>1</w:t>
            </w:r>
          </w:p>
        </w:tc>
      </w:tr>
      <w:tr w:rsidR="00265A82" w:rsidRPr="00506A83" w14:paraId="2E552B22" w14:textId="77777777" w:rsidTr="50799D89">
        <w:tc>
          <w:tcPr>
            <w:tcW w:w="2802" w:type="dxa"/>
            <w:vMerge w:val="restart"/>
            <w:shd w:val="clear" w:color="auto" w:fill="C1E4F5" w:themeFill="accent1" w:themeFillTint="33"/>
          </w:tcPr>
          <w:p w14:paraId="359360B6" w14:textId="77777777" w:rsidR="00265A82" w:rsidRPr="00506A83" w:rsidRDefault="00265A82" w:rsidP="005177B3">
            <w:pPr>
              <w:spacing w:before="120" w:after="120" w:line="276" w:lineRule="auto"/>
              <w:rPr>
                <w:rFonts w:ascii="Times New Roman" w:eastAsia="Georgia" w:hAnsi="Times New Roman"/>
                <w:b/>
                <w:bCs/>
              </w:rPr>
            </w:pPr>
            <w:r w:rsidRPr="00506A83">
              <w:rPr>
                <w:rFonts w:ascii="Times New Roman" w:eastAsia="Georgia" w:hAnsi="Times New Roman"/>
                <w:b/>
                <w:bCs/>
              </w:rPr>
              <w:t>Trojstranné projekty</w:t>
            </w:r>
          </w:p>
        </w:tc>
        <w:tc>
          <w:tcPr>
            <w:tcW w:w="6520" w:type="dxa"/>
          </w:tcPr>
          <w:p w14:paraId="687A13C4" w14:textId="4DFF3496" w:rsidR="00265A82" w:rsidRPr="00506A83" w:rsidRDefault="00265A82" w:rsidP="00863EDD">
            <w:pPr>
              <w:spacing w:before="120" w:after="120" w:line="276" w:lineRule="auto"/>
              <w:rPr>
                <w:rFonts w:ascii="Times New Roman" w:hAnsi="Times New Roman"/>
                <w:b/>
                <w:bCs/>
              </w:rPr>
            </w:pPr>
            <w:r w:rsidRPr="00506A83">
              <w:rPr>
                <w:rFonts w:ascii="Times New Roman" w:hAnsi="Times New Roman"/>
                <w:b/>
                <w:bCs/>
              </w:rPr>
              <w:t xml:space="preserve">Celková částka: </w:t>
            </w:r>
            <w:r w:rsidRPr="00506A83">
              <w:rPr>
                <w:rFonts w:ascii="Times New Roman" w:hAnsi="Times New Roman"/>
              </w:rPr>
              <w:t>3 448 393,45 Kč</w:t>
            </w:r>
          </w:p>
        </w:tc>
      </w:tr>
      <w:tr w:rsidR="00265A82" w:rsidRPr="00506A83" w14:paraId="140ED1D4" w14:textId="77777777" w:rsidTr="50799D89">
        <w:tc>
          <w:tcPr>
            <w:tcW w:w="2802" w:type="dxa"/>
            <w:vMerge/>
          </w:tcPr>
          <w:p w14:paraId="14648488" w14:textId="77777777" w:rsidR="00265A82" w:rsidRPr="00506A83" w:rsidRDefault="00265A82" w:rsidP="005177B3">
            <w:pPr>
              <w:spacing w:before="120" w:after="120" w:line="276" w:lineRule="auto"/>
              <w:rPr>
                <w:rFonts w:ascii="Times New Roman" w:eastAsia="Georgia" w:hAnsi="Times New Roman"/>
                <w:b/>
                <w:bCs/>
              </w:rPr>
            </w:pPr>
          </w:p>
        </w:tc>
        <w:tc>
          <w:tcPr>
            <w:tcW w:w="6520" w:type="dxa"/>
          </w:tcPr>
          <w:p w14:paraId="6F3D0C53" w14:textId="77777777" w:rsidR="00265A82" w:rsidRPr="00506A83" w:rsidRDefault="00265A82" w:rsidP="005177B3">
            <w:pPr>
              <w:spacing w:before="120" w:after="120" w:line="276" w:lineRule="auto"/>
              <w:rPr>
                <w:rFonts w:ascii="Times New Roman" w:hAnsi="Times New Roman"/>
                <w:b/>
                <w:bCs/>
              </w:rPr>
            </w:pPr>
            <w:r w:rsidRPr="00506A83">
              <w:rPr>
                <w:rFonts w:ascii="Times New Roman" w:hAnsi="Times New Roman"/>
                <w:b/>
                <w:bCs/>
              </w:rPr>
              <w:t xml:space="preserve">Počet projektů: </w:t>
            </w:r>
            <w:r w:rsidRPr="00506A83">
              <w:rPr>
                <w:rFonts w:ascii="Times New Roman" w:hAnsi="Times New Roman"/>
              </w:rPr>
              <w:t>2</w:t>
            </w:r>
          </w:p>
        </w:tc>
      </w:tr>
    </w:tbl>
    <w:p w14:paraId="1794674B" w14:textId="77777777" w:rsidR="00265A82" w:rsidRPr="00506A83" w:rsidRDefault="00265A82" w:rsidP="005177B3">
      <w:pPr>
        <w:spacing w:before="120" w:after="120" w:line="276" w:lineRule="auto"/>
        <w:jc w:val="both"/>
        <w:rPr>
          <w:rFonts w:eastAsia="Georgia"/>
        </w:rPr>
      </w:pPr>
    </w:p>
    <w:p w14:paraId="65F80D62" w14:textId="32B4C2C8" w:rsidR="001119D3" w:rsidRPr="00506A83" w:rsidRDefault="001119D3" w:rsidP="005177B3">
      <w:pPr>
        <w:spacing w:before="120" w:after="120" w:line="276" w:lineRule="auto"/>
        <w:jc w:val="both"/>
        <w:rPr>
          <w:kern w:val="2"/>
          <w14:ligatures w14:val="standardContextual"/>
        </w:rPr>
      </w:pPr>
      <w:r w:rsidRPr="00506A83">
        <w:t xml:space="preserve">V roce 2025 ČRA v Moldavsku realizovala celkem </w:t>
      </w:r>
      <w:r w:rsidRPr="00506A83">
        <w:rPr>
          <w:b/>
          <w:bCs/>
        </w:rPr>
        <w:t>třináct</w:t>
      </w:r>
      <w:r w:rsidRPr="00506A83">
        <w:t xml:space="preserve"> bilaterálních projektů české zahraniční rozvojové spolupráce ve čtyřech prioritních sektorových oblastech: </w:t>
      </w:r>
      <w:r w:rsidRPr="00506A83">
        <w:rPr>
          <w:b/>
          <w:bCs/>
        </w:rPr>
        <w:t>udržitelné nakládání s přírodními zdroji</w:t>
      </w:r>
      <w:r w:rsidRPr="00506A83">
        <w:t xml:space="preserve"> (</w:t>
      </w:r>
      <w:r w:rsidR="009B4830" w:rsidRPr="00506A83">
        <w:t xml:space="preserve">zahrnující </w:t>
      </w:r>
      <w:r w:rsidRPr="00506A83">
        <w:t xml:space="preserve">sektor </w:t>
      </w:r>
      <w:r w:rsidRPr="00506A83">
        <w:rPr>
          <w:b/>
          <w:bCs/>
        </w:rPr>
        <w:t>voda a sanitace</w:t>
      </w:r>
      <w:r w:rsidRPr="00506A83">
        <w:t xml:space="preserve">), </w:t>
      </w:r>
      <w:r w:rsidRPr="00506A83">
        <w:rPr>
          <w:b/>
          <w:bCs/>
        </w:rPr>
        <w:t>inkluzivní sociální rozvoj</w:t>
      </w:r>
      <w:r w:rsidRPr="00506A83">
        <w:t xml:space="preserve"> (</w:t>
      </w:r>
      <w:r w:rsidR="009B4830" w:rsidRPr="00506A83">
        <w:t xml:space="preserve">zahrnující </w:t>
      </w:r>
      <w:r w:rsidRPr="00506A83">
        <w:t xml:space="preserve">sektor </w:t>
      </w:r>
      <w:r w:rsidRPr="00506A83">
        <w:rPr>
          <w:b/>
          <w:bCs/>
        </w:rPr>
        <w:t>ostatní sociální infrastruktura a služby</w:t>
      </w:r>
      <w:r w:rsidRPr="00506A83">
        <w:t xml:space="preserve">), </w:t>
      </w:r>
      <w:r w:rsidRPr="00506A83">
        <w:rPr>
          <w:b/>
          <w:bCs/>
        </w:rPr>
        <w:t>řádná demokratická správa věcí veřejných</w:t>
      </w:r>
      <w:r w:rsidRPr="00506A83">
        <w:t xml:space="preserve"> a </w:t>
      </w:r>
      <w:r w:rsidRPr="00506A83">
        <w:rPr>
          <w:b/>
          <w:bCs/>
        </w:rPr>
        <w:t>zemědělství a rozvoj venkova</w:t>
      </w:r>
      <w:r w:rsidRPr="00506A83">
        <w:t xml:space="preserve"> (</w:t>
      </w:r>
      <w:r w:rsidR="009B4830" w:rsidRPr="00506A83">
        <w:t xml:space="preserve">zahrnující </w:t>
      </w:r>
      <w:r w:rsidRPr="00506A83">
        <w:t xml:space="preserve">sektor </w:t>
      </w:r>
      <w:r w:rsidRPr="00506A83">
        <w:rPr>
          <w:b/>
          <w:bCs/>
        </w:rPr>
        <w:t>zemědělství a lesnictví</w:t>
      </w:r>
      <w:r w:rsidRPr="00506A83">
        <w:t xml:space="preserve">). </w:t>
      </w:r>
    </w:p>
    <w:p w14:paraId="56D84B0C" w14:textId="6D12A0FE" w:rsidR="001119D3" w:rsidRPr="00506A83" w:rsidRDefault="001119D3" w:rsidP="005177B3">
      <w:pPr>
        <w:spacing w:before="120" w:after="120" w:line="276" w:lineRule="auto"/>
        <w:jc w:val="both"/>
        <w:rPr>
          <w:kern w:val="2"/>
          <w14:ligatures w14:val="standardContextual"/>
        </w:rPr>
      </w:pPr>
      <w:r w:rsidRPr="00506A83">
        <w:t xml:space="preserve">V oblasti </w:t>
      </w:r>
      <w:r w:rsidRPr="00506A83">
        <w:rPr>
          <w:b/>
          <w:bCs/>
        </w:rPr>
        <w:t>udržitelného nakládání s přírodními zdroji</w:t>
      </w:r>
      <w:r w:rsidRPr="00506A83">
        <w:t xml:space="preserve"> byly v roce 2025 dokončeny klíčové přípravné a sanační intervence. Projekt </w:t>
      </w:r>
      <w:r w:rsidRPr="00506A83">
        <w:rPr>
          <w:b/>
          <w:bCs/>
        </w:rPr>
        <w:t>„Čistírna odpadních vod pro Briceni – studie proveditelnosti“</w:t>
      </w:r>
      <w:r w:rsidRPr="00506A83">
        <w:t xml:space="preserve"> vytvořil odborný základ pro přípravu navazující projektové dokumentace a</w:t>
      </w:r>
      <w:r w:rsidR="004964CB" w:rsidRPr="00506A83">
        <w:t> </w:t>
      </w:r>
      <w:r w:rsidRPr="00506A83">
        <w:t xml:space="preserve">investic do vodohospodářské infrastruktury města. Dokončena byla také aktualizace technicko-ekonomické studie proveditelnosti projektu </w:t>
      </w:r>
      <w:r w:rsidRPr="00506A83">
        <w:rPr>
          <w:b/>
          <w:bCs/>
        </w:rPr>
        <w:t xml:space="preserve">„Zajištění přístupu k pitné vodě pro regionální nemocnice </w:t>
      </w:r>
      <w:r w:rsidR="004805DE" w:rsidRPr="00506A83">
        <w:rPr>
          <w:b/>
          <w:bCs/>
        </w:rPr>
        <w:t>Cimișlia a Comrat</w:t>
      </w:r>
      <w:r w:rsidRPr="00506A83">
        <w:rPr>
          <w:b/>
          <w:bCs/>
        </w:rPr>
        <w:t>“</w:t>
      </w:r>
      <w:r w:rsidRPr="00506A83">
        <w:t xml:space="preserve">, která připravuje komplexní řešení zásobování nemocnic pitnou vodou a slouží jako podklad pro možné navazující financování. Projekt </w:t>
      </w:r>
      <w:r w:rsidRPr="00506A83">
        <w:rPr>
          <w:b/>
          <w:bCs/>
        </w:rPr>
        <w:t>„Podpora při odstraňování znečištění tří hlavních hotspotů kontaminovaných pesticidy v</w:t>
      </w:r>
      <w:r w:rsidR="004964CB" w:rsidRPr="00506A83">
        <w:rPr>
          <w:b/>
          <w:bCs/>
        </w:rPr>
        <w:t> </w:t>
      </w:r>
      <w:r w:rsidRPr="00506A83">
        <w:rPr>
          <w:b/>
          <w:bCs/>
        </w:rPr>
        <w:t>ATU Gagauzia“</w:t>
      </w:r>
      <w:r w:rsidRPr="00506A83">
        <w:t xml:space="preserve"> zajistil bezpečné vymístění zbytků pesticidů a kontaminovaných zemin ze tří lokalit u obcí Besalma a Chirsova a přispěl tak ke snížení environmentálních a zdravotních rizik. V roce 2025 byla dále zahájena přípravná fáze projektu </w:t>
      </w:r>
      <w:r w:rsidRPr="00506A83">
        <w:rPr>
          <w:b/>
          <w:bCs/>
        </w:rPr>
        <w:t>„Příprava technicko-ekonomické studie proveditelnosti pro snížení energetických potřeb vodního hospodářství pitné a odpadní vody ve městě Hîncesti“</w:t>
      </w:r>
      <w:r w:rsidRPr="00506A83">
        <w:t>, která rozvíjí příležitosti pro zapojení českého soukromého sektoru; dokončení studie je plánováno v 1. čtvrtletí roku 2026.</w:t>
      </w:r>
    </w:p>
    <w:p w14:paraId="74629C59" w14:textId="3C05E9DF" w:rsidR="001119D3" w:rsidRPr="00506A83" w:rsidRDefault="001119D3" w:rsidP="005177B3">
      <w:pPr>
        <w:spacing w:before="120" w:after="120" w:line="276" w:lineRule="auto"/>
        <w:jc w:val="both"/>
        <w:rPr>
          <w:kern w:val="2"/>
          <w14:ligatures w14:val="standardContextual"/>
        </w:rPr>
      </w:pPr>
      <w:r w:rsidRPr="00506A83">
        <w:t xml:space="preserve">V oblasti </w:t>
      </w:r>
      <w:r w:rsidRPr="00506A83">
        <w:rPr>
          <w:b/>
          <w:bCs/>
        </w:rPr>
        <w:t>inkluzivního sociálního rozvoje</w:t>
      </w:r>
      <w:r w:rsidRPr="00506A83">
        <w:t xml:space="preserve"> se ČRA v Moldavsku v roce 2025 podařilo dokončit tři projekty se zřetelným systémovým přesahem. Projekt </w:t>
      </w:r>
      <w:r w:rsidRPr="00506A83">
        <w:rPr>
          <w:b/>
          <w:bCs/>
        </w:rPr>
        <w:t>„COMM.Unity Planning – Komplexní řešení pro sociální služby v Moldavsku“</w:t>
      </w:r>
      <w:r w:rsidRPr="00506A83">
        <w:t xml:space="preserve"> posílil mechanismy transparentního komunitního plánování sociálních služeb na základě potřeb a dostupných zdrojů a podpořil </w:t>
      </w:r>
      <w:r w:rsidRPr="00506A83">
        <w:lastRenderedPageBreak/>
        <w:t>rozvoj center domácí péče (</w:t>
      </w:r>
      <w:r w:rsidR="00656792" w:rsidRPr="00506A83">
        <w:t>H</w:t>
      </w:r>
      <w:r w:rsidRPr="00506A83">
        <w:t xml:space="preserve">omecare) i kapacity veřejné správy v plánování služeb. Projekt </w:t>
      </w:r>
      <w:r w:rsidRPr="00506A83">
        <w:rPr>
          <w:b/>
          <w:bCs/>
        </w:rPr>
        <w:t>„Posílení kapacit a finanční udržitelnosti v oblasti sociální domácí péče v Moldavsku“</w:t>
      </w:r>
      <w:r w:rsidRPr="00506A83">
        <w:t xml:space="preserve"> vedl k rozšíření dostupnosti domácí péče, k rozvoji školicích programů a k posílení schopnosti ústředních i místních orgánů prosazovat systémové změny; výsledkem byla i vyšší finanční stabilita komunitních sociálních služeb. Dokončen byl rovněž projekt </w:t>
      </w:r>
      <w:r w:rsidRPr="00506A83">
        <w:rPr>
          <w:b/>
          <w:bCs/>
        </w:rPr>
        <w:t>„Posílením kapacit pro trvalé změny systému sociální péče v Moldavsku“</w:t>
      </w:r>
      <w:r w:rsidRPr="00506A83">
        <w:t xml:space="preserve">, realizovaný </w:t>
      </w:r>
      <w:r w:rsidRPr="00506A83">
        <w:rPr>
          <w:b/>
          <w:bCs/>
        </w:rPr>
        <w:t>Centrem pro rozvoj péče o</w:t>
      </w:r>
      <w:r w:rsidR="004964CB" w:rsidRPr="00506A83">
        <w:rPr>
          <w:b/>
          <w:bCs/>
        </w:rPr>
        <w:t> </w:t>
      </w:r>
      <w:r w:rsidRPr="00506A83">
        <w:rPr>
          <w:b/>
          <w:bCs/>
        </w:rPr>
        <w:t>duševní zdraví</w:t>
      </w:r>
      <w:r w:rsidRPr="00506A83">
        <w:t xml:space="preserve">, který podpořil deinstitucionalizaci a rozvoj komunitních služeb pro osoby se zdravotním postižením. V oblasti podpory osob s poruchou autistického spektra byl zahájen projekt </w:t>
      </w:r>
      <w:r w:rsidRPr="00506A83">
        <w:rPr>
          <w:b/>
          <w:bCs/>
        </w:rPr>
        <w:t>„INKLUZE: Integrace neurodiverzních komunit prostřednictvím podpory učení, propojování a posilování rozvoje v Moldavsku“</w:t>
      </w:r>
      <w:r w:rsidRPr="00506A83">
        <w:t>, zaměřený na rozvoj odborných kapacit, metodickou podporu a vybavení center inkluzivního vzdělávání.</w:t>
      </w:r>
    </w:p>
    <w:p w14:paraId="5B4398C1" w14:textId="2AC08445" w:rsidR="001B7B89" w:rsidRPr="00506A83" w:rsidRDefault="001119D3" w:rsidP="005177B3">
      <w:pPr>
        <w:spacing w:before="120" w:after="120" w:line="276" w:lineRule="auto"/>
        <w:jc w:val="both"/>
      </w:pPr>
      <w:r w:rsidRPr="00506A83">
        <w:t xml:space="preserve">V oblasti </w:t>
      </w:r>
      <w:r w:rsidRPr="00506A83">
        <w:rPr>
          <w:b/>
          <w:bCs/>
        </w:rPr>
        <w:t>řádné demokratické správy věcí veřejných</w:t>
      </w:r>
      <w:r w:rsidRPr="00506A83">
        <w:t xml:space="preserve"> byly v roce 2025 dokončeny projekty s</w:t>
      </w:r>
      <w:r w:rsidR="004964CB" w:rsidRPr="00506A83">
        <w:t> </w:t>
      </w:r>
      <w:r w:rsidRPr="00506A83">
        <w:t xml:space="preserve">přímým dopadem na bezpečnost a akceschopnost institucí. Projekt </w:t>
      </w:r>
      <w:r w:rsidRPr="00506A83">
        <w:rPr>
          <w:b/>
          <w:bCs/>
        </w:rPr>
        <w:t>„Zlepšení akceschopnosti a odborné způsobilosti moldavských hasičů III.“</w:t>
      </w:r>
      <w:r w:rsidRPr="00506A83">
        <w:t xml:space="preserve">, realizovaný </w:t>
      </w:r>
      <w:r w:rsidRPr="00506A83">
        <w:rPr>
          <w:b/>
          <w:bCs/>
        </w:rPr>
        <w:t>Generálním ředitelstvím Hasičského záchranného sboru ČR</w:t>
      </w:r>
      <w:r w:rsidRPr="00506A83">
        <w:t xml:space="preserve">, posílil protipovodňovou připravenost dodáním vybavení a odborným výcvikem a navázal na dlouhodobou institucionální spolupráci. Dokončen byl také projekt </w:t>
      </w:r>
      <w:r w:rsidRPr="00506A83">
        <w:rPr>
          <w:b/>
          <w:bCs/>
        </w:rPr>
        <w:t>„Rozvoj efektivity kynologické služby a kapacit práce se služebními psy Celní správy a Pohraniční policie Moldavské republiky“</w:t>
      </w:r>
      <w:r w:rsidRPr="00506A83">
        <w:t xml:space="preserve">, který přispěl k omezení nelegálního transportu drog, tabáku a psychotropních látek díky školení, přenosu know-how a posílení systému výcviku psovodů a služebních psů. Zahájený projekt </w:t>
      </w:r>
      <w:r w:rsidRPr="00506A83">
        <w:rPr>
          <w:b/>
          <w:bCs/>
        </w:rPr>
        <w:t>„Podpora implementace reformy RESTART v Moldavsku“</w:t>
      </w:r>
      <w:r w:rsidRPr="00506A83">
        <w:t xml:space="preserve"> v roce 2025 podpořil zavádění klíčové reformy sociální ochrany (zahájené 2023) v kontextu přístupového procesu do EU, se zaměřením na posilování odborných kapacit sociálních pracovníků a standardizaci postupů ve veřejném sociálním sektoru. </w:t>
      </w:r>
    </w:p>
    <w:p w14:paraId="2690BDCC" w14:textId="606AED6A" w:rsidR="00923463" w:rsidRPr="00506A83" w:rsidRDefault="001119D3" w:rsidP="005177B3">
      <w:pPr>
        <w:spacing w:before="120" w:after="120" w:line="276" w:lineRule="auto"/>
        <w:jc w:val="both"/>
        <w:rPr>
          <w:rFonts w:eastAsia="Georgia"/>
        </w:rPr>
      </w:pPr>
      <w:r w:rsidRPr="00506A83">
        <w:t xml:space="preserve">V oblasti </w:t>
      </w:r>
      <w:r w:rsidRPr="00506A83">
        <w:rPr>
          <w:b/>
          <w:bCs/>
        </w:rPr>
        <w:t>zemědělství a rozvoje venkova</w:t>
      </w:r>
      <w:r w:rsidRPr="00506A83">
        <w:t xml:space="preserve"> projekt </w:t>
      </w:r>
      <w:r w:rsidRPr="00506A83">
        <w:rPr>
          <w:b/>
          <w:bCs/>
        </w:rPr>
        <w:t>„Zlepšení kontrolní a testovací kapacity ve fytosanitární oblasti v Moldavské republice“</w:t>
      </w:r>
      <w:r w:rsidRPr="00506A83">
        <w:t xml:space="preserve"> rozšířil funkčnost státního fytosanitárního registru (včetně integrace Registru odrůd semen). </w:t>
      </w:r>
      <w:r w:rsidR="00923463" w:rsidRPr="00506A83">
        <w:rPr>
          <w:rFonts w:eastAsia="Georgia"/>
        </w:rPr>
        <w:t>Projekt navazuje na předchozí úspěšné aktivity České republiky v oblasti fytosanitární podpory Moldavska a představuje další krok v</w:t>
      </w:r>
      <w:r w:rsidR="007B5E03" w:rsidRPr="00506A83">
        <w:rPr>
          <w:rFonts w:eastAsia="Georgia"/>
        </w:rPr>
        <w:t> </w:t>
      </w:r>
      <w:r w:rsidR="00923463" w:rsidRPr="00506A83">
        <w:rPr>
          <w:rFonts w:eastAsia="Georgia"/>
        </w:rPr>
        <w:t>dlouhodobé spolupráci zaměřené na přenos českého know-how, modernizaci veřejné správy a podporu bezpečného a udržitelného obchodu se zemědělskými produkty.</w:t>
      </w:r>
    </w:p>
    <w:p w14:paraId="4580AF24" w14:textId="30540986" w:rsidR="001119D3" w:rsidRPr="00506A83" w:rsidRDefault="001119D3" w:rsidP="005177B3">
      <w:pPr>
        <w:spacing w:before="120" w:after="120" w:line="276" w:lineRule="auto"/>
        <w:jc w:val="both"/>
        <w:rPr>
          <w:kern w:val="2"/>
          <w14:ligatures w14:val="standardContextual"/>
        </w:rPr>
      </w:pPr>
      <w:r w:rsidRPr="00506A83">
        <w:t xml:space="preserve">Zahájen byl také projekt </w:t>
      </w:r>
      <w:r w:rsidRPr="00506A83">
        <w:rPr>
          <w:b/>
          <w:bCs/>
        </w:rPr>
        <w:t>„Pro MILK: Podpora modernizace a industrializace výroby mléka prostřednictvím vzdělávání a praxe“</w:t>
      </w:r>
      <w:r w:rsidRPr="00506A83">
        <w:t xml:space="preserve">, který navazuje na předchozí podporu sektoru a rozvíjí odborné zemědělské vzdělávání, zavádí demonstrační technologie s využitím </w:t>
      </w:r>
      <w:r w:rsidRPr="00506A83">
        <w:rPr>
          <w:b/>
          <w:bCs/>
        </w:rPr>
        <w:t>českých řešení</w:t>
      </w:r>
      <w:r w:rsidRPr="00506A83">
        <w:t xml:space="preserve"> a</w:t>
      </w:r>
      <w:r w:rsidR="007B5E03" w:rsidRPr="00506A83">
        <w:t> </w:t>
      </w:r>
      <w:r w:rsidRPr="00506A83">
        <w:t>připravuje podmínky pro vznik demonstrační farmy.</w:t>
      </w:r>
    </w:p>
    <w:p w14:paraId="382F5542" w14:textId="4DA834B4" w:rsidR="00265A82" w:rsidRPr="00506A83" w:rsidRDefault="00265A82" w:rsidP="005177B3">
      <w:pPr>
        <w:spacing w:before="120" w:after="120" w:line="276" w:lineRule="auto"/>
        <w:jc w:val="both"/>
        <w:rPr>
          <w:rFonts w:eastAsia="Georgia"/>
          <w:b/>
          <w:bCs/>
        </w:rPr>
      </w:pPr>
      <w:r w:rsidRPr="00506A83">
        <w:rPr>
          <w:rFonts w:eastAsia="Georgia"/>
        </w:rPr>
        <w:t xml:space="preserve">V oblasti </w:t>
      </w:r>
      <w:r w:rsidRPr="00506A83">
        <w:rPr>
          <w:rFonts w:eastAsia="Georgia"/>
          <w:b/>
          <w:bCs/>
        </w:rPr>
        <w:t>zemědělství a rozvoje venkova</w:t>
      </w:r>
      <w:r w:rsidRPr="00506A83">
        <w:rPr>
          <w:rFonts w:eastAsia="Georgia"/>
        </w:rPr>
        <w:t xml:space="preserve"> byl v roce 2025 zahájen projekt „FARM Moldova – Fostering Agricultural Resilience and Management“, který je podrobněji popsán v části </w:t>
      </w:r>
      <w:r w:rsidR="004C1A3B" w:rsidRPr="00506A83">
        <w:rPr>
          <w:rFonts w:eastAsia="Georgia"/>
        </w:rPr>
        <w:t>D</w:t>
      </w:r>
      <w:r w:rsidRPr="00506A83">
        <w:rPr>
          <w:rFonts w:eastAsia="Georgia"/>
        </w:rPr>
        <w:t>elegovaná spolupráce.</w:t>
      </w:r>
    </w:p>
    <w:p w14:paraId="3B7320D1" w14:textId="77777777" w:rsidR="00F0726A" w:rsidRPr="00506A83" w:rsidRDefault="00F0726A">
      <w:pPr>
        <w:rPr>
          <w:rFonts w:eastAsia="Georgia"/>
          <w:b/>
          <w:bCs/>
          <w:sz w:val="28"/>
          <w:szCs w:val="28"/>
        </w:rPr>
      </w:pPr>
      <w:r w:rsidRPr="00506A83">
        <w:rPr>
          <w:rFonts w:eastAsia="Georgia"/>
          <w:b/>
          <w:bCs/>
          <w:sz w:val="28"/>
          <w:szCs w:val="28"/>
        </w:rPr>
        <w:br w:type="page"/>
      </w:r>
    </w:p>
    <w:p w14:paraId="21A24880" w14:textId="6462C02B" w:rsidR="00265A82" w:rsidRPr="00506A83" w:rsidRDefault="00265A82" w:rsidP="005177B3">
      <w:pPr>
        <w:spacing w:before="120" w:after="120" w:line="276" w:lineRule="auto"/>
        <w:jc w:val="both"/>
        <w:rPr>
          <w:rFonts w:eastAsia="Georgia"/>
          <w:b/>
          <w:bCs/>
          <w:sz w:val="28"/>
          <w:szCs w:val="28"/>
        </w:rPr>
      </w:pPr>
      <w:r w:rsidRPr="00506A83">
        <w:rPr>
          <w:rFonts w:eastAsia="Georgia"/>
          <w:b/>
          <w:bCs/>
          <w:sz w:val="28"/>
          <w:szCs w:val="28"/>
        </w:rPr>
        <w:lastRenderedPageBreak/>
        <w:t xml:space="preserve">Zambie </w:t>
      </w:r>
    </w:p>
    <w:tbl>
      <w:tblPr>
        <w:tblStyle w:val="Mkatabulky"/>
        <w:tblW w:w="9322" w:type="dxa"/>
        <w:tblLook w:val="04A0" w:firstRow="1" w:lastRow="0" w:firstColumn="1" w:lastColumn="0" w:noHBand="0" w:noVBand="1"/>
      </w:tblPr>
      <w:tblGrid>
        <w:gridCol w:w="2802"/>
        <w:gridCol w:w="6520"/>
      </w:tblGrid>
      <w:tr w:rsidR="00265A82" w:rsidRPr="00506A83" w14:paraId="7F709306" w14:textId="77777777" w:rsidTr="5C8FC553">
        <w:tc>
          <w:tcPr>
            <w:tcW w:w="2802" w:type="dxa"/>
            <w:vMerge w:val="restart"/>
            <w:shd w:val="clear" w:color="auto" w:fill="C1E4F5" w:themeFill="accent1" w:themeFillTint="33"/>
          </w:tcPr>
          <w:p w14:paraId="69C42DDD" w14:textId="77777777" w:rsidR="00265A82" w:rsidRPr="00506A83" w:rsidRDefault="00265A82" w:rsidP="005177B3">
            <w:pPr>
              <w:spacing w:before="120" w:after="120" w:line="276" w:lineRule="auto"/>
              <w:rPr>
                <w:rFonts w:ascii="Times New Roman" w:hAnsi="Times New Roman"/>
                <w:b/>
                <w:bCs/>
              </w:rPr>
            </w:pPr>
            <w:r w:rsidRPr="00506A83">
              <w:rPr>
                <w:rFonts w:ascii="Times New Roman" w:hAnsi="Times New Roman"/>
                <w:b/>
                <w:bCs/>
              </w:rPr>
              <w:t>Bilaterální projekty</w:t>
            </w:r>
          </w:p>
          <w:p w14:paraId="26206F8C" w14:textId="77777777" w:rsidR="00265A82" w:rsidRPr="00506A83" w:rsidRDefault="00265A82" w:rsidP="005177B3">
            <w:pPr>
              <w:spacing w:before="120" w:after="120" w:line="276" w:lineRule="auto"/>
              <w:rPr>
                <w:rFonts w:ascii="Times New Roman" w:hAnsi="Times New Roman"/>
              </w:rPr>
            </w:pPr>
          </w:p>
          <w:p w14:paraId="456415CA" w14:textId="77777777" w:rsidR="00265A82" w:rsidRPr="00506A83" w:rsidRDefault="00265A82" w:rsidP="005177B3">
            <w:pPr>
              <w:spacing w:before="120" w:after="120" w:line="276" w:lineRule="auto"/>
              <w:rPr>
                <w:rFonts w:ascii="Times New Roman" w:eastAsia="Georgia" w:hAnsi="Times New Roman"/>
              </w:rPr>
            </w:pPr>
          </w:p>
        </w:tc>
        <w:tc>
          <w:tcPr>
            <w:tcW w:w="6520" w:type="dxa"/>
          </w:tcPr>
          <w:p w14:paraId="2BA4CE9C" w14:textId="77777777" w:rsidR="00265A82" w:rsidRPr="00506A83" w:rsidRDefault="00265A82" w:rsidP="005177B3">
            <w:pPr>
              <w:spacing w:before="120" w:after="120" w:line="276" w:lineRule="auto"/>
              <w:jc w:val="both"/>
              <w:rPr>
                <w:rFonts w:ascii="Times New Roman" w:eastAsia="Georgia" w:hAnsi="Times New Roman"/>
              </w:rPr>
            </w:pPr>
            <w:r w:rsidRPr="00506A83">
              <w:rPr>
                <w:rFonts w:ascii="Times New Roman" w:hAnsi="Times New Roman"/>
                <w:b/>
                <w:bCs/>
              </w:rPr>
              <w:t>Celková částka:</w:t>
            </w:r>
            <w:r w:rsidRPr="00506A83">
              <w:rPr>
                <w:rFonts w:ascii="Times New Roman" w:hAnsi="Times New Roman"/>
              </w:rPr>
              <w:t xml:space="preserve"> </w:t>
            </w:r>
            <w:r w:rsidRPr="00506A83">
              <w:rPr>
                <w:rFonts w:ascii="Times New Roman" w:eastAsia="Georgia" w:hAnsi="Times New Roman"/>
              </w:rPr>
              <w:t>44 548 140,00 Kč</w:t>
            </w:r>
            <w:r w:rsidRPr="00506A83">
              <w:rPr>
                <w:rFonts w:ascii="Times New Roman" w:eastAsia="Georgia" w:hAnsi="Times New Roman"/>
                <w:b/>
                <w:bCs/>
              </w:rPr>
              <w:t xml:space="preserve"> </w:t>
            </w:r>
            <w:r w:rsidRPr="00506A83">
              <w:rPr>
                <w:rFonts w:ascii="Times New Roman" w:eastAsia="Georgia" w:hAnsi="Times New Roman"/>
              </w:rPr>
              <w:t>z toho:</w:t>
            </w:r>
          </w:p>
          <w:p w14:paraId="6C97038C" w14:textId="77777777" w:rsidR="00265A82" w:rsidRPr="00506A83" w:rsidRDefault="00265A82" w:rsidP="005177B3">
            <w:pPr>
              <w:pStyle w:val="Odstavecseseznamem"/>
              <w:numPr>
                <w:ilvl w:val="0"/>
                <w:numId w:val="28"/>
              </w:numPr>
              <w:spacing w:before="120" w:after="120" w:line="276" w:lineRule="auto"/>
              <w:rPr>
                <w:rFonts w:ascii="Times New Roman" w:hAnsi="Times New Roman"/>
                <w:lang w:val="cs-CZ"/>
              </w:rPr>
            </w:pPr>
            <w:r w:rsidRPr="00506A83">
              <w:rPr>
                <w:rFonts w:ascii="Times New Roman" w:eastAsia="Georgia" w:hAnsi="Times New Roman"/>
                <w:lang w:val="cs-CZ"/>
              </w:rPr>
              <w:t>38,5 mil. Kč v rámci bilaterálních projektů, a</w:t>
            </w:r>
          </w:p>
          <w:p w14:paraId="7AC8ABB7" w14:textId="04A84EA7" w:rsidR="00265A82" w:rsidRPr="00506A83" w:rsidRDefault="00265A82" w:rsidP="00E514CD">
            <w:pPr>
              <w:pStyle w:val="Odstavecseseznamem"/>
              <w:numPr>
                <w:ilvl w:val="0"/>
                <w:numId w:val="28"/>
              </w:numPr>
              <w:spacing w:before="120" w:after="120" w:line="276" w:lineRule="auto"/>
              <w:ind w:left="714" w:hanging="357"/>
              <w:contextualSpacing/>
              <w:rPr>
                <w:rFonts w:ascii="Times New Roman" w:hAnsi="Times New Roman"/>
                <w:lang w:val="cs-CZ"/>
              </w:rPr>
            </w:pPr>
            <w:r w:rsidRPr="00506A83">
              <w:rPr>
                <w:rFonts w:ascii="Times New Roman" w:eastAsia="Georgia" w:hAnsi="Times New Roman"/>
                <w:lang w:val="cs-CZ"/>
              </w:rPr>
              <w:t xml:space="preserve">6 mil. Kč v rámci rozpočtového opatření na projekty </w:t>
            </w:r>
            <w:r w:rsidR="0022533C" w:rsidRPr="00506A83">
              <w:rPr>
                <w:rFonts w:ascii="Times New Roman" w:eastAsia="Georgia" w:hAnsi="Times New Roman"/>
                <w:lang w:val="cs-CZ"/>
              </w:rPr>
              <w:t xml:space="preserve">od </w:t>
            </w:r>
            <w:r w:rsidRPr="00506A83">
              <w:rPr>
                <w:rFonts w:ascii="Times New Roman" w:eastAsia="Georgia" w:hAnsi="Times New Roman"/>
                <w:lang w:val="cs-CZ"/>
              </w:rPr>
              <w:t>Ministerstva zahraničních věcí ČR</w:t>
            </w:r>
          </w:p>
        </w:tc>
      </w:tr>
      <w:tr w:rsidR="00265A82" w:rsidRPr="00506A83" w14:paraId="23EEEDD3" w14:textId="77777777" w:rsidTr="5C8FC553">
        <w:tc>
          <w:tcPr>
            <w:tcW w:w="2802" w:type="dxa"/>
            <w:vMerge/>
          </w:tcPr>
          <w:p w14:paraId="1CC53DA6" w14:textId="77777777" w:rsidR="00265A82" w:rsidRPr="00506A83" w:rsidRDefault="00265A82" w:rsidP="005177B3">
            <w:pPr>
              <w:spacing w:before="120" w:after="120" w:line="276" w:lineRule="auto"/>
              <w:rPr>
                <w:rFonts w:ascii="Times New Roman" w:eastAsia="Georgia" w:hAnsi="Times New Roman"/>
              </w:rPr>
            </w:pPr>
          </w:p>
        </w:tc>
        <w:tc>
          <w:tcPr>
            <w:tcW w:w="6520" w:type="dxa"/>
          </w:tcPr>
          <w:p w14:paraId="473DABA7" w14:textId="357268C4" w:rsidR="00265A82" w:rsidRPr="00506A83" w:rsidRDefault="00265A82" w:rsidP="005177B3">
            <w:pPr>
              <w:spacing w:before="120" w:after="120" w:line="276" w:lineRule="auto"/>
              <w:jc w:val="both"/>
              <w:rPr>
                <w:rFonts w:ascii="Times New Roman" w:hAnsi="Times New Roman"/>
                <w:b/>
                <w:bCs/>
              </w:rPr>
            </w:pPr>
            <w:r w:rsidRPr="00506A83">
              <w:rPr>
                <w:rFonts w:ascii="Times New Roman" w:hAnsi="Times New Roman"/>
                <w:b/>
                <w:bCs/>
              </w:rPr>
              <w:t>Počet projektů:</w:t>
            </w:r>
            <w:r w:rsidRPr="00506A83">
              <w:rPr>
                <w:rFonts w:ascii="Times New Roman" w:hAnsi="Times New Roman"/>
              </w:rPr>
              <w:t xml:space="preserve"> 5</w:t>
            </w:r>
          </w:p>
        </w:tc>
      </w:tr>
      <w:tr w:rsidR="00265A82" w:rsidRPr="00506A83" w14:paraId="409EEFC9" w14:textId="77777777" w:rsidTr="5C8FC553">
        <w:tc>
          <w:tcPr>
            <w:tcW w:w="2802" w:type="dxa"/>
            <w:vMerge w:val="restart"/>
            <w:shd w:val="clear" w:color="auto" w:fill="C1E4F5" w:themeFill="accent1" w:themeFillTint="33"/>
          </w:tcPr>
          <w:p w14:paraId="20268E6C" w14:textId="77777777" w:rsidR="00265A82" w:rsidRPr="00506A83" w:rsidRDefault="00265A82" w:rsidP="005177B3">
            <w:pPr>
              <w:spacing w:before="120" w:after="120" w:line="276" w:lineRule="auto"/>
              <w:rPr>
                <w:rFonts w:ascii="Times New Roman" w:hAnsi="Times New Roman"/>
              </w:rPr>
            </w:pPr>
            <w:r w:rsidRPr="00506A83">
              <w:rPr>
                <w:rFonts w:ascii="Times New Roman" w:hAnsi="Times New Roman"/>
                <w:b/>
                <w:bCs/>
              </w:rPr>
              <w:t>Delegovaná spolupráce</w:t>
            </w:r>
            <w:r w:rsidRPr="00506A83">
              <w:rPr>
                <w:rFonts w:ascii="Times New Roman" w:hAnsi="Times New Roman"/>
              </w:rPr>
              <w:t xml:space="preserve"> (DS)</w:t>
            </w:r>
          </w:p>
          <w:p w14:paraId="023285C0" w14:textId="77777777" w:rsidR="00265A82" w:rsidRPr="00506A83" w:rsidRDefault="00265A82" w:rsidP="005177B3">
            <w:pPr>
              <w:spacing w:before="120" w:after="120" w:line="276" w:lineRule="auto"/>
              <w:rPr>
                <w:rFonts w:ascii="Times New Roman" w:hAnsi="Times New Roman"/>
              </w:rPr>
            </w:pPr>
          </w:p>
        </w:tc>
        <w:tc>
          <w:tcPr>
            <w:tcW w:w="6520" w:type="dxa"/>
          </w:tcPr>
          <w:p w14:paraId="6439AAC0" w14:textId="22BC3F5D" w:rsidR="00265A82" w:rsidRPr="00506A83" w:rsidRDefault="00265A82" w:rsidP="005177B3">
            <w:pPr>
              <w:spacing w:before="120" w:after="120" w:line="276" w:lineRule="auto"/>
              <w:rPr>
                <w:rFonts w:ascii="Times New Roman" w:hAnsi="Times New Roman"/>
                <w:b/>
                <w:bCs/>
              </w:rPr>
            </w:pPr>
            <w:r w:rsidRPr="00506A83">
              <w:rPr>
                <w:rFonts w:ascii="Times New Roman" w:hAnsi="Times New Roman"/>
                <w:b/>
                <w:bCs/>
              </w:rPr>
              <w:t xml:space="preserve">Celková částka: </w:t>
            </w:r>
            <w:r w:rsidRPr="00506A83">
              <w:rPr>
                <w:rFonts w:ascii="Times New Roman" w:eastAsia="Georgia" w:hAnsi="Times New Roman"/>
              </w:rPr>
              <w:t xml:space="preserve">42 798 261,71 Kč </w:t>
            </w:r>
          </w:p>
          <w:p w14:paraId="13586171" w14:textId="77777777" w:rsidR="00265A82" w:rsidRPr="00506A83" w:rsidRDefault="00265A82" w:rsidP="005177B3">
            <w:pPr>
              <w:spacing w:before="120" w:after="120" w:line="276" w:lineRule="auto"/>
              <w:rPr>
                <w:rFonts w:ascii="Times New Roman" w:eastAsia="Georgia" w:hAnsi="Times New Roman"/>
                <w:i/>
                <w:iCs/>
              </w:rPr>
            </w:pPr>
            <w:r w:rsidRPr="00506A83">
              <w:rPr>
                <w:rFonts w:ascii="Times New Roman" w:hAnsi="Times New Roman"/>
                <w:i/>
                <w:iCs/>
                <w:sz w:val="22"/>
                <w:szCs w:val="22"/>
              </w:rPr>
              <w:t>*Spoluúčast zakomponována do kategorie „bilaterální projekty“</w:t>
            </w:r>
          </w:p>
        </w:tc>
      </w:tr>
      <w:tr w:rsidR="00265A82" w:rsidRPr="00506A83" w14:paraId="48AEABFC" w14:textId="77777777" w:rsidTr="5C8FC553">
        <w:trPr>
          <w:trHeight w:val="564"/>
        </w:trPr>
        <w:tc>
          <w:tcPr>
            <w:tcW w:w="2802" w:type="dxa"/>
            <w:vMerge/>
          </w:tcPr>
          <w:p w14:paraId="2C61D3A7" w14:textId="77777777" w:rsidR="00265A82" w:rsidRPr="00506A83" w:rsidRDefault="00265A82" w:rsidP="005177B3">
            <w:pPr>
              <w:spacing w:before="120" w:after="120" w:line="276" w:lineRule="auto"/>
              <w:rPr>
                <w:rFonts w:ascii="Times New Roman" w:hAnsi="Times New Roman"/>
              </w:rPr>
            </w:pPr>
          </w:p>
        </w:tc>
        <w:tc>
          <w:tcPr>
            <w:tcW w:w="6520" w:type="dxa"/>
          </w:tcPr>
          <w:p w14:paraId="13DE0D3D" w14:textId="0DC014D2" w:rsidR="00265A82" w:rsidRPr="00506A83" w:rsidRDefault="00265A82" w:rsidP="00863EDD">
            <w:pPr>
              <w:spacing w:before="120" w:after="120" w:line="276" w:lineRule="auto"/>
              <w:rPr>
                <w:rFonts w:ascii="Times New Roman" w:hAnsi="Times New Roman"/>
                <w:b/>
                <w:bCs/>
              </w:rPr>
            </w:pPr>
            <w:r w:rsidRPr="00506A83">
              <w:rPr>
                <w:rFonts w:ascii="Times New Roman" w:hAnsi="Times New Roman"/>
                <w:b/>
                <w:bCs/>
              </w:rPr>
              <w:t>Počet projektů:</w:t>
            </w:r>
            <w:r w:rsidRPr="00506A83">
              <w:rPr>
                <w:rFonts w:ascii="Times New Roman" w:hAnsi="Times New Roman"/>
              </w:rPr>
              <w:t>1</w:t>
            </w:r>
          </w:p>
        </w:tc>
      </w:tr>
      <w:tr w:rsidR="00265A82" w:rsidRPr="00506A83" w14:paraId="543D0A74" w14:textId="77777777" w:rsidTr="5C8FC553">
        <w:tc>
          <w:tcPr>
            <w:tcW w:w="2802" w:type="dxa"/>
            <w:vMerge w:val="restart"/>
            <w:shd w:val="clear" w:color="auto" w:fill="C1E4F5" w:themeFill="accent1" w:themeFillTint="33"/>
          </w:tcPr>
          <w:p w14:paraId="7008BFAE" w14:textId="77777777" w:rsidR="00265A82" w:rsidRPr="00506A83" w:rsidRDefault="00265A82" w:rsidP="005177B3">
            <w:pPr>
              <w:spacing w:before="120" w:after="120" w:line="276" w:lineRule="auto"/>
              <w:rPr>
                <w:rFonts w:ascii="Times New Roman" w:eastAsia="Georgia" w:hAnsi="Times New Roman"/>
              </w:rPr>
            </w:pPr>
            <w:r w:rsidRPr="00506A83">
              <w:rPr>
                <w:rFonts w:ascii="Times New Roman" w:eastAsia="Georgia" w:hAnsi="Times New Roman"/>
                <w:b/>
                <w:bCs/>
              </w:rPr>
              <w:t>B2B</w:t>
            </w:r>
          </w:p>
        </w:tc>
        <w:tc>
          <w:tcPr>
            <w:tcW w:w="6520" w:type="dxa"/>
          </w:tcPr>
          <w:p w14:paraId="30BCC0CB" w14:textId="1F16945D" w:rsidR="00265A82" w:rsidRPr="00506A83" w:rsidRDefault="00265A82" w:rsidP="005177B3">
            <w:pPr>
              <w:spacing w:before="120" w:after="120" w:line="276" w:lineRule="auto"/>
              <w:rPr>
                <w:rFonts w:ascii="Times New Roman" w:hAnsi="Times New Roman"/>
                <w:b/>
                <w:bCs/>
              </w:rPr>
            </w:pPr>
            <w:r w:rsidRPr="00506A83">
              <w:rPr>
                <w:rFonts w:ascii="Times New Roman" w:hAnsi="Times New Roman"/>
                <w:b/>
                <w:bCs/>
              </w:rPr>
              <w:t xml:space="preserve">Celková částka: </w:t>
            </w:r>
            <w:r w:rsidRPr="00506A83">
              <w:rPr>
                <w:rFonts w:ascii="Times New Roman" w:hAnsi="Times New Roman"/>
              </w:rPr>
              <w:t>1 091 023,94 Kč</w:t>
            </w:r>
          </w:p>
        </w:tc>
      </w:tr>
      <w:tr w:rsidR="00265A82" w:rsidRPr="00506A83" w14:paraId="20BDE4B6" w14:textId="77777777" w:rsidTr="5C8FC553">
        <w:tc>
          <w:tcPr>
            <w:tcW w:w="2802" w:type="dxa"/>
            <w:vMerge/>
          </w:tcPr>
          <w:p w14:paraId="44C6F4C2" w14:textId="77777777" w:rsidR="00265A82" w:rsidRPr="00506A83" w:rsidRDefault="00265A82" w:rsidP="005177B3">
            <w:pPr>
              <w:spacing w:before="120" w:after="120" w:line="276" w:lineRule="auto"/>
              <w:rPr>
                <w:rFonts w:ascii="Times New Roman" w:eastAsia="Georgia" w:hAnsi="Times New Roman"/>
                <w:b/>
                <w:bCs/>
              </w:rPr>
            </w:pPr>
          </w:p>
        </w:tc>
        <w:tc>
          <w:tcPr>
            <w:tcW w:w="6520" w:type="dxa"/>
          </w:tcPr>
          <w:p w14:paraId="1FA8908B" w14:textId="77777777" w:rsidR="00265A82" w:rsidRPr="00506A83" w:rsidRDefault="00265A82" w:rsidP="005177B3">
            <w:pPr>
              <w:spacing w:before="120" w:after="120" w:line="276" w:lineRule="auto"/>
              <w:rPr>
                <w:rFonts w:ascii="Times New Roman" w:hAnsi="Times New Roman"/>
                <w:b/>
                <w:bCs/>
              </w:rPr>
            </w:pPr>
            <w:r w:rsidRPr="00506A83">
              <w:rPr>
                <w:rFonts w:ascii="Times New Roman" w:hAnsi="Times New Roman"/>
                <w:b/>
                <w:bCs/>
              </w:rPr>
              <w:t xml:space="preserve">Počet projektů: </w:t>
            </w:r>
            <w:r w:rsidRPr="00506A83">
              <w:rPr>
                <w:rFonts w:ascii="Times New Roman" w:hAnsi="Times New Roman"/>
              </w:rPr>
              <w:t>1</w:t>
            </w:r>
          </w:p>
        </w:tc>
      </w:tr>
      <w:tr w:rsidR="00265A82" w:rsidRPr="00506A83" w14:paraId="77A5D4B6" w14:textId="77777777" w:rsidTr="5C8FC553">
        <w:tc>
          <w:tcPr>
            <w:tcW w:w="2802" w:type="dxa"/>
            <w:vMerge w:val="restart"/>
            <w:shd w:val="clear" w:color="auto" w:fill="C1E4F5" w:themeFill="accent1" w:themeFillTint="33"/>
          </w:tcPr>
          <w:p w14:paraId="2FFBE725" w14:textId="77777777" w:rsidR="00265A82" w:rsidRPr="00506A83" w:rsidRDefault="00265A82" w:rsidP="005177B3">
            <w:pPr>
              <w:spacing w:before="120" w:after="120" w:line="276" w:lineRule="auto"/>
              <w:rPr>
                <w:rFonts w:ascii="Times New Roman" w:eastAsia="Georgia" w:hAnsi="Times New Roman"/>
                <w:b/>
                <w:bCs/>
              </w:rPr>
            </w:pPr>
            <w:r w:rsidRPr="00506A83">
              <w:rPr>
                <w:rFonts w:ascii="Times New Roman" w:eastAsia="Georgia" w:hAnsi="Times New Roman"/>
                <w:b/>
                <w:bCs/>
              </w:rPr>
              <w:t>Trojstranné projekty</w:t>
            </w:r>
          </w:p>
        </w:tc>
        <w:tc>
          <w:tcPr>
            <w:tcW w:w="6520" w:type="dxa"/>
          </w:tcPr>
          <w:p w14:paraId="29853DEF" w14:textId="16F8D76A" w:rsidR="00265A82" w:rsidRPr="00506A83" w:rsidRDefault="00265A82" w:rsidP="005177B3">
            <w:pPr>
              <w:spacing w:before="120" w:after="120" w:line="276" w:lineRule="auto"/>
              <w:rPr>
                <w:rFonts w:ascii="Times New Roman" w:eastAsia="Georgia" w:hAnsi="Times New Roman"/>
              </w:rPr>
            </w:pPr>
            <w:r w:rsidRPr="00506A83">
              <w:rPr>
                <w:rFonts w:ascii="Times New Roman" w:hAnsi="Times New Roman"/>
                <w:b/>
                <w:bCs/>
              </w:rPr>
              <w:t xml:space="preserve">Celková částka: </w:t>
            </w:r>
            <w:r w:rsidRPr="00506A83">
              <w:rPr>
                <w:rFonts w:ascii="Times New Roman" w:eastAsia="Georgia" w:hAnsi="Times New Roman"/>
              </w:rPr>
              <w:t xml:space="preserve">14 812 013,00 Kč </w:t>
            </w:r>
          </w:p>
        </w:tc>
      </w:tr>
      <w:tr w:rsidR="00265A82" w:rsidRPr="00506A83" w14:paraId="551190C2" w14:textId="77777777" w:rsidTr="5C8FC553">
        <w:tc>
          <w:tcPr>
            <w:tcW w:w="2802" w:type="dxa"/>
            <w:vMerge/>
          </w:tcPr>
          <w:p w14:paraId="2FDE309F" w14:textId="77777777" w:rsidR="00265A82" w:rsidRPr="00506A83" w:rsidRDefault="00265A82" w:rsidP="005177B3">
            <w:pPr>
              <w:spacing w:before="120" w:after="120" w:line="276" w:lineRule="auto"/>
              <w:rPr>
                <w:rFonts w:ascii="Times New Roman" w:eastAsia="Georgia" w:hAnsi="Times New Roman"/>
                <w:b/>
                <w:bCs/>
              </w:rPr>
            </w:pPr>
          </w:p>
        </w:tc>
        <w:tc>
          <w:tcPr>
            <w:tcW w:w="6520" w:type="dxa"/>
          </w:tcPr>
          <w:p w14:paraId="79FC09D1" w14:textId="77777777" w:rsidR="00265A82" w:rsidRPr="00506A83" w:rsidRDefault="00265A82" w:rsidP="005177B3">
            <w:pPr>
              <w:spacing w:before="120" w:after="120" w:line="276" w:lineRule="auto"/>
              <w:rPr>
                <w:rFonts w:ascii="Times New Roman" w:hAnsi="Times New Roman"/>
                <w:b/>
                <w:bCs/>
              </w:rPr>
            </w:pPr>
            <w:r w:rsidRPr="00506A83">
              <w:rPr>
                <w:rFonts w:ascii="Times New Roman" w:hAnsi="Times New Roman"/>
                <w:b/>
                <w:bCs/>
              </w:rPr>
              <w:t xml:space="preserve">Počet projektů: </w:t>
            </w:r>
            <w:r w:rsidRPr="00506A83">
              <w:rPr>
                <w:rFonts w:ascii="Times New Roman" w:hAnsi="Times New Roman"/>
              </w:rPr>
              <w:t>5</w:t>
            </w:r>
          </w:p>
        </w:tc>
      </w:tr>
    </w:tbl>
    <w:p w14:paraId="1DEB49A8" w14:textId="77777777" w:rsidR="00265A82" w:rsidRPr="00506A83" w:rsidRDefault="00265A82" w:rsidP="005177B3">
      <w:pPr>
        <w:spacing w:before="120" w:after="120" w:line="276" w:lineRule="auto"/>
        <w:jc w:val="both"/>
        <w:rPr>
          <w:rFonts w:eastAsia="Georgia"/>
        </w:rPr>
      </w:pPr>
    </w:p>
    <w:p w14:paraId="6B1507DA" w14:textId="0D21ABD4" w:rsidR="001119D3" w:rsidRPr="00506A83" w:rsidRDefault="001119D3" w:rsidP="005177B3">
      <w:pPr>
        <w:spacing w:before="120" w:after="120" w:line="276" w:lineRule="auto"/>
        <w:jc w:val="both"/>
        <w:rPr>
          <w:kern w:val="2"/>
          <w14:ligatures w14:val="standardContextual"/>
        </w:rPr>
      </w:pPr>
      <w:r w:rsidRPr="00506A83">
        <w:t xml:space="preserve">Sektorová oblast </w:t>
      </w:r>
      <w:r w:rsidRPr="00506A83">
        <w:rPr>
          <w:b/>
          <w:bCs/>
        </w:rPr>
        <w:t>zemědělství a rozvoje venkova</w:t>
      </w:r>
      <w:r w:rsidRPr="00506A83">
        <w:t xml:space="preserve"> (zahrnující sektor </w:t>
      </w:r>
      <w:r w:rsidRPr="00506A83">
        <w:rPr>
          <w:b/>
          <w:bCs/>
        </w:rPr>
        <w:t>zemědělství a lesnictví</w:t>
      </w:r>
      <w:r w:rsidRPr="00506A83">
        <w:t xml:space="preserve">) zůstává v Zambii klíčovou oblastí s významným rozvojovým potenciálem a patří mezi dlouhodobé priority české ZRS. </w:t>
      </w:r>
    </w:p>
    <w:p w14:paraId="79DA391C" w14:textId="56776F68" w:rsidR="001119D3" w:rsidRPr="00506A83" w:rsidRDefault="001119D3" w:rsidP="005177B3">
      <w:pPr>
        <w:spacing w:before="120" w:after="120" w:line="276" w:lineRule="auto"/>
        <w:jc w:val="both"/>
        <w:rPr>
          <w:kern w:val="2"/>
          <w14:ligatures w14:val="standardContextual"/>
        </w:rPr>
      </w:pPr>
      <w:r w:rsidRPr="00506A83">
        <w:t xml:space="preserve">V roce 2025 byl v Jižní provincii Zambie dokončen projekt </w:t>
      </w:r>
      <w:r w:rsidRPr="00506A83">
        <w:rPr>
          <w:b/>
          <w:bCs/>
        </w:rPr>
        <w:t>„Zelená řešení pro udržitelný rozvoj a růst v okrese Monze“</w:t>
      </w:r>
      <w:r w:rsidRPr="00506A83">
        <w:t xml:space="preserve">, který podpořil drobné a střední farmáře při zavádění produktivnějších agronomických postupů a při posilování vazeb v hodnotových řetězcích. Současně pokračoval projekt </w:t>
      </w:r>
      <w:r w:rsidRPr="00506A83">
        <w:rPr>
          <w:b/>
          <w:bCs/>
        </w:rPr>
        <w:t>„Udržitelné agrolesnictví pro zkvalitnění produkce v Jižní provincii Zambie“</w:t>
      </w:r>
      <w:r w:rsidRPr="00506A83">
        <w:t>, zaměřený na agrolesnické přístupy, integrovaný management krajiny a</w:t>
      </w:r>
      <w:r w:rsidR="004964CB" w:rsidRPr="00506A83">
        <w:t> </w:t>
      </w:r>
      <w:r w:rsidRPr="00506A83">
        <w:t>výnosnější zemědělské postupy. Projekt přispívá k posilování potravinového zabezpečení, finanční samostatnosti farmářů a k rozvoji souvisejících hodnotových řetězců.</w:t>
      </w:r>
    </w:p>
    <w:p w14:paraId="019218CE" w14:textId="53D5C064" w:rsidR="001119D3" w:rsidRPr="00506A83" w:rsidRDefault="001119D3" w:rsidP="005177B3">
      <w:pPr>
        <w:spacing w:before="120" w:after="120" w:line="276" w:lineRule="auto"/>
        <w:jc w:val="both"/>
      </w:pPr>
      <w:r w:rsidRPr="00506A83">
        <w:t xml:space="preserve">V roce 2025 byl zahájen projekt </w:t>
      </w:r>
      <w:r w:rsidRPr="00506A83">
        <w:rPr>
          <w:b/>
          <w:bCs/>
        </w:rPr>
        <w:t>„Posílení zemědělských trhů odolných vůči klimatu v</w:t>
      </w:r>
      <w:r w:rsidR="004964CB" w:rsidRPr="00506A83">
        <w:rPr>
          <w:b/>
          <w:bCs/>
        </w:rPr>
        <w:t> </w:t>
      </w:r>
      <w:r w:rsidRPr="00506A83">
        <w:rPr>
          <w:b/>
          <w:bCs/>
        </w:rPr>
        <w:t>Západní a Jižní provincii Zambie“</w:t>
      </w:r>
      <w:r w:rsidRPr="00506A83">
        <w:t xml:space="preserve">, který podporuje diverzifikaci produkce a příjmů farmářů, zlepšuje přístup k finančním nástrojům, </w:t>
      </w:r>
      <w:r w:rsidR="06D6FCC4" w:rsidRPr="00506A83">
        <w:t xml:space="preserve">inovativním </w:t>
      </w:r>
      <w:r w:rsidRPr="00506A83">
        <w:t xml:space="preserve">technologiím a zdrojům energie a posiluje tržní vazby a kvalitu produkce. Zahájena byla také realizace </w:t>
      </w:r>
      <w:r w:rsidRPr="00506A83">
        <w:rPr>
          <w:b/>
          <w:bCs/>
        </w:rPr>
        <w:t>„MWAZACO: Ochrana a využití podzemních vod v provincii Copperbelt“</w:t>
      </w:r>
      <w:r w:rsidRPr="00506A83">
        <w:t xml:space="preserve">, realizovaná organizací </w:t>
      </w:r>
      <w:r w:rsidRPr="00506A83">
        <w:rPr>
          <w:b/>
          <w:bCs/>
        </w:rPr>
        <w:t>Future Resources Development Association z. s.</w:t>
      </w:r>
      <w:r w:rsidRPr="00506A83">
        <w:t xml:space="preserve">, která mapuje podzemní a důlní vody v území zatíženém těžbou, vyhodnocuje jejich znečištění a testuje možnosti sanace. </w:t>
      </w:r>
      <w:r w:rsidR="003B0075" w:rsidRPr="00506A83">
        <w:rPr>
          <w:rFonts w:eastAsia="Georgia"/>
        </w:rPr>
        <w:t>Projekt z</w:t>
      </w:r>
      <w:r w:rsidR="000A56EF" w:rsidRPr="00506A83">
        <w:rPr>
          <w:rFonts w:eastAsia="Georgia"/>
        </w:rPr>
        <w:t xml:space="preserve">ároveň vytváří podmínky pro budoucí zapojení českých firem do mezinárodních projektů, včetně </w:t>
      </w:r>
      <w:r w:rsidR="000A56EF" w:rsidRPr="00506A83">
        <w:rPr>
          <w:rFonts w:eastAsia="Georgia"/>
        </w:rPr>
        <w:lastRenderedPageBreak/>
        <w:t xml:space="preserve">iniciativ Evropské unie v oblasti surovin </w:t>
      </w:r>
      <w:r w:rsidR="7694C93A" w:rsidRPr="00506A83">
        <w:rPr>
          <w:rFonts w:eastAsia="Georgia"/>
        </w:rPr>
        <w:t xml:space="preserve">(CRM) </w:t>
      </w:r>
      <w:r w:rsidR="000A56EF" w:rsidRPr="00506A83">
        <w:rPr>
          <w:rFonts w:eastAsia="Georgia"/>
        </w:rPr>
        <w:t xml:space="preserve">a moderních technologií. </w:t>
      </w:r>
      <w:r w:rsidRPr="00506A83">
        <w:t xml:space="preserve">V neposlední řadě byl zahájen projekt </w:t>
      </w:r>
      <w:r w:rsidRPr="00506A83">
        <w:rPr>
          <w:b/>
          <w:bCs/>
        </w:rPr>
        <w:t>„ZAMAGRO: Mechanizace a inovace pro růst komerčního zemědělství v Zambii“</w:t>
      </w:r>
      <w:r w:rsidRPr="00506A83">
        <w:t>, který zavádí zemědělskou mechanizaci a inovativní technologie a buduje demonstrační prostory a servisní centra pro praktické školení farmářů.</w:t>
      </w:r>
      <w:r w:rsidR="2C791001" w:rsidRPr="00506A83">
        <w:t xml:space="preserve"> Projekt vytváří rovněž předpoklady pro následné komerční působení českých firem v oblasti zemědělské mechanizace, která je prioritou zambijské </w:t>
      </w:r>
      <w:r w:rsidR="1E0C78BA" w:rsidRPr="00506A83">
        <w:t>vlády.</w:t>
      </w:r>
    </w:p>
    <w:p w14:paraId="0D17AF5B" w14:textId="31675CC3" w:rsidR="00C96C90" w:rsidRPr="00506A83" w:rsidRDefault="00265A82" w:rsidP="005177B3">
      <w:pPr>
        <w:spacing w:before="120" w:after="120" w:line="276" w:lineRule="auto"/>
        <w:jc w:val="both"/>
        <w:rPr>
          <w:rFonts w:eastAsia="Georgia"/>
        </w:rPr>
      </w:pPr>
      <w:r w:rsidRPr="00506A83">
        <w:rPr>
          <w:rFonts w:eastAsia="Georgia"/>
        </w:rPr>
        <w:t>Projekt „Sustainable Landscape through Integrated Management – SLIM“, který je rovněž realizován v Zambii, je</w:t>
      </w:r>
      <w:r w:rsidRPr="00506A83">
        <w:rPr>
          <w:rFonts w:eastAsia="Georgia"/>
          <w:b/>
          <w:bCs/>
        </w:rPr>
        <w:t xml:space="preserve"> </w:t>
      </w:r>
      <w:r w:rsidRPr="00506A83">
        <w:rPr>
          <w:rFonts w:eastAsia="Georgia"/>
        </w:rPr>
        <w:t>podrobněji rozpracován v části věnované delegované spolupráci.</w:t>
      </w:r>
    </w:p>
    <w:p w14:paraId="1E15E208" w14:textId="488D0960" w:rsidR="00863EDD" w:rsidRPr="00506A83" w:rsidRDefault="00863EDD" w:rsidP="005177B3">
      <w:pPr>
        <w:spacing w:before="120" w:after="120" w:line="276" w:lineRule="auto"/>
        <w:contextualSpacing/>
        <w:jc w:val="both"/>
        <w:rPr>
          <w:rFonts w:eastAsia="Georgia"/>
          <w:b/>
          <w:bCs/>
          <w:sz w:val="28"/>
          <w:szCs w:val="28"/>
        </w:rPr>
      </w:pPr>
    </w:p>
    <w:p w14:paraId="4272D6BF" w14:textId="77777777" w:rsidR="00652422" w:rsidRPr="00506A83" w:rsidRDefault="00652422" w:rsidP="005177B3">
      <w:pPr>
        <w:spacing w:before="120" w:after="120" w:line="276" w:lineRule="auto"/>
        <w:contextualSpacing/>
        <w:jc w:val="both"/>
        <w:rPr>
          <w:rFonts w:eastAsia="Georgia"/>
          <w:b/>
          <w:bCs/>
          <w:sz w:val="28"/>
          <w:szCs w:val="28"/>
        </w:rPr>
      </w:pPr>
    </w:p>
    <w:p w14:paraId="2F506327" w14:textId="6A6ACBB6" w:rsidR="00265A82" w:rsidRPr="00506A83" w:rsidRDefault="00265A82" w:rsidP="005177B3">
      <w:pPr>
        <w:spacing w:before="120" w:after="120" w:line="276" w:lineRule="auto"/>
        <w:contextualSpacing/>
        <w:jc w:val="both"/>
        <w:rPr>
          <w:rFonts w:eastAsia="Georgia"/>
          <w:b/>
          <w:bCs/>
          <w:sz w:val="28"/>
          <w:szCs w:val="28"/>
        </w:rPr>
      </w:pPr>
      <w:r w:rsidRPr="00506A83">
        <w:rPr>
          <w:rFonts w:eastAsia="Georgia"/>
          <w:b/>
          <w:bCs/>
          <w:sz w:val="28"/>
          <w:szCs w:val="28"/>
        </w:rPr>
        <w:t>Ukrajina</w:t>
      </w:r>
    </w:p>
    <w:p w14:paraId="39F8978D" w14:textId="77777777" w:rsidR="00265A82" w:rsidRPr="00506A83" w:rsidRDefault="00265A82" w:rsidP="005177B3">
      <w:pPr>
        <w:spacing w:before="120" w:after="120" w:line="276" w:lineRule="auto"/>
        <w:contextualSpacing/>
        <w:jc w:val="both"/>
        <w:rPr>
          <w:b/>
          <w:bCs/>
        </w:rPr>
      </w:pPr>
      <w:r w:rsidRPr="00506A83">
        <w:rPr>
          <w:b/>
          <w:bCs/>
        </w:rPr>
        <w:t>Specifická země</w:t>
      </w:r>
    </w:p>
    <w:p w14:paraId="10DAC189" w14:textId="636CBFAB" w:rsidR="00265A82" w:rsidRPr="00506A83" w:rsidRDefault="00265A82" w:rsidP="005177B3">
      <w:pPr>
        <w:spacing w:before="120" w:after="120" w:line="276" w:lineRule="auto"/>
        <w:jc w:val="both"/>
        <w:rPr>
          <w:b/>
          <w:bCs/>
        </w:rPr>
      </w:pPr>
    </w:p>
    <w:tbl>
      <w:tblPr>
        <w:tblStyle w:val="Mkatabulky"/>
        <w:tblW w:w="9322" w:type="dxa"/>
        <w:tblLook w:val="04A0" w:firstRow="1" w:lastRow="0" w:firstColumn="1" w:lastColumn="0" w:noHBand="0" w:noVBand="1"/>
      </w:tblPr>
      <w:tblGrid>
        <w:gridCol w:w="2972"/>
        <w:gridCol w:w="6350"/>
      </w:tblGrid>
      <w:tr w:rsidR="00265A82" w:rsidRPr="00506A83" w14:paraId="3E944574" w14:textId="77777777" w:rsidTr="00863EDD">
        <w:tc>
          <w:tcPr>
            <w:tcW w:w="2972" w:type="dxa"/>
            <w:vMerge w:val="restart"/>
            <w:shd w:val="clear" w:color="auto" w:fill="C1E4F5" w:themeFill="accent1" w:themeFillTint="33"/>
          </w:tcPr>
          <w:p w14:paraId="333F58EC" w14:textId="77777777" w:rsidR="00265A82" w:rsidRPr="00506A83" w:rsidRDefault="00265A82" w:rsidP="005177B3">
            <w:pPr>
              <w:spacing w:before="120" w:after="120" w:line="276" w:lineRule="auto"/>
              <w:rPr>
                <w:rFonts w:ascii="Times New Roman" w:hAnsi="Times New Roman"/>
                <w:b/>
                <w:bCs/>
              </w:rPr>
            </w:pPr>
            <w:r w:rsidRPr="00506A83">
              <w:rPr>
                <w:rFonts w:ascii="Times New Roman" w:hAnsi="Times New Roman"/>
                <w:b/>
                <w:bCs/>
              </w:rPr>
              <w:t>Bilaterální projekty</w:t>
            </w:r>
          </w:p>
          <w:p w14:paraId="4932125B" w14:textId="77777777" w:rsidR="00265A82" w:rsidRPr="00506A83" w:rsidRDefault="00265A82" w:rsidP="005177B3">
            <w:pPr>
              <w:spacing w:before="120" w:after="120" w:line="276" w:lineRule="auto"/>
              <w:rPr>
                <w:rFonts w:ascii="Times New Roman" w:eastAsia="Georgia" w:hAnsi="Times New Roman"/>
              </w:rPr>
            </w:pPr>
          </w:p>
        </w:tc>
        <w:tc>
          <w:tcPr>
            <w:tcW w:w="6350" w:type="dxa"/>
          </w:tcPr>
          <w:p w14:paraId="20F6FEA8" w14:textId="77777777" w:rsidR="00265A82" w:rsidRPr="00506A83" w:rsidRDefault="00265A82" w:rsidP="005177B3">
            <w:pPr>
              <w:spacing w:before="120" w:after="120" w:line="276" w:lineRule="auto"/>
              <w:jc w:val="both"/>
              <w:rPr>
                <w:rFonts w:ascii="Times New Roman" w:eastAsia="Georgia" w:hAnsi="Times New Roman"/>
              </w:rPr>
            </w:pPr>
            <w:r w:rsidRPr="00506A83">
              <w:rPr>
                <w:rFonts w:ascii="Times New Roman" w:hAnsi="Times New Roman"/>
                <w:b/>
                <w:bCs/>
              </w:rPr>
              <w:t>Celková částka:</w:t>
            </w:r>
            <w:r w:rsidRPr="00506A83">
              <w:rPr>
                <w:rFonts w:ascii="Times New Roman" w:hAnsi="Times New Roman"/>
              </w:rPr>
              <w:t xml:space="preserve"> </w:t>
            </w:r>
            <w:r w:rsidRPr="00506A83">
              <w:rPr>
                <w:rFonts w:ascii="Times New Roman" w:eastAsia="Georgia" w:hAnsi="Times New Roman"/>
              </w:rPr>
              <w:t>3 998 050,00 Kč</w:t>
            </w:r>
          </w:p>
        </w:tc>
      </w:tr>
      <w:tr w:rsidR="00265A82" w:rsidRPr="00506A83" w14:paraId="4581803A" w14:textId="77777777" w:rsidTr="00863EDD">
        <w:tc>
          <w:tcPr>
            <w:tcW w:w="2972" w:type="dxa"/>
            <w:vMerge/>
            <w:shd w:val="clear" w:color="auto" w:fill="C1E4F5" w:themeFill="accent1" w:themeFillTint="33"/>
          </w:tcPr>
          <w:p w14:paraId="5939457C" w14:textId="77777777" w:rsidR="00265A82" w:rsidRPr="00506A83" w:rsidRDefault="00265A82" w:rsidP="005177B3">
            <w:pPr>
              <w:spacing w:before="120" w:after="120" w:line="276" w:lineRule="auto"/>
              <w:rPr>
                <w:rFonts w:ascii="Times New Roman" w:eastAsia="Georgia" w:hAnsi="Times New Roman"/>
              </w:rPr>
            </w:pPr>
          </w:p>
        </w:tc>
        <w:tc>
          <w:tcPr>
            <w:tcW w:w="6350" w:type="dxa"/>
          </w:tcPr>
          <w:p w14:paraId="746AEFE1" w14:textId="72D5E5E9" w:rsidR="00265A82" w:rsidRPr="00506A83" w:rsidRDefault="00265A82" w:rsidP="005177B3">
            <w:pPr>
              <w:spacing w:before="120" w:after="120" w:line="276" w:lineRule="auto"/>
              <w:jc w:val="both"/>
              <w:rPr>
                <w:rFonts w:ascii="Times New Roman" w:eastAsia="Georgia" w:hAnsi="Times New Roman"/>
              </w:rPr>
            </w:pPr>
            <w:r w:rsidRPr="00506A83">
              <w:rPr>
                <w:rFonts w:ascii="Times New Roman" w:hAnsi="Times New Roman"/>
                <w:b/>
                <w:bCs/>
              </w:rPr>
              <w:t>Počet projektů:</w:t>
            </w:r>
            <w:r w:rsidRPr="00506A83">
              <w:rPr>
                <w:rFonts w:ascii="Times New Roman" w:hAnsi="Times New Roman"/>
              </w:rPr>
              <w:t xml:space="preserve"> 1</w:t>
            </w:r>
          </w:p>
        </w:tc>
      </w:tr>
      <w:tr w:rsidR="00265A82" w:rsidRPr="00506A83" w14:paraId="38C566B0" w14:textId="77777777" w:rsidTr="00863EDD">
        <w:tc>
          <w:tcPr>
            <w:tcW w:w="2972" w:type="dxa"/>
            <w:vMerge w:val="restart"/>
            <w:shd w:val="clear" w:color="auto" w:fill="C1E4F5" w:themeFill="accent1" w:themeFillTint="33"/>
          </w:tcPr>
          <w:p w14:paraId="142103B8" w14:textId="1710412D" w:rsidR="00265A82" w:rsidRPr="00506A83" w:rsidRDefault="00265A82" w:rsidP="005177B3">
            <w:pPr>
              <w:spacing w:before="120" w:after="120" w:line="276" w:lineRule="auto"/>
              <w:rPr>
                <w:rFonts w:ascii="Times New Roman" w:hAnsi="Times New Roman"/>
              </w:rPr>
            </w:pPr>
            <w:r w:rsidRPr="00506A83">
              <w:rPr>
                <w:rFonts w:ascii="Times New Roman" w:hAnsi="Times New Roman"/>
                <w:b/>
                <w:bCs/>
              </w:rPr>
              <w:t xml:space="preserve">Program humanitární, stabilizační, rekonstrukční a hospodářské asistence Ukrajině </w:t>
            </w:r>
          </w:p>
        </w:tc>
        <w:tc>
          <w:tcPr>
            <w:tcW w:w="6350" w:type="dxa"/>
          </w:tcPr>
          <w:p w14:paraId="5DCD06B0" w14:textId="77777777" w:rsidR="00D83396" w:rsidRPr="00506A83" w:rsidRDefault="00265A82" w:rsidP="005177B3">
            <w:pPr>
              <w:spacing w:before="120" w:after="120" w:line="276" w:lineRule="auto"/>
              <w:contextualSpacing/>
              <w:rPr>
                <w:rFonts w:ascii="Times New Roman" w:eastAsia="Georgia" w:hAnsi="Times New Roman"/>
              </w:rPr>
            </w:pPr>
            <w:r w:rsidRPr="00506A83">
              <w:rPr>
                <w:rFonts w:ascii="Times New Roman" w:hAnsi="Times New Roman"/>
                <w:b/>
                <w:bCs/>
              </w:rPr>
              <w:t xml:space="preserve">Celková částka: </w:t>
            </w:r>
            <w:r w:rsidRPr="00506A83">
              <w:rPr>
                <w:rFonts w:ascii="Times New Roman" w:eastAsia="Georgia" w:hAnsi="Times New Roman"/>
              </w:rPr>
              <w:t>53 639 436,16 Kč</w:t>
            </w:r>
          </w:p>
          <w:p w14:paraId="5F436D4F" w14:textId="65A12A05" w:rsidR="00265A82" w:rsidRPr="00506A83" w:rsidRDefault="0000409C" w:rsidP="005177B3">
            <w:pPr>
              <w:pStyle w:val="Odstavecseseznamem"/>
              <w:numPr>
                <w:ilvl w:val="0"/>
                <w:numId w:val="28"/>
              </w:numPr>
              <w:spacing w:before="120" w:after="120" w:line="276" w:lineRule="auto"/>
              <w:contextualSpacing/>
              <w:jc w:val="both"/>
              <w:rPr>
                <w:rFonts w:ascii="Times New Roman" w:eastAsia="Georgia" w:hAnsi="Times New Roman"/>
                <w:lang w:val="cs-CZ"/>
              </w:rPr>
            </w:pPr>
            <w:r w:rsidRPr="00506A83">
              <w:rPr>
                <w:rFonts w:ascii="Times New Roman" w:eastAsia="Georgia" w:hAnsi="Times New Roman"/>
                <w:lang w:val="cs-CZ"/>
              </w:rPr>
              <w:t>z</w:t>
            </w:r>
            <w:r w:rsidR="005F5407" w:rsidRPr="00506A83">
              <w:rPr>
                <w:rFonts w:ascii="Times New Roman" w:eastAsia="Georgia" w:hAnsi="Times New Roman"/>
                <w:lang w:val="cs-CZ"/>
              </w:rPr>
              <w:t xml:space="preserve"> toho 10</w:t>
            </w:r>
            <w:r w:rsidR="00D83396" w:rsidRPr="00506A83">
              <w:rPr>
                <w:rFonts w:ascii="Times New Roman" w:eastAsia="Georgia" w:hAnsi="Times New Roman"/>
                <w:lang w:val="cs-CZ"/>
              </w:rPr>
              <w:t> mil. Kč v rámci rozpočtových opatření z ČRA</w:t>
            </w:r>
          </w:p>
        </w:tc>
      </w:tr>
      <w:tr w:rsidR="00265A82" w:rsidRPr="00506A83" w14:paraId="2B2F5A2C" w14:textId="77777777" w:rsidTr="00863EDD">
        <w:trPr>
          <w:trHeight w:val="564"/>
        </w:trPr>
        <w:tc>
          <w:tcPr>
            <w:tcW w:w="2972" w:type="dxa"/>
            <w:vMerge/>
            <w:shd w:val="clear" w:color="auto" w:fill="C1E4F5" w:themeFill="accent1" w:themeFillTint="33"/>
          </w:tcPr>
          <w:p w14:paraId="08013280" w14:textId="77777777" w:rsidR="00265A82" w:rsidRPr="00506A83" w:rsidRDefault="00265A82" w:rsidP="005177B3">
            <w:pPr>
              <w:spacing w:before="120" w:after="120" w:line="276" w:lineRule="auto"/>
              <w:rPr>
                <w:rFonts w:ascii="Times New Roman" w:hAnsi="Times New Roman"/>
              </w:rPr>
            </w:pPr>
          </w:p>
        </w:tc>
        <w:tc>
          <w:tcPr>
            <w:tcW w:w="6350" w:type="dxa"/>
          </w:tcPr>
          <w:p w14:paraId="30FB13B2" w14:textId="77777777" w:rsidR="00265A82" w:rsidRPr="00506A83" w:rsidRDefault="00265A82" w:rsidP="005177B3">
            <w:pPr>
              <w:spacing w:before="120" w:after="120" w:line="276" w:lineRule="auto"/>
              <w:rPr>
                <w:rFonts w:ascii="Times New Roman" w:hAnsi="Times New Roman"/>
                <w:b/>
                <w:bCs/>
              </w:rPr>
            </w:pPr>
            <w:r w:rsidRPr="00506A83">
              <w:rPr>
                <w:rFonts w:ascii="Times New Roman" w:hAnsi="Times New Roman"/>
                <w:b/>
                <w:bCs/>
              </w:rPr>
              <w:t xml:space="preserve">Počet projektů: </w:t>
            </w:r>
            <w:r w:rsidRPr="00506A83">
              <w:rPr>
                <w:rFonts w:ascii="Times New Roman" w:hAnsi="Times New Roman"/>
              </w:rPr>
              <w:t>5</w:t>
            </w:r>
          </w:p>
        </w:tc>
      </w:tr>
      <w:tr w:rsidR="00265A82" w:rsidRPr="00506A83" w14:paraId="51A28ED0" w14:textId="77777777" w:rsidTr="00863EDD">
        <w:tc>
          <w:tcPr>
            <w:tcW w:w="2972" w:type="dxa"/>
            <w:vMerge w:val="restart"/>
            <w:shd w:val="clear" w:color="auto" w:fill="C1E4F5" w:themeFill="accent1" w:themeFillTint="33"/>
          </w:tcPr>
          <w:p w14:paraId="52A320E6" w14:textId="77777777" w:rsidR="00265A82" w:rsidRPr="00506A83" w:rsidRDefault="00265A82" w:rsidP="005177B3">
            <w:pPr>
              <w:spacing w:before="120" w:after="120" w:line="276" w:lineRule="auto"/>
              <w:rPr>
                <w:rFonts w:ascii="Times New Roman" w:eastAsia="Georgia" w:hAnsi="Times New Roman"/>
              </w:rPr>
            </w:pPr>
            <w:r w:rsidRPr="00506A83">
              <w:rPr>
                <w:rFonts w:ascii="Times New Roman" w:eastAsia="Georgia" w:hAnsi="Times New Roman"/>
                <w:b/>
                <w:bCs/>
              </w:rPr>
              <w:t>B2B</w:t>
            </w:r>
          </w:p>
        </w:tc>
        <w:tc>
          <w:tcPr>
            <w:tcW w:w="6350" w:type="dxa"/>
          </w:tcPr>
          <w:p w14:paraId="361152CF" w14:textId="5224BC92" w:rsidR="00265A82" w:rsidRPr="00506A83" w:rsidRDefault="00265A82" w:rsidP="00863EDD">
            <w:pPr>
              <w:spacing w:before="120" w:after="120" w:line="276" w:lineRule="auto"/>
              <w:rPr>
                <w:rFonts w:ascii="Times New Roman" w:eastAsia="Georgia" w:hAnsi="Times New Roman"/>
              </w:rPr>
            </w:pPr>
            <w:r w:rsidRPr="00506A83">
              <w:rPr>
                <w:rFonts w:ascii="Times New Roman" w:hAnsi="Times New Roman"/>
                <w:b/>
                <w:bCs/>
              </w:rPr>
              <w:t xml:space="preserve">Celková částka: </w:t>
            </w:r>
            <w:r w:rsidRPr="00506A83">
              <w:rPr>
                <w:rFonts w:ascii="Times New Roman" w:eastAsia="Georgia" w:hAnsi="Times New Roman"/>
              </w:rPr>
              <w:t>343 640,00 Kč</w:t>
            </w:r>
          </w:p>
        </w:tc>
      </w:tr>
      <w:tr w:rsidR="00265A82" w:rsidRPr="00506A83" w14:paraId="4B52B1D4" w14:textId="77777777" w:rsidTr="00863EDD">
        <w:tc>
          <w:tcPr>
            <w:tcW w:w="2972" w:type="dxa"/>
            <w:vMerge/>
            <w:shd w:val="clear" w:color="auto" w:fill="C1E4F5" w:themeFill="accent1" w:themeFillTint="33"/>
          </w:tcPr>
          <w:p w14:paraId="644DA391" w14:textId="77777777" w:rsidR="00265A82" w:rsidRPr="00506A83" w:rsidRDefault="00265A82" w:rsidP="005177B3">
            <w:pPr>
              <w:spacing w:before="120" w:after="120" w:line="276" w:lineRule="auto"/>
              <w:rPr>
                <w:rFonts w:ascii="Times New Roman" w:eastAsia="Georgia" w:hAnsi="Times New Roman"/>
                <w:b/>
                <w:bCs/>
              </w:rPr>
            </w:pPr>
          </w:p>
        </w:tc>
        <w:tc>
          <w:tcPr>
            <w:tcW w:w="6350" w:type="dxa"/>
          </w:tcPr>
          <w:p w14:paraId="1188E1FF" w14:textId="77777777" w:rsidR="00265A82" w:rsidRPr="00506A83" w:rsidRDefault="00265A82" w:rsidP="005177B3">
            <w:pPr>
              <w:spacing w:before="120" w:after="120" w:line="276" w:lineRule="auto"/>
              <w:rPr>
                <w:rFonts w:ascii="Times New Roman" w:hAnsi="Times New Roman"/>
                <w:b/>
                <w:bCs/>
              </w:rPr>
            </w:pPr>
            <w:r w:rsidRPr="00506A83">
              <w:rPr>
                <w:rFonts w:ascii="Times New Roman" w:hAnsi="Times New Roman"/>
                <w:b/>
                <w:bCs/>
              </w:rPr>
              <w:t xml:space="preserve">Počet projektů: </w:t>
            </w:r>
            <w:r w:rsidRPr="00506A83">
              <w:rPr>
                <w:rFonts w:ascii="Times New Roman" w:hAnsi="Times New Roman"/>
              </w:rPr>
              <w:t>1</w:t>
            </w:r>
          </w:p>
        </w:tc>
      </w:tr>
    </w:tbl>
    <w:p w14:paraId="16B3C25E" w14:textId="77777777" w:rsidR="00652422" w:rsidRPr="00506A83" w:rsidRDefault="00652422" w:rsidP="005177B3">
      <w:pPr>
        <w:spacing w:before="120" w:after="120" w:line="276" w:lineRule="auto"/>
        <w:jc w:val="both"/>
      </w:pPr>
    </w:p>
    <w:p w14:paraId="5E091972" w14:textId="7194EB0D" w:rsidR="00C721A4" w:rsidRPr="00506A83" w:rsidRDefault="00C721A4" w:rsidP="005177B3">
      <w:pPr>
        <w:spacing w:before="120" w:after="120" w:line="276" w:lineRule="auto"/>
        <w:jc w:val="both"/>
      </w:pPr>
      <w:r w:rsidRPr="00506A83">
        <w:t xml:space="preserve">V roce 2025 se aktivity ČRA na Ukrajině v rámci bilaterální spolupráce soustředily na sektory </w:t>
      </w:r>
      <w:r w:rsidRPr="00506A83">
        <w:rPr>
          <w:b/>
          <w:bCs/>
        </w:rPr>
        <w:t>veřejná správa a občanská společnost</w:t>
      </w:r>
      <w:r w:rsidRPr="00506A83">
        <w:t xml:space="preserve"> (včetně oblasti </w:t>
      </w:r>
      <w:r w:rsidRPr="00506A83">
        <w:rPr>
          <w:b/>
          <w:bCs/>
        </w:rPr>
        <w:t>ochrany životního prostředí</w:t>
      </w:r>
      <w:r w:rsidRPr="00506A83">
        <w:t xml:space="preserve">), </w:t>
      </w:r>
      <w:r w:rsidRPr="00506A83">
        <w:rPr>
          <w:b/>
          <w:bCs/>
        </w:rPr>
        <w:t>zdravotnictví</w:t>
      </w:r>
      <w:r w:rsidRPr="00506A83">
        <w:t xml:space="preserve">, </w:t>
      </w:r>
      <w:r w:rsidRPr="00506A83">
        <w:rPr>
          <w:b/>
          <w:bCs/>
        </w:rPr>
        <w:t>vzdělávání</w:t>
      </w:r>
      <w:r w:rsidRPr="00506A83">
        <w:t xml:space="preserve"> a </w:t>
      </w:r>
      <w:r w:rsidRPr="00506A83">
        <w:rPr>
          <w:b/>
          <w:bCs/>
        </w:rPr>
        <w:t>zemědělství a lesnictví</w:t>
      </w:r>
      <w:r w:rsidRPr="00506A83">
        <w:t xml:space="preserve">. Realizace probíhala v souladu s vládním rámcem ČR pro ZRS a s </w:t>
      </w:r>
      <w:r w:rsidRPr="00506A83">
        <w:rPr>
          <w:b/>
          <w:bCs/>
        </w:rPr>
        <w:t>Programem humanitární, stabilizační, rekonstrukční a</w:t>
      </w:r>
      <w:r w:rsidR="004964CB" w:rsidRPr="00506A83">
        <w:rPr>
          <w:b/>
          <w:bCs/>
        </w:rPr>
        <w:t> </w:t>
      </w:r>
      <w:r w:rsidRPr="00506A83">
        <w:rPr>
          <w:b/>
          <w:bCs/>
        </w:rPr>
        <w:t>hospodářské asistence Ukrajině 2023–2025</w:t>
      </w:r>
      <w:r w:rsidRPr="00506A83">
        <w:t>.</w:t>
      </w:r>
    </w:p>
    <w:p w14:paraId="53B61425" w14:textId="2CCE8432" w:rsidR="00C721A4" w:rsidRPr="00506A83" w:rsidRDefault="00C721A4" w:rsidP="005177B3">
      <w:pPr>
        <w:spacing w:before="120" w:after="120" w:line="276" w:lineRule="auto"/>
        <w:jc w:val="both"/>
      </w:pPr>
      <w:r w:rsidRPr="00506A83">
        <w:t xml:space="preserve">V sektoru </w:t>
      </w:r>
      <w:r w:rsidRPr="00506A83">
        <w:rPr>
          <w:b/>
          <w:bCs/>
        </w:rPr>
        <w:t>veřejné správy a občanské společnosti</w:t>
      </w:r>
      <w:r w:rsidRPr="00506A83">
        <w:t xml:space="preserve"> byly v roce 2025 realizovány tři projekty, přičemž dva z nich byly dokončeny. Projekt </w:t>
      </w:r>
      <w:r w:rsidRPr="00506A83">
        <w:rPr>
          <w:b/>
          <w:bCs/>
        </w:rPr>
        <w:t>„Vidnova – na cestě k místně vedenému, inkluzivnímu a transparentnímu procesu obnovy na Ukrajině“</w:t>
      </w:r>
      <w:r w:rsidRPr="00506A83">
        <w:t xml:space="preserve">, realizovaný organizací </w:t>
      </w:r>
      <w:r w:rsidRPr="00506A83">
        <w:rPr>
          <w:b/>
          <w:bCs/>
        </w:rPr>
        <w:t>Člověk v tísni</w:t>
      </w:r>
      <w:r w:rsidRPr="00506A83">
        <w:t xml:space="preserve">, posílil lokálně vedené procesy obnovy v Mykolajivské a Ivano-Frankivské oblasti prostřednictvím zapojení samospráv, organizací občanské společnosti a komunit (včetně rad vnitřně vysídlených osob) a cílené podpory mládežnických </w:t>
      </w:r>
      <w:r w:rsidR="6A8F681C" w:rsidRPr="00506A83">
        <w:t>iniciativ, a to i s ohledem na řešení standardní v EU</w:t>
      </w:r>
      <w:r w:rsidRPr="00506A83">
        <w:t xml:space="preserve">. </w:t>
      </w:r>
    </w:p>
    <w:p w14:paraId="2E0924C0" w14:textId="09B2B908" w:rsidR="00C721A4" w:rsidRPr="00506A83" w:rsidRDefault="00C721A4" w:rsidP="00FE34E6">
      <w:pPr>
        <w:spacing w:before="120" w:after="120" w:line="276" w:lineRule="auto"/>
        <w:jc w:val="both"/>
      </w:pPr>
      <w:r w:rsidRPr="00506A83">
        <w:lastRenderedPageBreak/>
        <w:t xml:space="preserve">Na pomezí sektorů </w:t>
      </w:r>
      <w:r w:rsidRPr="00506A83">
        <w:rPr>
          <w:b/>
          <w:bCs/>
        </w:rPr>
        <w:t>veřejné správy a občanské společnosti</w:t>
      </w:r>
      <w:r w:rsidRPr="00506A83">
        <w:t xml:space="preserve"> a </w:t>
      </w:r>
      <w:r w:rsidRPr="00506A83">
        <w:rPr>
          <w:b/>
          <w:bCs/>
        </w:rPr>
        <w:t>ochrany životního prostředí</w:t>
      </w:r>
      <w:r w:rsidRPr="00506A83">
        <w:t xml:space="preserve"> byly realizovány dvě intervence organizac</w:t>
      </w:r>
      <w:r w:rsidR="40EB6AD7" w:rsidRPr="00506A83">
        <w:t>í</w:t>
      </w:r>
      <w:r w:rsidRPr="00506A83">
        <w:t xml:space="preserve"> </w:t>
      </w:r>
      <w:r w:rsidRPr="00506A83">
        <w:rPr>
          <w:b/>
          <w:bCs/>
        </w:rPr>
        <w:t>Arnika – Centrum pro podporu občanů</w:t>
      </w:r>
      <w:r w:rsidRPr="00506A83">
        <w:t xml:space="preserve">. Dokončený projekt </w:t>
      </w:r>
      <w:r w:rsidRPr="00506A83">
        <w:rPr>
          <w:b/>
          <w:bCs/>
        </w:rPr>
        <w:t>„Posílení monitoringu znečištění životního prostředí v</w:t>
      </w:r>
      <w:r w:rsidR="004964CB" w:rsidRPr="00506A83">
        <w:rPr>
          <w:b/>
          <w:bCs/>
        </w:rPr>
        <w:t> </w:t>
      </w:r>
      <w:r w:rsidRPr="00506A83">
        <w:rPr>
          <w:b/>
          <w:bCs/>
        </w:rPr>
        <w:t>Dněpropetrovské oblasti v době ozbrojeného konfliktu“</w:t>
      </w:r>
      <w:r w:rsidRPr="00506A83">
        <w:t xml:space="preserve"> pomohl udržet a rozšířit kapacity kontinuálního monitoringu v území zatíženém průmyslem a dopady války. </w:t>
      </w:r>
      <w:r w:rsidR="3D5987A9" w:rsidRPr="00506A83">
        <w:t xml:space="preserve">Při realizaci projektu byl plně využit potenciál českého neziskového, akademického, </w:t>
      </w:r>
      <w:r w:rsidR="0093112F" w:rsidRPr="00506A83">
        <w:t>veřejného</w:t>
      </w:r>
      <w:r w:rsidR="3D5987A9" w:rsidRPr="00506A83">
        <w:t xml:space="preserve"> ale i</w:t>
      </w:r>
      <w:r w:rsidR="007B5E03" w:rsidRPr="00506A83">
        <w:t> </w:t>
      </w:r>
      <w:r w:rsidR="3D5987A9" w:rsidRPr="00506A83">
        <w:t xml:space="preserve">soukromého sektoru (vedle Arniky se na realizaci podíleli odborníci </w:t>
      </w:r>
      <w:r w:rsidR="0C372195" w:rsidRPr="00506A83">
        <w:t xml:space="preserve">z </w:t>
      </w:r>
      <w:r w:rsidR="3D5987A9" w:rsidRPr="00506A83">
        <w:t>Karlov</w:t>
      </w:r>
      <w:r w:rsidR="3D6F87E4" w:rsidRPr="00506A83">
        <w:t>y</w:t>
      </w:r>
      <w:r w:rsidR="3D5987A9" w:rsidRPr="00506A83">
        <w:t xml:space="preserve"> Univerzit</w:t>
      </w:r>
      <w:r w:rsidR="73FFA902" w:rsidRPr="00506A83">
        <w:t>y</w:t>
      </w:r>
      <w:r w:rsidR="3D5987A9" w:rsidRPr="00506A83">
        <w:t xml:space="preserve"> v</w:t>
      </w:r>
      <w:r w:rsidR="004964CB" w:rsidRPr="00506A83">
        <w:t> </w:t>
      </w:r>
      <w:r w:rsidR="48D1B793" w:rsidRPr="00506A83">
        <w:t>Praze</w:t>
      </w:r>
      <w:r w:rsidR="3D5987A9" w:rsidRPr="00506A83">
        <w:t>,</w:t>
      </w:r>
      <w:r w:rsidR="05A7E80F" w:rsidRPr="00506A83">
        <w:t xml:space="preserve"> ČHMU, ale i soukromá společnost Dekonta, a.s.)</w:t>
      </w:r>
      <w:r w:rsidR="6D0E4C47" w:rsidRPr="00506A83">
        <w:t xml:space="preserve">. </w:t>
      </w:r>
    </w:p>
    <w:p w14:paraId="6E86F42D" w14:textId="0A4C9023" w:rsidR="00C721A4" w:rsidRPr="00506A83" w:rsidRDefault="00C721A4" w:rsidP="005177B3">
      <w:pPr>
        <w:spacing w:before="120" w:after="120" w:line="276" w:lineRule="auto"/>
        <w:jc w:val="both"/>
      </w:pPr>
      <w:r w:rsidRPr="00506A83">
        <w:t xml:space="preserve">Nově zahájený projekt </w:t>
      </w:r>
      <w:r w:rsidRPr="00506A83">
        <w:rPr>
          <w:b/>
          <w:bCs/>
        </w:rPr>
        <w:t>„Problematika ekologických zátěží v Dněpropetrovské oblasti“</w:t>
      </w:r>
      <w:r w:rsidRPr="00506A83">
        <w:t xml:space="preserve"> navazuje na výsledky z roku 2024 a v roce 2025 rozvíjel databázi ekologických zátěží, realizoval terénní průzkumy a připravoval podklady a dokumentaci pro sanaci vybraných lokalit</w:t>
      </w:r>
      <w:r w:rsidR="005A25ED" w:rsidRPr="00506A83">
        <w:t xml:space="preserve">. </w:t>
      </w:r>
      <w:r w:rsidR="1DC2A9CF" w:rsidRPr="00506A83">
        <w:t xml:space="preserve">Intencí této intervence, vedle zvýšení povědomí o problematice ekologických </w:t>
      </w:r>
      <w:r w:rsidR="32C42FD1" w:rsidRPr="00506A83">
        <w:t>zátěží</w:t>
      </w:r>
      <w:r w:rsidR="26FEF592" w:rsidRPr="00506A83">
        <w:t xml:space="preserve"> a</w:t>
      </w:r>
      <w:r w:rsidR="004964CB" w:rsidRPr="00506A83">
        <w:t> </w:t>
      </w:r>
      <w:r w:rsidR="26FEF592" w:rsidRPr="00506A83">
        <w:t>strukturované</w:t>
      </w:r>
      <w:r w:rsidR="40147C97" w:rsidRPr="00506A83">
        <w:t>ho</w:t>
      </w:r>
      <w:r w:rsidR="26FEF592" w:rsidRPr="00506A83">
        <w:t xml:space="preserve"> odborné</w:t>
      </w:r>
      <w:r w:rsidR="69FA35C9" w:rsidRPr="00506A83">
        <w:t>ho</w:t>
      </w:r>
      <w:r w:rsidR="26FEF592" w:rsidRPr="00506A83">
        <w:t xml:space="preserve"> přístupu</w:t>
      </w:r>
      <w:r w:rsidR="34F126B5" w:rsidRPr="00506A83">
        <w:t>,</w:t>
      </w:r>
      <w:r w:rsidR="32C42FD1" w:rsidRPr="00506A83">
        <w:t xml:space="preserve"> bylo</w:t>
      </w:r>
      <w:r w:rsidR="4664E230" w:rsidRPr="00506A83">
        <w:t xml:space="preserve"> </w:t>
      </w:r>
      <w:r w:rsidR="1DC2A9CF" w:rsidRPr="00506A83">
        <w:t xml:space="preserve">připravit relevantní dokumentaci pro odstranění </w:t>
      </w:r>
      <w:r w:rsidR="63861EBE" w:rsidRPr="00506A83">
        <w:t>nejhorších z nich</w:t>
      </w:r>
      <w:r w:rsidR="58FC8F6B" w:rsidRPr="00506A83">
        <w:t>,</w:t>
      </w:r>
      <w:r w:rsidR="588B05F5" w:rsidRPr="00506A83">
        <w:t xml:space="preserve"> </w:t>
      </w:r>
      <w:r w:rsidR="457D8730" w:rsidRPr="00506A83">
        <w:t xml:space="preserve">s </w:t>
      </w:r>
      <w:r w:rsidR="588B05F5" w:rsidRPr="00506A83">
        <w:t>tím že tato dokumentace bude dále předložena dalším donorským organizacím s aktivní činností v ochraně životního prostředí</w:t>
      </w:r>
      <w:r w:rsidR="1D0592EE" w:rsidRPr="00506A83">
        <w:t xml:space="preserve"> a</w:t>
      </w:r>
      <w:r w:rsidR="300942DF" w:rsidRPr="00506A83">
        <w:t xml:space="preserve"> </w:t>
      </w:r>
      <w:r w:rsidR="05667E3D" w:rsidRPr="00506A83">
        <w:t>umožn</w:t>
      </w:r>
      <w:r w:rsidR="6C442A7C" w:rsidRPr="00506A83">
        <w:t>í</w:t>
      </w:r>
      <w:r w:rsidR="05667E3D" w:rsidRPr="00506A83">
        <w:t xml:space="preserve"> </w:t>
      </w:r>
      <w:r w:rsidR="4B42943D" w:rsidRPr="00506A83">
        <w:t xml:space="preserve">budoucí </w:t>
      </w:r>
      <w:r w:rsidR="590AF9E4" w:rsidRPr="00506A83">
        <w:t>zapojení</w:t>
      </w:r>
      <w:r w:rsidR="300942DF" w:rsidRPr="00506A83">
        <w:t xml:space="preserve"> českých soukromých subjektů</w:t>
      </w:r>
      <w:r w:rsidR="08069137" w:rsidRPr="00506A83">
        <w:t>.</w:t>
      </w:r>
      <w:r w:rsidR="4D2638DC" w:rsidRPr="00506A83">
        <w:t xml:space="preserve">Tento projekt byl před </w:t>
      </w:r>
      <w:r w:rsidR="70367457" w:rsidRPr="00506A83">
        <w:t xml:space="preserve">druhým rokem realizace předčasně </w:t>
      </w:r>
      <w:r w:rsidR="501B468F" w:rsidRPr="00506A83">
        <w:t>ukončen,</w:t>
      </w:r>
      <w:r w:rsidR="70367457" w:rsidRPr="00506A83">
        <w:t xml:space="preserve"> a to v souvislosti s přerušením financování Progra</w:t>
      </w:r>
      <w:r w:rsidR="0B5615B5" w:rsidRPr="00506A83">
        <w:t>mu Ukrajina pro roky 2026 až 2028.</w:t>
      </w:r>
      <w:r w:rsidR="6CFC7C1A" w:rsidRPr="00506A83">
        <w:t xml:space="preserve"> </w:t>
      </w:r>
    </w:p>
    <w:p w14:paraId="6746C9A1" w14:textId="3642420B" w:rsidR="00C721A4" w:rsidRPr="00506A83" w:rsidRDefault="00C721A4" w:rsidP="005177B3">
      <w:pPr>
        <w:spacing w:before="120" w:after="120" w:line="276" w:lineRule="auto"/>
        <w:jc w:val="both"/>
      </w:pPr>
      <w:r w:rsidRPr="00506A83">
        <w:rPr>
          <w:b/>
        </w:rPr>
        <w:t xml:space="preserve">V sektoru </w:t>
      </w:r>
      <w:r w:rsidRPr="00506A83">
        <w:rPr>
          <w:b/>
          <w:bCs/>
        </w:rPr>
        <w:t>zdravotnictví</w:t>
      </w:r>
      <w:r w:rsidRPr="00506A83">
        <w:rPr>
          <w:b/>
        </w:rPr>
        <w:t xml:space="preserve"> byl v roce 2025 dokončen projekt </w:t>
      </w:r>
      <w:r w:rsidRPr="00506A83">
        <w:rPr>
          <w:b/>
          <w:bCs/>
        </w:rPr>
        <w:t>„Podpora překonání následků války posílením kapacity vybraných ambulantních rehabilitačních center v oblasti rehabilitace a reprodukční zdravotní péče v Dněpropetrovském regionu“</w:t>
      </w:r>
      <w:r w:rsidRPr="00506A83">
        <w:rPr>
          <w:b/>
        </w:rPr>
        <w:t>,</w:t>
      </w:r>
      <w:r w:rsidRPr="00506A83">
        <w:t xml:space="preserve"> realizovaný organizací Charita ČR.</w:t>
      </w:r>
      <w:r w:rsidRPr="00506A83">
        <w:rPr>
          <w:b/>
        </w:rPr>
        <w:t xml:space="preserve"> Projekt posílil dostupnost a kvalitu rehabilitační péče</w:t>
      </w:r>
      <w:r w:rsidR="00652422" w:rsidRPr="00506A83">
        <w:rPr>
          <w:b/>
        </w:rPr>
        <w:t xml:space="preserve"> </w:t>
      </w:r>
      <w:r w:rsidR="69D06518" w:rsidRPr="00506A83">
        <w:rPr>
          <w:b/>
          <w:bCs/>
        </w:rPr>
        <w:t>v</w:t>
      </w:r>
      <w:r w:rsidR="004964CB" w:rsidRPr="00506A83">
        <w:rPr>
          <w:b/>
          <w:bCs/>
        </w:rPr>
        <w:t> </w:t>
      </w:r>
      <w:r w:rsidRPr="00506A83">
        <w:rPr>
          <w:b/>
        </w:rPr>
        <w:t xml:space="preserve">podmínkách válečného konfliktu a současně rozvíjel odborné kapacity zdravotnického personálu v oblasti rehabilitace i sexuálního a reprodukčního zdraví. Intervence pokryla celkem </w:t>
      </w:r>
      <w:r w:rsidRPr="00506A83">
        <w:rPr>
          <w:b/>
          <w:bCs/>
        </w:rPr>
        <w:t>šest</w:t>
      </w:r>
      <w:r w:rsidRPr="00506A83">
        <w:rPr>
          <w:b/>
        </w:rPr>
        <w:t xml:space="preserve"> zdravotnických zařízení v Dněpropetrovské oblasti.</w:t>
      </w:r>
      <w:r w:rsidR="79243219" w:rsidRPr="00506A83">
        <w:rPr>
          <w:b/>
        </w:rPr>
        <w:t xml:space="preserve"> </w:t>
      </w:r>
      <w:r w:rsidR="79243219" w:rsidRPr="00506A83">
        <w:rPr>
          <w:b/>
          <w:bCs/>
        </w:rPr>
        <w:t>Projek</w:t>
      </w:r>
      <w:r w:rsidR="609558A5" w:rsidRPr="00506A83">
        <w:rPr>
          <w:b/>
          <w:bCs/>
        </w:rPr>
        <w:t>t</w:t>
      </w:r>
      <w:r w:rsidR="79243219" w:rsidRPr="00506A83">
        <w:rPr>
          <w:b/>
          <w:bCs/>
        </w:rPr>
        <w:t>y</w:t>
      </w:r>
      <w:r w:rsidR="79243219" w:rsidRPr="00506A83">
        <w:rPr>
          <w:b/>
        </w:rPr>
        <w:t xml:space="preserve"> zároveň </w:t>
      </w:r>
      <w:r w:rsidR="6A9E8C9F" w:rsidRPr="00506A83">
        <w:rPr>
          <w:b/>
          <w:bCs/>
        </w:rPr>
        <w:t>vytvořily</w:t>
      </w:r>
      <w:r w:rsidR="79243219" w:rsidRPr="00506A83">
        <w:rPr>
          <w:b/>
        </w:rPr>
        <w:t xml:space="preserve"> nezbytný referenční rámec</w:t>
      </w:r>
      <w:r w:rsidR="79243219" w:rsidRPr="00506A83">
        <w:t xml:space="preserve"> pro zapojení </w:t>
      </w:r>
      <w:r w:rsidR="68E64820" w:rsidRPr="00506A83">
        <w:t xml:space="preserve">ČRA do projektu EU v oblasti zdravotnictví </w:t>
      </w:r>
      <w:r w:rsidR="4CC0F997" w:rsidRPr="00506A83">
        <w:t>(modernizace nemocnic)</w:t>
      </w:r>
      <w:r w:rsidR="44E7ACA6" w:rsidRPr="00506A83">
        <w:t>.</w:t>
      </w:r>
      <w:r w:rsidR="68E64820" w:rsidRPr="00506A83">
        <w:t xml:space="preserve"> </w:t>
      </w:r>
    </w:p>
    <w:p w14:paraId="41D7FF25" w14:textId="6ABD307B" w:rsidR="00C721A4" w:rsidRPr="00506A83" w:rsidRDefault="00C721A4" w:rsidP="005177B3">
      <w:pPr>
        <w:spacing w:before="120" w:after="120" w:line="276" w:lineRule="auto"/>
        <w:jc w:val="both"/>
      </w:pPr>
      <w:r w:rsidRPr="00506A83">
        <w:t xml:space="preserve">V sektoru </w:t>
      </w:r>
      <w:r w:rsidRPr="00506A83">
        <w:rPr>
          <w:b/>
          <w:bCs/>
        </w:rPr>
        <w:t>vzdělávání</w:t>
      </w:r>
      <w:r w:rsidRPr="00506A83">
        <w:t xml:space="preserve"> byl v roce 2025 dokončen dvouletý projekt </w:t>
      </w:r>
      <w:r w:rsidRPr="00506A83">
        <w:rPr>
          <w:b/>
          <w:bCs/>
        </w:rPr>
        <w:t>„Posílení kapacit a</w:t>
      </w:r>
      <w:r w:rsidR="004964CB" w:rsidRPr="00506A83">
        <w:rPr>
          <w:b/>
          <w:bCs/>
        </w:rPr>
        <w:t> </w:t>
      </w:r>
      <w:r w:rsidRPr="00506A83">
        <w:rPr>
          <w:b/>
          <w:bCs/>
        </w:rPr>
        <w:t>kompetencí pracovníků v sektoru vzdělávání v Dněpropetrovské oblasti“</w:t>
      </w:r>
      <w:r w:rsidRPr="00506A83">
        <w:t xml:space="preserve">, realizovaný ve spolupráci s </w:t>
      </w:r>
      <w:r w:rsidRPr="00506A83">
        <w:rPr>
          <w:b/>
          <w:bCs/>
        </w:rPr>
        <w:t>Asociací pro mezinárodní otázky</w:t>
      </w:r>
      <w:r w:rsidR="70F80F3F" w:rsidRPr="00506A83">
        <w:rPr>
          <w:b/>
          <w:bCs/>
        </w:rPr>
        <w:t xml:space="preserve"> </w:t>
      </w:r>
      <w:r w:rsidR="70F80F3F" w:rsidRPr="00506A83">
        <w:t>a jeho českými odbornými partnery</w:t>
      </w:r>
      <w:r w:rsidRPr="00506A83">
        <w:t xml:space="preserve">. Klíčovým výstupem bylo zřízení vzorové učebny pro pravidelné další vzdělávání pedagogů; současně bylo podpořeno </w:t>
      </w:r>
      <w:r w:rsidRPr="00506A83">
        <w:rPr>
          <w:b/>
          <w:bCs/>
        </w:rPr>
        <w:t>38 školních institucí</w:t>
      </w:r>
      <w:r w:rsidRPr="00506A83">
        <w:t xml:space="preserve"> v realizaci vlastních záměrů na zvýšení kvality výuky.</w:t>
      </w:r>
    </w:p>
    <w:p w14:paraId="7D3A824A" w14:textId="79E52B39" w:rsidR="00652422" w:rsidRPr="00506A83" w:rsidRDefault="00C721A4" w:rsidP="007B5E03">
      <w:pPr>
        <w:spacing w:before="120" w:after="120" w:line="276" w:lineRule="auto"/>
        <w:jc w:val="both"/>
      </w:pPr>
      <w:r w:rsidRPr="00506A83">
        <w:t xml:space="preserve">V sektoru </w:t>
      </w:r>
      <w:r w:rsidRPr="00506A83">
        <w:rPr>
          <w:b/>
          <w:bCs/>
        </w:rPr>
        <w:t>zemědělství a lesnictví</w:t>
      </w:r>
      <w:r w:rsidRPr="00506A83">
        <w:t xml:space="preserve"> pokračoval v roce 2025 projekt </w:t>
      </w:r>
      <w:r w:rsidRPr="00506A83">
        <w:rPr>
          <w:b/>
          <w:bCs/>
        </w:rPr>
        <w:t>„Posílení kapacit Ukrajiny v oblasti monitoringu lesů pro harmonizaci se standardy EU“</w:t>
      </w:r>
      <w:r w:rsidRPr="00506A83">
        <w:t xml:space="preserve">, realizovaný v rámci „Programu Ukrajina“ ve spolupráci s </w:t>
      </w:r>
      <w:r w:rsidRPr="00506A83">
        <w:rPr>
          <w:b/>
          <w:bCs/>
        </w:rPr>
        <w:t>Národním lesnickým institutem</w:t>
      </w:r>
      <w:r w:rsidRPr="00506A83">
        <w:t xml:space="preserve">. Projekt posiluje klíčové instituce lesnického sektoru v oblasti sběru, vyhodnocování a sdílení dat o stavu lesů, včetně tvorby centrální databáze a rozvoje kapacit pro dálkový průzkum Země a GIS. </w:t>
      </w:r>
      <w:r w:rsidR="16DD8035" w:rsidRPr="00506A83">
        <w:t xml:space="preserve">Součástí bylo </w:t>
      </w:r>
      <w:r w:rsidR="23FF4A4E" w:rsidRPr="00506A83">
        <w:t xml:space="preserve">vedle </w:t>
      </w:r>
      <w:r w:rsidR="16DD8035" w:rsidRPr="00506A83">
        <w:t xml:space="preserve">předání </w:t>
      </w:r>
      <w:r w:rsidR="47B583A2" w:rsidRPr="00506A83">
        <w:t xml:space="preserve">českého know-how také zajištění </w:t>
      </w:r>
      <w:r w:rsidR="16DD8035" w:rsidRPr="00506A83">
        <w:t>potřebného materiálního vybavení pro sběr dat z lesních porostů</w:t>
      </w:r>
      <w:r w:rsidR="6FADC4C3" w:rsidRPr="00506A83">
        <w:t xml:space="preserve">, </w:t>
      </w:r>
      <w:r w:rsidR="16DD8035" w:rsidRPr="00506A83">
        <w:t>jejich další zpracování a interpretaci</w:t>
      </w:r>
      <w:r w:rsidR="008D79D4" w:rsidRPr="00506A83">
        <w:t>.</w:t>
      </w:r>
      <w:r w:rsidR="755668BD" w:rsidRPr="00506A83">
        <w:t xml:space="preserve"> </w:t>
      </w:r>
      <w:r w:rsidRPr="00506A83">
        <w:t xml:space="preserve">Významným výsledkem v roce 2025 bylo </w:t>
      </w:r>
      <w:r w:rsidR="68141F8A" w:rsidRPr="00506A83">
        <w:t>také</w:t>
      </w:r>
      <w:r w:rsidRPr="00506A83">
        <w:t xml:space="preserve"> posílení vzdělávací a výzkumné role </w:t>
      </w:r>
      <w:r w:rsidRPr="00506A83">
        <w:rPr>
          <w:b/>
          <w:bCs/>
        </w:rPr>
        <w:t>Národní univerzity věd o životním prostředí Ukrajiny v Kyjevě</w:t>
      </w:r>
      <w:r w:rsidRPr="00506A83">
        <w:t xml:space="preserve"> (vybavení specializovaných učeben, aktualizace výukových sylabů) a</w:t>
      </w:r>
      <w:r w:rsidR="007B5E03" w:rsidRPr="00506A83">
        <w:t> </w:t>
      </w:r>
      <w:r w:rsidRPr="00506A83">
        <w:t xml:space="preserve">prohloubení praktické spolupráce mezi akademickou sférou a hlavním partnerem projektu při </w:t>
      </w:r>
      <w:r w:rsidRPr="00506A83">
        <w:lastRenderedPageBreak/>
        <w:t>interpretaci dat. Intervence tak vytváří dlouhodobé předpoklady pro moderní správu lesů a</w:t>
      </w:r>
      <w:r w:rsidR="007B5E03" w:rsidRPr="00506A83">
        <w:t> </w:t>
      </w:r>
      <w:r w:rsidRPr="00506A83">
        <w:t>sbližování se standardy EU</w:t>
      </w:r>
      <w:bookmarkStart w:id="8" w:name="_Toc200351820"/>
      <w:bookmarkStart w:id="9" w:name="_Toc200633257"/>
      <w:r w:rsidR="007B5E03" w:rsidRPr="00506A83">
        <w:t>.</w:t>
      </w:r>
    </w:p>
    <w:p w14:paraId="4CF8499B" w14:textId="2D3E1E8F" w:rsidR="00265A82" w:rsidRPr="00506A83" w:rsidRDefault="00265A82" w:rsidP="0012521C">
      <w:pPr>
        <w:pStyle w:val="Nadpis3"/>
        <w:numPr>
          <w:ilvl w:val="2"/>
          <w:numId w:val="37"/>
        </w:numPr>
        <w:ind w:left="709" w:hanging="709"/>
        <w:rPr>
          <w:rFonts w:eastAsia="DengXian Light"/>
        </w:rPr>
      </w:pPr>
      <w:bookmarkStart w:id="10" w:name="_Toc231294139"/>
      <w:r w:rsidRPr="00506A83">
        <w:rPr>
          <w:rFonts w:eastAsia="DengXian Light"/>
        </w:rPr>
        <w:t>Rozvojové aktivity ČRA dle tematického zaměření</w:t>
      </w:r>
      <w:bookmarkEnd w:id="8"/>
      <w:bookmarkEnd w:id="9"/>
      <w:bookmarkEnd w:id="10"/>
      <w:r w:rsidRPr="00506A83">
        <w:rPr>
          <w:rFonts w:eastAsia="DengXian Light"/>
        </w:rPr>
        <w:t xml:space="preserve"> </w:t>
      </w:r>
    </w:p>
    <w:p w14:paraId="03CE7192" w14:textId="77777777" w:rsidR="00265A82" w:rsidRPr="00506A83" w:rsidRDefault="00265A82" w:rsidP="005177B3">
      <w:pPr>
        <w:spacing w:before="120" w:after="120" w:line="276" w:lineRule="auto"/>
        <w:jc w:val="both"/>
        <w:rPr>
          <w:rFonts w:eastAsia="Georgia"/>
          <w:vertAlign w:val="superscript"/>
        </w:rPr>
      </w:pPr>
      <w:r w:rsidRPr="00506A83">
        <w:rPr>
          <w:rFonts w:eastAsia="Georgia"/>
        </w:rPr>
        <w:t>ČRA realizuje tematicky širokou škálu projektů. V rámci bilaterálních projektů působí především v šesti prioritních zemích. Dotační nástroje B2B či trilaterální spolupráce podporuje projekty i v jiných rozvojových zemích světa. Dotační tituly v roce 2025 směřovaly i do České republiky, kde ČRA podporovala projekty zaměřené na vzdělávání, osvětu, témata udržitelného rozvoje či podporu platforem věnujícím se rozvojové spolupráci.</w:t>
      </w:r>
    </w:p>
    <w:p w14:paraId="4D2F2201" w14:textId="77777777" w:rsidR="00265A82" w:rsidRPr="00506A83" w:rsidRDefault="00265A82" w:rsidP="005177B3">
      <w:pPr>
        <w:spacing w:before="120" w:after="120" w:line="276" w:lineRule="auto"/>
        <w:jc w:val="both"/>
        <w:rPr>
          <w:rFonts w:eastAsia="Georgia"/>
        </w:rPr>
      </w:pPr>
      <w:r w:rsidRPr="00506A83">
        <w:rPr>
          <w:rFonts w:eastAsia="Georgia"/>
        </w:rPr>
        <w:t>Projekty ČRA jsou v prioritních zemích soustředěny v několika sektorech, které jsou jak v souladu s požadavky příslušných států, tak jde o sektory, ve kterých Česká republika nabízí expertní zkušenosti a personální kapacity. Jedná se především o tyto sektory:</w:t>
      </w:r>
    </w:p>
    <w:p w14:paraId="2372F156" w14:textId="77777777" w:rsidR="00265A82" w:rsidRPr="00506A83" w:rsidRDefault="00265A82" w:rsidP="00652422">
      <w:pPr>
        <w:numPr>
          <w:ilvl w:val="0"/>
          <w:numId w:val="15"/>
        </w:numPr>
        <w:spacing w:before="120" w:after="120" w:line="276" w:lineRule="auto"/>
        <w:ind w:left="425" w:hanging="425"/>
        <w:contextualSpacing/>
        <w:jc w:val="both"/>
        <w:rPr>
          <w:rFonts w:eastAsia="Georgia"/>
        </w:rPr>
      </w:pPr>
      <w:r w:rsidRPr="00506A83">
        <w:rPr>
          <w:rFonts w:eastAsia="Georgia"/>
          <w:b/>
          <w:bCs/>
        </w:rPr>
        <w:t>Voda a sanitace:</w:t>
      </w:r>
      <w:r w:rsidRPr="00506A83">
        <w:rPr>
          <w:rFonts w:eastAsia="Georgia"/>
        </w:rPr>
        <w:t xml:space="preserve"> Bosna a Hercegovina, Etiopie, Moldavsko, Ukrajina </w:t>
      </w:r>
    </w:p>
    <w:p w14:paraId="0BA13EFF" w14:textId="77777777" w:rsidR="00265A82" w:rsidRPr="00506A83" w:rsidRDefault="00265A82" w:rsidP="00652422">
      <w:pPr>
        <w:numPr>
          <w:ilvl w:val="0"/>
          <w:numId w:val="15"/>
        </w:numPr>
        <w:spacing w:before="120" w:after="120" w:line="276" w:lineRule="auto"/>
        <w:ind w:left="425" w:hanging="425"/>
        <w:contextualSpacing/>
        <w:jc w:val="both"/>
        <w:rPr>
          <w:rFonts w:eastAsia="Georgia"/>
        </w:rPr>
      </w:pPr>
      <w:r w:rsidRPr="00506A83">
        <w:rPr>
          <w:rFonts w:eastAsia="Georgia"/>
          <w:b/>
          <w:bCs/>
        </w:rPr>
        <w:t>Veřejná správa a občanská společnost:</w:t>
      </w:r>
      <w:r w:rsidRPr="00506A83">
        <w:rPr>
          <w:rFonts w:eastAsia="Georgia"/>
        </w:rPr>
        <w:t xml:space="preserve"> Bosna a Hercegovina, Gruzie, Moldavsko, Ukrajina</w:t>
      </w:r>
    </w:p>
    <w:p w14:paraId="43FA6C71" w14:textId="561CCA71" w:rsidR="00265A82" w:rsidRPr="00506A83" w:rsidRDefault="00265A82" w:rsidP="00652422">
      <w:pPr>
        <w:numPr>
          <w:ilvl w:val="0"/>
          <w:numId w:val="15"/>
        </w:numPr>
        <w:spacing w:before="120" w:after="120" w:line="276" w:lineRule="auto"/>
        <w:ind w:left="425" w:hanging="425"/>
        <w:contextualSpacing/>
        <w:jc w:val="both"/>
        <w:rPr>
          <w:rFonts w:eastAsia="Georgia"/>
        </w:rPr>
      </w:pPr>
      <w:r w:rsidRPr="00506A83">
        <w:rPr>
          <w:rFonts w:eastAsia="Georgia"/>
          <w:b/>
          <w:bCs/>
        </w:rPr>
        <w:t>Zdravotnictví:</w:t>
      </w:r>
      <w:r w:rsidRPr="00506A83">
        <w:rPr>
          <w:rFonts w:eastAsia="Georgia"/>
        </w:rPr>
        <w:t xml:space="preserve"> Gruzie, Kambodža, Moldavsko</w:t>
      </w:r>
      <w:r w:rsidR="00DC112D" w:rsidRPr="00506A83">
        <w:rPr>
          <w:rFonts w:eastAsia="Georgia"/>
        </w:rPr>
        <w:t>, Ukrajina</w:t>
      </w:r>
    </w:p>
    <w:p w14:paraId="791F008A" w14:textId="77777777" w:rsidR="00265A82" w:rsidRPr="00506A83" w:rsidRDefault="00265A82" w:rsidP="00652422">
      <w:pPr>
        <w:numPr>
          <w:ilvl w:val="0"/>
          <w:numId w:val="15"/>
        </w:numPr>
        <w:spacing w:before="120" w:after="120" w:line="276" w:lineRule="auto"/>
        <w:ind w:left="425" w:hanging="425"/>
        <w:contextualSpacing/>
        <w:jc w:val="both"/>
        <w:rPr>
          <w:rFonts w:eastAsia="Georgia"/>
        </w:rPr>
      </w:pPr>
      <w:r w:rsidRPr="00506A83">
        <w:rPr>
          <w:rFonts w:eastAsia="Georgia"/>
          <w:b/>
          <w:bCs/>
        </w:rPr>
        <w:t>Výroba a dodávky energie:</w:t>
      </w:r>
      <w:r w:rsidRPr="00506A83">
        <w:rPr>
          <w:rFonts w:eastAsia="Georgia"/>
        </w:rPr>
        <w:t xml:space="preserve"> Bosna a Hercegovina</w:t>
      </w:r>
    </w:p>
    <w:p w14:paraId="3564B800" w14:textId="298F2D97" w:rsidR="00265A82" w:rsidRPr="00506A83" w:rsidRDefault="00265A82" w:rsidP="00652422">
      <w:pPr>
        <w:numPr>
          <w:ilvl w:val="0"/>
          <w:numId w:val="15"/>
        </w:numPr>
        <w:spacing w:before="120" w:after="120" w:line="276" w:lineRule="auto"/>
        <w:ind w:left="425" w:hanging="425"/>
        <w:contextualSpacing/>
        <w:jc w:val="both"/>
        <w:rPr>
          <w:rFonts w:eastAsia="Georgia"/>
        </w:rPr>
      </w:pPr>
      <w:r w:rsidRPr="00506A83">
        <w:rPr>
          <w:rFonts w:eastAsia="Georgia"/>
          <w:b/>
          <w:bCs/>
        </w:rPr>
        <w:t>Zemědělství a lesnictví</w:t>
      </w:r>
      <w:r w:rsidRPr="00506A83">
        <w:rPr>
          <w:rFonts w:eastAsia="Georgia"/>
        </w:rPr>
        <w:t xml:space="preserve">: Bosna a Hercegovina, Etiopie, Gruzie, Moldavsko, </w:t>
      </w:r>
      <w:r w:rsidR="00DC112D" w:rsidRPr="00506A83">
        <w:rPr>
          <w:rFonts w:eastAsia="Georgia"/>
        </w:rPr>
        <w:t xml:space="preserve">Ukrajina, </w:t>
      </w:r>
      <w:r w:rsidRPr="00506A83">
        <w:rPr>
          <w:rFonts w:eastAsia="Georgia"/>
        </w:rPr>
        <w:t>Zambie</w:t>
      </w:r>
    </w:p>
    <w:p w14:paraId="4BD5AFD0" w14:textId="77777777" w:rsidR="005135A3" w:rsidRPr="00506A83" w:rsidRDefault="005135A3" w:rsidP="005135A3">
      <w:pPr>
        <w:spacing w:before="120" w:after="120" w:line="276" w:lineRule="auto"/>
        <w:ind w:left="425"/>
        <w:contextualSpacing/>
        <w:jc w:val="both"/>
        <w:rPr>
          <w:rFonts w:eastAsia="Georgia"/>
        </w:rPr>
      </w:pPr>
    </w:p>
    <w:p w14:paraId="683C484A" w14:textId="77777777" w:rsidR="00265A82" w:rsidRPr="00506A83" w:rsidRDefault="00265A82" w:rsidP="005177B3">
      <w:pPr>
        <w:keepNext/>
        <w:spacing w:before="120" w:after="120" w:line="276" w:lineRule="auto"/>
        <w:jc w:val="both"/>
      </w:pPr>
      <w:r w:rsidRPr="00506A83">
        <w:drawing>
          <wp:inline distT="0" distB="0" distL="0" distR="0" wp14:anchorId="3F3872A7" wp14:editId="10AE3578">
            <wp:extent cx="5486400" cy="3200400"/>
            <wp:effectExtent l="0" t="0" r="0" b="0"/>
            <wp:docPr id="759618573" name="Graf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6BAE3D6F" w14:textId="3AB38DC7" w:rsidR="00265A82" w:rsidRPr="00506A83" w:rsidRDefault="00265A82" w:rsidP="005177B3">
      <w:pPr>
        <w:spacing w:before="120" w:after="120" w:line="276" w:lineRule="auto"/>
        <w:ind w:firstLine="709"/>
        <w:jc w:val="both"/>
        <w:rPr>
          <w:i/>
          <w:iCs/>
        </w:rPr>
      </w:pPr>
      <w:r w:rsidRPr="00506A83">
        <w:rPr>
          <w:i/>
          <w:iCs/>
        </w:rPr>
        <w:t xml:space="preserve">Graf </w:t>
      </w:r>
      <w:r w:rsidRPr="00506A83">
        <w:rPr>
          <w:i/>
          <w:iCs/>
        </w:rPr>
        <w:fldChar w:fldCharType="begin"/>
      </w:r>
      <w:r w:rsidRPr="00506A83">
        <w:rPr>
          <w:i/>
          <w:iCs/>
        </w:rPr>
        <w:instrText xml:space="preserve"> SEQ Graf \* ARABIC </w:instrText>
      </w:r>
      <w:r w:rsidRPr="00506A83">
        <w:rPr>
          <w:i/>
          <w:iCs/>
        </w:rPr>
        <w:fldChar w:fldCharType="separate"/>
      </w:r>
      <w:r w:rsidR="00A8486D" w:rsidRPr="00506A83">
        <w:rPr>
          <w:i/>
          <w:iCs/>
        </w:rPr>
        <w:t>1</w:t>
      </w:r>
      <w:r w:rsidRPr="00506A83">
        <w:rPr>
          <w:i/>
          <w:iCs/>
        </w:rPr>
        <w:fldChar w:fldCharType="end"/>
      </w:r>
      <w:r w:rsidRPr="00506A83">
        <w:rPr>
          <w:i/>
          <w:iCs/>
        </w:rPr>
        <w:t>: Počet projektů ČRA dle sektorového zaměření</w:t>
      </w:r>
    </w:p>
    <w:tbl>
      <w:tblPr>
        <w:tblW w:w="9430" w:type="dxa"/>
        <w:tblCellMar>
          <w:left w:w="70" w:type="dxa"/>
          <w:right w:w="70" w:type="dxa"/>
        </w:tblCellMar>
        <w:tblLook w:val="04A0" w:firstRow="1" w:lastRow="0" w:firstColumn="1" w:lastColumn="0" w:noHBand="0" w:noVBand="1"/>
      </w:tblPr>
      <w:tblGrid>
        <w:gridCol w:w="4085"/>
        <w:gridCol w:w="1923"/>
        <w:gridCol w:w="3422"/>
      </w:tblGrid>
      <w:tr w:rsidR="00265A82" w:rsidRPr="00506A83" w14:paraId="10E5278B" w14:textId="77777777" w:rsidTr="00A91C00">
        <w:trPr>
          <w:trHeight w:val="436"/>
        </w:trPr>
        <w:tc>
          <w:tcPr>
            <w:tcW w:w="4085" w:type="dxa"/>
            <w:tcBorders>
              <w:bottom w:val="single" w:sz="6" w:space="0" w:color="A6A6A6" w:themeColor="background1" w:themeShade="A6"/>
            </w:tcBorders>
            <w:shd w:val="clear" w:color="auto" w:fill="45B0E1" w:themeFill="accent1" w:themeFillTint="99"/>
            <w:vAlign w:val="center"/>
            <w:hideMark/>
          </w:tcPr>
          <w:p w14:paraId="1677C383" w14:textId="77777777" w:rsidR="00265A82" w:rsidRPr="00506A83" w:rsidRDefault="00265A82" w:rsidP="00652422">
            <w:pPr>
              <w:keepNext/>
              <w:keepLines/>
              <w:spacing w:before="120" w:after="120" w:line="276" w:lineRule="auto"/>
              <w:contextualSpacing/>
              <w:rPr>
                <w:b/>
                <w:bCs/>
                <w:lang w:eastAsia="zh-CN"/>
              </w:rPr>
            </w:pPr>
            <w:bookmarkStart w:id="11" w:name="_Toc200351821"/>
            <w:bookmarkStart w:id="12" w:name="_Toc200633258"/>
            <w:r w:rsidRPr="00506A83">
              <w:rPr>
                <w:b/>
                <w:bCs/>
                <w:lang w:eastAsia="zh-CN"/>
              </w:rPr>
              <w:lastRenderedPageBreak/>
              <w:t>Název sektoru</w:t>
            </w:r>
          </w:p>
        </w:tc>
        <w:tc>
          <w:tcPr>
            <w:tcW w:w="1923" w:type="dxa"/>
            <w:tcBorders>
              <w:bottom w:val="single" w:sz="6" w:space="0" w:color="A6A6A6" w:themeColor="background1" w:themeShade="A6"/>
            </w:tcBorders>
            <w:shd w:val="clear" w:color="auto" w:fill="45B0E1" w:themeFill="accent1" w:themeFillTint="99"/>
            <w:vAlign w:val="center"/>
            <w:hideMark/>
          </w:tcPr>
          <w:p w14:paraId="0B94398E" w14:textId="77777777" w:rsidR="00265A82" w:rsidRPr="00506A83" w:rsidRDefault="00265A82" w:rsidP="00652422">
            <w:pPr>
              <w:keepNext/>
              <w:keepLines/>
              <w:spacing w:before="120" w:after="120" w:line="276" w:lineRule="auto"/>
              <w:contextualSpacing/>
              <w:jc w:val="center"/>
              <w:rPr>
                <w:b/>
                <w:bCs/>
                <w:lang w:eastAsia="zh-CN"/>
              </w:rPr>
            </w:pPr>
            <w:r w:rsidRPr="00506A83">
              <w:rPr>
                <w:b/>
                <w:bCs/>
                <w:lang w:eastAsia="zh-CN"/>
              </w:rPr>
              <w:t>Počet projektů</w:t>
            </w:r>
          </w:p>
        </w:tc>
        <w:tc>
          <w:tcPr>
            <w:tcW w:w="3422" w:type="dxa"/>
            <w:tcBorders>
              <w:bottom w:val="single" w:sz="6" w:space="0" w:color="A6A6A6" w:themeColor="background1" w:themeShade="A6"/>
            </w:tcBorders>
            <w:shd w:val="clear" w:color="auto" w:fill="45B0E1" w:themeFill="accent1" w:themeFillTint="99"/>
            <w:vAlign w:val="center"/>
            <w:hideMark/>
          </w:tcPr>
          <w:p w14:paraId="5070C291" w14:textId="77777777" w:rsidR="00265A82" w:rsidRPr="00506A83" w:rsidRDefault="00265A82" w:rsidP="00652422">
            <w:pPr>
              <w:keepNext/>
              <w:keepLines/>
              <w:spacing w:before="120" w:after="120" w:line="276" w:lineRule="auto"/>
              <w:contextualSpacing/>
              <w:jc w:val="right"/>
              <w:rPr>
                <w:b/>
                <w:bCs/>
                <w:lang w:eastAsia="zh-CN"/>
              </w:rPr>
            </w:pPr>
            <w:r w:rsidRPr="00506A83">
              <w:rPr>
                <w:b/>
                <w:bCs/>
                <w:lang w:eastAsia="zh-CN"/>
              </w:rPr>
              <w:t>Čerpáno (Kč)</w:t>
            </w:r>
          </w:p>
        </w:tc>
      </w:tr>
      <w:tr w:rsidR="00265A82" w:rsidRPr="00506A83" w14:paraId="2C8541B6" w14:textId="77777777" w:rsidTr="00A91C00">
        <w:trPr>
          <w:trHeight w:val="232"/>
        </w:trPr>
        <w:tc>
          <w:tcPr>
            <w:tcW w:w="4085" w:type="dxa"/>
            <w:tcBorders>
              <w:top w:val="single" w:sz="6" w:space="0" w:color="A6A6A6" w:themeColor="background1" w:themeShade="A6"/>
              <w:bottom w:val="single" w:sz="6" w:space="0" w:color="A6A6A6" w:themeColor="background1" w:themeShade="A6"/>
            </w:tcBorders>
            <w:vAlign w:val="center"/>
            <w:hideMark/>
          </w:tcPr>
          <w:p w14:paraId="422AC46E" w14:textId="77777777" w:rsidR="00265A82" w:rsidRPr="00506A83" w:rsidRDefault="00265A82" w:rsidP="00652422">
            <w:pPr>
              <w:keepNext/>
              <w:keepLines/>
              <w:spacing w:before="120" w:after="120" w:line="276" w:lineRule="auto"/>
              <w:contextualSpacing/>
              <w:rPr>
                <w:lang w:eastAsia="zh-CN"/>
              </w:rPr>
            </w:pPr>
            <w:r w:rsidRPr="00506A83">
              <w:rPr>
                <w:lang w:eastAsia="zh-CN"/>
              </w:rPr>
              <w:t>zemědělství a lesnictví</w:t>
            </w:r>
          </w:p>
        </w:tc>
        <w:tc>
          <w:tcPr>
            <w:tcW w:w="1923" w:type="dxa"/>
            <w:tcBorders>
              <w:top w:val="single" w:sz="6" w:space="0" w:color="A6A6A6" w:themeColor="background1" w:themeShade="A6"/>
              <w:bottom w:val="single" w:sz="6" w:space="0" w:color="A6A6A6" w:themeColor="background1" w:themeShade="A6"/>
            </w:tcBorders>
            <w:vAlign w:val="center"/>
            <w:hideMark/>
          </w:tcPr>
          <w:p w14:paraId="7DBE8DFE" w14:textId="77777777" w:rsidR="00265A82" w:rsidRPr="00506A83" w:rsidRDefault="00265A82" w:rsidP="00652422">
            <w:pPr>
              <w:keepNext/>
              <w:keepLines/>
              <w:spacing w:before="120" w:after="120" w:line="276" w:lineRule="auto"/>
              <w:ind w:right="698"/>
              <w:contextualSpacing/>
              <w:jc w:val="right"/>
              <w:rPr>
                <w:lang w:eastAsia="zh-CN"/>
              </w:rPr>
            </w:pPr>
            <w:r w:rsidRPr="00506A83">
              <w:rPr>
                <w:lang w:eastAsia="zh-CN"/>
              </w:rPr>
              <w:t>23</w:t>
            </w:r>
          </w:p>
        </w:tc>
        <w:tc>
          <w:tcPr>
            <w:tcW w:w="3422" w:type="dxa"/>
            <w:tcBorders>
              <w:top w:val="single" w:sz="6" w:space="0" w:color="A6A6A6" w:themeColor="background1" w:themeShade="A6"/>
              <w:bottom w:val="single" w:sz="6" w:space="0" w:color="A6A6A6" w:themeColor="background1" w:themeShade="A6"/>
            </w:tcBorders>
            <w:vAlign w:val="center"/>
            <w:hideMark/>
          </w:tcPr>
          <w:p w14:paraId="125A47E8" w14:textId="0337FF3F" w:rsidR="00265A82" w:rsidRPr="00506A83" w:rsidRDefault="00265A82" w:rsidP="00652422">
            <w:pPr>
              <w:keepNext/>
              <w:keepLines/>
              <w:spacing w:before="120" w:after="120" w:line="276" w:lineRule="auto"/>
              <w:contextualSpacing/>
              <w:jc w:val="right"/>
              <w:rPr>
                <w:lang w:eastAsia="zh-CN"/>
              </w:rPr>
            </w:pPr>
            <w:r w:rsidRPr="00506A83">
              <w:t>156</w:t>
            </w:r>
            <w:r w:rsidR="00141ED4" w:rsidRPr="00506A83">
              <w:t xml:space="preserve"> </w:t>
            </w:r>
            <w:r w:rsidRPr="00506A83">
              <w:t>774</w:t>
            </w:r>
            <w:r w:rsidR="00141ED4" w:rsidRPr="00506A83">
              <w:t xml:space="preserve"> </w:t>
            </w:r>
            <w:r w:rsidRPr="00506A83">
              <w:t>453</w:t>
            </w:r>
            <w:r w:rsidR="00141ED4" w:rsidRPr="00506A83">
              <w:t>,</w:t>
            </w:r>
            <w:r w:rsidRPr="00506A83">
              <w:t>08 Kč</w:t>
            </w:r>
          </w:p>
        </w:tc>
      </w:tr>
      <w:tr w:rsidR="00265A82" w:rsidRPr="00506A83" w14:paraId="237015EB" w14:textId="77777777" w:rsidTr="00A91C00">
        <w:trPr>
          <w:trHeight w:val="232"/>
        </w:trPr>
        <w:tc>
          <w:tcPr>
            <w:tcW w:w="4085" w:type="dxa"/>
            <w:tcBorders>
              <w:top w:val="single" w:sz="6" w:space="0" w:color="A6A6A6" w:themeColor="background1" w:themeShade="A6"/>
              <w:bottom w:val="single" w:sz="6" w:space="0" w:color="A6A6A6" w:themeColor="background1" w:themeShade="A6"/>
            </w:tcBorders>
            <w:vAlign w:val="center"/>
            <w:hideMark/>
          </w:tcPr>
          <w:p w14:paraId="0F369FF6" w14:textId="77777777" w:rsidR="00265A82" w:rsidRPr="00506A83" w:rsidRDefault="00265A82" w:rsidP="00652422">
            <w:pPr>
              <w:keepNext/>
              <w:keepLines/>
              <w:spacing w:before="120" w:after="120" w:line="276" w:lineRule="auto"/>
              <w:contextualSpacing/>
              <w:rPr>
                <w:lang w:eastAsia="zh-CN"/>
              </w:rPr>
            </w:pPr>
            <w:r w:rsidRPr="00506A83">
              <w:rPr>
                <w:lang w:eastAsia="zh-CN"/>
              </w:rPr>
              <w:t>veřejná správa a občanská společnost</w:t>
            </w:r>
          </w:p>
        </w:tc>
        <w:tc>
          <w:tcPr>
            <w:tcW w:w="1923" w:type="dxa"/>
            <w:tcBorders>
              <w:top w:val="single" w:sz="6" w:space="0" w:color="A6A6A6" w:themeColor="background1" w:themeShade="A6"/>
              <w:bottom w:val="single" w:sz="6" w:space="0" w:color="A6A6A6" w:themeColor="background1" w:themeShade="A6"/>
            </w:tcBorders>
            <w:vAlign w:val="center"/>
            <w:hideMark/>
          </w:tcPr>
          <w:p w14:paraId="3DA366BA" w14:textId="77777777" w:rsidR="00265A82" w:rsidRPr="00506A83" w:rsidRDefault="00265A82" w:rsidP="00652422">
            <w:pPr>
              <w:keepNext/>
              <w:keepLines/>
              <w:spacing w:before="120" w:after="120" w:line="276" w:lineRule="auto"/>
              <w:ind w:right="698"/>
              <w:contextualSpacing/>
              <w:jc w:val="right"/>
              <w:rPr>
                <w:lang w:eastAsia="zh-CN"/>
              </w:rPr>
            </w:pPr>
            <w:r w:rsidRPr="00506A83">
              <w:rPr>
                <w:lang w:eastAsia="zh-CN"/>
              </w:rPr>
              <w:t>18</w:t>
            </w:r>
          </w:p>
        </w:tc>
        <w:tc>
          <w:tcPr>
            <w:tcW w:w="3422" w:type="dxa"/>
            <w:tcBorders>
              <w:top w:val="single" w:sz="6" w:space="0" w:color="A6A6A6" w:themeColor="background1" w:themeShade="A6"/>
              <w:bottom w:val="single" w:sz="6" w:space="0" w:color="A6A6A6" w:themeColor="background1" w:themeShade="A6"/>
            </w:tcBorders>
            <w:vAlign w:val="center"/>
            <w:hideMark/>
          </w:tcPr>
          <w:p w14:paraId="40A8B68D" w14:textId="3FD9356C" w:rsidR="00265A82" w:rsidRPr="00506A83" w:rsidRDefault="00265A82" w:rsidP="00652422">
            <w:pPr>
              <w:keepNext/>
              <w:keepLines/>
              <w:spacing w:before="120" w:after="120" w:line="276" w:lineRule="auto"/>
              <w:contextualSpacing/>
              <w:jc w:val="right"/>
              <w:rPr>
                <w:lang w:eastAsia="zh-CN"/>
              </w:rPr>
            </w:pPr>
            <w:r w:rsidRPr="00506A83">
              <w:t> 80</w:t>
            </w:r>
            <w:r w:rsidR="00141ED4" w:rsidRPr="00506A83">
              <w:t xml:space="preserve"> </w:t>
            </w:r>
            <w:r w:rsidRPr="00506A83">
              <w:t>849</w:t>
            </w:r>
            <w:r w:rsidR="00141ED4" w:rsidRPr="00506A83">
              <w:t xml:space="preserve"> </w:t>
            </w:r>
            <w:r w:rsidRPr="00506A83">
              <w:t>942</w:t>
            </w:r>
            <w:r w:rsidR="00141ED4" w:rsidRPr="00506A83">
              <w:t>,</w:t>
            </w:r>
            <w:r w:rsidRPr="00506A83">
              <w:t>66 Kč</w:t>
            </w:r>
          </w:p>
        </w:tc>
      </w:tr>
      <w:tr w:rsidR="00265A82" w:rsidRPr="00506A83" w14:paraId="3C8ADF43" w14:textId="77777777" w:rsidTr="00A91C00">
        <w:trPr>
          <w:trHeight w:val="232"/>
        </w:trPr>
        <w:tc>
          <w:tcPr>
            <w:tcW w:w="4085" w:type="dxa"/>
            <w:tcBorders>
              <w:top w:val="single" w:sz="6" w:space="0" w:color="A6A6A6" w:themeColor="background1" w:themeShade="A6"/>
              <w:bottom w:val="single" w:sz="6" w:space="0" w:color="A6A6A6" w:themeColor="background1" w:themeShade="A6"/>
            </w:tcBorders>
            <w:vAlign w:val="center"/>
            <w:hideMark/>
          </w:tcPr>
          <w:p w14:paraId="1E0591EB" w14:textId="77777777" w:rsidR="00265A82" w:rsidRPr="00506A83" w:rsidRDefault="00265A82" w:rsidP="00652422">
            <w:pPr>
              <w:keepNext/>
              <w:keepLines/>
              <w:spacing w:before="120" w:after="120" w:line="276" w:lineRule="auto"/>
              <w:contextualSpacing/>
              <w:rPr>
                <w:lang w:eastAsia="zh-CN"/>
              </w:rPr>
            </w:pPr>
            <w:r w:rsidRPr="00506A83">
              <w:rPr>
                <w:lang w:eastAsia="zh-CN"/>
              </w:rPr>
              <w:t>voda a sanitace</w:t>
            </w:r>
          </w:p>
        </w:tc>
        <w:tc>
          <w:tcPr>
            <w:tcW w:w="1923" w:type="dxa"/>
            <w:tcBorders>
              <w:top w:val="single" w:sz="6" w:space="0" w:color="A6A6A6" w:themeColor="background1" w:themeShade="A6"/>
              <w:bottom w:val="single" w:sz="6" w:space="0" w:color="A6A6A6" w:themeColor="background1" w:themeShade="A6"/>
            </w:tcBorders>
            <w:vAlign w:val="center"/>
            <w:hideMark/>
          </w:tcPr>
          <w:p w14:paraId="56BBAB07" w14:textId="77777777" w:rsidR="00265A82" w:rsidRPr="00506A83" w:rsidRDefault="00265A82" w:rsidP="00652422">
            <w:pPr>
              <w:keepNext/>
              <w:keepLines/>
              <w:spacing w:before="120" w:after="120" w:line="276" w:lineRule="auto"/>
              <w:ind w:right="698"/>
              <w:contextualSpacing/>
              <w:jc w:val="right"/>
              <w:rPr>
                <w:lang w:eastAsia="zh-CN"/>
              </w:rPr>
            </w:pPr>
            <w:r w:rsidRPr="00506A83">
              <w:rPr>
                <w:lang w:eastAsia="zh-CN"/>
              </w:rPr>
              <w:t>13</w:t>
            </w:r>
          </w:p>
        </w:tc>
        <w:tc>
          <w:tcPr>
            <w:tcW w:w="3422" w:type="dxa"/>
            <w:tcBorders>
              <w:top w:val="single" w:sz="6" w:space="0" w:color="A6A6A6" w:themeColor="background1" w:themeShade="A6"/>
              <w:bottom w:val="single" w:sz="6" w:space="0" w:color="A6A6A6" w:themeColor="background1" w:themeShade="A6"/>
            </w:tcBorders>
            <w:vAlign w:val="center"/>
            <w:hideMark/>
          </w:tcPr>
          <w:p w14:paraId="789D1065" w14:textId="2C04E58E" w:rsidR="00265A82" w:rsidRPr="00506A83" w:rsidRDefault="00265A82" w:rsidP="00652422">
            <w:pPr>
              <w:keepNext/>
              <w:keepLines/>
              <w:spacing w:before="120" w:after="120" w:line="276" w:lineRule="auto"/>
              <w:contextualSpacing/>
              <w:jc w:val="right"/>
              <w:rPr>
                <w:lang w:eastAsia="zh-CN"/>
              </w:rPr>
            </w:pPr>
            <w:r w:rsidRPr="00506A83">
              <w:t> 31</w:t>
            </w:r>
            <w:r w:rsidR="00141ED4" w:rsidRPr="00506A83">
              <w:t xml:space="preserve"> </w:t>
            </w:r>
            <w:r w:rsidRPr="00506A83">
              <w:t>661</w:t>
            </w:r>
            <w:r w:rsidR="00141ED4" w:rsidRPr="00506A83">
              <w:t xml:space="preserve"> </w:t>
            </w:r>
            <w:r w:rsidRPr="00506A83">
              <w:t>676</w:t>
            </w:r>
            <w:r w:rsidR="00141ED4" w:rsidRPr="00506A83">
              <w:t>,</w:t>
            </w:r>
            <w:r w:rsidRPr="00506A83">
              <w:t>24 Kč</w:t>
            </w:r>
          </w:p>
        </w:tc>
      </w:tr>
      <w:tr w:rsidR="00265A82" w:rsidRPr="00506A83" w14:paraId="774EA42D" w14:textId="77777777" w:rsidTr="00A91C00">
        <w:trPr>
          <w:trHeight w:val="232"/>
        </w:trPr>
        <w:tc>
          <w:tcPr>
            <w:tcW w:w="4085" w:type="dxa"/>
            <w:tcBorders>
              <w:top w:val="single" w:sz="6" w:space="0" w:color="A6A6A6" w:themeColor="background1" w:themeShade="A6"/>
              <w:bottom w:val="single" w:sz="6" w:space="0" w:color="A6A6A6" w:themeColor="background1" w:themeShade="A6"/>
            </w:tcBorders>
            <w:vAlign w:val="center"/>
            <w:hideMark/>
          </w:tcPr>
          <w:p w14:paraId="36A3EED3" w14:textId="77777777" w:rsidR="00265A82" w:rsidRPr="00506A83" w:rsidRDefault="00265A82" w:rsidP="00652422">
            <w:pPr>
              <w:keepNext/>
              <w:keepLines/>
              <w:spacing w:before="120" w:after="120" w:line="276" w:lineRule="auto"/>
              <w:contextualSpacing/>
              <w:rPr>
                <w:lang w:eastAsia="zh-CN"/>
              </w:rPr>
            </w:pPr>
            <w:r w:rsidRPr="00506A83">
              <w:rPr>
                <w:lang w:eastAsia="zh-CN"/>
              </w:rPr>
              <w:t xml:space="preserve">ostatní sociální infrastruktura a služby </w:t>
            </w:r>
          </w:p>
        </w:tc>
        <w:tc>
          <w:tcPr>
            <w:tcW w:w="1923" w:type="dxa"/>
            <w:tcBorders>
              <w:top w:val="single" w:sz="6" w:space="0" w:color="A6A6A6" w:themeColor="background1" w:themeShade="A6"/>
              <w:bottom w:val="single" w:sz="6" w:space="0" w:color="A6A6A6" w:themeColor="background1" w:themeShade="A6"/>
            </w:tcBorders>
            <w:vAlign w:val="center"/>
            <w:hideMark/>
          </w:tcPr>
          <w:p w14:paraId="4A0DD431" w14:textId="77777777" w:rsidR="00265A82" w:rsidRPr="00506A83" w:rsidRDefault="00265A82" w:rsidP="00652422">
            <w:pPr>
              <w:keepNext/>
              <w:keepLines/>
              <w:spacing w:before="120" w:after="120" w:line="276" w:lineRule="auto"/>
              <w:ind w:right="698"/>
              <w:contextualSpacing/>
              <w:jc w:val="right"/>
              <w:rPr>
                <w:lang w:eastAsia="zh-CN"/>
              </w:rPr>
            </w:pPr>
            <w:r w:rsidRPr="00506A83">
              <w:rPr>
                <w:lang w:eastAsia="zh-CN"/>
              </w:rPr>
              <w:t>5</w:t>
            </w:r>
          </w:p>
        </w:tc>
        <w:tc>
          <w:tcPr>
            <w:tcW w:w="3422" w:type="dxa"/>
            <w:tcBorders>
              <w:top w:val="single" w:sz="6" w:space="0" w:color="A6A6A6" w:themeColor="background1" w:themeShade="A6"/>
              <w:bottom w:val="single" w:sz="6" w:space="0" w:color="A6A6A6" w:themeColor="background1" w:themeShade="A6"/>
            </w:tcBorders>
            <w:vAlign w:val="center"/>
            <w:hideMark/>
          </w:tcPr>
          <w:p w14:paraId="0F9236D8" w14:textId="5A2A3439" w:rsidR="00265A82" w:rsidRPr="00506A83" w:rsidRDefault="00265A82" w:rsidP="00652422">
            <w:pPr>
              <w:keepNext/>
              <w:keepLines/>
              <w:spacing w:before="120" w:after="120" w:line="276" w:lineRule="auto"/>
              <w:contextualSpacing/>
              <w:jc w:val="right"/>
              <w:rPr>
                <w:lang w:eastAsia="zh-CN"/>
              </w:rPr>
            </w:pPr>
            <w:r w:rsidRPr="00506A83">
              <w:t>   24</w:t>
            </w:r>
            <w:r w:rsidR="00141ED4" w:rsidRPr="00506A83">
              <w:t xml:space="preserve"> </w:t>
            </w:r>
            <w:r w:rsidRPr="00506A83">
              <w:t>583</w:t>
            </w:r>
            <w:r w:rsidR="00141ED4" w:rsidRPr="00506A83">
              <w:t xml:space="preserve"> </w:t>
            </w:r>
            <w:r w:rsidRPr="00506A83">
              <w:t>409</w:t>
            </w:r>
            <w:r w:rsidR="00141ED4" w:rsidRPr="00506A83">
              <w:t>,</w:t>
            </w:r>
            <w:r w:rsidRPr="00506A83">
              <w:t>20 Kč</w:t>
            </w:r>
          </w:p>
        </w:tc>
      </w:tr>
      <w:tr w:rsidR="00265A82" w:rsidRPr="00506A83" w14:paraId="353EA63A" w14:textId="77777777" w:rsidTr="00A91C00">
        <w:trPr>
          <w:trHeight w:val="232"/>
        </w:trPr>
        <w:tc>
          <w:tcPr>
            <w:tcW w:w="4085" w:type="dxa"/>
            <w:tcBorders>
              <w:top w:val="single" w:sz="6" w:space="0" w:color="A6A6A6" w:themeColor="background1" w:themeShade="A6"/>
              <w:bottom w:val="single" w:sz="6" w:space="0" w:color="A6A6A6" w:themeColor="background1" w:themeShade="A6"/>
            </w:tcBorders>
            <w:vAlign w:val="center"/>
            <w:hideMark/>
          </w:tcPr>
          <w:p w14:paraId="1EFD5CE4" w14:textId="77777777" w:rsidR="00265A82" w:rsidRPr="00506A83" w:rsidRDefault="00265A82" w:rsidP="00652422">
            <w:pPr>
              <w:keepNext/>
              <w:keepLines/>
              <w:spacing w:before="120" w:after="120" w:line="276" w:lineRule="auto"/>
              <w:contextualSpacing/>
              <w:rPr>
                <w:lang w:eastAsia="zh-CN"/>
              </w:rPr>
            </w:pPr>
            <w:r w:rsidRPr="00506A83">
              <w:rPr>
                <w:lang w:eastAsia="zh-CN"/>
              </w:rPr>
              <w:t>zdravotnictví</w:t>
            </w:r>
          </w:p>
        </w:tc>
        <w:tc>
          <w:tcPr>
            <w:tcW w:w="1923" w:type="dxa"/>
            <w:tcBorders>
              <w:top w:val="single" w:sz="6" w:space="0" w:color="A6A6A6" w:themeColor="background1" w:themeShade="A6"/>
              <w:bottom w:val="single" w:sz="6" w:space="0" w:color="A6A6A6" w:themeColor="background1" w:themeShade="A6"/>
            </w:tcBorders>
            <w:vAlign w:val="center"/>
            <w:hideMark/>
          </w:tcPr>
          <w:p w14:paraId="78E16B1F" w14:textId="77777777" w:rsidR="00265A82" w:rsidRPr="00506A83" w:rsidRDefault="00265A82" w:rsidP="00652422">
            <w:pPr>
              <w:keepNext/>
              <w:keepLines/>
              <w:spacing w:before="120" w:after="120" w:line="276" w:lineRule="auto"/>
              <w:ind w:right="698"/>
              <w:contextualSpacing/>
              <w:jc w:val="right"/>
              <w:rPr>
                <w:lang w:eastAsia="zh-CN"/>
              </w:rPr>
            </w:pPr>
            <w:r w:rsidRPr="00506A83">
              <w:rPr>
                <w:lang w:eastAsia="zh-CN"/>
              </w:rPr>
              <w:t>6</w:t>
            </w:r>
          </w:p>
        </w:tc>
        <w:tc>
          <w:tcPr>
            <w:tcW w:w="3422" w:type="dxa"/>
            <w:tcBorders>
              <w:top w:val="single" w:sz="6" w:space="0" w:color="A6A6A6" w:themeColor="background1" w:themeShade="A6"/>
              <w:bottom w:val="single" w:sz="6" w:space="0" w:color="A6A6A6" w:themeColor="background1" w:themeShade="A6"/>
            </w:tcBorders>
            <w:vAlign w:val="center"/>
            <w:hideMark/>
          </w:tcPr>
          <w:p w14:paraId="7AD76B5C" w14:textId="421A33AB" w:rsidR="00265A82" w:rsidRPr="00506A83" w:rsidRDefault="00265A82" w:rsidP="00652422">
            <w:pPr>
              <w:keepNext/>
              <w:keepLines/>
              <w:spacing w:before="120" w:after="120" w:line="276" w:lineRule="auto"/>
              <w:contextualSpacing/>
              <w:jc w:val="right"/>
              <w:rPr>
                <w:lang w:eastAsia="zh-CN"/>
              </w:rPr>
            </w:pPr>
            <w:r w:rsidRPr="00506A83">
              <w:t> 59</w:t>
            </w:r>
            <w:r w:rsidR="00141ED4" w:rsidRPr="00506A83">
              <w:t xml:space="preserve"> </w:t>
            </w:r>
            <w:r w:rsidRPr="00506A83">
              <w:t>180</w:t>
            </w:r>
            <w:r w:rsidR="00141ED4" w:rsidRPr="00506A83">
              <w:t xml:space="preserve"> </w:t>
            </w:r>
            <w:r w:rsidRPr="00506A83">
              <w:t>470</w:t>
            </w:r>
            <w:r w:rsidR="00141ED4" w:rsidRPr="00506A83">
              <w:t>,</w:t>
            </w:r>
            <w:r w:rsidRPr="00506A83">
              <w:t>00 Kč</w:t>
            </w:r>
          </w:p>
        </w:tc>
      </w:tr>
      <w:tr w:rsidR="00265A82" w:rsidRPr="00506A83" w14:paraId="6185BDB7" w14:textId="77777777" w:rsidTr="00A91C00">
        <w:trPr>
          <w:trHeight w:val="232"/>
        </w:trPr>
        <w:tc>
          <w:tcPr>
            <w:tcW w:w="4085" w:type="dxa"/>
            <w:tcBorders>
              <w:top w:val="single" w:sz="6" w:space="0" w:color="A6A6A6" w:themeColor="background1" w:themeShade="A6"/>
              <w:bottom w:val="single" w:sz="6" w:space="0" w:color="A6A6A6" w:themeColor="background1" w:themeShade="A6"/>
            </w:tcBorders>
            <w:vAlign w:val="center"/>
            <w:hideMark/>
          </w:tcPr>
          <w:p w14:paraId="3F7BD803" w14:textId="77777777" w:rsidR="00265A82" w:rsidRPr="00506A83" w:rsidRDefault="00265A82" w:rsidP="00652422">
            <w:pPr>
              <w:keepNext/>
              <w:keepLines/>
              <w:spacing w:before="120" w:after="120" w:line="276" w:lineRule="auto"/>
              <w:contextualSpacing/>
              <w:rPr>
                <w:lang w:eastAsia="zh-CN"/>
              </w:rPr>
            </w:pPr>
            <w:r w:rsidRPr="00506A83">
              <w:rPr>
                <w:lang w:eastAsia="zh-CN"/>
              </w:rPr>
              <w:t>vzdělávání</w:t>
            </w:r>
          </w:p>
        </w:tc>
        <w:tc>
          <w:tcPr>
            <w:tcW w:w="1923" w:type="dxa"/>
            <w:tcBorders>
              <w:top w:val="single" w:sz="6" w:space="0" w:color="A6A6A6" w:themeColor="background1" w:themeShade="A6"/>
              <w:bottom w:val="single" w:sz="6" w:space="0" w:color="A6A6A6" w:themeColor="background1" w:themeShade="A6"/>
            </w:tcBorders>
            <w:vAlign w:val="center"/>
            <w:hideMark/>
          </w:tcPr>
          <w:p w14:paraId="0D1AB5DF" w14:textId="77777777" w:rsidR="00265A82" w:rsidRPr="00506A83" w:rsidRDefault="00265A82" w:rsidP="00652422">
            <w:pPr>
              <w:keepNext/>
              <w:keepLines/>
              <w:spacing w:before="120" w:after="120" w:line="276" w:lineRule="auto"/>
              <w:ind w:right="698"/>
              <w:contextualSpacing/>
              <w:jc w:val="right"/>
              <w:rPr>
                <w:lang w:eastAsia="zh-CN"/>
              </w:rPr>
            </w:pPr>
            <w:r w:rsidRPr="00506A83">
              <w:rPr>
                <w:lang w:eastAsia="zh-CN"/>
              </w:rPr>
              <w:t>8</w:t>
            </w:r>
          </w:p>
        </w:tc>
        <w:tc>
          <w:tcPr>
            <w:tcW w:w="3422" w:type="dxa"/>
            <w:tcBorders>
              <w:top w:val="single" w:sz="6" w:space="0" w:color="A6A6A6" w:themeColor="background1" w:themeShade="A6"/>
              <w:bottom w:val="single" w:sz="6" w:space="0" w:color="A6A6A6" w:themeColor="background1" w:themeShade="A6"/>
            </w:tcBorders>
            <w:vAlign w:val="center"/>
            <w:hideMark/>
          </w:tcPr>
          <w:p w14:paraId="54BFEA20" w14:textId="56911F44" w:rsidR="00265A82" w:rsidRPr="00506A83" w:rsidRDefault="00265A82" w:rsidP="00652422">
            <w:pPr>
              <w:keepNext/>
              <w:keepLines/>
              <w:spacing w:before="120" w:after="120" w:line="276" w:lineRule="auto"/>
              <w:contextualSpacing/>
              <w:jc w:val="right"/>
              <w:rPr>
                <w:lang w:eastAsia="zh-CN"/>
              </w:rPr>
            </w:pPr>
            <w:r w:rsidRPr="00506A83">
              <w:t> 38</w:t>
            </w:r>
            <w:r w:rsidR="00141ED4" w:rsidRPr="00506A83">
              <w:t xml:space="preserve"> </w:t>
            </w:r>
            <w:r w:rsidRPr="00506A83">
              <w:t>727</w:t>
            </w:r>
            <w:r w:rsidR="00141ED4" w:rsidRPr="00506A83">
              <w:t xml:space="preserve"> </w:t>
            </w:r>
            <w:r w:rsidRPr="00506A83">
              <w:t>165</w:t>
            </w:r>
            <w:r w:rsidR="00141ED4" w:rsidRPr="00506A83">
              <w:t>,</w:t>
            </w:r>
            <w:r w:rsidRPr="00506A83">
              <w:t>25 Kč</w:t>
            </w:r>
          </w:p>
        </w:tc>
      </w:tr>
      <w:tr w:rsidR="00265A82" w:rsidRPr="00506A83" w14:paraId="07CCC472" w14:textId="77777777" w:rsidTr="00A91C00">
        <w:trPr>
          <w:trHeight w:val="232"/>
        </w:trPr>
        <w:tc>
          <w:tcPr>
            <w:tcW w:w="4085" w:type="dxa"/>
            <w:tcBorders>
              <w:top w:val="single" w:sz="6" w:space="0" w:color="A6A6A6" w:themeColor="background1" w:themeShade="A6"/>
              <w:bottom w:val="single" w:sz="6" w:space="0" w:color="A6A6A6" w:themeColor="background1" w:themeShade="A6"/>
            </w:tcBorders>
            <w:vAlign w:val="center"/>
            <w:hideMark/>
          </w:tcPr>
          <w:p w14:paraId="62CC0B7E" w14:textId="77777777" w:rsidR="00265A82" w:rsidRPr="00506A83" w:rsidRDefault="00265A82" w:rsidP="00652422">
            <w:pPr>
              <w:keepNext/>
              <w:keepLines/>
              <w:spacing w:before="120" w:after="120" w:line="276" w:lineRule="auto"/>
              <w:contextualSpacing/>
              <w:rPr>
                <w:lang w:eastAsia="zh-CN"/>
              </w:rPr>
            </w:pPr>
            <w:r w:rsidRPr="00506A83">
              <w:rPr>
                <w:lang w:eastAsia="zh-CN"/>
              </w:rPr>
              <w:t>výroba a dodávky energie</w:t>
            </w:r>
          </w:p>
        </w:tc>
        <w:tc>
          <w:tcPr>
            <w:tcW w:w="1923" w:type="dxa"/>
            <w:tcBorders>
              <w:top w:val="single" w:sz="6" w:space="0" w:color="A6A6A6" w:themeColor="background1" w:themeShade="A6"/>
              <w:bottom w:val="single" w:sz="6" w:space="0" w:color="A6A6A6" w:themeColor="background1" w:themeShade="A6"/>
            </w:tcBorders>
            <w:vAlign w:val="center"/>
            <w:hideMark/>
          </w:tcPr>
          <w:p w14:paraId="48E1BDD6" w14:textId="77777777" w:rsidR="00265A82" w:rsidRPr="00506A83" w:rsidRDefault="00265A82" w:rsidP="00652422">
            <w:pPr>
              <w:keepNext/>
              <w:keepLines/>
              <w:spacing w:before="120" w:after="120" w:line="276" w:lineRule="auto"/>
              <w:ind w:right="698"/>
              <w:contextualSpacing/>
              <w:jc w:val="right"/>
              <w:rPr>
                <w:lang w:eastAsia="zh-CN"/>
              </w:rPr>
            </w:pPr>
            <w:r w:rsidRPr="00506A83">
              <w:rPr>
                <w:lang w:eastAsia="zh-CN"/>
              </w:rPr>
              <w:t>1</w:t>
            </w:r>
          </w:p>
        </w:tc>
        <w:tc>
          <w:tcPr>
            <w:tcW w:w="3422" w:type="dxa"/>
            <w:tcBorders>
              <w:top w:val="single" w:sz="6" w:space="0" w:color="A6A6A6" w:themeColor="background1" w:themeShade="A6"/>
              <w:bottom w:val="single" w:sz="6" w:space="0" w:color="A6A6A6" w:themeColor="background1" w:themeShade="A6"/>
            </w:tcBorders>
            <w:vAlign w:val="center"/>
            <w:hideMark/>
          </w:tcPr>
          <w:p w14:paraId="173C8526" w14:textId="51E17DA5" w:rsidR="00265A82" w:rsidRPr="00506A83" w:rsidRDefault="00265A82" w:rsidP="00652422">
            <w:pPr>
              <w:keepNext/>
              <w:keepLines/>
              <w:spacing w:before="120" w:after="120" w:line="276" w:lineRule="auto"/>
              <w:contextualSpacing/>
              <w:jc w:val="right"/>
              <w:rPr>
                <w:lang w:eastAsia="zh-CN"/>
              </w:rPr>
            </w:pPr>
            <w:r w:rsidRPr="00506A83">
              <w:t>    10</w:t>
            </w:r>
            <w:r w:rsidR="00141ED4" w:rsidRPr="00506A83">
              <w:t xml:space="preserve"> </w:t>
            </w:r>
            <w:r w:rsidRPr="00506A83">
              <w:t>513</w:t>
            </w:r>
            <w:r w:rsidR="00141ED4" w:rsidRPr="00506A83">
              <w:t xml:space="preserve"> </w:t>
            </w:r>
            <w:r w:rsidRPr="00506A83">
              <w:t>512</w:t>
            </w:r>
            <w:r w:rsidR="00141ED4" w:rsidRPr="00506A83">
              <w:t>,</w:t>
            </w:r>
            <w:r w:rsidRPr="00506A83">
              <w:t>09 Kč</w:t>
            </w:r>
          </w:p>
        </w:tc>
      </w:tr>
      <w:tr w:rsidR="00265A82" w:rsidRPr="00506A83" w14:paraId="6D8B1837" w14:textId="77777777" w:rsidTr="00A91C00">
        <w:trPr>
          <w:trHeight w:val="232"/>
        </w:trPr>
        <w:tc>
          <w:tcPr>
            <w:tcW w:w="4085" w:type="dxa"/>
            <w:tcBorders>
              <w:top w:val="single" w:sz="6" w:space="0" w:color="A6A6A6" w:themeColor="background1" w:themeShade="A6"/>
            </w:tcBorders>
            <w:shd w:val="clear" w:color="auto" w:fill="45B0E1" w:themeFill="accent1" w:themeFillTint="99"/>
            <w:vAlign w:val="center"/>
            <w:hideMark/>
          </w:tcPr>
          <w:p w14:paraId="55990162" w14:textId="77777777" w:rsidR="00265A82" w:rsidRPr="00506A83" w:rsidRDefault="00265A82" w:rsidP="00652422">
            <w:pPr>
              <w:keepNext/>
              <w:keepLines/>
              <w:spacing w:before="120" w:after="120" w:line="276" w:lineRule="auto"/>
              <w:contextualSpacing/>
              <w:rPr>
                <w:b/>
                <w:bCs/>
                <w:lang w:eastAsia="zh-CN"/>
              </w:rPr>
            </w:pPr>
            <w:r w:rsidRPr="00506A83">
              <w:rPr>
                <w:b/>
                <w:bCs/>
                <w:lang w:eastAsia="zh-CN"/>
              </w:rPr>
              <w:t>Celkový součet</w:t>
            </w:r>
          </w:p>
        </w:tc>
        <w:tc>
          <w:tcPr>
            <w:tcW w:w="1923" w:type="dxa"/>
            <w:tcBorders>
              <w:top w:val="single" w:sz="6" w:space="0" w:color="A6A6A6" w:themeColor="background1" w:themeShade="A6"/>
            </w:tcBorders>
            <w:shd w:val="clear" w:color="auto" w:fill="45B0E1" w:themeFill="accent1" w:themeFillTint="99"/>
            <w:vAlign w:val="center"/>
            <w:hideMark/>
          </w:tcPr>
          <w:p w14:paraId="69D700BD" w14:textId="77777777" w:rsidR="00265A82" w:rsidRPr="00506A83" w:rsidRDefault="00265A82" w:rsidP="00652422">
            <w:pPr>
              <w:keepNext/>
              <w:keepLines/>
              <w:spacing w:before="120" w:after="120" w:line="276" w:lineRule="auto"/>
              <w:ind w:right="698"/>
              <w:contextualSpacing/>
              <w:jc w:val="right"/>
              <w:rPr>
                <w:b/>
                <w:bCs/>
                <w:lang w:eastAsia="zh-CN"/>
              </w:rPr>
            </w:pPr>
            <w:r w:rsidRPr="00506A83">
              <w:rPr>
                <w:b/>
                <w:bCs/>
                <w:lang w:eastAsia="zh-CN"/>
              </w:rPr>
              <w:t>74</w:t>
            </w:r>
          </w:p>
        </w:tc>
        <w:tc>
          <w:tcPr>
            <w:tcW w:w="3422" w:type="dxa"/>
            <w:tcBorders>
              <w:top w:val="single" w:sz="6" w:space="0" w:color="A6A6A6" w:themeColor="background1" w:themeShade="A6"/>
            </w:tcBorders>
            <w:shd w:val="clear" w:color="auto" w:fill="45B0E1" w:themeFill="accent1" w:themeFillTint="99"/>
            <w:vAlign w:val="center"/>
            <w:hideMark/>
          </w:tcPr>
          <w:p w14:paraId="78444153" w14:textId="77777777" w:rsidR="00265A82" w:rsidRPr="00506A83" w:rsidRDefault="00265A82" w:rsidP="00652422">
            <w:pPr>
              <w:spacing w:before="120" w:after="120" w:line="276" w:lineRule="auto"/>
              <w:contextualSpacing/>
              <w:jc w:val="right"/>
              <w:rPr>
                <w:b/>
                <w:bCs/>
                <w:color w:val="000000"/>
              </w:rPr>
            </w:pPr>
            <w:r w:rsidRPr="00506A83">
              <w:rPr>
                <w:b/>
                <w:bCs/>
                <w:color w:val="000000"/>
              </w:rPr>
              <w:t xml:space="preserve">402 290 628,52 Kč </w:t>
            </w:r>
          </w:p>
        </w:tc>
      </w:tr>
    </w:tbl>
    <w:p w14:paraId="4090E3A6" w14:textId="54C3EC15" w:rsidR="00265A82" w:rsidRPr="00506A83" w:rsidRDefault="00265A82" w:rsidP="00652422">
      <w:pPr>
        <w:spacing w:before="120" w:after="120" w:line="276" w:lineRule="auto"/>
        <w:jc w:val="both"/>
        <w:rPr>
          <w:i/>
          <w:iCs/>
          <w:sz w:val="21"/>
          <w:szCs w:val="21"/>
        </w:rPr>
      </w:pPr>
      <w:r w:rsidRPr="00506A83">
        <w:rPr>
          <w:i/>
          <w:iCs/>
        </w:rPr>
        <w:t xml:space="preserve">Tabulka </w:t>
      </w:r>
      <w:r w:rsidRPr="00506A83">
        <w:rPr>
          <w:i/>
          <w:iCs/>
        </w:rPr>
        <w:fldChar w:fldCharType="begin"/>
      </w:r>
      <w:r w:rsidRPr="00506A83">
        <w:rPr>
          <w:i/>
          <w:iCs/>
        </w:rPr>
        <w:instrText xml:space="preserve"> SEQ Tabulka \* ARABIC </w:instrText>
      </w:r>
      <w:r w:rsidRPr="00506A83">
        <w:rPr>
          <w:i/>
          <w:iCs/>
        </w:rPr>
        <w:fldChar w:fldCharType="separate"/>
      </w:r>
      <w:r w:rsidR="00A8486D" w:rsidRPr="00506A83">
        <w:rPr>
          <w:i/>
          <w:iCs/>
        </w:rPr>
        <w:t>1</w:t>
      </w:r>
      <w:r w:rsidRPr="00506A83">
        <w:rPr>
          <w:i/>
          <w:iCs/>
        </w:rPr>
        <w:fldChar w:fldCharType="end"/>
      </w:r>
      <w:r w:rsidRPr="00506A83">
        <w:rPr>
          <w:i/>
          <w:iCs/>
        </w:rPr>
        <w:t>: Počet projektů dle sektorového zaměření.</w:t>
      </w:r>
    </w:p>
    <w:p w14:paraId="117A3964" w14:textId="77777777" w:rsidR="00265A82" w:rsidRPr="00506A83" w:rsidRDefault="00265A82" w:rsidP="005177B3">
      <w:pPr>
        <w:spacing w:before="120" w:after="120" w:line="276" w:lineRule="auto"/>
        <w:jc w:val="both"/>
        <w:rPr>
          <w:rFonts w:eastAsia="Georgia"/>
        </w:rPr>
      </w:pPr>
      <w:r w:rsidRPr="00506A83">
        <w:rPr>
          <w:rFonts w:eastAsia="Georgia"/>
        </w:rPr>
        <w:t>Z hlediska Cílů udržitelného rozvoje (SDGs) pak projekty ČRA svým zaměřením přispěly k naplnění všech 17 cílů. Nejvíce projektů se zaměřovalo na SDG 6 – pitná voda, kanalizace, SDG 2 – konec hladu a SDG 13 – klimatická opatření.</w:t>
      </w:r>
    </w:p>
    <w:p w14:paraId="18F85BE4" w14:textId="77777777" w:rsidR="00265A82" w:rsidRPr="00506A83" w:rsidRDefault="00265A82" w:rsidP="005177B3">
      <w:pPr>
        <w:spacing w:before="120" w:after="120" w:line="276" w:lineRule="auto"/>
        <w:jc w:val="both"/>
        <w:rPr>
          <w:i/>
          <w:iCs/>
          <w:sz w:val="21"/>
          <w:szCs w:val="21"/>
        </w:rPr>
      </w:pPr>
      <w:r w:rsidRPr="00506A83">
        <w:drawing>
          <wp:inline distT="0" distB="0" distL="0" distR="0" wp14:anchorId="749B4F06" wp14:editId="05339D22">
            <wp:extent cx="5648325" cy="3442970"/>
            <wp:effectExtent l="0" t="0" r="9525" b="5080"/>
            <wp:docPr id="1323631756" name="Graf 1">
              <a:extLst xmlns:a="http://schemas.openxmlformats.org/drawingml/2006/main">
                <a:ext uri="{FF2B5EF4-FFF2-40B4-BE49-F238E27FC236}">
                  <a16:creationId xmlns:a16="http://schemas.microsoft.com/office/drawing/2014/main" id="{F546612D-6347-1209-4C8A-141755152C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AE9F3E7" w14:textId="77777777" w:rsidR="00265A82" w:rsidRPr="00506A83" w:rsidRDefault="00265A82" w:rsidP="00652422">
      <w:pPr>
        <w:spacing w:before="120" w:after="120" w:line="276" w:lineRule="auto"/>
        <w:jc w:val="both"/>
        <w:rPr>
          <w:i/>
          <w:iCs/>
          <w:sz w:val="22"/>
          <w:szCs w:val="22"/>
        </w:rPr>
      </w:pPr>
      <w:r w:rsidRPr="00506A83">
        <w:rPr>
          <w:i/>
          <w:iCs/>
          <w:sz w:val="22"/>
          <w:szCs w:val="22"/>
        </w:rPr>
        <w:t>Graf 2: Počet projektů ČRA se zaměřením na příslušný SDG (jeden projekt může podporovat naplňování více SDGs).</w:t>
      </w:r>
    </w:p>
    <w:p w14:paraId="353DFF99" w14:textId="77777777" w:rsidR="00652422" w:rsidRPr="00506A83" w:rsidRDefault="00652422" w:rsidP="005177B3">
      <w:pPr>
        <w:spacing w:before="120" w:after="120" w:line="276" w:lineRule="auto"/>
        <w:ind w:firstLine="709"/>
        <w:jc w:val="both"/>
        <w:rPr>
          <w:i/>
          <w:iCs/>
          <w:sz w:val="22"/>
          <w:szCs w:val="22"/>
        </w:rPr>
      </w:pPr>
    </w:p>
    <w:p w14:paraId="6E3B912F" w14:textId="77777777" w:rsidR="00652422" w:rsidRPr="00506A83" w:rsidRDefault="00652422" w:rsidP="005177B3">
      <w:pPr>
        <w:spacing w:before="120" w:after="120" w:line="276" w:lineRule="auto"/>
        <w:ind w:firstLine="709"/>
        <w:jc w:val="both"/>
        <w:rPr>
          <w:i/>
          <w:iCs/>
          <w:sz w:val="22"/>
          <w:szCs w:val="22"/>
        </w:rPr>
      </w:pPr>
    </w:p>
    <w:p w14:paraId="3B02F399" w14:textId="77777777" w:rsidR="00652422" w:rsidRPr="00506A83" w:rsidRDefault="00652422" w:rsidP="005177B3">
      <w:pPr>
        <w:spacing w:before="120" w:after="120" w:line="276" w:lineRule="auto"/>
        <w:ind w:firstLine="709"/>
        <w:jc w:val="both"/>
        <w:rPr>
          <w:i/>
          <w:iCs/>
          <w:sz w:val="22"/>
          <w:szCs w:val="22"/>
        </w:rPr>
      </w:pPr>
    </w:p>
    <w:p w14:paraId="4F916C4F" w14:textId="77777777" w:rsidR="00652422" w:rsidRPr="00506A83" w:rsidRDefault="00652422" w:rsidP="005177B3">
      <w:pPr>
        <w:spacing w:before="120" w:after="120" w:line="276" w:lineRule="auto"/>
        <w:ind w:firstLine="709"/>
        <w:jc w:val="both"/>
        <w:rPr>
          <w:i/>
          <w:iCs/>
          <w:sz w:val="22"/>
          <w:szCs w:val="22"/>
        </w:rPr>
      </w:pPr>
    </w:p>
    <w:p w14:paraId="59718914" w14:textId="77777777" w:rsidR="00652422" w:rsidRPr="00506A83" w:rsidRDefault="00652422" w:rsidP="005177B3">
      <w:pPr>
        <w:spacing w:before="120" w:after="120" w:line="276" w:lineRule="auto"/>
        <w:ind w:firstLine="709"/>
        <w:jc w:val="both"/>
        <w:rPr>
          <w:i/>
          <w:iCs/>
          <w:sz w:val="22"/>
          <w:szCs w:val="22"/>
        </w:rPr>
      </w:pPr>
    </w:p>
    <w:p w14:paraId="4C3E8FA0" w14:textId="00A3628F" w:rsidR="00265A82" w:rsidRPr="00506A83" w:rsidRDefault="00265A82" w:rsidP="0012521C">
      <w:pPr>
        <w:pStyle w:val="Nadpis3"/>
        <w:numPr>
          <w:ilvl w:val="2"/>
          <w:numId w:val="37"/>
        </w:numPr>
        <w:ind w:left="709" w:hanging="709"/>
        <w:rPr>
          <w:rFonts w:eastAsia="DengXian Light"/>
        </w:rPr>
      </w:pPr>
      <w:bookmarkStart w:id="13" w:name="_Toc228190584"/>
      <w:bookmarkStart w:id="14" w:name="_Toc231294140"/>
      <w:r w:rsidRPr="00506A83">
        <w:rPr>
          <w:rFonts w:eastAsia="DengXian Light"/>
        </w:rPr>
        <w:lastRenderedPageBreak/>
        <w:t>Rozvojové aktivity ČRA podle forem a programů</w:t>
      </w:r>
      <w:bookmarkEnd w:id="11"/>
      <w:bookmarkEnd w:id="12"/>
      <w:bookmarkEnd w:id="13"/>
      <w:bookmarkEnd w:id="14"/>
      <w:r w:rsidRPr="00506A83">
        <w:rPr>
          <w:rFonts w:eastAsia="DengXian Light"/>
        </w:rPr>
        <w:t xml:space="preserve"> </w:t>
      </w:r>
    </w:p>
    <w:p w14:paraId="69E36C7A" w14:textId="77777777" w:rsidR="00652422" w:rsidRPr="00506A83" w:rsidRDefault="00652422" w:rsidP="00652422">
      <w:pPr>
        <w:rPr>
          <w:rFonts w:eastAsia="DengXian Light"/>
        </w:rPr>
      </w:pPr>
    </w:p>
    <w:p w14:paraId="0FD375DA" w14:textId="2C3BD60F" w:rsidR="00265A82" w:rsidRPr="00506A83" w:rsidRDefault="00265A82" w:rsidP="005177B3">
      <w:pPr>
        <w:keepNext/>
        <w:keepLines/>
        <w:spacing w:before="120" w:after="120" w:line="276" w:lineRule="auto"/>
        <w:jc w:val="both"/>
        <w:outlineLvl w:val="4"/>
        <w:rPr>
          <w:rFonts w:eastAsia="DengXian Light"/>
          <w:bCs/>
        </w:rPr>
      </w:pPr>
      <w:r w:rsidRPr="00506A83">
        <w:rPr>
          <w:rFonts w:eastAsia="DengXian Light"/>
          <w:bCs/>
        </w:rPr>
        <w:t>Stěžejní roli představovaly bilaterální projekty, jež tvoří hlavní nástroj implementace rozvojových intervencí v prioritních a specifických zemích. Tyto aktivity byly dále doplněny o</w:t>
      </w:r>
      <w:r w:rsidR="004964CB" w:rsidRPr="00506A83">
        <w:rPr>
          <w:rFonts w:eastAsia="DengXian Light"/>
          <w:bCs/>
        </w:rPr>
        <w:t> </w:t>
      </w:r>
      <w:r w:rsidRPr="00506A83">
        <w:rPr>
          <w:rFonts w:eastAsia="DengXian Light"/>
          <w:bCs/>
        </w:rPr>
        <w:t>trojstranné projekty, program rozvojového partnerství pro soukromý sektor (B2B), programy zaměřené na globální vzdělávání a osvětu veřejnosti a posilování kapacit implementačních partnerů. Nedílnou součástí portfolia ČRA byla rovněž delegovaná spolupráce realizovaná z</w:t>
      </w:r>
      <w:r w:rsidR="004964CB" w:rsidRPr="00506A83">
        <w:rPr>
          <w:rFonts w:eastAsia="DengXian Light"/>
          <w:bCs/>
        </w:rPr>
        <w:t> </w:t>
      </w:r>
      <w:r w:rsidRPr="00506A83">
        <w:rPr>
          <w:rFonts w:eastAsia="DengXian Light"/>
          <w:bCs/>
        </w:rPr>
        <w:t xml:space="preserve">prostředků Evropské unie. </w:t>
      </w:r>
    </w:p>
    <w:tbl>
      <w:tblPr>
        <w:tblW w:w="9430" w:type="dxa"/>
        <w:tblCellMar>
          <w:left w:w="70" w:type="dxa"/>
          <w:right w:w="70" w:type="dxa"/>
        </w:tblCellMar>
        <w:tblLook w:val="04A0" w:firstRow="1" w:lastRow="0" w:firstColumn="1" w:lastColumn="0" w:noHBand="0" w:noVBand="1"/>
      </w:tblPr>
      <w:tblGrid>
        <w:gridCol w:w="3828"/>
        <w:gridCol w:w="2409"/>
        <w:gridCol w:w="3193"/>
      </w:tblGrid>
      <w:tr w:rsidR="001837AD" w:rsidRPr="00506A83" w14:paraId="64227BFF" w14:textId="77777777" w:rsidTr="004E6122">
        <w:trPr>
          <w:trHeight w:val="232"/>
        </w:trPr>
        <w:tc>
          <w:tcPr>
            <w:tcW w:w="3828" w:type="dxa"/>
            <w:tcBorders>
              <w:bottom w:val="single" w:sz="6" w:space="0" w:color="A6A6A6" w:themeColor="background1" w:themeShade="A6"/>
            </w:tcBorders>
            <w:shd w:val="clear" w:color="auto" w:fill="45B0E1" w:themeFill="accent1" w:themeFillTint="99"/>
            <w:vAlign w:val="center"/>
          </w:tcPr>
          <w:p w14:paraId="11440AC9" w14:textId="4B55BB59" w:rsidR="001837AD" w:rsidRPr="00506A83" w:rsidRDefault="001837AD" w:rsidP="004E6122">
            <w:pPr>
              <w:keepNext/>
              <w:keepLines/>
              <w:spacing w:before="120" w:after="120" w:line="276" w:lineRule="auto"/>
              <w:contextualSpacing/>
              <w:rPr>
                <w:b/>
                <w:bCs/>
                <w:lang w:eastAsia="zh-CN"/>
              </w:rPr>
            </w:pPr>
            <w:r w:rsidRPr="00506A83">
              <w:rPr>
                <w:b/>
                <w:bCs/>
                <w:lang w:eastAsia="zh-CN"/>
              </w:rPr>
              <w:t>Typ aktivity</w:t>
            </w:r>
          </w:p>
        </w:tc>
        <w:tc>
          <w:tcPr>
            <w:tcW w:w="2409" w:type="dxa"/>
            <w:tcBorders>
              <w:bottom w:val="single" w:sz="6" w:space="0" w:color="A6A6A6" w:themeColor="background1" w:themeShade="A6"/>
            </w:tcBorders>
            <w:shd w:val="clear" w:color="auto" w:fill="45B0E1" w:themeFill="accent1" w:themeFillTint="99"/>
            <w:vAlign w:val="center"/>
          </w:tcPr>
          <w:p w14:paraId="7A5E7DDC" w14:textId="77777777" w:rsidR="001837AD" w:rsidRPr="00506A83" w:rsidRDefault="001837AD" w:rsidP="004E6122">
            <w:pPr>
              <w:keepNext/>
              <w:keepLines/>
              <w:spacing w:before="120" w:after="120" w:line="276" w:lineRule="auto"/>
              <w:ind w:right="698"/>
              <w:contextualSpacing/>
              <w:jc w:val="right"/>
              <w:rPr>
                <w:b/>
                <w:bCs/>
                <w:lang w:eastAsia="zh-CN"/>
              </w:rPr>
            </w:pPr>
            <w:r w:rsidRPr="00506A83">
              <w:rPr>
                <w:b/>
                <w:bCs/>
                <w:lang w:eastAsia="zh-CN"/>
              </w:rPr>
              <w:t>Počet projektů</w:t>
            </w:r>
          </w:p>
        </w:tc>
        <w:tc>
          <w:tcPr>
            <w:tcW w:w="3193" w:type="dxa"/>
            <w:tcBorders>
              <w:bottom w:val="single" w:sz="6" w:space="0" w:color="A6A6A6" w:themeColor="background1" w:themeShade="A6"/>
            </w:tcBorders>
            <w:shd w:val="clear" w:color="auto" w:fill="45B0E1" w:themeFill="accent1" w:themeFillTint="99"/>
            <w:vAlign w:val="center"/>
          </w:tcPr>
          <w:p w14:paraId="160F4DA5" w14:textId="77777777" w:rsidR="001837AD" w:rsidRPr="00506A83" w:rsidRDefault="001837AD" w:rsidP="004E6122">
            <w:pPr>
              <w:keepNext/>
              <w:keepLines/>
              <w:spacing w:before="120" w:after="120" w:line="276" w:lineRule="auto"/>
              <w:contextualSpacing/>
              <w:jc w:val="right"/>
              <w:rPr>
                <w:b/>
                <w:bCs/>
                <w:lang w:eastAsia="zh-CN"/>
              </w:rPr>
            </w:pPr>
            <w:r w:rsidRPr="00506A83">
              <w:rPr>
                <w:b/>
                <w:bCs/>
                <w:lang w:eastAsia="zh-CN"/>
              </w:rPr>
              <w:t>Čerpáno (Kč)</w:t>
            </w:r>
          </w:p>
        </w:tc>
      </w:tr>
      <w:tr w:rsidR="00265A82" w:rsidRPr="00506A83" w14:paraId="7D6FD0AF" w14:textId="77777777" w:rsidTr="004E6122">
        <w:trPr>
          <w:trHeight w:val="232"/>
        </w:trPr>
        <w:tc>
          <w:tcPr>
            <w:tcW w:w="3828" w:type="dxa"/>
            <w:tcBorders>
              <w:bottom w:val="single" w:sz="6" w:space="0" w:color="A6A6A6" w:themeColor="background1" w:themeShade="A6"/>
            </w:tcBorders>
            <w:vAlign w:val="center"/>
          </w:tcPr>
          <w:p w14:paraId="3E5CEDFC" w14:textId="77777777" w:rsidR="00265A82" w:rsidRPr="00506A83" w:rsidRDefault="00265A82" w:rsidP="004E6122">
            <w:pPr>
              <w:keepNext/>
              <w:keepLines/>
              <w:spacing w:before="120" w:after="120" w:line="276" w:lineRule="auto"/>
              <w:contextualSpacing/>
              <w:rPr>
                <w:lang w:eastAsia="zh-CN"/>
              </w:rPr>
            </w:pPr>
            <w:r w:rsidRPr="00506A83">
              <w:rPr>
                <w:lang w:eastAsia="zh-CN"/>
              </w:rPr>
              <w:t>Bilaterální projekty</w:t>
            </w:r>
          </w:p>
        </w:tc>
        <w:tc>
          <w:tcPr>
            <w:tcW w:w="2409" w:type="dxa"/>
            <w:tcBorders>
              <w:bottom w:val="single" w:sz="6" w:space="0" w:color="A6A6A6" w:themeColor="background1" w:themeShade="A6"/>
            </w:tcBorders>
            <w:vAlign w:val="center"/>
          </w:tcPr>
          <w:p w14:paraId="0E22A275" w14:textId="77777777" w:rsidR="00265A82" w:rsidRPr="00506A83" w:rsidRDefault="00265A82" w:rsidP="004E6122">
            <w:pPr>
              <w:keepNext/>
              <w:keepLines/>
              <w:spacing w:before="120" w:after="120" w:line="276" w:lineRule="auto"/>
              <w:ind w:right="698"/>
              <w:contextualSpacing/>
              <w:jc w:val="right"/>
              <w:rPr>
                <w:lang w:eastAsia="zh-CN"/>
              </w:rPr>
            </w:pPr>
            <w:r w:rsidRPr="00506A83">
              <w:rPr>
                <w:lang w:eastAsia="zh-CN"/>
              </w:rPr>
              <w:t>54</w:t>
            </w:r>
          </w:p>
        </w:tc>
        <w:tc>
          <w:tcPr>
            <w:tcW w:w="3193" w:type="dxa"/>
            <w:tcBorders>
              <w:bottom w:val="single" w:sz="6" w:space="0" w:color="A6A6A6" w:themeColor="background1" w:themeShade="A6"/>
            </w:tcBorders>
            <w:vAlign w:val="center"/>
          </w:tcPr>
          <w:p w14:paraId="61BF2809" w14:textId="529E1355" w:rsidR="00265A82" w:rsidRPr="00506A83" w:rsidRDefault="00265A82" w:rsidP="004E6122">
            <w:pPr>
              <w:keepNext/>
              <w:keepLines/>
              <w:spacing w:before="120" w:after="120" w:line="276" w:lineRule="auto"/>
              <w:contextualSpacing/>
              <w:jc w:val="right"/>
              <w:rPr>
                <w:lang w:eastAsia="zh-CN"/>
              </w:rPr>
            </w:pPr>
            <w:r w:rsidRPr="00506A83">
              <w:rPr>
                <w:lang w:eastAsia="zh-CN"/>
              </w:rPr>
              <w:t xml:space="preserve">                                                                                  </w:t>
            </w:r>
            <w:r w:rsidR="007971E2" w:rsidRPr="00506A83">
              <w:rPr>
                <w:lang w:eastAsia="zh-CN"/>
              </w:rPr>
              <w:t>28</w:t>
            </w:r>
            <w:r w:rsidR="00247AE3" w:rsidRPr="00506A83">
              <w:rPr>
                <w:lang w:eastAsia="zh-CN"/>
              </w:rPr>
              <w:t>6 280 453,44</w:t>
            </w:r>
            <w:r w:rsidRPr="00506A83">
              <w:rPr>
                <w:lang w:eastAsia="zh-CN"/>
              </w:rPr>
              <w:t xml:space="preserve"> Kč</w:t>
            </w:r>
          </w:p>
        </w:tc>
      </w:tr>
      <w:tr w:rsidR="00265A82" w:rsidRPr="00506A83" w14:paraId="03469ED5" w14:textId="77777777" w:rsidTr="004E6122">
        <w:trPr>
          <w:trHeight w:val="232"/>
        </w:trPr>
        <w:tc>
          <w:tcPr>
            <w:tcW w:w="3828" w:type="dxa"/>
            <w:tcBorders>
              <w:bottom w:val="single" w:sz="6" w:space="0" w:color="A6A6A6" w:themeColor="background1" w:themeShade="A6"/>
            </w:tcBorders>
            <w:vAlign w:val="center"/>
            <w:hideMark/>
          </w:tcPr>
          <w:p w14:paraId="45A5CD99" w14:textId="77777777" w:rsidR="00265A82" w:rsidRPr="00506A83" w:rsidRDefault="00265A82" w:rsidP="004E6122">
            <w:pPr>
              <w:keepNext/>
              <w:keepLines/>
              <w:spacing w:before="120" w:after="120" w:line="276" w:lineRule="auto"/>
              <w:contextualSpacing/>
              <w:rPr>
                <w:lang w:eastAsia="zh-CN"/>
              </w:rPr>
            </w:pPr>
            <w:r w:rsidRPr="00506A83">
              <w:rPr>
                <w:lang w:eastAsia="zh-CN"/>
              </w:rPr>
              <w:t xml:space="preserve">Globální vzdělání a osvěta veřejnosti </w:t>
            </w:r>
          </w:p>
        </w:tc>
        <w:tc>
          <w:tcPr>
            <w:tcW w:w="2409" w:type="dxa"/>
            <w:tcBorders>
              <w:bottom w:val="single" w:sz="6" w:space="0" w:color="A6A6A6" w:themeColor="background1" w:themeShade="A6"/>
            </w:tcBorders>
            <w:vAlign w:val="center"/>
            <w:hideMark/>
          </w:tcPr>
          <w:p w14:paraId="04CD4260" w14:textId="77777777" w:rsidR="00265A82" w:rsidRPr="00506A83" w:rsidRDefault="00265A82" w:rsidP="004E6122">
            <w:pPr>
              <w:keepNext/>
              <w:keepLines/>
              <w:spacing w:before="120" w:after="120" w:line="276" w:lineRule="auto"/>
              <w:ind w:right="698"/>
              <w:contextualSpacing/>
              <w:jc w:val="right"/>
              <w:rPr>
                <w:lang w:eastAsia="zh-CN"/>
              </w:rPr>
            </w:pPr>
            <w:r w:rsidRPr="00506A83">
              <w:rPr>
                <w:lang w:eastAsia="zh-CN"/>
              </w:rPr>
              <w:t>10</w:t>
            </w:r>
          </w:p>
        </w:tc>
        <w:tc>
          <w:tcPr>
            <w:tcW w:w="3193" w:type="dxa"/>
            <w:tcBorders>
              <w:bottom w:val="single" w:sz="6" w:space="0" w:color="A6A6A6" w:themeColor="background1" w:themeShade="A6"/>
            </w:tcBorders>
            <w:vAlign w:val="center"/>
            <w:hideMark/>
          </w:tcPr>
          <w:p w14:paraId="5177FD8B" w14:textId="7A51B889" w:rsidR="00265A82" w:rsidRPr="00506A83" w:rsidRDefault="00265A82" w:rsidP="004E6122">
            <w:pPr>
              <w:keepNext/>
              <w:keepLines/>
              <w:spacing w:before="120" w:after="120" w:line="276" w:lineRule="auto"/>
              <w:contextualSpacing/>
              <w:jc w:val="right"/>
              <w:rPr>
                <w:lang w:eastAsia="zh-CN"/>
              </w:rPr>
            </w:pPr>
            <w:r w:rsidRPr="00506A83">
              <w:rPr>
                <w:lang w:eastAsia="zh-CN"/>
              </w:rPr>
              <w:t> 10</w:t>
            </w:r>
            <w:r w:rsidR="00141ED4" w:rsidRPr="00506A83">
              <w:rPr>
                <w:lang w:eastAsia="zh-CN"/>
              </w:rPr>
              <w:t xml:space="preserve"> </w:t>
            </w:r>
            <w:r w:rsidRPr="00506A83">
              <w:rPr>
                <w:lang w:eastAsia="zh-CN"/>
              </w:rPr>
              <w:t>782</w:t>
            </w:r>
            <w:r w:rsidR="00141ED4" w:rsidRPr="00506A83">
              <w:rPr>
                <w:lang w:eastAsia="zh-CN"/>
              </w:rPr>
              <w:t xml:space="preserve"> </w:t>
            </w:r>
            <w:r w:rsidRPr="00506A83">
              <w:rPr>
                <w:lang w:eastAsia="zh-CN"/>
              </w:rPr>
              <w:t>333</w:t>
            </w:r>
            <w:r w:rsidR="00141ED4" w:rsidRPr="00506A83">
              <w:rPr>
                <w:lang w:eastAsia="zh-CN"/>
              </w:rPr>
              <w:t>,</w:t>
            </w:r>
            <w:r w:rsidRPr="00506A83">
              <w:rPr>
                <w:lang w:eastAsia="zh-CN"/>
              </w:rPr>
              <w:t>78 Kč</w:t>
            </w:r>
          </w:p>
        </w:tc>
      </w:tr>
      <w:tr w:rsidR="00265A82" w:rsidRPr="00506A83" w14:paraId="73E00F1A" w14:textId="77777777" w:rsidTr="004E6122">
        <w:trPr>
          <w:trHeight w:val="436"/>
        </w:trPr>
        <w:tc>
          <w:tcPr>
            <w:tcW w:w="3828" w:type="dxa"/>
            <w:tcBorders>
              <w:top w:val="single" w:sz="6" w:space="0" w:color="A6A6A6" w:themeColor="background1" w:themeShade="A6"/>
              <w:bottom w:val="single" w:sz="6" w:space="0" w:color="A6A6A6" w:themeColor="background1" w:themeShade="A6"/>
            </w:tcBorders>
            <w:vAlign w:val="center"/>
            <w:hideMark/>
          </w:tcPr>
          <w:p w14:paraId="474802FB" w14:textId="77777777" w:rsidR="00265A82" w:rsidRPr="00506A83" w:rsidRDefault="00265A82" w:rsidP="004E6122">
            <w:pPr>
              <w:keepNext/>
              <w:keepLines/>
              <w:spacing w:before="120" w:after="120" w:line="276" w:lineRule="auto"/>
              <w:contextualSpacing/>
              <w:rPr>
                <w:lang w:eastAsia="zh-CN"/>
              </w:rPr>
            </w:pPr>
            <w:r w:rsidRPr="00506A83">
              <w:rPr>
                <w:lang w:eastAsia="zh-CN"/>
              </w:rPr>
              <w:t>Posilování kapacit implementačních partnerů ZRS</w:t>
            </w:r>
          </w:p>
        </w:tc>
        <w:tc>
          <w:tcPr>
            <w:tcW w:w="2409" w:type="dxa"/>
            <w:tcBorders>
              <w:top w:val="single" w:sz="6" w:space="0" w:color="A6A6A6" w:themeColor="background1" w:themeShade="A6"/>
              <w:bottom w:val="single" w:sz="6" w:space="0" w:color="A6A6A6" w:themeColor="background1" w:themeShade="A6"/>
            </w:tcBorders>
            <w:vAlign w:val="center"/>
            <w:hideMark/>
          </w:tcPr>
          <w:p w14:paraId="30A73A78" w14:textId="77777777" w:rsidR="00265A82" w:rsidRPr="00506A83" w:rsidRDefault="00265A82" w:rsidP="004E6122">
            <w:pPr>
              <w:keepNext/>
              <w:keepLines/>
              <w:spacing w:before="120" w:after="120" w:line="276" w:lineRule="auto"/>
              <w:ind w:right="698"/>
              <w:contextualSpacing/>
              <w:jc w:val="right"/>
              <w:rPr>
                <w:lang w:eastAsia="zh-CN"/>
              </w:rPr>
            </w:pPr>
            <w:r w:rsidRPr="00506A83">
              <w:rPr>
                <w:lang w:eastAsia="zh-CN"/>
              </w:rPr>
              <w:t>7</w:t>
            </w:r>
          </w:p>
        </w:tc>
        <w:tc>
          <w:tcPr>
            <w:tcW w:w="3193" w:type="dxa"/>
            <w:tcBorders>
              <w:top w:val="single" w:sz="6" w:space="0" w:color="A6A6A6" w:themeColor="background1" w:themeShade="A6"/>
              <w:bottom w:val="single" w:sz="6" w:space="0" w:color="A6A6A6" w:themeColor="background1" w:themeShade="A6"/>
            </w:tcBorders>
            <w:vAlign w:val="center"/>
            <w:hideMark/>
          </w:tcPr>
          <w:p w14:paraId="1A7ACB90" w14:textId="07ABD25B" w:rsidR="00265A82" w:rsidRPr="00506A83" w:rsidRDefault="00265A82" w:rsidP="004E6122">
            <w:pPr>
              <w:keepNext/>
              <w:keepLines/>
              <w:spacing w:before="120" w:after="120" w:line="276" w:lineRule="auto"/>
              <w:contextualSpacing/>
              <w:jc w:val="right"/>
              <w:rPr>
                <w:lang w:eastAsia="zh-CN"/>
              </w:rPr>
            </w:pPr>
            <w:r w:rsidRPr="00506A83">
              <w:rPr>
                <w:lang w:eastAsia="zh-CN"/>
              </w:rPr>
              <w:t> 5</w:t>
            </w:r>
            <w:r w:rsidR="00141ED4" w:rsidRPr="00506A83">
              <w:rPr>
                <w:lang w:eastAsia="zh-CN"/>
              </w:rPr>
              <w:t xml:space="preserve"> </w:t>
            </w:r>
            <w:r w:rsidRPr="00506A83">
              <w:rPr>
                <w:lang w:eastAsia="zh-CN"/>
              </w:rPr>
              <w:t>366</w:t>
            </w:r>
            <w:r w:rsidR="00141ED4" w:rsidRPr="00506A83">
              <w:rPr>
                <w:lang w:eastAsia="zh-CN"/>
              </w:rPr>
              <w:t xml:space="preserve"> </w:t>
            </w:r>
            <w:r w:rsidRPr="00506A83">
              <w:rPr>
                <w:lang w:eastAsia="zh-CN"/>
              </w:rPr>
              <w:t>417</w:t>
            </w:r>
            <w:r w:rsidR="00141ED4" w:rsidRPr="00506A83">
              <w:rPr>
                <w:lang w:eastAsia="zh-CN"/>
              </w:rPr>
              <w:t>,</w:t>
            </w:r>
            <w:r w:rsidRPr="00506A83">
              <w:rPr>
                <w:lang w:eastAsia="zh-CN"/>
              </w:rPr>
              <w:t>52 Kč</w:t>
            </w:r>
          </w:p>
        </w:tc>
      </w:tr>
      <w:tr w:rsidR="00265A82" w:rsidRPr="00506A83" w14:paraId="593BCB55" w14:textId="77777777" w:rsidTr="004E6122">
        <w:trPr>
          <w:trHeight w:val="232"/>
        </w:trPr>
        <w:tc>
          <w:tcPr>
            <w:tcW w:w="3828" w:type="dxa"/>
            <w:tcBorders>
              <w:top w:val="single" w:sz="6" w:space="0" w:color="A6A6A6" w:themeColor="background1" w:themeShade="A6"/>
              <w:bottom w:val="single" w:sz="6" w:space="0" w:color="A6A6A6" w:themeColor="background1" w:themeShade="A6"/>
            </w:tcBorders>
            <w:vAlign w:val="center"/>
          </w:tcPr>
          <w:p w14:paraId="75B056B2" w14:textId="77777777" w:rsidR="00265A82" w:rsidRPr="00506A83" w:rsidRDefault="00265A82" w:rsidP="00652422">
            <w:pPr>
              <w:keepNext/>
              <w:keepLines/>
              <w:spacing w:before="120" w:after="120" w:line="276" w:lineRule="auto"/>
              <w:contextualSpacing/>
              <w:rPr>
                <w:lang w:eastAsia="zh-CN"/>
              </w:rPr>
            </w:pPr>
            <w:r w:rsidRPr="00506A83">
              <w:rPr>
                <w:lang w:eastAsia="zh-CN"/>
              </w:rPr>
              <w:t>Trojstranné projekty</w:t>
            </w:r>
          </w:p>
        </w:tc>
        <w:tc>
          <w:tcPr>
            <w:tcW w:w="2409" w:type="dxa"/>
            <w:tcBorders>
              <w:top w:val="single" w:sz="6" w:space="0" w:color="A6A6A6" w:themeColor="background1" w:themeShade="A6"/>
              <w:bottom w:val="single" w:sz="6" w:space="0" w:color="A6A6A6" w:themeColor="background1" w:themeShade="A6"/>
            </w:tcBorders>
            <w:vAlign w:val="center"/>
          </w:tcPr>
          <w:p w14:paraId="08FAED6B" w14:textId="77777777" w:rsidR="00265A82" w:rsidRPr="00506A83" w:rsidRDefault="00265A82" w:rsidP="00652422">
            <w:pPr>
              <w:keepNext/>
              <w:keepLines/>
              <w:spacing w:before="120" w:after="120" w:line="276" w:lineRule="auto"/>
              <w:ind w:right="698"/>
              <w:contextualSpacing/>
              <w:jc w:val="right"/>
              <w:rPr>
                <w:lang w:eastAsia="zh-CN"/>
              </w:rPr>
            </w:pPr>
            <w:r w:rsidRPr="00506A83">
              <w:rPr>
                <w:lang w:eastAsia="zh-CN"/>
              </w:rPr>
              <w:t>20</w:t>
            </w:r>
          </w:p>
        </w:tc>
        <w:tc>
          <w:tcPr>
            <w:tcW w:w="3193" w:type="dxa"/>
            <w:tcBorders>
              <w:top w:val="single" w:sz="6" w:space="0" w:color="A6A6A6" w:themeColor="background1" w:themeShade="A6"/>
              <w:bottom w:val="single" w:sz="6" w:space="0" w:color="A6A6A6" w:themeColor="background1" w:themeShade="A6"/>
            </w:tcBorders>
            <w:vAlign w:val="center"/>
          </w:tcPr>
          <w:p w14:paraId="1D72D400" w14:textId="74227C41" w:rsidR="00265A82" w:rsidRPr="00506A83" w:rsidRDefault="00265A82" w:rsidP="00652422">
            <w:pPr>
              <w:keepNext/>
              <w:keepLines/>
              <w:spacing w:before="120" w:after="120" w:line="276" w:lineRule="auto"/>
              <w:contextualSpacing/>
              <w:jc w:val="right"/>
              <w:rPr>
                <w:lang w:eastAsia="zh-CN"/>
              </w:rPr>
            </w:pPr>
            <w:r w:rsidRPr="00506A83">
              <w:rPr>
                <w:lang w:eastAsia="zh-CN"/>
              </w:rPr>
              <w:t>50</w:t>
            </w:r>
            <w:r w:rsidR="00141ED4" w:rsidRPr="00506A83">
              <w:rPr>
                <w:lang w:eastAsia="zh-CN"/>
              </w:rPr>
              <w:t xml:space="preserve"> </w:t>
            </w:r>
            <w:r w:rsidRPr="00506A83">
              <w:rPr>
                <w:lang w:eastAsia="zh-CN"/>
              </w:rPr>
              <w:t>599</w:t>
            </w:r>
            <w:r w:rsidR="00141ED4" w:rsidRPr="00506A83">
              <w:rPr>
                <w:lang w:eastAsia="zh-CN"/>
              </w:rPr>
              <w:t xml:space="preserve"> </w:t>
            </w:r>
            <w:r w:rsidRPr="00506A83">
              <w:rPr>
                <w:lang w:eastAsia="zh-CN"/>
              </w:rPr>
              <w:t>574</w:t>
            </w:r>
            <w:r w:rsidR="00141ED4" w:rsidRPr="00506A83">
              <w:rPr>
                <w:lang w:eastAsia="zh-CN"/>
              </w:rPr>
              <w:t>,</w:t>
            </w:r>
            <w:r w:rsidRPr="00506A83">
              <w:rPr>
                <w:lang w:eastAsia="zh-CN"/>
              </w:rPr>
              <w:t>08 Kč</w:t>
            </w:r>
          </w:p>
        </w:tc>
      </w:tr>
      <w:tr w:rsidR="00265A82" w:rsidRPr="00506A83" w14:paraId="79A62014" w14:textId="77777777" w:rsidTr="004E6122">
        <w:trPr>
          <w:trHeight w:val="232"/>
        </w:trPr>
        <w:tc>
          <w:tcPr>
            <w:tcW w:w="3828" w:type="dxa"/>
            <w:tcBorders>
              <w:top w:val="single" w:sz="6" w:space="0" w:color="A6A6A6" w:themeColor="background1" w:themeShade="A6"/>
              <w:bottom w:val="single" w:sz="6" w:space="0" w:color="A6A6A6" w:themeColor="background1" w:themeShade="A6"/>
            </w:tcBorders>
            <w:vAlign w:val="center"/>
            <w:hideMark/>
          </w:tcPr>
          <w:p w14:paraId="65F452B8" w14:textId="77777777" w:rsidR="00265A82" w:rsidRPr="00506A83" w:rsidRDefault="00265A82" w:rsidP="00652422">
            <w:pPr>
              <w:keepNext/>
              <w:keepLines/>
              <w:spacing w:before="120" w:after="120" w:line="276" w:lineRule="auto"/>
              <w:contextualSpacing/>
              <w:rPr>
                <w:lang w:eastAsia="zh-CN"/>
              </w:rPr>
            </w:pPr>
            <w:r w:rsidRPr="00506A83">
              <w:rPr>
                <w:lang w:eastAsia="zh-CN"/>
              </w:rPr>
              <w:t>Program B2B</w:t>
            </w:r>
          </w:p>
        </w:tc>
        <w:tc>
          <w:tcPr>
            <w:tcW w:w="2409" w:type="dxa"/>
            <w:tcBorders>
              <w:top w:val="single" w:sz="6" w:space="0" w:color="A6A6A6" w:themeColor="background1" w:themeShade="A6"/>
              <w:bottom w:val="single" w:sz="6" w:space="0" w:color="A6A6A6" w:themeColor="background1" w:themeShade="A6"/>
            </w:tcBorders>
            <w:vAlign w:val="center"/>
            <w:hideMark/>
          </w:tcPr>
          <w:p w14:paraId="69164AB0" w14:textId="77777777" w:rsidR="00265A82" w:rsidRPr="00506A83" w:rsidRDefault="00265A82" w:rsidP="00652422">
            <w:pPr>
              <w:keepNext/>
              <w:keepLines/>
              <w:spacing w:before="120" w:after="120" w:line="276" w:lineRule="auto"/>
              <w:ind w:right="698"/>
              <w:contextualSpacing/>
              <w:jc w:val="right"/>
              <w:rPr>
                <w:lang w:eastAsia="zh-CN"/>
              </w:rPr>
            </w:pPr>
            <w:r w:rsidRPr="00506A83">
              <w:rPr>
                <w:lang w:eastAsia="zh-CN"/>
              </w:rPr>
              <w:t>8</w:t>
            </w:r>
          </w:p>
        </w:tc>
        <w:tc>
          <w:tcPr>
            <w:tcW w:w="3193" w:type="dxa"/>
            <w:tcBorders>
              <w:top w:val="single" w:sz="6" w:space="0" w:color="A6A6A6" w:themeColor="background1" w:themeShade="A6"/>
              <w:bottom w:val="single" w:sz="6" w:space="0" w:color="A6A6A6" w:themeColor="background1" w:themeShade="A6"/>
            </w:tcBorders>
            <w:vAlign w:val="center"/>
            <w:hideMark/>
          </w:tcPr>
          <w:p w14:paraId="173C26B8" w14:textId="0AA76DBE" w:rsidR="00265A82" w:rsidRPr="00506A83" w:rsidRDefault="00265A82" w:rsidP="00652422">
            <w:pPr>
              <w:keepNext/>
              <w:keepLines/>
              <w:spacing w:before="120" w:after="120" w:line="276" w:lineRule="auto"/>
              <w:contextualSpacing/>
              <w:jc w:val="right"/>
              <w:rPr>
                <w:lang w:eastAsia="zh-CN"/>
              </w:rPr>
            </w:pPr>
            <w:r w:rsidRPr="00506A83">
              <w:rPr>
                <w:lang w:eastAsia="zh-CN"/>
              </w:rPr>
              <w:t> 6</w:t>
            </w:r>
            <w:r w:rsidR="00141ED4" w:rsidRPr="00506A83">
              <w:rPr>
                <w:lang w:eastAsia="zh-CN"/>
              </w:rPr>
              <w:t xml:space="preserve"> </w:t>
            </w:r>
            <w:r w:rsidRPr="00506A83">
              <w:rPr>
                <w:lang w:eastAsia="zh-CN"/>
              </w:rPr>
              <w:t>643</w:t>
            </w:r>
            <w:r w:rsidR="00141ED4" w:rsidRPr="00506A83">
              <w:rPr>
                <w:lang w:eastAsia="zh-CN"/>
              </w:rPr>
              <w:t xml:space="preserve"> </w:t>
            </w:r>
            <w:r w:rsidRPr="00506A83">
              <w:rPr>
                <w:lang w:eastAsia="zh-CN"/>
              </w:rPr>
              <w:t>846</w:t>
            </w:r>
            <w:r w:rsidR="00141ED4" w:rsidRPr="00506A83">
              <w:rPr>
                <w:lang w:eastAsia="zh-CN"/>
              </w:rPr>
              <w:t>,</w:t>
            </w:r>
            <w:r w:rsidRPr="00506A83">
              <w:rPr>
                <w:lang w:eastAsia="zh-CN"/>
              </w:rPr>
              <w:t>01 Kč</w:t>
            </w:r>
          </w:p>
        </w:tc>
      </w:tr>
      <w:tr w:rsidR="00265A82" w:rsidRPr="00506A83" w14:paraId="25454257" w14:textId="77777777" w:rsidTr="004E6122">
        <w:trPr>
          <w:trHeight w:val="232"/>
        </w:trPr>
        <w:tc>
          <w:tcPr>
            <w:tcW w:w="3828" w:type="dxa"/>
            <w:tcBorders>
              <w:top w:val="single" w:sz="6" w:space="0" w:color="A6A6A6" w:themeColor="background1" w:themeShade="A6"/>
              <w:bottom w:val="single" w:sz="6" w:space="0" w:color="A6A6A6" w:themeColor="background1" w:themeShade="A6"/>
            </w:tcBorders>
            <w:vAlign w:val="center"/>
          </w:tcPr>
          <w:p w14:paraId="7529AB27" w14:textId="77777777" w:rsidR="00265A82" w:rsidRPr="00506A83" w:rsidRDefault="00265A82" w:rsidP="00652422">
            <w:pPr>
              <w:keepNext/>
              <w:keepLines/>
              <w:spacing w:before="120" w:after="120" w:line="276" w:lineRule="auto"/>
              <w:contextualSpacing/>
              <w:rPr>
                <w:lang w:eastAsia="zh-CN"/>
              </w:rPr>
            </w:pPr>
            <w:r w:rsidRPr="00506A83">
              <w:rPr>
                <w:lang w:eastAsia="zh-CN"/>
              </w:rPr>
              <w:t>Program DS</w:t>
            </w:r>
          </w:p>
        </w:tc>
        <w:tc>
          <w:tcPr>
            <w:tcW w:w="2409" w:type="dxa"/>
            <w:tcBorders>
              <w:top w:val="single" w:sz="6" w:space="0" w:color="A6A6A6" w:themeColor="background1" w:themeShade="A6"/>
              <w:bottom w:val="single" w:sz="6" w:space="0" w:color="A6A6A6" w:themeColor="background1" w:themeShade="A6"/>
            </w:tcBorders>
            <w:vAlign w:val="center"/>
          </w:tcPr>
          <w:p w14:paraId="5A97FC2A" w14:textId="77777777" w:rsidR="00265A82" w:rsidRPr="00506A83" w:rsidRDefault="00265A82" w:rsidP="00652422">
            <w:pPr>
              <w:keepNext/>
              <w:keepLines/>
              <w:spacing w:before="120" w:after="120" w:line="276" w:lineRule="auto"/>
              <w:ind w:right="698"/>
              <w:contextualSpacing/>
              <w:jc w:val="right"/>
              <w:rPr>
                <w:lang w:eastAsia="zh-CN"/>
              </w:rPr>
            </w:pPr>
            <w:r w:rsidRPr="00506A83">
              <w:rPr>
                <w:lang w:eastAsia="zh-CN"/>
              </w:rPr>
              <w:t>6</w:t>
            </w:r>
          </w:p>
        </w:tc>
        <w:tc>
          <w:tcPr>
            <w:tcW w:w="3193" w:type="dxa"/>
            <w:tcBorders>
              <w:top w:val="single" w:sz="6" w:space="0" w:color="A6A6A6" w:themeColor="background1" w:themeShade="A6"/>
              <w:bottom w:val="single" w:sz="6" w:space="0" w:color="A6A6A6" w:themeColor="background1" w:themeShade="A6"/>
            </w:tcBorders>
            <w:vAlign w:val="center"/>
          </w:tcPr>
          <w:p w14:paraId="13B1C0FC" w14:textId="7657D3E0" w:rsidR="00265A82" w:rsidRPr="00506A83" w:rsidRDefault="00265A82" w:rsidP="00652422">
            <w:pPr>
              <w:keepNext/>
              <w:keepLines/>
              <w:spacing w:before="120" w:after="120" w:line="276" w:lineRule="auto"/>
              <w:contextualSpacing/>
              <w:jc w:val="right"/>
              <w:rPr>
                <w:lang w:eastAsia="zh-CN"/>
              </w:rPr>
            </w:pPr>
            <w:r w:rsidRPr="00506A83">
              <w:rPr>
                <w:lang w:eastAsia="zh-CN"/>
              </w:rPr>
              <w:t>  74</w:t>
            </w:r>
            <w:r w:rsidR="00141ED4" w:rsidRPr="00506A83">
              <w:rPr>
                <w:lang w:eastAsia="zh-CN"/>
              </w:rPr>
              <w:t xml:space="preserve"> </w:t>
            </w:r>
            <w:r w:rsidRPr="00506A83">
              <w:rPr>
                <w:lang w:eastAsia="zh-CN"/>
              </w:rPr>
              <w:t>601</w:t>
            </w:r>
            <w:r w:rsidR="00141ED4" w:rsidRPr="00506A83">
              <w:rPr>
                <w:lang w:eastAsia="zh-CN"/>
              </w:rPr>
              <w:t xml:space="preserve"> </w:t>
            </w:r>
            <w:r w:rsidRPr="00506A83">
              <w:rPr>
                <w:lang w:eastAsia="zh-CN"/>
              </w:rPr>
              <w:t>923</w:t>
            </w:r>
            <w:r w:rsidR="00141ED4" w:rsidRPr="00506A83">
              <w:rPr>
                <w:lang w:eastAsia="zh-CN"/>
              </w:rPr>
              <w:t>,</w:t>
            </w:r>
            <w:r w:rsidRPr="00506A83">
              <w:rPr>
                <w:lang w:eastAsia="zh-CN"/>
              </w:rPr>
              <w:t>55 Kč</w:t>
            </w:r>
          </w:p>
        </w:tc>
      </w:tr>
      <w:tr w:rsidR="00265A82" w:rsidRPr="00506A83" w14:paraId="533DC46E" w14:textId="77777777" w:rsidTr="004E6122">
        <w:trPr>
          <w:trHeight w:val="232"/>
        </w:trPr>
        <w:tc>
          <w:tcPr>
            <w:tcW w:w="3828" w:type="dxa"/>
            <w:tcBorders>
              <w:top w:val="single" w:sz="6" w:space="0" w:color="A6A6A6" w:themeColor="background1" w:themeShade="A6"/>
              <w:bottom w:val="single" w:sz="6" w:space="0" w:color="A6A6A6" w:themeColor="background1" w:themeShade="A6"/>
            </w:tcBorders>
            <w:vAlign w:val="center"/>
            <w:hideMark/>
          </w:tcPr>
          <w:p w14:paraId="6D0EBF52" w14:textId="77777777" w:rsidR="00265A82" w:rsidRPr="00506A83" w:rsidRDefault="00265A82" w:rsidP="00652422">
            <w:pPr>
              <w:keepNext/>
              <w:keepLines/>
              <w:spacing w:before="120" w:after="120" w:line="276" w:lineRule="auto"/>
              <w:contextualSpacing/>
              <w:rPr>
                <w:lang w:eastAsia="zh-CN"/>
              </w:rPr>
            </w:pPr>
            <w:r w:rsidRPr="00506A83">
              <w:rPr>
                <w:lang w:eastAsia="zh-CN"/>
              </w:rPr>
              <w:t xml:space="preserve">Program DS – spoluúčast ČRA </w:t>
            </w:r>
          </w:p>
          <w:p w14:paraId="69CEA413" w14:textId="77777777" w:rsidR="00265A82" w:rsidRPr="00506A83" w:rsidRDefault="00265A82" w:rsidP="00652422">
            <w:pPr>
              <w:keepNext/>
              <w:keepLines/>
              <w:spacing w:before="120" w:after="120" w:line="276" w:lineRule="auto"/>
              <w:contextualSpacing/>
              <w:rPr>
                <w:lang w:eastAsia="zh-CN"/>
              </w:rPr>
            </w:pPr>
          </w:p>
        </w:tc>
        <w:tc>
          <w:tcPr>
            <w:tcW w:w="2409" w:type="dxa"/>
            <w:tcBorders>
              <w:top w:val="single" w:sz="6" w:space="0" w:color="A6A6A6" w:themeColor="background1" w:themeShade="A6"/>
              <w:bottom w:val="single" w:sz="6" w:space="0" w:color="A6A6A6" w:themeColor="background1" w:themeShade="A6"/>
            </w:tcBorders>
            <w:vAlign w:val="center"/>
            <w:hideMark/>
          </w:tcPr>
          <w:p w14:paraId="37794D56" w14:textId="77777777" w:rsidR="00265A82" w:rsidRPr="00506A83" w:rsidRDefault="00265A82" w:rsidP="00652422">
            <w:pPr>
              <w:keepNext/>
              <w:keepLines/>
              <w:spacing w:before="120" w:after="120" w:line="276" w:lineRule="auto"/>
              <w:ind w:right="698"/>
              <w:contextualSpacing/>
              <w:jc w:val="right"/>
              <w:rPr>
                <w:lang w:eastAsia="zh-CN"/>
              </w:rPr>
            </w:pPr>
          </w:p>
        </w:tc>
        <w:tc>
          <w:tcPr>
            <w:tcW w:w="3193" w:type="dxa"/>
            <w:tcBorders>
              <w:top w:val="single" w:sz="6" w:space="0" w:color="A6A6A6" w:themeColor="background1" w:themeShade="A6"/>
              <w:bottom w:val="single" w:sz="6" w:space="0" w:color="A6A6A6" w:themeColor="background1" w:themeShade="A6"/>
            </w:tcBorders>
            <w:vAlign w:val="center"/>
            <w:hideMark/>
          </w:tcPr>
          <w:p w14:paraId="4398AD51" w14:textId="586AE386" w:rsidR="00265A82" w:rsidRPr="00506A83" w:rsidRDefault="00265A82" w:rsidP="00652422">
            <w:pPr>
              <w:keepNext/>
              <w:keepLines/>
              <w:spacing w:before="120" w:after="120" w:line="276" w:lineRule="auto"/>
              <w:contextualSpacing/>
              <w:jc w:val="right"/>
              <w:rPr>
                <w:lang w:eastAsia="zh-CN"/>
              </w:rPr>
            </w:pPr>
            <w:r w:rsidRPr="00506A83">
              <w:rPr>
                <w:lang w:eastAsia="zh-CN"/>
              </w:rPr>
              <w:t>4</w:t>
            </w:r>
            <w:r w:rsidR="00141ED4" w:rsidRPr="00506A83">
              <w:rPr>
                <w:lang w:eastAsia="zh-CN"/>
              </w:rPr>
              <w:t xml:space="preserve"> </w:t>
            </w:r>
            <w:r w:rsidRPr="00506A83">
              <w:rPr>
                <w:lang w:eastAsia="zh-CN"/>
              </w:rPr>
              <w:t>457</w:t>
            </w:r>
            <w:r w:rsidR="00141ED4" w:rsidRPr="00506A83">
              <w:rPr>
                <w:lang w:eastAsia="zh-CN"/>
              </w:rPr>
              <w:t xml:space="preserve"> </w:t>
            </w:r>
            <w:r w:rsidRPr="00506A83">
              <w:rPr>
                <w:lang w:eastAsia="zh-CN"/>
              </w:rPr>
              <w:t>820</w:t>
            </w:r>
            <w:r w:rsidR="00141ED4" w:rsidRPr="00506A83">
              <w:rPr>
                <w:lang w:eastAsia="zh-CN"/>
              </w:rPr>
              <w:t>,</w:t>
            </w:r>
            <w:r w:rsidRPr="00506A83">
              <w:rPr>
                <w:lang w:eastAsia="zh-CN"/>
              </w:rPr>
              <w:t xml:space="preserve">69 Kč </w:t>
            </w:r>
          </w:p>
        </w:tc>
      </w:tr>
      <w:tr w:rsidR="00265A82" w:rsidRPr="00506A83" w14:paraId="17FD5E65" w14:textId="77777777" w:rsidTr="004E6122">
        <w:trPr>
          <w:trHeight w:val="232"/>
        </w:trPr>
        <w:tc>
          <w:tcPr>
            <w:tcW w:w="3828" w:type="dxa"/>
            <w:tcBorders>
              <w:top w:val="single" w:sz="6" w:space="0" w:color="A6A6A6" w:themeColor="background1" w:themeShade="A6"/>
              <w:bottom w:val="single" w:sz="6" w:space="0" w:color="A6A6A6" w:themeColor="background1" w:themeShade="A6"/>
            </w:tcBorders>
            <w:vAlign w:val="center"/>
          </w:tcPr>
          <w:p w14:paraId="03A59F29" w14:textId="17A76094" w:rsidR="00265A82" w:rsidRPr="00506A83" w:rsidRDefault="00265A82" w:rsidP="00652422">
            <w:pPr>
              <w:keepNext/>
              <w:keepLines/>
              <w:spacing w:before="120" w:after="120" w:line="276" w:lineRule="auto"/>
              <w:contextualSpacing/>
              <w:rPr>
                <w:lang w:eastAsia="zh-CN"/>
              </w:rPr>
            </w:pPr>
            <w:r w:rsidRPr="00506A83">
              <w:rPr>
                <w:lang w:eastAsia="zh-CN"/>
              </w:rPr>
              <w:t>Ostatní (RO)</w:t>
            </w:r>
          </w:p>
        </w:tc>
        <w:tc>
          <w:tcPr>
            <w:tcW w:w="2409" w:type="dxa"/>
            <w:tcBorders>
              <w:top w:val="single" w:sz="6" w:space="0" w:color="A6A6A6" w:themeColor="background1" w:themeShade="A6"/>
              <w:bottom w:val="single" w:sz="6" w:space="0" w:color="A6A6A6" w:themeColor="background1" w:themeShade="A6"/>
            </w:tcBorders>
            <w:vAlign w:val="center"/>
          </w:tcPr>
          <w:p w14:paraId="03D78A4A" w14:textId="77777777" w:rsidR="00265A82" w:rsidRPr="00506A83" w:rsidRDefault="00265A82" w:rsidP="00652422">
            <w:pPr>
              <w:keepNext/>
              <w:keepLines/>
              <w:spacing w:before="120" w:after="120" w:line="276" w:lineRule="auto"/>
              <w:ind w:right="698"/>
              <w:contextualSpacing/>
              <w:jc w:val="right"/>
              <w:rPr>
                <w:lang w:eastAsia="zh-CN"/>
              </w:rPr>
            </w:pPr>
          </w:p>
        </w:tc>
        <w:tc>
          <w:tcPr>
            <w:tcW w:w="3193" w:type="dxa"/>
            <w:tcBorders>
              <w:top w:val="single" w:sz="6" w:space="0" w:color="A6A6A6" w:themeColor="background1" w:themeShade="A6"/>
              <w:bottom w:val="single" w:sz="6" w:space="0" w:color="A6A6A6" w:themeColor="background1" w:themeShade="A6"/>
            </w:tcBorders>
            <w:vAlign w:val="center"/>
          </w:tcPr>
          <w:p w14:paraId="7EE0FAAB" w14:textId="2874F765" w:rsidR="00265A82" w:rsidRPr="00506A83" w:rsidRDefault="00EA73D2" w:rsidP="00652422">
            <w:pPr>
              <w:keepNext/>
              <w:keepLines/>
              <w:spacing w:before="120" w:after="120" w:line="276" w:lineRule="auto"/>
              <w:contextualSpacing/>
              <w:jc w:val="right"/>
              <w:rPr>
                <w:lang w:eastAsia="zh-CN"/>
              </w:rPr>
            </w:pPr>
            <w:r w:rsidRPr="00506A83">
              <w:rPr>
                <w:lang w:eastAsia="zh-CN"/>
              </w:rPr>
              <w:t>4 038 128,00</w:t>
            </w:r>
            <w:r w:rsidR="00265A82" w:rsidRPr="00506A83">
              <w:rPr>
                <w:lang w:eastAsia="zh-CN"/>
              </w:rPr>
              <w:t>Kč</w:t>
            </w:r>
          </w:p>
        </w:tc>
      </w:tr>
      <w:tr w:rsidR="00265A82" w:rsidRPr="00506A83" w14:paraId="0B4A9183" w14:textId="77777777" w:rsidTr="004E6122">
        <w:trPr>
          <w:trHeight w:val="232"/>
        </w:trPr>
        <w:tc>
          <w:tcPr>
            <w:tcW w:w="3828" w:type="dxa"/>
            <w:tcBorders>
              <w:top w:val="single" w:sz="6" w:space="0" w:color="A6A6A6" w:themeColor="background1" w:themeShade="A6"/>
              <w:bottom w:val="single" w:sz="6" w:space="0" w:color="A6A6A6" w:themeColor="background1" w:themeShade="A6"/>
            </w:tcBorders>
            <w:vAlign w:val="center"/>
            <w:hideMark/>
          </w:tcPr>
          <w:p w14:paraId="6E1B0E4C" w14:textId="77777777" w:rsidR="00265A82" w:rsidRPr="00506A83" w:rsidRDefault="00265A82" w:rsidP="00652422">
            <w:pPr>
              <w:keepNext/>
              <w:keepLines/>
              <w:spacing w:before="120" w:after="120" w:line="276" w:lineRule="auto"/>
              <w:contextualSpacing/>
              <w:rPr>
                <w:lang w:eastAsia="zh-CN"/>
              </w:rPr>
            </w:pPr>
            <w:r w:rsidRPr="00506A83">
              <w:rPr>
                <w:lang w:eastAsia="zh-CN"/>
              </w:rPr>
              <w:t xml:space="preserve">Administrativní náklady </w:t>
            </w:r>
          </w:p>
        </w:tc>
        <w:tc>
          <w:tcPr>
            <w:tcW w:w="2409" w:type="dxa"/>
            <w:tcBorders>
              <w:top w:val="single" w:sz="6" w:space="0" w:color="A6A6A6" w:themeColor="background1" w:themeShade="A6"/>
              <w:bottom w:val="single" w:sz="6" w:space="0" w:color="A6A6A6" w:themeColor="background1" w:themeShade="A6"/>
            </w:tcBorders>
            <w:noWrap/>
            <w:vAlign w:val="bottom"/>
            <w:hideMark/>
          </w:tcPr>
          <w:p w14:paraId="1F007000" w14:textId="77777777" w:rsidR="00265A82" w:rsidRPr="00506A83" w:rsidRDefault="00265A82" w:rsidP="00652422">
            <w:pPr>
              <w:keepNext/>
              <w:keepLines/>
              <w:spacing w:before="120" w:after="120" w:line="276" w:lineRule="auto"/>
              <w:ind w:right="698"/>
              <w:contextualSpacing/>
              <w:rPr>
                <w:lang w:eastAsia="zh-CN"/>
              </w:rPr>
            </w:pPr>
            <w:r w:rsidRPr="00506A83">
              <w:rPr>
                <w:lang w:eastAsia="zh-CN"/>
              </w:rPr>
              <w:t> </w:t>
            </w:r>
          </w:p>
        </w:tc>
        <w:tc>
          <w:tcPr>
            <w:tcW w:w="3193" w:type="dxa"/>
            <w:tcBorders>
              <w:top w:val="single" w:sz="6" w:space="0" w:color="A6A6A6" w:themeColor="background1" w:themeShade="A6"/>
              <w:bottom w:val="single" w:sz="6" w:space="0" w:color="A6A6A6" w:themeColor="background1" w:themeShade="A6"/>
            </w:tcBorders>
            <w:noWrap/>
            <w:vAlign w:val="bottom"/>
            <w:hideMark/>
          </w:tcPr>
          <w:p w14:paraId="6ED5632C" w14:textId="10F10EC4" w:rsidR="00265A82" w:rsidRPr="00506A83" w:rsidRDefault="00265A82" w:rsidP="00652422">
            <w:pPr>
              <w:keepNext/>
              <w:keepLines/>
              <w:spacing w:before="120" w:after="120" w:line="276" w:lineRule="auto"/>
              <w:contextualSpacing/>
              <w:jc w:val="right"/>
              <w:rPr>
                <w:lang w:eastAsia="zh-CN"/>
              </w:rPr>
            </w:pPr>
            <w:r w:rsidRPr="00506A83">
              <w:rPr>
                <w:lang w:eastAsia="zh-CN"/>
              </w:rPr>
              <w:t>32</w:t>
            </w:r>
            <w:r w:rsidR="00141ED4" w:rsidRPr="00506A83">
              <w:rPr>
                <w:lang w:eastAsia="zh-CN"/>
              </w:rPr>
              <w:t xml:space="preserve"> </w:t>
            </w:r>
            <w:r w:rsidRPr="00506A83">
              <w:rPr>
                <w:lang w:eastAsia="zh-CN"/>
              </w:rPr>
              <w:t>151</w:t>
            </w:r>
            <w:r w:rsidR="00141ED4" w:rsidRPr="00506A83">
              <w:rPr>
                <w:lang w:eastAsia="zh-CN"/>
              </w:rPr>
              <w:t xml:space="preserve"> </w:t>
            </w:r>
            <w:r w:rsidRPr="00506A83">
              <w:rPr>
                <w:lang w:eastAsia="zh-CN"/>
              </w:rPr>
              <w:t>985</w:t>
            </w:r>
            <w:r w:rsidR="00141ED4" w:rsidRPr="00506A83">
              <w:rPr>
                <w:lang w:eastAsia="zh-CN"/>
              </w:rPr>
              <w:t>,</w:t>
            </w:r>
            <w:r w:rsidRPr="00506A83">
              <w:rPr>
                <w:lang w:eastAsia="zh-CN"/>
              </w:rPr>
              <w:t>16 Kč</w:t>
            </w:r>
          </w:p>
        </w:tc>
      </w:tr>
      <w:tr w:rsidR="00265A82" w:rsidRPr="00506A83" w14:paraId="23499954" w14:textId="77777777" w:rsidTr="004E6122">
        <w:trPr>
          <w:trHeight w:val="232"/>
        </w:trPr>
        <w:tc>
          <w:tcPr>
            <w:tcW w:w="3828" w:type="dxa"/>
            <w:tcBorders>
              <w:top w:val="single" w:sz="6" w:space="0" w:color="A6A6A6" w:themeColor="background1" w:themeShade="A6"/>
            </w:tcBorders>
            <w:shd w:val="clear" w:color="auto" w:fill="45B0E1" w:themeFill="accent1" w:themeFillTint="99"/>
            <w:vAlign w:val="center"/>
            <w:hideMark/>
          </w:tcPr>
          <w:p w14:paraId="4FB7824A" w14:textId="77777777" w:rsidR="0007718D" w:rsidRPr="00506A83" w:rsidRDefault="00265A82" w:rsidP="00652422">
            <w:pPr>
              <w:keepNext/>
              <w:keepLines/>
              <w:spacing w:before="120" w:after="120" w:line="276" w:lineRule="auto"/>
              <w:contextualSpacing/>
              <w:rPr>
                <w:b/>
                <w:bCs/>
                <w:lang w:eastAsia="zh-CN"/>
              </w:rPr>
            </w:pPr>
            <w:r w:rsidRPr="00506A83">
              <w:rPr>
                <w:b/>
                <w:bCs/>
                <w:lang w:eastAsia="zh-CN"/>
              </w:rPr>
              <w:t>Celkový součet</w:t>
            </w:r>
            <w:r w:rsidR="00E136A9" w:rsidRPr="00506A83">
              <w:rPr>
                <w:b/>
                <w:bCs/>
                <w:lang w:eastAsia="zh-CN"/>
              </w:rPr>
              <w:t xml:space="preserve"> </w:t>
            </w:r>
          </w:p>
          <w:p w14:paraId="46BD121A" w14:textId="743FD411" w:rsidR="00265A82" w:rsidRPr="00506A83" w:rsidRDefault="00E136A9" w:rsidP="00652422">
            <w:pPr>
              <w:keepNext/>
              <w:keepLines/>
              <w:spacing w:before="120" w:after="120" w:line="276" w:lineRule="auto"/>
              <w:contextualSpacing/>
              <w:rPr>
                <w:b/>
                <w:bCs/>
                <w:lang w:eastAsia="zh-CN"/>
              </w:rPr>
            </w:pPr>
            <w:r w:rsidRPr="00506A83">
              <w:rPr>
                <w:b/>
                <w:bCs/>
                <w:sz w:val="20"/>
                <w:szCs w:val="20"/>
                <w:lang w:eastAsia="zh-CN"/>
              </w:rPr>
              <w:t xml:space="preserve">(Viz Příloha 2 – část </w:t>
            </w:r>
            <w:r w:rsidRPr="00506A83">
              <w:rPr>
                <w:b/>
                <w:bCs/>
                <w:i/>
                <w:iCs/>
                <w:sz w:val="20"/>
                <w:szCs w:val="20"/>
                <w:lang w:eastAsia="zh-CN"/>
              </w:rPr>
              <w:t>Doplnění</w:t>
            </w:r>
            <w:r w:rsidRPr="00506A83">
              <w:rPr>
                <w:b/>
                <w:bCs/>
                <w:sz w:val="20"/>
                <w:szCs w:val="20"/>
                <w:lang w:eastAsia="zh-CN"/>
              </w:rPr>
              <w:t>)</w:t>
            </w:r>
          </w:p>
        </w:tc>
        <w:tc>
          <w:tcPr>
            <w:tcW w:w="2409" w:type="dxa"/>
            <w:tcBorders>
              <w:top w:val="single" w:sz="6" w:space="0" w:color="A6A6A6" w:themeColor="background1" w:themeShade="A6"/>
            </w:tcBorders>
            <w:shd w:val="clear" w:color="auto" w:fill="45B0E1" w:themeFill="accent1" w:themeFillTint="99"/>
            <w:vAlign w:val="center"/>
            <w:hideMark/>
          </w:tcPr>
          <w:p w14:paraId="5E6C3C2C" w14:textId="77777777" w:rsidR="00265A82" w:rsidRPr="00506A83" w:rsidRDefault="00265A82" w:rsidP="00652422">
            <w:pPr>
              <w:keepNext/>
              <w:keepLines/>
              <w:spacing w:before="120" w:after="120" w:line="276" w:lineRule="auto"/>
              <w:ind w:right="698"/>
              <w:contextualSpacing/>
              <w:jc w:val="right"/>
              <w:rPr>
                <w:b/>
                <w:bCs/>
                <w:lang w:eastAsia="zh-CN"/>
              </w:rPr>
            </w:pPr>
            <w:r w:rsidRPr="00506A83">
              <w:rPr>
                <w:b/>
                <w:bCs/>
                <w:lang w:eastAsia="zh-CN"/>
              </w:rPr>
              <w:t>105</w:t>
            </w:r>
          </w:p>
        </w:tc>
        <w:tc>
          <w:tcPr>
            <w:tcW w:w="3193" w:type="dxa"/>
            <w:tcBorders>
              <w:top w:val="single" w:sz="6" w:space="0" w:color="A6A6A6" w:themeColor="background1" w:themeShade="A6"/>
            </w:tcBorders>
            <w:shd w:val="clear" w:color="auto" w:fill="45B0E1" w:themeFill="accent1" w:themeFillTint="99"/>
            <w:vAlign w:val="center"/>
            <w:hideMark/>
          </w:tcPr>
          <w:p w14:paraId="794D3DD2" w14:textId="21DFD228" w:rsidR="00265A82" w:rsidRPr="00506A83" w:rsidRDefault="00C71DFE" w:rsidP="00652422">
            <w:pPr>
              <w:spacing w:before="120" w:after="120" w:line="276" w:lineRule="auto"/>
              <w:contextualSpacing/>
              <w:jc w:val="right"/>
              <w:rPr>
                <w:b/>
                <w:bCs/>
                <w:color w:val="000000"/>
              </w:rPr>
            </w:pPr>
            <w:r w:rsidRPr="00506A83">
              <w:rPr>
                <w:b/>
                <w:bCs/>
                <w:color w:val="000000"/>
              </w:rPr>
              <w:t>474 922 482,23</w:t>
            </w:r>
            <w:r w:rsidR="00265A82" w:rsidRPr="00506A83">
              <w:rPr>
                <w:b/>
                <w:bCs/>
                <w:color w:val="000000"/>
              </w:rPr>
              <w:t xml:space="preserve"> Kč</w:t>
            </w:r>
          </w:p>
        </w:tc>
      </w:tr>
    </w:tbl>
    <w:p w14:paraId="598BDE8A" w14:textId="77777777" w:rsidR="00265A82" w:rsidRPr="00506A83" w:rsidRDefault="00265A82" w:rsidP="005177B3">
      <w:pPr>
        <w:keepNext/>
        <w:keepLines/>
        <w:spacing w:before="120" w:after="120" w:line="276" w:lineRule="auto"/>
        <w:jc w:val="both"/>
        <w:outlineLvl w:val="4"/>
        <w:rPr>
          <w:rFonts w:eastAsia="DengXian Light"/>
          <w:bCs/>
        </w:rPr>
      </w:pPr>
      <w:r w:rsidRPr="00506A83">
        <w:rPr>
          <w:i/>
          <w:iCs/>
        </w:rPr>
        <w:t>Tabulka 2: Počet projektů dle nástrojů.</w:t>
      </w:r>
    </w:p>
    <w:p w14:paraId="65E548B8" w14:textId="77777777" w:rsidR="00265A82" w:rsidRPr="00506A83" w:rsidRDefault="00265A82" w:rsidP="005177B3">
      <w:pPr>
        <w:keepNext/>
        <w:keepLines/>
        <w:spacing w:before="120" w:after="120" w:line="276" w:lineRule="auto"/>
        <w:jc w:val="both"/>
        <w:outlineLvl w:val="4"/>
        <w:rPr>
          <w:rFonts w:eastAsia="DengXian Light"/>
          <w:b/>
        </w:rPr>
      </w:pPr>
    </w:p>
    <w:p w14:paraId="2823ACF6" w14:textId="0D0FA2E1" w:rsidR="00265A82" w:rsidRPr="00506A83" w:rsidRDefault="00265A82" w:rsidP="00B277BA">
      <w:pPr>
        <w:pStyle w:val="Nadpis4"/>
        <w:rPr>
          <w:rFonts w:eastAsia="Georgia"/>
        </w:rPr>
      </w:pPr>
      <w:r w:rsidRPr="00506A83">
        <w:rPr>
          <w:rFonts w:eastAsia="Georgia"/>
        </w:rPr>
        <w:t>Bilaterální projekty</w:t>
      </w:r>
    </w:p>
    <w:p w14:paraId="7BAF2557" w14:textId="38380D1B" w:rsidR="00265A82" w:rsidRPr="00506A83" w:rsidRDefault="00265A82" w:rsidP="005177B3">
      <w:pPr>
        <w:spacing w:before="120" w:after="120" w:line="276" w:lineRule="auto"/>
        <w:jc w:val="both"/>
      </w:pPr>
      <w:r w:rsidRPr="00506A83">
        <w:t xml:space="preserve">Čerpáno v roce 2025: </w:t>
      </w:r>
      <w:r w:rsidR="00AB7D3C" w:rsidRPr="00506A83">
        <w:t>286,3</w:t>
      </w:r>
      <w:r w:rsidR="00A43B17" w:rsidRPr="00506A83">
        <w:t xml:space="preserve"> </w:t>
      </w:r>
      <w:r w:rsidRPr="00506A83">
        <w:t>mil. Kč</w:t>
      </w:r>
    </w:p>
    <w:p w14:paraId="093881DB" w14:textId="77777777" w:rsidR="00265A82" w:rsidRPr="00506A83" w:rsidRDefault="00265A82" w:rsidP="005177B3">
      <w:pPr>
        <w:spacing w:before="120" w:after="120" w:line="276" w:lineRule="auto"/>
        <w:jc w:val="both"/>
      </w:pPr>
      <w:r w:rsidRPr="00506A83">
        <w:t>Počet realizovaných projektů: 54 (44 bilaterálních veřejných zakázek a dotací, 10 bilaterálních rozpočtových opatření) + 1 rozpočtové opatření na projekty prostřednictvím Ministerstva zahraničních věcí ČR.</w:t>
      </w:r>
    </w:p>
    <w:p w14:paraId="6F268DFE" w14:textId="77777777" w:rsidR="00265A82" w:rsidRPr="00506A83" w:rsidRDefault="00265A82" w:rsidP="005177B3">
      <w:pPr>
        <w:spacing w:before="120" w:after="120" w:line="276" w:lineRule="auto"/>
        <w:jc w:val="both"/>
      </w:pPr>
      <w:r w:rsidRPr="00506A83">
        <w:t xml:space="preserve">Bilaterální projekty směřují k naplnění cílů a výstupů jednotlivých tematických priorit bilaterálních programů rozvojové spolupráce s každou jednotlivou prioritní zemí ZRS. ČRA je každým rokem realizuje pomocí tří základních finančních nástrojů. </w:t>
      </w:r>
    </w:p>
    <w:p w14:paraId="68708CF3" w14:textId="0DB67265" w:rsidR="000E56E6" w:rsidRPr="00506A83" w:rsidRDefault="00265A82" w:rsidP="000E56E6">
      <w:pPr>
        <w:spacing w:before="120" w:after="120" w:line="276" w:lineRule="auto"/>
        <w:jc w:val="both"/>
      </w:pPr>
      <w:r w:rsidRPr="00506A83">
        <w:t xml:space="preserve">Prvním z nich jsou bilaterální </w:t>
      </w:r>
      <w:r w:rsidRPr="00506A83">
        <w:rPr>
          <w:b/>
          <w:bCs/>
        </w:rPr>
        <w:t>dotace</w:t>
      </w:r>
      <w:r w:rsidRPr="00506A83">
        <w:t>, které ve finančním vyjádření zaujímají většinu všech projektů realizovaných ČRA.</w:t>
      </w:r>
      <w:r w:rsidR="00472B6B" w:rsidRPr="00506A83">
        <w:t xml:space="preserve"> </w:t>
      </w:r>
      <w:r w:rsidRPr="00506A83">
        <w:t xml:space="preserve">Jedná se o poskytování účelových neinvestičních dotací ze státního rozpočtu České republiky nestátním neziskovým organizacím a dalším oprávněným subjektům v souladu s ustanoveními § 14 a násl. zákona č. 218/2000 Sb., o rozpočtových pravidlech. </w:t>
      </w:r>
    </w:p>
    <w:p w14:paraId="1FF571C7" w14:textId="0F3F7B21" w:rsidR="00265A82" w:rsidRPr="00506A83" w:rsidRDefault="00265A82" w:rsidP="000E56E6">
      <w:pPr>
        <w:spacing w:before="120" w:after="120" w:line="276" w:lineRule="auto"/>
        <w:jc w:val="both"/>
      </w:pPr>
      <w:r w:rsidRPr="00506A83">
        <w:lastRenderedPageBreak/>
        <w:t xml:space="preserve">Druhým běžným nástrojem jsou </w:t>
      </w:r>
      <w:r w:rsidRPr="00506A83">
        <w:rPr>
          <w:b/>
          <w:bCs/>
        </w:rPr>
        <w:t>veřejné zakázky</w:t>
      </w:r>
      <w:r w:rsidR="00AD0046" w:rsidRPr="00506A83">
        <w:rPr>
          <w:b/>
          <w:bCs/>
        </w:rPr>
        <w:t>,</w:t>
      </w:r>
      <w:r w:rsidR="00215442" w:rsidRPr="00506A83">
        <w:t xml:space="preserve"> u nichž </w:t>
      </w:r>
      <w:r w:rsidRPr="00506A83">
        <w:t xml:space="preserve">ČRA coby veřejný zadavatel zohledňuje </w:t>
      </w:r>
      <w:r w:rsidR="00AD0046" w:rsidRPr="00506A83">
        <w:t xml:space="preserve">kombinaci </w:t>
      </w:r>
      <w:r w:rsidRPr="00506A83">
        <w:t xml:space="preserve">přidané hodnoty, kvality jednotlivých nabídek a nejnižší nabídkové ceny. </w:t>
      </w:r>
    </w:p>
    <w:p w14:paraId="68F28DE5" w14:textId="71DAE108" w:rsidR="00265A82" w:rsidRPr="00506A83" w:rsidRDefault="00265A82" w:rsidP="005177B3">
      <w:pPr>
        <w:spacing w:before="120" w:after="120" w:line="276" w:lineRule="auto"/>
        <w:jc w:val="both"/>
      </w:pPr>
      <w:r w:rsidRPr="00506A83">
        <w:t xml:space="preserve">Třetím nástrojem jsou </w:t>
      </w:r>
      <w:r w:rsidRPr="00506A83">
        <w:rPr>
          <w:b/>
          <w:bCs/>
        </w:rPr>
        <w:t>rozpočtová opatření</w:t>
      </w:r>
      <w:r w:rsidRPr="00506A83">
        <w:t>, skrz</w:t>
      </w:r>
      <w:r w:rsidR="00F76780" w:rsidRPr="00506A83">
        <w:t>e</w:t>
      </w:r>
      <w:r w:rsidRPr="00506A83">
        <w:t xml:space="preserve"> něž ČRA propojuje české státní instituce s</w:t>
      </w:r>
      <w:r w:rsidR="00A14C05" w:rsidRPr="00506A83">
        <w:t> </w:t>
      </w:r>
      <w:r w:rsidRPr="00506A83">
        <w:t>relevantní expertízou (např. problematika hydrogeologické</w:t>
      </w:r>
      <w:r w:rsidR="00F76780" w:rsidRPr="00506A83">
        <w:t>ho</w:t>
      </w:r>
      <w:r w:rsidRPr="00506A83">
        <w:t xml:space="preserve"> mapování, lesnictví nebo bezpečnost potravin) s institucemi veřejné správy v jednotlivých prioritních zemích.</w:t>
      </w:r>
    </w:p>
    <w:p w14:paraId="291361F3" w14:textId="0E30CCEB" w:rsidR="00265A82" w:rsidRPr="00506A83" w:rsidRDefault="00265A82" w:rsidP="005177B3">
      <w:pPr>
        <w:spacing w:before="120" w:after="120" w:line="276" w:lineRule="auto"/>
        <w:jc w:val="both"/>
        <w:rPr>
          <w:rFonts w:eastAsia="Georgia"/>
        </w:rPr>
      </w:pPr>
      <w:r w:rsidRPr="00506A83">
        <w:rPr>
          <w:rFonts w:eastAsia="Georgia"/>
        </w:rPr>
        <w:t xml:space="preserve">Doplňkovým nástrojem, který ČRA zpravidla využívá v součinnosti s MZV, jsou </w:t>
      </w:r>
      <w:r w:rsidRPr="00506A83">
        <w:rPr>
          <w:rFonts w:eastAsia="Georgia"/>
          <w:b/>
          <w:bCs/>
        </w:rPr>
        <w:t>peněžní dary</w:t>
      </w:r>
      <w:r w:rsidRPr="00506A83">
        <w:rPr>
          <w:rFonts w:eastAsia="Georgia"/>
        </w:rPr>
        <w:t xml:space="preserve">. Využívají se zejména pro zapojení do komplexních programů jiných donorů, nejčastěji Rozvojového programu OSN (UNDP), případně v rámci přímé spolupráce s místními partnery. </w:t>
      </w:r>
    </w:p>
    <w:p w14:paraId="67A16205" w14:textId="77777777" w:rsidR="00265A82" w:rsidRPr="00506A83" w:rsidRDefault="00265A82" w:rsidP="005177B3">
      <w:pPr>
        <w:spacing w:before="120" w:after="120" w:line="276" w:lineRule="auto"/>
        <w:ind w:firstLine="709"/>
        <w:jc w:val="both"/>
      </w:pPr>
    </w:p>
    <w:p w14:paraId="353A433E" w14:textId="6AF18737" w:rsidR="00265A82" w:rsidRPr="00506A83" w:rsidRDefault="00265A82" w:rsidP="00B277BA">
      <w:pPr>
        <w:pStyle w:val="Nadpis4"/>
        <w:rPr>
          <w:rFonts w:eastAsia="Georgia"/>
        </w:rPr>
      </w:pPr>
      <w:bookmarkStart w:id="15" w:name="_Toc200351822"/>
      <w:bookmarkStart w:id="16" w:name="_Toc200633259"/>
      <w:bookmarkStart w:id="17" w:name="_Toc228190585"/>
      <w:r w:rsidRPr="00506A83">
        <w:rPr>
          <w:rFonts w:eastAsia="Georgia"/>
        </w:rPr>
        <w:t>Globální vzdělávání a osvěta veřejnosti</w:t>
      </w:r>
      <w:bookmarkEnd w:id="15"/>
      <w:bookmarkEnd w:id="16"/>
      <w:bookmarkEnd w:id="17"/>
      <w:r w:rsidRPr="00506A83">
        <w:rPr>
          <w:rFonts w:eastAsia="Georgia"/>
        </w:rPr>
        <w:t xml:space="preserve"> </w:t>
      </w:r>
    </w:p>
    <w:p w14:paraId="0610707D" w14:textId="77777777" w:rsidR="00652422" w:rsidRPr="00506A83" w:rsidRDefault="00652422" w:rsidP="00652422">
      <w:pPr>
        <w:keepNext/>
        <w:keepLines/>
        <w:spacing w:before="120" w:after="120" w:line="276" w:lineRule="auto"/>
        <w:contextualSpacing/>
        <w:jc w:val="both"/>
        <w:outlineLvl w:val="2"/>
        <w:rPr>
          <w:rFonts w:eastAsia="Georgia"/>
          <w:b/>
          <w:bCs/>
        </w:rPr>
      </w:pPr>
    </w:p>
    <w:p w14:paraId="77C20B13" w14:textId="77777777" w:rsidR="00652422" w:rsidRPr="00506A83" w:rsidRDefault="00265A82" w:rsidP="00652422">
      <w:pPr>
        <w:spacing w:before="120" w:after="120" w:line="276" w:lineRule="auto"/>
        <w:contextualSpacing/>
        <w:jc w:val="both"/>
      </w:pPr>
      <w:r w:rsidRPr="00506A83">
        <w:t>Čerpáno v roce 2025: 10,8 mil. Kč.</w:t>
      </w:r>
    </w:p>
    <w:p w14:paraId="04382D0B" w14:textId="485F2049" w:rsidR="00265A82" w:rsidRPr="00506A83" w:rsidRDefault="00265A82" w:rsidP="00652422">
      <w:pPr>
        <w:spacing w:before="120" w:after="120" w:line="276" w:lineRule="auto"/>
        <w:contextualSpacing/>
        <w:jc w:val="both"/>
      </w:pPr>
      <w:r w:rsidRPr="00506A83">
        <w:t>Počet realizovaných projektů: 10</w:t>
      </w:r>
    </w:p>
    <w:p w14:paraId="6B500F9A" w14:textId="189FF757" w:rsidR="00265A82" w:rsidRPr="00506A83" w:rsidRDefault="00265A82" w:rsidP="005177B3">
      <w:pPr>
        <w:spacing w:before="120" w:after="120" w:line="276" w:lineRule="auto"/>
        <w:jc w:val="both"/>
        <w:rPr>
          <w:rFonts w:eastAsia="Georgia"/>
        </w:rPr>
      </w:pPr>
      <w:r w:rsidRPr="00506A83">
        <w:t xml:space="preserve">Projekty v České republice se v roce 2025 realizovaly prostřednictvím </w:t>
      </w:r>
      <w:r w:rsidRPr="00506A83">
        <w:rPr>
          <w:b/>
          <w:bCs/>
          <w:i/>
          <w:iCs/>
        </w:rPr>
        <w:t>Program</w:t>
      </w:r>
      <w:r w:rsidR="00EF4914" w:rsidRPr="00506A83">
        <w:rPr>
          <w:b/>
          <w:bCs/>
          <w:i/>
          <w:iCs/>
        </w:rPr>
        <w:t>u</w:t>
      </w:r>
      <w:r w:rsidRPr="00506A83">
        <w:rPr>
          <w:i/>
          <w:iCs/>
        </w:rPr>
        <w:t xml:space="preserve"> </w:t>
      </w:r>
      <w:r w:rsidR="00472B6B" w:rsidRPr="00506A83">
        <w:rPr>
          <w:i/>
          <w:iCs/>
        </w:rPr>
        <w:t>g</w:t>
      </w:r>
      <w:r w:rsidRPr="00506A83">
        <w:rPr>
          <w:b/>
          <w:bCs/>
          <w:i/>
          <w:iCs/>
        </w:rPr>
        <w:t>lobální vzdělávání</w:t>
      </w:r>
      <w:r w:rsidRPr="00506A83">
        <w:t xml:space="preserve"> </w:t>
      </w:r>
      <w:r w:rsidRPr="00506A83">
        <w:rPr>
          <w:b/>
          <w:bCs/>
        </w:rPr>
        <w:t>a</w:t>
      </w:r>
      <w:r w:rsidR="003509A7" w:rsidRPr="00506A83">
        <w:rPr>
          <w:b/>
          <w:bCs/>
        </w:rPr>
        <w:t xml:space="preserve"> </w:t>
      </w:r>
      <w:r w:rsidRPr="00506A83">
        <w:rPr>
          <w:b/>
          <w:bCs/>
        </w:rPr>
        <w:t>osvěta veřejnosti</w:t>
      </w:r>
      <w:r w:rsidR="003509A7" w:rsidRPr="00506A83">
        <w:rPr>
          <w:b/>
          <w:bCs/>
        </w:rPr>
        <w:t>.</w:t>
      </w:r>
      <w:r w:rsidRPr="00506A83">
        <w:t xml:space="preserve"> V rámci tohoto programu bylo v roce 2025 realizováno celkem deset projektů, z toho čtyři nové jednoleté, tři nové dvouleté a tři pokračující. </w:t>
      </w:r>
      <w:r w:rsidRPr="00506A83">
        <w:rPr>
          <w:rFonts w:eastAsia="Georgia"/>
        </w:rPr>
        <w:t>Na konci roku 2025 byl program ukončen.</w:t>
      </w:r>
    </w:p>
    <w:p w14:paraId="5FA193B9" w14:textId="4242A476" w:rsidR="00265A82" w:rsidRPr="00506A83" w:rsidRDefault="00265A82" w:rsidP="00B277BA">
      <w:pPr>
        <w:pStyle w:val="Nadpis4"/>
        <w:rPr>
          <w:rFonts w:eastAsia="Georgia"/>
        </w:rPr>
      </w:pPr>
      <w:bookmarkStart w:id="18" w:name="_Toc200351823"/>
      <w:bookmarkStart w:id="19" w:name="_Toc200633260"/>
      <w:bookmarkStart w:id="20" w:name="_Toc228190586"/>
      <w:r w:rsidRPr="00506A83">
        <w:rPr>
          <w:rFonts w:eastAsia="Georgia"/>
        </w:rPr>
        <w:t>Posilování kapacit implementačních partnerů ZRS</w:t>
      </w:r>
      <w:bookmarkEnd w:id="18"/>
      <w:bookmarkEnd w:id="19"/>
      <w:bookmarkEnd w:id="20"/>
    </w:p>
    <w:p w14:paraId="3216960F" w14:textId="77777777" w:rsidR="00A14C05" w:rsidRPr="00506A83" w:rsidRDefault="00A14C05" w:rsidP="00A14C05"/>
    <w:p w14:paraId="54AD0C07" w14:textId="77777777" w:rsidR="00265A82" w:rsidRPr="00506A83" w:rsidRDefault="00265A82" w:rsidP="00652422">
      <w:pPr>
        <w:spacing w:before="120" w:after="120" w:line="276" w:lineRule="auto"/>
        <w:contextualSpacing/>
        <w:jc w:val="both"/>
      </w:pPr>
      <w:r w:rsidRPr="00506A83">
        <w:t>Čerpáno v roce 2025: 5,4 mil. Kč.</w:t>
      </w:r>
    </w:p>
    <w:p w14:paraId="0DB350FF" w14:textId="20C889E7" w:rsidR="00265A82" w:rsidRPr="00506A83" w:rsidRDefault="00265A82" w:rsidP="00652422">
      <w:pPr>
        <w:spacing w:before="120" w:after="120" w:line="276" w:lineRule="auto"/>
        <w:contextualSpacing/>
        <w:jc w:val="both"/>
      </w:pPr>
      <w:r w:rsidRPr="00506A83">
        <w:t>Počet realizovaných projektů: 7</w:t>
      </w:r>
    </w:p>
    <w:p w14:paraId="6056AE7F" w14:textId="14B96C11" w:rsidR="00265A82" w:rsidRPr="00506A83" w:rsidRDefault="00265A82" w:rsidP="005177B3">
      <w:pPr>
        <w:spacing w:before="120" w:after="120" w:line="276" w:lineRule="auto"/>
        <w:jc w:val="both"/>
        <w:rPr>
          <w:rFonts w:eastAsia="Georgia"/>
        </w:rPr>
      </w:pPr>
      <w:r w:rsidRPr="00506A83">
        <w:t>Program</w:t>
      </w:r>
      <w:r w:rsidRPr="00506A83">
        <w:rPr>
          <w:b/>
          <w:bCs/>
        </w:rPr>
        <w:t xml:space="preserve"> Posilování kapacit implementačních partnerů ZRS</w:t>
      </w:r>
      <w:r w:rsidRPr="00506A83">
        <w:t>, druhý tuzemský program, je zaměřen na podporu všech relevantních subjektů, které se aktivně zapojují do české zahraniční spolupráce. V rámci tohoto programu bylo v roce 2025 podpořeno celkem sedm projektů, z</w:t>
      </w:r>
      <w:r w:rsidR="007B764F" w:rsidRPr="00506A83">
        <w:t> </w:t>
      </w:r>
      <w:r w:rsidRPr="00506A83">
        <w:t xml:space="preserve">toho pět nových jednoletých a dva pokračující. </w:t>
      </w:r>
      <w:r w:rsidRPr="00506A83">
        <w:rPr>
          <w:rFonts w:eastAsia="Georgia"/>
        </w:rPr>
        <w:t>Na konci roku 2025 byl program ukončen.</w:t>
      </w:r>
    </w:p>
    <w:p w14:paraId="78712F0D" w14:textId="77777777" w:rsidR="00265A82" w:rsidRPr="00506A83" w:rsidRDefault="00265A82" w:rsidP="00652422">
      <w:pPr>
        <w:spacing w:before="120" w:after="120" w:line="276" w:lineRule="auto"/>
        <w:ind w:firstLine="709"/>
        <w:contextualSpacing/>
        <w:jc w:val="both"/>
      </w:pPr>
    </w:p>
    <w:p w14:paraId="2926FBA9" w14:textId="2265E98E" w:rsidR="00265A82" w:rsidRPr="00506A83" w:rsidRDefault="00265A82" w:rsidP="00B277BA">
      <w:pPr>
        <w:pStyle w:val="Nadpis4"/>
        <w:rPr>
          <w:rFonts w:eastAsia="Georgia"/>
        </w:rPr>
      </w:pPr>
      <w:r w:rsidRPr="00506A83">
        <w:rPr>
          <w:rFonts w:eastAsia="Georgia"/>
        </w:rPr>
        <w:t>Trojstranné projekty</w:t>
      </w:r>
    </w:p>
    <w:p w14:paraId="46B1BAB7" w14:textId="77777777" w:rsidR="00652422" w:rsidRPr="00506A83" w:rsidRDefault="00652422" w:rsidP="00652422">
      <w:pPr>
        <w:keepNext/>
        <w:keepLines/>
        <w:spacing w:before="120" w:after="120" w:line="276" w:lineRule="auto"/>
        <w:contextualSpacing/>
        <w:jc w:val="both"/>
        <w:outlineLvl w:val="4"/>
        <w:rPr>
          <w:rFonts w:eastAsia="Georgia"/>
          <w:b/>
          <w:bCs/>
          <w:sz w:val="28"/>
          <w:szCs w:val="28"/>
        </w:rPr>
      </w:pPr>
    </w:p>
    <w:p w14:paraId="5791587C" w14:textId="77777777" w:rsidR="00265A82" w:rsidRPr="00506A83" w:rsidRDefault="00265A82" w:rsidP="00652422">
      <w:pPr>
        <w:keepNext/>
        <w:keepLines/>
        <w:spacing w:before="120" w:after="120" w:line="276" w:lineRule="auto"/>
        <w:contextualSpacing/>
        <w:jc w:val="both"/>
      </w:pPr>
      <w:r w:rsidRPr="00506A83">
        <w:t xml:space="preserve">Čerpáno v roce 2025: </w:t>
      </w:r>
      <w:r w:rsidRPr="00506A83">
        <w:rPr>
          <w:rFonts w:eastAsia="Georgia"/>
        </w:rPr>
        <w:t>50,6 mil. Kč.</w:t>
      </w:r>
    </w:p>
    <w:p w14:paraId="5B119573" w14:textId="216511CD" w:rsidR="00265A82" w:rsidRPr="00506A83" w:rsidRDefault="00265A82" w:rsidP="00652422">
      <w:pPr>
        <w:keepNext/>
        <w:keepLines/>
        <w:spacing w:before="120" w:after="120" w:line="276" w:lineRule="auto"/>
        <w:contextualSpacing/>
        <w:jc w:val="both"/>
      </w:pPr>
      <w:r w:rsidRPr="00506A83">
        <w:t>Počet realiz</w:t>
      </w:r>
      <w:r w:rsidR="00FF6B9A" w:rsidRPr="00506A83">
        <w:t>ovaných projektů: 20</w:t>
      </w:r>
    </w:p>
    <w:p w14:paraId="4C9F3EB5" w14:textId="5732038A" w:rsidR="00265A82" w:rsidRPr="00506A83" w:rsidRDefault="00265A82" w:rsidP="005177B3">
      <w:pPr>
        <w:spacing w:before="120" w:after="120" w:line="276" w:lineRule="auto"/>
        <w:jc w:val="both"/>
        <w:rPr>
          <w:rFonts w:eastAsia="Georgia"/>
          <w:b/>
          <w:bCs/>
        </w:rPr>
      </w:pPr>
      <w:r w:rsidRPr="00506A83">
        <w:rPr>
          <w:rFonts w:eastAsia="Georgia"/>
        </w:rPr>
        <w:t xml:space="preserve">Trojstranné projekty ČRA se </w:t>
      </w:r>
      <w:r w:rsidR="00DC173E" w:rsidRPr="00506A83">
        <w:rPr>
          <w:rFonts w:eastAsia="Georgia"/>
        </w:rPr>
        <w:t>každoročně</w:t>
      </w:r>
      <w:r w:rsidRPr="00506A83">
        <w:rPr>
          <w:rFonts w:eastAsia="Georgia"/>
        </w:rPr>
        <w:t xml:space="preserve"> finančně podílejí na realizaci projektů trojstranné spolupráce. Podmínkou dotačního titulu Podpora trojstranných projektů českých subjektů je vždy prokazatelný partnerský vztah se zahraničním/mezinárodním subjektem a spolufinancování projektu z jiného zdroje – například Evropské komise</w:t>
      </w:r>
      <w:r w:rsidR="00174D1B" w:rsidRPr="00506A83">
        <w:rPr>
          <w:rFonts w:eastAsia="Georgia"/>
        </w:rPr>
        <w:t xml:space="preserve">. </w:t>
      </w:r>
      <w:r w:rsidRPr="00506A83">
        <w:rPr>
          <w:rFonts w:eastAsia="Georgia"/>
          <w:b/>
          <w:bCs/>
        </w:rPr>
        <w:t xml:space="preserve">Trojstranné </w:t>
      </w:r>
      <w:r w:rsidRPr="00506A83">
        <w:rPr>
          <w:rFonts w:eastAsia="Georgia"/>
          <w:b/>
          <w:bCs/>
        </w:rPr>
        <w:lastRenderedPageBreak/>
        <w:t>projekty umožňují českým realizátorům získat cenné zkušenosti při práci na společných aktivitách se zahraničními partnery.</w:t>
      </w:r>
    </w:p>
    <w:p w14:paraId="14358F1B" w14:textId="68F3E0E2" w:rsidR="00265A82" w:rsidRPr="00506A83" w:rsidRDefault="00265A82" w:rsidP="005177B3">
      <w:pPr>
        <w:spacing w:before="120" w:after="120" w:line="276" w:lineRule="auto"/>
        <w:jc w:val="both"/>
        <w:rPr>
          <w:rFonts w:eastAsia="Georgia"/>
          <w:b/>
          <w:bCs/>
        </w:rPr>
      </w:pPr>
      <w:r w:rsidRPr="00506A83">
        <w:rPr>
          <w:rFonts w:eastAsia="Georgia"/>
        </w:rPr>
        <w:t>Prostřednictvím trojstranné spolupráce je navíc celkový objem prostředků, a tudíž i dopady realizovaných projektů, na rozvojovou spolupráci mnohem vyšší, než kdyby byl projekt financovaný pouze z prostředků ČRA. Pro rok 2025 se v otázce geografického zaměření pokračovalo v trendu z předchozího roku, a tedy v užším vymezení geografického zaměření projektu, kdy bylo soustředěno na tři oblasti: 1) prioritní rozvojové země, 2) specifické země a</w:t>
      </w:r>
      <w:r w:rsidR="007B764F" w:rsidRPr="00506A83">
        <w:rPr>
          <w:rFonts w:eastAsia="Georgia"/>
        </w:rPr>
        <w:t> </w:t>
      </w:r>
      <w:r w:rsidRPr="00506A83">
        <w:rPr>
          <w:rFonts w:eastAsia="Georgia"/>
        </w:rPr>
        <w:t>3) země humanitární spolupráce.</w:t>
      </w:r>
    </w:p>
    <w:p w14:paraId="65BFC11E" w14:textId="77777777" w:rsidR="00265A82" w:rsidRPr="00506A83" w:rsidRDefault="00265A82" w:rsidP="005177B3">
      <w:pPr>
        <w:spacing w:before="120" w:after="120" w:line="276" w:lineRule="auto"/>
        <w:jc w:val="both"/>
        <w:rPr>
          <w:rFonts w:eastAsia="Georgia"/>
          <w:b/>
          <w:bCs/>
        </w:rPr>
      </w:pPr>
      <w:r w:rsidRPr="00506A83">
        <w:rPr>
          <w:rFonts w:eastAsia="Georgia"/>
        </w:rPr>
        <w:t xml:space="preserve">Pro program trojstranné spolupráce schválila vláda ČR rozpočet 25 milionů Kč, v průběhu roku došlo k jeho navýšení z nespotřebovaných nároků ČRA předchozího roku. V roce 2025 tak byla ze strany ČRA vyhlášená i tzv. Doplňková dotační výzva na podporu trojstranné spolupráce, jejímž cílem bylo podpořit subjekty z ČR v jejich úspěšném zapojení ve schválených mezinárodních projektech. V rámci této výzvy bylo podpořeno 7 projektů. </w:t>
      </w:r>
    </w:p>
    <w:p w14:paraId="08609297" w14:textId="77777777" w:rsidR="00265A82" w:rsidRPr="00506A83" w:rsidRDefault="00265A82" w:rsidP="005177B3">
      <w:pPr>
        <w:spacing w:before="120" w:after="120" w:line="276" w:lineRule="auto"/>
        <w:ind w:firstLine="709"/>
        <w:jc w:val="both"/>
      </w:pPr>
    </w:p>
    <w:p w14:paraId="21026244" w14:textId="57308142" w:rsidR="005177B3" w:rsidRPr="00506A83" w:rsidRDefault="00265A82" w:rsidP="00B277BA">
      <w:pPr>
        <w:pStyle w:val="Nadpis4"/>
        <w:rPr>
          <w:rFonts w:eastAsia="Georgia"/>
        </w:rPr>
      </w:pPr>
      <w:r w:rsidRPr="00506A83">
        <w:rPr>
          <w:rFonts w:eastAsia="Georgia"/>
        </w:rPr>
        <w:t>Program rozvojového partnerství pro soukromý sektor (B2B)</w:t>
      </w:r>
    </w:p>
    <w:p w14:paraId="13FB0F24" w14:textId="77777777" w:rsidR="00A14C05" w:rsidRPr="00506A83" w:rsidRDefault="00A14C05" w:rsidP="00A14C05"/>
    <w:p w14:paraId="0165C72E" w14:textId="77777777" w:rsidR="00265A82" w:rsidRPr="00506A83" w:rsidRDefault="00265A82" w:rsidP="00652422">
      <w:pPr>
        <w:spacing w:before="120" w:after="120" w:line="276" w:lineRule="auto"/>
        <w:contextualSpacing/>
        <w:jc w:val="both"/>
      </w:pPr>
      <w:r w:rsidRPr="00506A83">
        <w:t xml:space="preserve">Čerpáno v roce 2025: </w:t>
      </w:r>
      <w:r w:rsidRPr="00506A83">
        <w:rPr>
          <w:rFonts w:eastAsia="Georgia"/>
        </w:rPr>
        <w:t>6,6 mil. Kč.</w:t>
      </w:r>
    </w:p>
    <w:p w14:paraId="0C775E11" w14:textId="3D68A457" w:rsidR="00265A82" w:rsidRPr="00506A83" w:rsidRDefault="00265A82" w:rsidP="00652422">
      <w:pPr>
        <w:spacing w:before="120" w:after="120" w:line="276" w:lineRule="auto"/>
        <w:contextualSpacing/>
        <w:jc w:val="both"/>
      </w:pPr>
      <w:r w:rsidRPr="00506A83">
        <w:t>Počet realizovaných projektů: 8</w:t>
      </w:r>
    </w:p>
    <w:p w14:paraId="52E73EE2" w14:textId="128647FF" w:rsidR="0068640A" w:rsidRPr="00506A83" w:rsidRDefault="00265A82" w:rsidP="005177B3">
      <w:pPr>
        <w:spacing w:before="120" w:after="120" w:line="276" w:lineRule="auto"/>
        <w:jc w:val="both"/>
        <w:rPr>
          <w:rFonts w:eastAsia="Georgia"/>
        </w:rPr>
      </w:pPr>
      <w:r w:rsidRPr="00506A83">
        <w:rPr>
          <w:rFonts w:eastAsia="Georgia"/>
        </w:rPr>
        <w:t>V roce 2025 realizovala ČRA další ročník Programu B2B („business to business“) zaměřeného na zapojení českého soukromého sektoru do české zahraniční rozvojové spolupráce</w:t>
      </w:r>
      <w:r w:rsidR="00A41970" w:rsidRPr="00506A83">
        <w:rPr>
          <w:rFonts w:eastAsia="Georgia"/>
        </w:rPr>
        <w:t>.</w:t>
      </w:r>
    </w:p>
    <w:p w14:paraId="763B0CE7" w14:textId="4484B257" w:rsidR="0068640A" w:rsidRPr="00506A83" w:rsidRDefault="00265A82" w:rsidP="00A41970">
      <w:pPr>
        <w:spacing w:before="120" w:after="120" w:line="276" w:lineRule="auto"/>
        <w:jc w:val="both"/>
        <w:rPr>
          <w:rFonts w:eastAsia="Georgia"/>
        </w:rPr>
      </w:pPr>
      <w:r w:rsidRPr="00506A83">
        <w:rPr>
          <w:rFonts w:eastAsia="Georgia"/>
        </w:rPr>
        <w:t xml:space="preserve">Program je rozdělen na fázi Přípravy a fázi Realizace. Hlavními výstupy v rámci fáze Přípravy jsou Studie proveditelnosti a Podnikatelské plány pro ověření podmínek podnikatelského investičního záměru v cílové zemi, dále pak nalezení relevantního místního partnera. </w:t>
      </w:r>
    </w:p>
    <w:p w14:paraId="4005DF62" w14:textId="6E1AB397" w:rsidR="00265A82" w:rsidRPr="00506A83" w:rsidRDefault="00265A82" w:rsidP="005177B3">
      <w:pPr>
        <w:spacing w:before="120" w:after="120" w:line="276" w:lineRule="auto"/>
        <w:jc w:val="both"/>
        <w:rPr>
          <w:rFonts w:eastAsia="Georgia"/>
        </w:rPr>
      </w:pPr>
      <w:r w:rsidRPr="00506A83">
        <w:rPr>
          <w:rFonts w:eastAsia="Georgia"/>
        </w:rPr>
        <w:t>Z osmi projektů realizovaných v roce 2025 mělo pět projektů podobu přípravné fáze, z nichž v</w:t>
      </w:r>
      <w:r w:rsidR="004964CB" w:rsidRPr="00506A83">
        <w:rPr>
          <w:rFonts w:eastAsia="Georgia"/>
        </w:rPr>
        <w:t> </w:t>
      </w:r>
      <w:r w:rsidRPr="00506A83">
        <w:rPr>
          <w:rFonts w:eastAsia="Georgia"/>
        </w:rPr>
        <w:t>jednom případě šlo o vypracování podnikatelského plánu a ve čtyřech případech o vypracování studie proveditelnosti. Zbylé tři podpořené projekty představovaly úspěšnou realizaci plánovaných podnikatelských záměrů a zaměřily se na různá témata – nakládání se zemědělským odpadem, zavádění prostředků na ochranu před hmyzem či</w:t>
      </w:r>
      <w:r w:rsidR="00A639EE" w:rsidRPr="00506A83">
        <w:rPr>
          <w:rFonts w:eastAsia="Georgia"/>
        </w:rPr>
        <w:t xml:space="preserve"> na</w:t>
      </w:r>
      <w:r w:rsidRPr="00506A83">
        <w:rPr>
          <w:rFonts w:eastAsia="Georgia"/>
        </w:rPr>
        <w:t xml:space="preserve"> podporu exportu zpracovaného ovoce a ořechů.</w:t>
      </w:r>
    </w:p>
    <w:p w14:paraId="3C578194" w14:textId="0B2D51C8" w:rsidR="00265A82" w:rsidRPr="00506A83" w:rsidRDefault="00265A82" w:rsidP="00B277BA">
      <w:pPr>
        <w:pStyle w:val="Nadpis4"/>
        <w:rPr>
          <w:rFonts w:eastAsia="Georgia"/>
        </w:rPr>
      </w:pPr>
      <w:r w:rsidRPr="00506A83">
        <w:rPr>
          <w:rFonts w:eastAsia="Georgia"/>
        </w:rPr>
        <w:t>Delegovaná spolupráce</w:t>
      </w:r>
    </w:p>
    <w:p w14:paraId="515C9195" w14:textId="77777777" w:rsidR="00652422" w:rsidRPr="00506A83" w:rsidRDefault="00652422" w:rsidP="00652422">
      <w:pPr>
        <w:keepNext/>
        <w:keepLines/>
        <w:spacing w:before="120" w:after="120" w:line="276" w:lineRule="auto"/>
        <w:contextualSpacing/>
        <w:jc w:val="both"/>
        <w:outlineLvl w:val="4"/>
        <w:rPr>
          <w:rFonts w:eastAsia="Georgia"/>
          <w:b/>
          <w:bCs/>
          <w:sz w:val="28"/>
          <w:szCs w:val="28"/>
        </w:rPr>
      </w:pPr>
    </w:p>
    <w:p w14:paraId="0412CF7B" w14:textId="77777777" w:rsidR="00265A82" w:rsidRPr="00506A83" w:rsidRDefault="00265A82" w:rsidP="00652422">
      <w:pPr>
        <w:spacing w:before="120" w:after="120" w:line="276" w:lineRule="auto"/>
        <w:contextualSpacing/>
        <w:jc w:val="both"/>
      </w:pPr>
      <w:bookmarkStart w:id="21" w:name="_rblxxxhn0bts"/>
      <w:bookmarkEnd w:id="21"/>
      <w:r w:rsidRPr="00506A83">
        <w:t>Čerpáno v roce 2025: 74,6 mil. Kč z prostředků EK, 4,5 mil. Kč spoluúčast ČRA.</w:t>
      </w:r>
    </w:p>
    <w:p w14:paraId="60AE4473" w14:textId="7275604A" w:rsidR="00265A82" w:rsidRPr="00506A83" w:rsidRDefault="00265A82" w:rsidP="00652422">
      <w:pPr>
        <w:spacing w:before="120" w:after="120" w:line="276" w:lineRule="auto"/>
        <w:contextualSpacing/>
        <w:jc w:val="both"/>
      </w:pPr>
      <w:r w:rsidRPr="00506A83">
        <w:t>Počet realizovaných projektů: 6</w:t>
      </w:r>
    </w:p>
    <w:p w14:paraId="708297D2" w14:textId="15469471" w:rsidR="005177B3" w:rsidRPr="00506A83" w:rsidRDefault="00265A82" w:rsidP="005177B3">
      <w:pPr>
        <w:spacing w:before="120" w:after="120" w:line="276" w:lineRule="auto"/>
        <w:jc w:val="both"/>
        <w:rPr>
          <w:rFonts w:eastAsia="Georgia"/>
        </w:rPr>
      </w:pPr>
      <w:r w:rsidRPr="00506A83">
        <w:rPr>
          <w:rFonts w:eastAsia="Georgia"/>
        </w:rPr>
        <w:t>ČRA v roce 2025 pokračovala v implementaci probíhajících projektů delegované spolupráce v</w:t>
      </w:r>
      <w:r w:rsidR="004964CB" w:rsidRPr="00506A83">
        <w:rPr>
          <w:rFonts w:eastAsia="Georgia"/>
        </w:rPr>
        <w:t> </w:t>
      </w:r>
      <w:r w:rsidRPr="00506A83">
        <w:rPr>
          <w:rFonts w:eastAsia="Georgia"/>
        </w:rPr>
        <w:t xml:space="preserve">Gruzii a Zambii. Současně byly v průběhu roku zahájeny nové projekty delegované spolupráce v Bosně a Hercegovině (sektor </w:t>
      </w:r>
      <w:r w:rsidRPr="00506A83">
        <w:rPr>
          <w:rFonts w:eastAsia="Georgia"/>
          <w:b/>
          <w:bCs/>
        </w:rPr>
        <w:t>zemědělství a lesnictví,</w:t>
      </w:r>
      <w:r w:rsidRPr="00506A83">
        <w:rPr>
          <w:rFonts w:eastAsia="Georgia"/>
        </w:rPr>
        <w:t xml:space="preserve"> oblast </w:t>
      </w:r>
      <w:r w:rsidRPr="00506A83">
        <w:rPr>
          <w:rFonts w:eastAsia="Georgia"/>
          <w:b/>
          <w:bCs/>
        </w:rPr>
        <w:t xml:space="preserve">ekonomický růst </w:t>
      </w:r>
      <w:r w:rsidRPr="00506A83">
        <w:rPr>
          <w:rFonts w:eastAsia="Georgia"/>
          <w:b/>
          <w:bCs/>
        </w:rPr>
        <w:lastRenderedPageBreak/>
        <w:t>a</w:t>
      </w:r>
      <w:r w:rsidR="004964CB" w:rsidRPr="00506A83">
        <w:rPr>
          <w:rFonts w:eastAsia="Georgia"/>
          <w:b/>
          <w:bCs/>
        </w:rPr>
        <w:t> </w:t>
      </w:r>
      <w:r w:rsidRPr="00506A83">
        <w:rPr>
          <w:rFonts w:eastAsia="Georgia"/>
          <w:b/>
          <w:bCs/>
        </w:rPr>
        <w:t>obnovitelné zdroje</w:t>
      </w:r>
      <w:r w:rsidRPr="00506A83">
        <w:rPr>
          <w:rFonts w:eastAsia="Georgia"/>
        </w:rPr>
        <w:t xml:space="preserve"> zahrnující sektor </w:t>
      </w:r>
      <w:r w:rsidRPr="00506A83">
        <w:rPr>
          <w:rFonts w:eastAsia="Georgia"/>
          <w:b/>
          <w:bCs/>
        </w:rPr>
        <w:t>výroba a dodávky energie</w:t>
      </w:r>
      <w:r w:rsidRPr="00506A83">
        <w:rPr>
          <w:rFonts w:eastAsia="Georgia"/>
        </w:rPr>
        <w:t xml:space="preserve">) a v Moldavsku (sektor </w:t>
      </w:r>
      <w:r w:rsidRPr="00506A83">
        <w:rPr>
          <w:rFonts w:eastAsia="Georgia"/>
          <w:b/>
          <w:bCs/>
        </w:rPr>
        <w:t>zemědělství a</w:t>
      </w:r>
      <w:r w:rsidR="004964CB" w:rsidRPr="00506A83">
        <w:rPr>
          <w:rFonts w:eastAsia="Georgia"/>
          <w:b/>
          <w:bCs/>
        </w:rPr>
        <w:t> </w:t>
      </w:r>
      <w:r w:rsidRPr="00506A83">
        <w:rPr>
          <w:rFonts w:eastAsia="Georgia"/>
          <w:b/>
          <w:bCs/>
        </w:rPr>
        <w:t xml:space="preserve">rozvoj venkova </w:t>
      </w:r>
      <w:r w:rsidRPr="00506A83">
        <w:rPr>
          <w:rFonts w:eastAsia="Georgia"/>
        </w:rPr>
        <w:t>zahrnující</w:t>
      </w:r>
      <w:r w:rsidRPr="00506A83">
        <w:rPr>
          <w:rFonts w:eastAsia="Georgia"/>
          <w:b/>
          <w:bCs/>
        </w:rPr>
        <w:t xml:space="preserve"> </w:t>
      </w:r>
      <w:r w:rsidRPr="00506A83">
        <w:rPr>
          <w:rFonts w:eastAsia="Georgia"/>
        </w:rPr>
        <w:t xml:space="preserve">sektor </w:t>
      </w:r>
      <w:r w:rsidRPr="00506A83">
        <w:rPr>
          <w:rFonts w:eastAsia="Georgia"/>
          <w:b/>
          <w:bCs/>
        </w:rPr>
        <w:t>zemědělství a lesnictví</w:t>
      </w:r>
      <w:r w:rsidRPr="00506A83">
        <w:rPr>
          <w:rFonts w:eastAsia="Georgia"/>
        </w:rPr>
        <w:t>).</w:t>
      </w:r>
    </w:p>
    <w:p w14:paraId="463C30BE" w14:textId="05AAE9E4" w:rsidR="005177B3" w:rsidRPr="00506A83" w:rsidRDefault="00265A82" w:rsidP="005177B3">
      <w:pPr>
        <w:spacing w:before="120" w:after="120" w:line="276" w:lineRule="auto"/>
        <w:jc w:val="both"/>
        <w:rPr>
          <w:rFonts w:eastAsia="Georgia"/>
        </w:rPr>
      </w:pPr>
      <w:r w:rsidRPr="00506A83">
        <w:rPr>
          <w:rFonts w:eastAsia="Georgia"/>
        </w:rPr>
        <w:t>Vedle samotné implementace projektů se ČRA v roce 2025 aktivně zapojila také do přípravy a</w:t>
      </w:r>
      <w:r w:rsidR="004964CB" w:rsidRPr="00506A83">
        <w:rPr>
          <w:rFonts w:eastAsia="Georgia"/>
        </w:rPr>
        <w:t> </w:t>
      </w:r>
      <w:r w:rsidRPr="00506A83">
        <w:rPr>
          <w:rFonts w:eastAsia="Georgia"/>
        </w:rPr>
        <w:t>vyjednávání nových projektů delegované spolupráce. Jednalo se zejména o účast na přípravě projektových námětů, vyjednávání role ČRA a jejího zapojení v rámci potenciálních konsorcií a komunikaci s Delegacemi EU a dalšími evropskými implementačními partnery. Tato jednání probíhala především ve vztahu k připravovaným projektům v Etiopii, Bosně a Hercegovině, Moldavsku a Zambii. Projekty delegované spolupráce v roce 2025 umožnily ČRA dále rozvíjet své odborné kapacity v prioritních sektorech zahraniční rozvojové spolupráce a přispět k</w:t>
      </w:r>
      <w:r w:rsidR="004964CB" w:rsidRPr="00506A83">
        <w:rPr>
          <w:rFonts w:eastAsia="Georgia"/>
        </w:rPr>
        <w:t> </w:t>
      </w:r>
      <w:r w:rsidRPr="00506A83">
        <w:rPr>
          <w:rFonts w:eastAsia="Georgia"/>
        </w:rPr>
        <w:t>posilování koordinace a efektivity rozvojové pomoci Evropské unie v partnerských zemích.</w:t>
      </w:r>
    </w:p>
    <w:p w14:paraId="296E1030" w14:textId="7653570E" w:rsidR="00265A82" w:rsidRPr="00506A83" w:rsidRDefault="00265A82" w:rsidP="005177B3">
      <w:pPr>
        <w:spacing w:before="120" w:after="120" w:line="276" w:lineRule="auto"/>
        <w:jc w:val="both"/>
        <w:rPr>
          <w:rFonts w:eastAsia="Georgia"/>
        </w:rPr>
      </w:pPr>
      <w:r w:rsidRPr="00506A83">
        <w:rPr>
          <w:rFonts w:eastAsia="Georgia"/>
        </w:rPr>
        <w:t>V Bosně a Hercegovině byla v roce 2025 dokončena realizace projektu „</w:t>
      </w:r>
      <w:r w:rsidRPr="00506A83">
        <w:rPr>
          <w:rFonts w:eastAsia="Georgia"/>
          <w:b/>
          <w:bCs/>
        </w:rPr>
        <w:t>EU Support to Agriculture</w:t>
      </w:r>
      <w:r w:rsidR="00F1572A" w:rsidRPr="00506A83">
        <w:rPr>
          <w:rFonts w:eastAsia="Georgia"/>
          <w:b/>
          <w:bCs/>
        </w:rPr>
        <w:t xml:space="preserve"> </w:t>
      </w:r>
      <w:r w:rsidRPr="00506A83">
        <w:rPr>
          <w:rFonts w:eastAsia="Georgia"/>
          <w:b/>
          <w:bCs/>
        </w:rPr>
        <w:t>Competitiveness and Rural Development in Bosnia and Herzegovina (EU4AGRI)</w:t>
      </w:r>
      <w:r w:rsidRPr="00506A83">
        <w:rPr>
          <w:rFonts w:eastAsia="Georgia"/>
        </w:rPr>
        <w:t>“. ČRA v rámci projektu poskytovala technickou asistenci zaměřenou na modernizaci zemědělsko-potravinářského sektoru a podporu rozvoje venkova. Současně byl v roce 2025 zahájen projekt „</w:t>
      </w:r>
      <w:r w:rsidRPr="00506A83">
        <w:rPr>
          <w:rFonts w:eastAsia="Georgia"/>
          <w:b/>
          <w:bCs/>
        </w:rPr>
        <w:t>EU4Energy Efficiency</w:t>
      </w:r>
      <w:r w:rsidRPr="00506A83">
        <w:rPr>
          <w:rFonts w:eastAsia="Georgia"/>
        </w:rPr>
        <w:t>“, který se zaměřuje na zvyšování energetické účinnosti ve veřejném sektoru prostřednictvím implementace energetických renovačních programů, včetně nástrojů založených na principu ESCO, a na podporu obnovitelných zdrojů energie. V Gruzii ČRA v roce 2025 pokračovala v realizaci dvou projektů delegované spolupráce. Projekt „</w:t>
      </w:r>
      <w:r w:rsidRPr="00506A83">
        <w:rPr>
          <w:rFonts w:eastAsia="Georgia"/>
          <w:b/>
          <w:bCs/>
        </w:rPr>
        <w:t>Support to the Food Safety and SPS Sector in Georgia under ENPARD IV</w:t>
      </w:r>
      <w:r w:rsidRPr="00506A83">
        <w:rPr>
          <w:rFonts w:eastAsia="Georgia"/>
        </w:rPr>
        <w:t>“ se zaměřuje na posílení systému bezpečnosti potravin a sanitárních a fytosanitárních opatření. V roce 2025 byly realizovány aktivity podporující harmonizaci legislativy s acquis EU, posilování kapacit Národní agentury pro potraviny, zlepšování kontrolních a inspekčních systémů a další podpora laboratoří v sektoru bezpečnosti potravin. Druhý projekt „</w:t>
      </w:r>
      <w:r w:rsidRPr="00506A83">
        <w:rPr>
          <w:rFonts w:eastAsia="Georgia"/>
          <w:b/>
          <w:bCs/>
        </w:rPr>
        <w:t>Better Goods and Better Services in Georgia</w:t>
      </w:r>
      <w:r w:rsidRPr="00506A83">
        <w:rPr>
          <w:rFonts w:eastAsia="Georgia"/>
        </w:rPr>
        <w:t>“ se zaměřuje na zvyšování kvality a konkurenceschopnosti gruzínských výrobků a služeb prostřednictvím podpory subjektů posuzování shody, zavádění evropských a mezinárodních standardů, posilování kapacit akreditovaných laboratoří a certifikačních orgánů a zvyšování povědomí podnikatelského sektoru o možnostech využití těchto služeb. V roce 2025 byl v Moldavsku zahájen projekt „</w:t>
      </w:r>
      <w:r w:rsidRPr="00506A83">
        <w:rPr>
          <w:rFonts w:eastAsia="Georgia"/>
          <w:b/>
          <w:bCs/>
        </w:rPr>
        <w:t>EU4 Moldova: Sustainable Food Systems – Production</w:t>
      </w:r>
      <w:r w:rsidRPr="00506A83">
        <w:rPr>
          <w:rFonts w:eastAsia="Georgia"/>
        </w:rPr>
        <w:t>“, zaměřený na podporu zemědělství. Projekt podporuje zavádění principů „climate-smart“ zemědělství, rozvoj ekologických postupů, zlepšování kapacit pro produkci kvalitního osiva a využívání inovativních technologií. Součástí projektu je rovněž budování kapacit výzkumných institucí, rozvoj regulačního rámce v souladu se standardy EU a podpora dlouhodobé konkurenceschopnosti moldavského zemědělského sektoru.</w:t>
      </w:r>
      <w:r w:rsidRPr="00506A83">
        <w:rPr>
          <w:rFonts w:eastAsia="Georgia"/>
        </w:rPr>
        <w:tab/>
      </w:r>
    </w:p>
    <w:p w14:paraId="7E6FB8E2" w14:textId="77777777" w:rsidR="00265A82" w:rsidRPr="00506A83" w:rsidRDefault="00265A82" w:rsidP="005177B3">
      <w:pPr>
        <w:spacing w:before="120" w:after="120" w:line="276" w:lineRule="auto"/>
        <w:jc w:val="both"/>
        <w:rPr>
          <w:rFonts w:eastAsia="Georgia"/>
        </w:rPr>
      </w:pPr>
      <w:r w:rsidRPr="00506A83">
        <w:rPr>
          <w:rFonts w:eastAsia="Georgia"/>
        </w:rPr>
        <w:t>V neposlední řadě představoval v roce 2025 významnou součást delegované spolupráce projekt „</w:t>
      </w:r>
      <w:r w:rsidRPr="00506A83">
        <w:rPr>
          <w:rFonts w:eastAsia="Georgia"/>
          <w:b/>
          <w:bCs/>
        </w:rPr>
        <w:t>Sustainable Landscape through Integrated Management – SLIM</w:t>
      </w:r>
      <w:r w:rsidRPr="00506A83">
        <w:rPr>
          <w:rFonts w:eastAsia="Georgia"/>
        </w:rPr>
        <w:t>“, který je realizován Českou rozvojovou agenturou ve spolupráci s místními institucemi a mezinárodními partnery. Projekt se zaměřuje na podporu udržitelné správy krajiny, ochranu půdy a lesních ekosystémů a na systematické využívání geoprostorových dat při plánování krajiny v Zambii.</w:t>
      </w:r>
      <w:r w:rsidRPr="00506A83">
        <w:rPr>
          <w:rFonts w:eastAsia="Georgia"/>
        </w:rPr>
        <w:tab/>
      </w:r>
      <w:r w:rsidRPr="00506A83">
        <w:rPr>
          <w:rFonts w:eastAsia="Georgia"/>
        </w:rPr>
        <w:tab/>
      </w:r>
    </w:p>
    <w:p w14:paraId="57600EC9" w14:textId="77777777" w:rsidR="00265A82" w:rsidRPr="00506A83" w:rsidRDefault="00265A82" w:rsidP="005177B3">
      <w:pPr>
        <w:spacing w:before="120" w:after="120" w:line="276" w:lineRule="auto"/>
        <w:jc w:val="both"/>
        <w:rPr>
          <w:rFonts w:eastAsia="Georgia"/>
        </w:rPr>
      </w:pPr>
    </w:p>
    <w:p w14:paraId="4638256B" w14:textId="77777777" w:rsidR="00652422" w:rsidRPr="00506A83" w:rsidRDefault="00652422" w:rsidP="005177B3">
      <w:pPr>
        <w:spacing w:before="120" w:after="120" w:line="276" w:lineRule="auto"/>
        <w:jc w:val="both"/>
        <w:rPr>
          <w:rFonts w:eastAsia="DengXian Light"/>
        </w:rPr>
      </w:pPr>
    </w:p>
    <w:p w14:paraId="7DBD82B0" w14:textId="6396BEE5" w:rsidR="00BD1EAB" w:rsidRPr="00506A83" w:rsidRDefault="003C2086" w:rsidP="00D026C1">
      <w:pPr>
        <w:pStyle w:val="Nadpis2"/>
      </w:pPr>
      <w:bookmarkStart w:id="22" w:name="_Toc228190587"/>
      <w:bookmarkStart w:id="23" w:name="_Toc231294141"/>
      <w:r w:rsidRPr="00506A83">
        <w:t>Rozvojové a humanitární aktivity v gesci MZV</w:t>
      </w:r>
      <w:bookmarkEnd w:id="22"/>
      <w:bookmarkEnd w:id="23"/>
    </w:p>
    <w:p w14:paraId="2DCB7C76" w14:textId="19B38634" w:rsidR="00BD1EAB" w:rsidRPr="00506A83" w:rsidRDefault="00BD1EAB" w:rsidP="00476B95">
      <w:pPr>
        <w:spacing w:line="276" w:lineRule="auto"/>
        <w:jc w:val="both"/>
      </w:pPr>
      <w:r w:rsidRPr="00506A83">
        <w:t>V souladu se zákonem č. 151/2010 S</w:t>
      </w:r>
      <w:r w:rsidR="00381AF0" w:rsidRPr="00506A83">
        <w:t>b</w:t>
      </w:r>
      <w:r w:rsidRPr="00506A83">
        <w:t>. vykonává MZV gesci ve vztahu k zahraniční rozvojové spolupráci, transformační spolupráci a spolu s MV také k poskytování humanitární pomoci do zahraničí. MZV koordinuje přípravu příslušných strategických dokumentů, zajišťuje evropskou a multilaterální spolupráci v oblasti ZRS, TRANS a HP. V rámci projektového cyklu ZRS je odpovědné za programování a evaluace. Zároveň ve své gesci implementuje vybrané nástroje, které jsou otevřené pro všechny rozvojové země a mají významný zahraničněpolitický přesah.</w:t>
      </w:r>
    </w:p>
    <w:p w14:paraId="33C67B33" w14:textId="3008D67C" w:rsidR="00C778A5" w:rsidRPr="00506A83" w:rsidRDefault="00C778A5" w:rsidP="00C778A5">
      <w:pPr>
        <w:spacing w:before="120" w:after="120" w:line="276" w:lineRule="auto"/>
        <w:jc w:val="both"/>
      </w:pPr>
      <w:r w:rsidRPr="00506A83">
        <w:rPr>
          <w:b/>
          <w:bCs/>
        </w:rPr>
        <w:t xml:space="preserve">Přehled jednotlivých </w:t>
      </w:r>
      <w:r w:rsidR="0095156B" w:rsidRPr="00506A83">
        <w:rPr>
          <w:b/>
          <w:bCs/>
        </w:rPr>
        <w:t xml:space="preserve">realizovaných </w:t>
      </w:r>
      <w:r w:rsidRPr="00506A83">
        <w:rPr>
          <w:b/>
          <w:bCs/>
        </w:rPr>
        <w:t xml:space="preserve">projektů </w:t>
      </w:r>
      <w:r w:rsidR="0095156B" w:rsidRPr="00506A83">
        <w:rPr>
          <w:b/>
          <w:bCs/>
        </w:rPr>
        <w:t xml:space="preserve">je obsažen </w:t>
      </w:r>
      <w:r w:rsidRPr="00506A83">
        <w:rPr>
          <w:b/>
          <w:bCs/>
        </w:rPr>
        <w:t>v příloze č.3.</w:t>
      </w:r>
    </w:p>
    <w:p w14:paraId="0F876D51" w14:textId="3FEF8EEB" w:rsidR="004D3020" w:rsidRPr="00506A83" w:rsidRDefault="00F942A4" w:rsidP="00BB1D05">
      <w:pPr>
        <w:pStyle w:val="Nadpis3"/>
        <w:numPr>
          <w:ilvl w:val="2"/>
          <w:numId w:val="37"/>
        </w:numPr>
      </w:pPr>
      <w:bookmarkStart w:id="24" w:name="_Toc228190588"/>
      <w:bookmarkStart w:id="25" w:name="_Toc231294142"/>
      <w:r w:rsidRPr="00506A83">
        <w:t>Malé lokální projekty</w:t>
      </w:r>
      <w:bookmarkEnd w:id="24"/>
      <w:bookmarkEnd w:id="25"/>
      <w:r w:rsidR="00875F04" w:rsidRPr="00506A83">
        <w:t xml:space="preserve"> </w:t>
      </w:r>
    </w:p>
    <w:p w14:paraId="2DF3EAE1" w14:textId="3161DA44" w:rsidR="004D3020" w:rsidRPr="00506A83" w:rsidRDefault="004D3020" w:rsidP="004D3020">
      <w:pPr>
        <w:spacing w:before="120" w:after="120" w:line="276" w:lineRule="auto"/>
        <w:contextualSpacing/>
        <w:jc w:val="both"/>
      </w:pPr>
      <w:r w:rsidRPr="00506A83">
        <w:t>Čerpáno v roce 2025:</w:t>
      </w:r>
      <w:r w:rsidR="00CB0D58" w:rsidRPr="00506A83">
        <w:t xml:space="preserve"> </w:t>
      </w:r>
      <w:r w:rsidR="00607F6C" w:rsidRPr="00506A83">
        <w:t>31,7 mil</w:t>
      </w:r>
      <w:r w:rsidR="00E16A58" w:rsidRPr="00506A83">
        <w:t xml:space="preserve">. </w:t>
      </w:r>
      <w:r w:rsidR="00607F6C" w:rsidRPr="00506A83">
        <w:t>Kč (včetně programu BVA a Programu Afrika)</w:t>
      </w:r>
    </w:p>
    <w:p w14:paraId="01869228" w14:textId="1DFEA9D0" w:rsidR="004D3020" w:rsidRPr="00506A83" w:rsidRDefault="004D3020" w:rsidP="004D3020">
      <w:pPr>
        <w:spacing w:before="120" w:after="120" w:line="276" w:lineRule="auto"/>
        <w:contextualSpacing/>
        <w:jc w:val="both"/>
      </w:pPr>
      <w:r w:rsidRPr="00506A83">
        <w:t xml:space="preserve">Počet realizovaných projektů: </w:t>
      </w:r>
      <w:r w:rsidR="00607F6C" w:rsidRPr="00506A83">
        <w:t>77 (včetně programu BVA a Programu Afrika)</w:t>
      </w:r>
    </w:p>
    <w:p w14:paraId="2561A497" w14:textId="77777777" w:rsidR="004D3020" w:rsidRPr="00506A83" w:rsidRDefault="004D3020" w:rsidP="004D3020"/>
    <w:p w14:paraId="1FF988DC" w14:textId="0683A108" w:rsidR="00190684" w:rsidRPr="00506A83" w:rsidRDefault="00190684" w:rsidP="005177B3">
      <w:pPr>
        <w:spacing w:before="120" w:after="120" w:line="276" w:lineRule="auto"/>
        <w:jc w:val="both"/>
      </w:pPr>
      <w:r w:rsidRPr="00506A83">
        <w:t xml:space="preserve">Malé lokální projekty (dále jen „MLP“) jsou </w:t>
      </w:r>
      <w:r w:rsidRPr="00506A83">
        <w:rPr>
          <w:b/>
        </w:rPr>
        <w:t>nástrojem dvoustranné rozvojové spolupráce ČR v gesci MZV ČR. Cílem MLP je podpořit rozvojové aktivity menšího rozsahu (do</w:t>
      </w:r>
      <w:r w:rsidR="004964CB" w:rsidRPr="00506A83">
        <w:rPr>
          <w:b/>
        </w:rPr>
        <w:t> </w:t>
      </w:r>
      <w:r w:rsidRPr="00506A83">
        <w:rPr>
          <w:b/>
        </w:rPr>
        <w:t>0,5</w:t>
      </w:r>
      <w:r w:rsidR="004964CB" w:rsidRPr="00506A83">
        <w:rPr>
          <w:b/>
        </w:rPr>
        <w:t> </w:t>
      </w:r>
      <w:r w:rsidRPr="00506A83">
        <w:rPr>
          <w:b/>
        </w:rPr>
        <w:t>mil. Kč) lokálních subjektů v rozvojových zemích</w:t>
      </w:r>
      <w:r w:rsidRPr="00506A83">
        <w:t>. Aktivitami menšího rozsahu se rozumí např. dodávky vybavení či materiálu nebo technologie (i českého původu), školení, podpora rozvojových aktivit místních institucí a organizací, spoluúčast na dílčí části většího, např. mezinárodního projektu. MLP jsou prováděny místními realizátory přímo v rozvojové zemi ve spolupráci se zastupitelským úřadem ČR. Mohou být též nástrojem spolupráce s jedním či několika donory.</w:t>
      </w:r>
    </w:p>
    <w:p w14:paraId="4304229C" w14:textId="691DDCCC" w:rsidR="00190684" w:rsidRPr="00506A83" w:rsidRDefault="00190684" w:rsidP="005177B3">
      <w:pPr>
        <w:spacing w:before="120" w:after="120" w:line="276" w:lineRule="auto"/>
        <w:jc w:val="both"/>
      </w:pPr>
      <w:r w:rsidRPr="00506A83">
        <w:t xml:space="preserve">V Plánu ZRS dle UV 481/2022 bylo na MLP pro rok 2025 alokováno 25 mil. Kč; tyto prostředky byly dále doplněny 5,1 mil. Kč z Programu BVA a 5,2 mil. Kč z Programu Afrika. Celkem se v </w:t>
      </w:r>
      <w:r w:rsidR="00466928" w:rsidRPr="00506A83">
        <w:t>r. 2025 podařilo realizovat 77</w:t>
      </w:r>
      <w:r w:rsidRPr="00506A83">
        <w:t xml:space="preserve"> MLP v 56 zemích světa v celkové výši 31,7 mil. Kč; z toho 22 mil. Kč z prostředků v rámci Plánu ZRS, 5 mil. Kč z prostředků Progr</w:t>
      </w:r>
      <w:r w:rsidR="00466928" w:rsidRPr="00506A83">
        <w:t>amu BVA (viz</w:t>
      </w:r>
      <w:r w:rsidR="004964CB" w:rsidRPr="00506A83">
        <w:t> </w:t>
      </w:r>
      <w:r w:rsidR="00466928" w:rsidRPr="00506A83">
        <w:t xml:space="preserve">kap. 2.3.2) a 4,7 </w:t>
      </w:r>
      <w:r w:rsidRPr="00506A83">
        <w:t>mil. Kč z prostředků Programu Afrika (viz kap. 2.3.1).</w:t>
      </w:r>
    </w:p>
    <w:p w14:paraId="10B09E7B" w14:textId="38002082" w:rsidR="00190684" w:rsidRPr="00506A83" w:rsidRDefault="00190684" w:rsidP="005177B3">
      <w:pPr>
        <w:spacing w:before="120" w:after="120" w:line="276" w:lineRule="auto"/>
        <w:jc w:val="both"/>
      </w:pPr>
      <w:r w:rsidRPr="00506A83">
        <w:t>Z geografického hlediska bylo nejvíce projektů realizováno v regionu Blízkého východ</w:t>
      </w:r>
      <w:r w:rsidR="00E16A58" w:rsidRPr="00506A83">
        <w:t>u</w:t>
      </w:r>
      <w:r w:rsidRPr="00506A83">
        <w:t xml:space="preserve"> a</w:t>
      </w:r>
      <w:r w:rsidR="004964CB" w:rsidRPr="00506A83">
        <w:t> </w:t>
      </w:r>
      <w:r w:rsidRPr="00506A83">
        <w:t>severní Afriky (19 projektů v 9 zemích v celkové hodnotě 8,5 mil. Kč, z toho 5</w:t>
      </w:r>
      <w:r w:rsidR="00E16A58" w:rsidRPr="00506A83">
        <w:t> </w:t>
      </w:r>
      <w:r w:rsidRPr="00506A83">
        <w:t>mil</w:t>
      </w:r>
      <w:r w:rsidR="00E16A58" w:rsidRPr="00506A83">
        <w:t>. Kč z </w:t>
      </w:r>
      <w:r w:rsidRPr="00506A83">
        <w:t>Programu BVA) a v subsaharské Africe (celkem 18 projektů ve 16 zemích v</w:t>
      </w:r>
      <w:r w:rsidR="00EF7ED4" w:rsidRPr="00506A83">
        <w:t> </w:t>
      </w:r>
      <w:r w:rsidRPr="00506A83">
        <w:t xml:space="preserve">celkové hodnotě 7,2 mil. Kč, z toho 4,7 mil. </w:t>
      </w:r>
      <w:r w:rsidR="002D49B1" w:rsidRPr="00506A83">
        <w:t xml:space="preserve">Kč </w:t>
      </w:r>
      <w:r w:rsidRPr="00506A83">
        <w:t>z Programu Afrika). Následovaly země Asie a Oceánie (celkem 15 projektů ve 12 zemích v celkové hodnotě 5,3 mil. Kč), střední a jižní Ameriky (10 projektů v 9 zemích v hodnotě 4,4 mil. Kč), dále východní Evropa (celkem 9</w:t>
      </w:r>
      <w:r w:rsidR="00EF7ED4" w:rsidRPr="00506A83">
        <w:t> </w:t>
      </w:r>
      <w:r w:rsidRPr="00506A83">
        <w:t>projektů v 5 zemích v</w:t>
      </w:r>
      <w:r w:rsidR="004964CB" w:rsidRPr="00506A83">
        <w:t> </w:t>
      </w:r>
      <w:r w:rsidRPr="00506A83">
        <w:t>celkové hodnotě 3,1 mil. Kč) a západní Balkán (celkem 8 projektů v</w:t>
      </w:r>
      <w:r w:rsidR="00EF7ED4" w:rsidRPr="00506A83">
        <w:t> </w:t>
      </w:r>
      <w:r w:rsidRPr="00506A83">
        <w:t>5</w:t>
      </w:r>
      <w:r w:rsidR="00EF7ED4" w:rsidRPr="00506A83">
        <w:t> </w:t>
      </w:r>
      <w:r w:rsidRPr="00506A83">
        <w:t>zemích v celkové hodnotě 2,8 mil. Kč).</w:t>
      </w:r>
    </w:p>
    <w:p w14:paraId="2963D958" w14:textId="62BC860F" w:rsidR="00CD5779" w:rsidRPr="00506A83" w:rsidRDefault="00190684" w:rsidP="005177B3">
      <w:pPr>
        <w:spacing w:before="120" w:after="120" w:line="276" w:lineRule="auto"/>
        <w:jc w:val="both"/>
      </w:pPr>
      <w:r w:rsidRPr="00506A83">
        <w:t xml:space="preserve">Z hlediska sektorového zaměření projektů se nejčastěji vyskytovalo zaměření na zemědělský rozvoj, základní zásobování pitnou vodou, zdravotnické služby / zdravotnictví obecně / základní zdravotnickou infrastrukturu, odborné vzdělávání a vzdělávací zařízení. Vyskytly se ale také projekty zaměřené na solární energii pro izolované sítě a samostatné systémy, programy </w:t>
      </w:r>
      <w:r w:rsidRPr="00506A83">
        <w:lastRenderedPageBreak/>
        <w:t>potravinové bezpečnosti domácností, rozvoj měst, rozvoj cestovního ruchu a podporu duševního zdraví a pohody.</w:t>
      </w:r>
    </w:p>
    <w:p w14:paraId="6F7B0D02" w14:textId="6036226A" w:rsidR="00F91A60" w:rsidRPr="00506A83" w:rsidRDefault="00F91A60" w:rsidP="00834FA6">
      <w:pPr>
        <w:pStyle w:val="Nadpis3"/>
        <w:numPr>
          <w:ilvl w:val="2"/>
          <w:numId w:val="37"/>
        </w:numPr>
      </w:pPr>
      <w:bookmarkStart w:id="26" w:name="_Toc228190589"/>
      <w:bookmarkStart w:id="27" w:name="_Toc231294143"/>
      <w:r w:rsidRPr="00506A83">
        <w:t>Programy s</w:t>
      </w:r>
      <w:r w:rsidR="00C465D3" w:rsidRPr="00506A83">
        <w:t> </w:t>
      </w:r>
      <w:r w:rsidRPr="00506A83">
        <w:t>resorty</w:t>
      </w:r>
      <w:r w:rsidR="00C465D3" w:rsidRPr="00506A83">
        <w:t xml:space="preserve"> (rozvojové aktivity ve spolupráci s institucemi státní správy)</w:t>
      </w:r>
      <w:bookmarkEnd w:id="26"/>
      <w:bookmarkEnd w:id="27"/>
    </w:p>
    <w:p w14:paraId="753AC744" w14:textId="77777777" w:rsidR="00C61796" w:rsidRPr="00506A83" w:rsidRDefault="00C61796" w:rsidP="00C61796"/>
    <w:p w14:paraId="61EC93AF" w14:textId="218CE089" w:rsidR="00D84E66" w:rsidRPr="00506A83" w:rsidRDefault="005501D4" w:rsidP="00BB1D05">
      <w:pPr>
        <w:pStyle w:val="Nadpis4"/>
      </w:pPr>
      <w:r w:rsidRPr="00506A83">
        <w:t>Technická asistence – TA-ZRS (Ministerstvo financí)</w:t>
      </w:r>
    </w:p>
    <w:p w14:paraId="385A4EB8" w14:textId="04D117A4" w:rsidR="00950135" w:rsidRPr="00506A83" w:rsidRDefault="00950135" w:rsidP="00950135">
      <w:pPr>
        <w:spacing w:before="120" w:after="120" w:line="276" w:lineRule="auto"/>
        <w:contextualSpacing/>
        <w:jc w:val="both"/>
      </w:pPr>
      <w:r w:rsidRPr="00506A83">
        <w:t xml:space="preserve">Čerpáno v roce 2025: </w:t>
      </w:r>
      <w:r w:rsidR="00C945B6" w:rsidRPr="00506A83">
        <w:t>1,15 mil Kč</w:t>
      </w:r>
    </w:p>
    <w:p w14:paraId="7B8ABEE5" w14:textId="42B86F05" w:rsidR="00950135" w:rsidRPr="00506A83" w:rsidRDefault="00950135" w:rsidP="00950135">
      <w:pPr>
        <w:spacing w:before="120" w:after="120" w:line="276" w:lineRule="auto"/>
        <w:contextualSpacing/>
        <w:jc w:val="both"/>
      </w:pPr>
      <w:r w:rsidRPr="00506A83">
        <w:t xml:space="preserve">Počet realizovaných projektů: </w:t>
      </w:r>
      <w:r w:rsidR="00C945B6" w:rsidRPr="00506A83">
        <w:t>8</w:t>
      </w:r>
    </w:p>
    <w:p w14:paraId="0FF39409" w14:textId="77777777" w:rsidR="00D84E66" w:rsidRPr="00506A83" w:rsidRDefault="00D84E66" w:rsidP="00950135">
      <w:pPr>
        <w:spacing w:before="120" w:after="120" w:line="276" w:lineRule="auto"/>
        <w:contextualSpacing/>
        <w:jc w:val="both"/>
      </w:pPr>
    </w:p>
    <w:p w14:paraId="1EDCDA74" w14:textId="56DBF71E" w:rsidR="005501D4" w:rsidRPr="00506A83" w:rsidRDefault="005501D4" w:rsidP="005177B3">
      <w:pPr>
        <w:spacing w:before="120" w:after="120" w:line="276" w:lineRule="auto"/>
        <w:jc w:val="both"/>
      </w:pPr>
      <w:r w:rsidRPr="00506A83">
        <w:t xml:space="preserve">Ministerstvo financí realizovalo v roce 2025 </w:t>
      </w:r>
      <w:r w:rsidRPr="00506A83">
        <w:rPr>
          <w:bCs/>
        </w:rPr>
        <w:t xml:space="preserve">program technické asistence </w:t>
      </w:r>
      <w:r w:rsidRPr="00506A83">
        <w:rPr>
          <w:i/>
        </w:rPr>
        <w:t>Transformační finanční a ekonomická spolupráce</w:t>
      </w:r>
      <w:r w:rsidRPr="00506A83">
        <w:rPr>
          <w:bCs/>
        </w:rPr>
        <w:t xml:space="preserve"> v celkové hodnotě </w:t>
      </w:r>
      <w:r w:rsidRPr="00506A83">
        <w:rPr>
          <w:b/>
        </w:rPr>
        <w:t>1 146 064 CZK</w:t>
      </w:r>
      <w:r w:rsidRPr="00506A83">
        <w:rPr>
          <w:bCs/>
        </w:rPr>
        <w:t xml:space="preserve">. </w:t>
      </w:r>
      <w:r w:rsidRPr="00506A83">
        <w:t xml:space="preserve">Jednalo se o pomoc partnerským rezortům financí, která se uskutečnila formou studijních návštěv z těchto zemí: dvě studijní návštěvy z </w:t>
      </w:r>
      <w:r w:rsidRPr="00506A83">
        <w:rPr>
          <w:b/>
        </w:rPr>
        <w:t>Černé Hory, Ukrajiny a Iráku a po jedné návštěvě z Arménie a</w:t>
      </w:r>
      <w:r w:rsidR="00EF7ED4" w:rsidRPr="00506A83">
        <w:rPr>
          <w:b/>
        </w:rPr>
        <w:t> </w:t>
      </w:r>
      <w:r w:rsidRPr="00506A83">
        <w:rPr>
          <w:b/>
        </w:rPr>
        <w:t xml:space="preserve">Indonésie. </w:t>
      </w:r>
      <w:r w:rsidRPr="00506A83">
        <w:t xml:space="preserve">Návštěvy studijních delegací byly organizovány buď přímo na žádost zahraničních partnerů, nebo z iniciativy ZÚ ČR. </w:t>
      </w:r>
    </w:p>
    <w:p w14:paraId="5CF34E44" w14:textId="457187DF" w:rsidR="005501D4" w:rsidRPr="00506A83" w:rsidRDefault="005501D4" w:rsidP="005177B3">
      <w:pPr>
        <w:spacing w:before="120" w:after="120" w:line="276" w:lineRule="auto"/>
        <w:jc w:val="both"/>
      </w:pPr>
      <w:r w:rsidRPr="00506A83">
        <w:t>Projekt je založen na sdílení zkušeností z období reformních procesů v oblasti veřejných financí a aplikaci práva a standardů EU. Přednášky a konzultace během studijních návštěv byly zaměřeny na žádost partnerů na následující oblasti: audit, finanční řízení, certifikaci</w:t>
      </w:r>
      <w:r w:rsidR="00324FE1" w:rsidRPr="00506A83">
        <w:t xml:space="preserve"> </w:t>
      </w:r>
      <w:r w:rsidRPr="00506A83">
        <w:t xml:space="preserve">a akreditaci evropských fondů, celní problematiku, rozpočet EU, DPH a zpracování auditů EU, digitální transformaci bankovního sektoru, rozvoj elektronických platebních systémů a karet, řízení lidských zdrojů, mezinárodní arbitráže a ochranu zahraničních investic, </w:t>
      </w:r>
      <w:r w:rsidRPr="00506A83">
        <w:rPr>
          <w:bCs/>
        </w:rPr>
        <w:t>problematiku smluv o</w:t>
      </w:r>
      <w:r w:rsidR="004964CB" w:rsidRPr="00506A83">
        <w:rPr>
          <w:bCs/>
        </w:rPr>
        <w:t> </w:t>
      </w:r>
      <w:r w:rsidRPr="00506A83">
        <w:rPr>
          <w:bCs/>
        </w:rPr>
        <w:t xml:space="preserve">zamezení dvojímu zdanění, </w:t>
      </w:r>
      <w:r w:rsidRPr="00506A83">
        <w:t>úkoly a činnosti NCOZ ve vztahu</w:t>
      </w:r>
      <w:r w:rsidR="00324FE1" w:rsidRPr="00506A83">
        <w:t xml:space="preserve"> </w:t>
      </w:r>
      <w:r w:rsidRPr="00506A83">
        <w:t>k virtuálním měnám, ú</w:t>
      </w:r>
      <w:r w:rsidRPr="00506A83">
        <w:rPr>
          <w:rStyle w:val="y2iqfc"/>
          <w:color w:val="1F1F1F"/>
        </w:rPr>
        <w:t>koly a</w:t>
      </w:r>
      <w:r w:rsidR="004964CB" w:rsidRPr="00506A83">
        <w:rPr>
          <w:rStyle w:val="y2iqfc"/>
          <w:color w:val="1F1F1F"/>
        </w:rPr>
        <w:t> </w:t>
      </w:r>
      <w:r w:rsidRPr="00506A83">
        <w:rPr>
          <w:rStyle w:val="y2iqfc"/>
          <w:color w:val="1F1F1F"/>
        </w:rPr>
        <w:t xml:space="preserve">činnosti NCTEKK v oblasti kyberkriminality, </w:t>
      </w:r>
      <w:r w:rsidRPr="00506A83">
        <w:rPr>
          <w:bCs/>
        </w:rPr>
        <w:t xml:space="preserve">regulace kryptoaktiv v EU, kybernetickou odolnost finančních institucí v EU, </w:t>
      </w:r>
      <w:r w:rsidRPr="00506A83">
        <w:rPr>
          <w:color w:val="000000"/>
        </w:rPr>
        <w:t xml:space="preserve">podporu podniků ze strany státu, strategii vlastnické politiky státu, </w:t>
      </w:r>
      <w:r w:rsidRPr="00506A83">
        <w:rPr>
          <w:bCs/>
          <w:color w:val="000000"/>
        </w:rPr>
        <w:t>bankovní sektor, výměnu zkušeností týkajících se řízení státního dluhu aj.</w:t>
      </w:r>
      <w:r w:rsidRPr="00506A83">
        <w:t xml:space="preserve"> </w:t>
      </w:r>
    </w:p>
    <w:p w14:paraId="7D0E5C6B" w14:textId="012943D4" w:rsidR="005501D4" w:rsidRPr="00506A83" w:rsidRDefault="005501D4" w:rsidP="005177B3">
      <w:pPr>
        <w:pStyle w:val="Zkladntext"/>
        <w:spacing w:before="120" w:line="276" w:lineRule="auto"/>
      </w:pPr>
      <w:r w:rsidRPr="00506A83">
        <w:t xml:space="preserve">Pro program TA-ZRS byla Ministerstvu financí přidělena pro rok 2025 částka 3 mil. CZK. </w:t>
      </w:r>
    </w:p>
    <w:p w14:paraId="2129BCDB" w14:textId="797637D8" w:rsidR="00D84E66" w:rsidRPr="00506A83" w:rsidRDefault="005501D4" w:rsidP="00650396">
      <w:pPr>
        <w:pStyle w:val="Nadpis4"/>
      </w:pPr>
      <w:r w:rsidRPr="00506A83">
        <w:t>Program Aid for Trade (Ministerstvo průmyslu a obchodu)</w:t>
      </w:r>
    </w:p>
    <w:p w14:paraId="4E9A6F00" w14:textId="1168A344" w:rsidR="00950135" w:rsidRPr="00506A83" w:rsidRDefault="00950135" w:rsidP="00950135">
      <w:pPr>
        <w:spacing w:before="120" w:after="120" w:line="276" w:lineRule="auto"/>
        <w:contextualSpacing/>
        <w:jc w:val="both"/>
      </w:pPr>
      <w:r w:rsidRPr="00506A83">
        <w:t xml:space="preserve">Čerpáno v roce 2025: </w:t>
      </w:r>
      <w:r w:rsidR="00C945B6" w:rsidRPr="00506A83">
        <w:t>7,8</w:t>
      </w:r>
      <w:r w:rsidR="00A639EE" w:rsidRPr="00506A83">
        <w:t>1</w:t>
      </w:r>
      <w:r w:rsidR="00C945B6" w:rsidRPr="00506A83">
        <w:t xml:space="preserve"> mil. Kč</w:t>
      </w:r>
    </w:p>
    <w:p w14:paraId="15A143D8" w14:textId="4F9F15CB" w:rsidR="00950135" w:rsidRPr="00506A83" w:rsidRDefault="00950135" w:rsidP="00950135">
      <w:pPr>
        <w:spacing w:before="120" w:after="120" w:line="276" w:lineRule="auto"/>
        <w:contextualSpacing/>
        <w:jc w:val="both"/>
      </w:pPr>
      <w:r w:rsidRPr="00506A83">
        <w:t xml:space="preserve">Počet realizovaných projektů: </w:t>
      </w:r>
      <w:r w:rsidR="002E5E12" w:rsidRPr="00506A83">
        <w:t>9</w:t>
      </w:r>
    </w:p>
    <w:p w14:paraId="6304F89C" w14:textId="77777777" w:rsidR="00650396" w:rsidRPr="00506A83" w:rsidRDefault="00650396" w:rsidP="00950135">
      <w:pPr>
        <w:spacing w:before="120" w:after="120" w:line="276" w:lineRule="auto"/>
        <w:contextualSpacing/>
        <w:jc w:val="both"/>
      </w:pPr>
    </w:p>
    <w:p w14:paraId="0C55D78E" w14:textId="6A59FDD9" w:rsidR="005501D4" w:rsidRPr="00506A83" w:rsidRDefault="005501D4" w:rsidP="007F2AA6">
      <w:pPr>
        <w:autoSpaceDE w:val="0"/>
        <w:autoSpaceDN w:val="0"/>
        <w:adjustRightInd w:val="0"/>
        <w:spacing w:before="120" w:after="120" w:line="276" w:lineRule="auto"/>
        <w:jc w:val="both"/>
      </w:pPr>
      <w:r w:rsidRPr="00506A83">
        <w:t xml:space="preserve">Jedním z nástrojů zahraniční rozvojové spolupráce ČR (ZRS) je rovněž program Aid for Trade gesčně zajišťovaný Ministerstvem průmyslu a obchodu ve spolupráci s Ministerstvem zahraničních věcí. </w:t>
      </w:r>
    </w:p>
    <w:p w14:paraId="6B820CCA" w14:textId="1F0E6FD1" w:rsidR="00E855A2" w:rsidRPr="00506A83" w:rsidRDefault="00E855A2" w:rsidP="005177B3">
      <w:pPr>
        <w:autoSpaceDE w:val="0"/>
        <w:autoSpaceDN w:val="0"/>
        <w:adjustRightInd w:val="0"/>
        <w:spacing w:before="120" w:after="120" w:line="276" w:lineRule="auto"/>
        <w:jc w:val="both"/>
      </w:pPr>
      <w:r w:rsidRPr="00506A83">
        <w:t xml:space="preserve">V roce 2025 se realizovalo celkem 9 projektů. Z toho 8 bylo plně dokončeno a realizace </w:t>
      </w:r>
      <w:r w:rsidR="00EF7ED4" w:rsidRPr="00506A83">
        <w:t>jednoho </w:t>
      </w:r>
      <w:r w:rsidRPr="00506A83">
        <w:t xml:space="preserve">projektu byla prodloužena do roku 2026. Úhrnná částka čerpaná na tyto projekty činila 7,81 mil. Kč. Nedočerpané prostředky byly převedeny do rozpočtu pro rok 2026, kde budou využity na dokončení 1 prodlouženého projektu. Podpořenými oblastmi byly rozvoj obchodu, malých a středních podniků a start-upů, transformace a inovace soukromého sektoru, využití </w:t>
      </w:r>
      <w:r w:rsidRPr="00506A83">
        <w:lastRenderedPageBreak/>
        <w:t>AI, podpora e-commerce, zelené a cirkulární ekonomiky, harmonizace s předpisy EU a</w:t>
      </w:r>
      <w:r w:rsidR="00EF7ED4" w:rsidRPr="00506A83">
        <w:t> </w:t>
      </w:r>
      <w:r w:rsidRPr="00506A83">
        <w:t>zavedení digitálních podpisů, zpracování zemědělské produkce, potravinářství, vzdělávání atd.</w:t>
      </w:r>
    </w:p>
    <w:p w14:paraId="77CA8C80" w14:textId="77777777" w:rsidR="005501D4" w:rsidRPr="00506A83" w:rsidRDefault="005501D4" w:rsidP="005177B3">
      <w:pPr>
        <w:autoSpaceDE w:val="0"/>
        <w:autoSpaceDN w:val="0"/>
        <w:adjustRightInd w:val="0"/>
        <w:spacing w:before="120" w:after="120" w:line="276" w:lineRule="auto"/>
        <w:jc w:val="both"/>
      </w:pPr>
      <w:r w:rsidRPr="00506A83">
        <w:t>Projekty Aid for Trade jsou přednostně směrovány do šesti prioritních států ZRS ČR a podle zájmu zahraničních partnerů též do některých dalších zemí dle klasifikace OECD. Svým zaměřením pomáhají při řešení aktuálních prioritních úkolů a potřeb těchto zemí.</w:t>
      </w:r>
    </w:p>
    <w:p w14:paraId="0317D4EC" w14:textId="435AC7D8" w:rsidR="00D84E66" w:rsidRPr="00506A83" w:rsidRDefault="00E1447B" w:rsidP="00BB1D05">
      <w:pPr>
        <w:pStyle w:val="Nadpis4"/>
      </w:pPr>
      <w:r w:rsidRPr="00506A83">
        <w:t>Program vládních rozvojových stipendií (Ministerstvo školství, mládeže a tělovýchovy)</w:t>
      </w:r>
    </w:p>
    <w:p w14:paraId="5E20A424" w14:textId="5E6CD05C" w:rsidR="00D84E66" w:rsidRPr="00506A83" w:rsidRDefault="00D84E66" w:rsidP="00D84E66">
      <w:pPr>
        <w:spacing w:before="120" w:after="120" w:line="276" w:lineRule="auto"/>
        <w:contextualSpacing/>
        <w:jc w:val="both"/>
      </w:pPr>
      <w:r w:rsidRPr="00506A83">
        <w:t xml:space="preserve">Čerpáno v roce 2025: </w:t>
      </w:r>
      <w:r w:rsidR="0019698B" w:rsidRPr="00506A83">
        <w:t>92,9</w:t>
      </w:r>
      <w:r w:rsidR="000C4A7E" w:rsidRPr="00506A83">
        <w:t xml:space="preserve"> mil. Kč</w:t>
      </w:r>
    </w:p>
    <w:p w14:paraId="2545D0D2" w14:textId="4AADDD98" w:rsidR="00D84E66" w:rsidRPr="00506A83" w:rsidRDefault="00D84E66" w:rsidP="00D84E66">
      <w:pPr>
        <w:spacing w:before="120" w:after="120" w:line="276" w:lineRule="auto"/>
        <w:contextualSpacing/>
        <w:jc w:val="both"/>
      </w:pPr>
      <w:r w:rsidRPr="00506A83">
        <w:t xml:space="preserve">Počet </w:t>
      </w:r>
      <w:r w:rsidR="00A477E1" w:rsidRPr="00506A83">
        <w:t xml:space="preserve">nově přijatých </w:t>
      </w:r>
      <w:r w:rsidR="00244285" w:rsidRPr="00506A83">
        <w:t>stipendistů</w:t>
      </w:r>
      <w:r w:rsidRPr="00506A83">
        <w:t xml:space="preserve">: </w:t>
      </w:r>
      <w:r w:rsidR="00244285" w:rsidRPr="00506A83">
        <w:t>106</w:t>
      </w:r>
    </w:p>
    <w:p w14:paraId="511DF4D4" w14:textId="77777777" w:rsidR="00D84E66" w:rsidRPr="00506A83" w:rsidRDefault="00D84E66" w:rsidP="00A477E1">
      <w:pPr>
        <w:spacing w:before="120" w:after="120" w:line="276" w:lineRule="auto"/>
        <w:contextualSpacing/>
        <w:jc w:val="both"/>
      </w:pPr>
    </w:p>
    <w:p w14:paraId="35CB6F28" w14:textId="0D1E8114" w:rsidR="00E1447B" w:rsidRPr="00506A83" w:rsidRDefault="00E1447B" w:rsidP="00DD400A">
      <w:pPr>
        <w:autoSpaceDE w:val="0"/>
        <w:autoSpaceDN w:val="0"/>
        <w:adjustRightInd w:val="0"/>
        <w:spacing w:before="120" w:after="120" w:line="276" w:lineRule="auto"/>
        <w:jc w:val="both"/>
      </w:pPr>
      <w:r w:rsidRPr="00506A83">
        <w:t xml:space="preserve">Program vládních rozvojových stipendií, který je ve společné gesci Ministerstva zahraničních věcí ČR a Ministerstva školství, mládeže a tělovýchovy ČR, která při jeho naplňování úzce spolupracují s Ministerstvem zdravotnictví ČR, byl v roce 2025 realizován podle nové Strategie programu poskytování rozvojových stipendií na období 2025 – 2030, která byla schválena usnesením vlády ze dne 27. listopadu 2024 č. 870. Stejně jako v předchozích letech byl program rozvojových stipendií primárně zacílen na prioritní země dvoustranné ZRS ČR, jehož občanům umožňoval studium na etablovaných pracovištích veřejných vysokých škol v ČR. </w:t>
      </w:r>
    </w:p>
    <w:p w14:paraId="58742B5E" w14:textId="7C2BCADD" w:rsidR="00E1447B" w:rsidRPr="00506A83" w:rsidRDefault="00E1447B" w:rsidP="005177B3">
      <w:pPr>
        <w:autoSpaceDE w:val="0"/>
        <w:autoSpaceDN w:val="0"/>
        <w:adjustRightInd w:val="0"/>
        <w:spacing w:before="120" w:after="120" w:line="276" w:lineRule="auto"/>
        <w:jc w:val="both"/>
        <w:rPr>
          <w:bCs/>
        </w:rPr>
      </w:pPr>
      <w:r w:rsidRPr="00506A83">
        <w:rPr>
          <w:b/>
        </w:rPr>
        <w:t>V roce 2025 bylo na studium a stipendia pro studenty z rozvojových zemí alokováno 112</w:t>
      </w:r>
      <w:r w:rsidR="00EF7ED4" w:rsidRPr="00506A83">
        <w:rPr>
          <w:b/>
        </w:rPr>
        <w:t> </w:t>
      </w:r>
      <w:r w:rsidRPr="00506A83">
        <w:rPr>
          <w:b/>
        </w:rPr>
        <w:t>mil. Kč; na související zdravotní služby pro tyto studenty v gesci Ministerstva zdravotnictví ČR pak 3 mil. Kč</w:t>
      </w:r>
      <w:r w:rsidRPr="00506A83">
        <w:rPr>
          <w:bCs/>
        </w:rPr>
        <w:t>.</w:t>
      </w:r>
    </w:p>
    <w:p w14:paraId="7BB0AD2E" w14:textId="77777777" w:rsidR="00E1447B" w:rsidRPr="00506A83" w:rsidRDefault="00E1447B" w:rsidP="005177B3">
      <w:pPr>
        <w:autoSpaceDE w:val="0"/>
        <w:autoSpaceDN w:val="0"/>
        <w:adjustRightInd w:val="0"/>
        <w:spacing w:before="120" w:after="120" w:line="276" w:lineRule="auto"/>
        <w:jc w:val="both"/>
      </w:pPr>
      <w:r w:rsidRPr="00506A83">
        <w:t xml:space="preserve">V průběhu roku 2025 studovalo na veřejných vysokých školách ČR 410 vládních stipendistů ze 17 zemí. Studium v daném roce ukončilo celkem 90 stipendistů (57 absolvovalo, 10 ukončilo studium jiným způsobem, 23 studentům byla v návaznosti na překročení doby studia ukončena výplata stipendia – většina z nich však dokončila či dokončuje studium na vlastní náklady). </w:t>
      </w:r>
    </w:p>
    <w:p w14:paraId="43F0BD77" w14:textId="77777777" w:rsidR="00E1447B" w:rsidRPr="00506A83" w:rsidRDefault="00E1447B" w:rsidP="005177B3">
      <w:pPr>
        <w:autoSpaceDE w:val="0"/>
        <w:autoSpaceDN w:val="0"/>
        <w:adjustRightInd w:val="0"/>
        <w:spacing w:before="120" w:after="120" w:line="276" w:lineRule="auto"/>
        <w:jc w:val="both"/>
      </w:pPr>
      <w:r w:rsidRPr="00506A83">
        <w:t xml:space="preserve">Na studium a související služby a stipendia pro studenty z rozvojových zemí, včetně provozu on-line registru, byly v gesci MŠMT v roce 2025 čerpány prostředky ve výši 92 914 101 Kč. </w:t>
      </w:r>
    </w:p>
    <w:p w14:paraId="628C06FA" w14:textId="59E103B6" w:rsidR="00E1447B" w:rsidRPr="00506A83" w:rsidRDefault="00E1447B" w:rsidP="005177B3">
      <w:pPr>
        <w:autoSpaceDE w:val="0"/>
        <w:autoSpaceDN w:val="0"/>
        <w:adjustRightInd w:val="0"/>
        <w:spacing w:before="120" w:after="120" w:line="276" w:lineRule="auto"/>
        <w:jc w:val="both"/>
      </w:pPr>
      <w:r w:rsidRPr="00506A83">
        <w:t>Pro akademický rok 2025/2026 nabídla ČR 130 stipendijních míst</w:t>
      </w:r>
      <w:r w:rsidR="009D514E" w:rsidRPr="00506A83">
        <w:t xml:space="preserve">. </w:t>
      </w:r>
      <w:r w:rsidRPr="00506A83">
        <w:t>Na základě stanoviska vysokých škol a po projednání Komisí pro vládní stipendia bylo stipendium přiznáno 130</w:t>
      </w:r>
      <w:r w:rsidR="00EF7ED4" w:rsidRPr="00506A83">
        <w:t> </w:t>
      </w:r>
      <w:r w:rsidRPr="00506A83">
        <w:t>uchazečům (26 ke studiu v českém jazyce a 104 ke studiu v anglickém jazyce). Ke studiu nastoupilo 106 stipendistů, z toho 20 ke studiu v českém jazyce a 86 v anglickém jazyce.</w:t>
      </w:r>
    </w:p>
    <w:p w14:paraId="4C8577B1" w14:textId="5C621C3E" w:rsidR="00D84E66" w:rsidRPr="00506A83" w:rsidRDefault="008A10BE" w:rsidP="00BB1D05">
      <w:pPr>
        <w:pStyle w:val="Nadpis4"/>
      </w:pPr>
      <w:r w:rsidRPr="00506A83">
        <w:t>Program bezpečnostní rozvojové spolupráce (Ministerstvo vnitra)</w:t>
      </w:r>
    </w:p>
    <w:p w14:paraId="07FDA28E" w14:textId="2851D344" w:rsidR="00A477E1" w:rsidRPr="00506A83" w:rsidRDefault="00D84E66" w:rsidP="00D84E66">
      <w:pPr>
        <w:spacing w:before="120" w:after="120" w:line="276" w:lineRule="auto"/>
        <w:contextualSpacing/>
        <w:jc w:val="both"/>
      </w:pPr>
      <w:r w:rsidRPr="00506A83">
        <w:t xml:space="preserve">Čerpáno v roce 2025: </w:t>
      </w:r>
      <w:r w:rsidR="000763A8" w:rsidRPr="00506A83">
        <w:t>6,8 mil. Kč</w:t>
      </w:r>
    </w:p>
    <w:p w14:paraId="21E5883F" w14:textId="3DCCFFDA" w:rsidR="00D84E66" w:rsidRPr="00506A83" w:rsidRDefault="00D84E66" w:rsidP="00650396">
      <w:pPr>
        <w:spacing w:before="120" w:after="120" w:line="276" w:lineRule="auto"/>
        <w:contextualSpacing/>
        <w:jc w:val="both"/>
      </w:pPr>
      <w:r w:rsidRPr="00506A83">
        <w:t xml:space="preserve">Počet realizovaných projektů: </w:t>
      </w:r>
      <w:r w:rsidR="000763A8" w:rsidRPr="00506A83">
        <w:t>15</w:t>
      </w:r>
    </w:p>
    <w:p w14:paraId="5A78BF5B" w14:textId="77777777" w:rsidR="00650396" w:rsidRPr="00506A83" w:rsidRDefault="00650396" w:rsidP="00650396">
      <w:pPr>
        <w:spacing w:before="120" w:after="120" w:line="276" w:lineRule="auto"/>
        <w:contextualSpacing/>
        <w:jc w:val="both"/>
      </w:pPr>
    </w:p>
    <w:p w14:paraId="0242DC2C" w14:textId="03E6F81B" w:rsidR="008A10BE" w:rsidRPr="00506A83" w:rsidRDefault="008A10BE" w:rsidP="005177B3">
      <w:pPr>
        <w:autoSpaceDE w:val="0"/>
        <w:autoSpaceDN w:val="0"/>
        <w:adjustRightInd w:val="0"/>
        <w:spacing w:before="120" w:after="120" w:line="276" w:lineRule="auto"/>
        <w:jc w:val="both"/>
      </w:pPr>
      <w:r w:rsidRPr="00506A83">
        <w:rPr>
          <w:b/>
        </w:rPr>
        <w:t>Na rok 2025 bylo na Program bezpečnostní rozvojové spolupráce (dále „Program BRS“) alokováno 8 mil. Kč.</w:t>
      </w:r>
      <w:r w:rsidRPr="00506A83">
        <w:t xml:space="preserve"> Pro realizaci Programu BRS v roce 2025 byly využity rovněž úspory </w:t>
      </w:r>
      <w:r w:rsidRPr="00506A83">
        <w:lastRenderedPageBreak/>
        <w:t>z</w:t>
      </w:r>
      <w:r w:rsidR="004964CB" w:rsidRPr="00506A83">
        <w:t> </w:t>
      </w:r>
      <w:r w:rsidRPr="00506A83">
        <w:t xml:space="preserve">roku 2024 ve výši 3 mil. Kč. </w:t>
      </w:r>
      <w:r w:rsidRPr="00506A83">
        <w:rPr>
          <w:b/>
        </w:rPr>
        <w:t>Realizováno bylo celkem 14 projektů ve výši 6 817 275 Kč.</w:t>
      </w:r>
      <w:r w:rsidRPr="00506A83">
        <w:t xml:space="preserve"> V</w:t>
      </w:r>
      <w:r w:rsidR="004964CB" w:rsidRPr="00506A83">
        <w:t> </w:t>
      </w:r>
      <w:r w:rsidRPr="00506A83">
        <w:t>rámci těchto projektů proběhlo 9 expertních cest českých odborníků do partnerských zemí, 6</w:t>
      </w:r>
      <w:r w:rsidR="004964CB" w:rsidRPr="00506A83">
        <w:t> </w:t>
      </w:r>
      <w:r w:rsidRPr="00506A83">
        <w:t>studijních pobytů zahraničních zástupců v České republice a předány byly 2 materiální dary. Partnerskými, resp. cílovými zeměmi byly Arménie (2 projekty), Bosna a Hercegovina</w:t>
      </w:r>
      <w:r w:rsidR="004B3CA8" w:rsidRPr="00506A83">
        <w:t xml:space="preserve"> </w:t>
      </w:r>
      <w:r w:rsidRPr="00506A83">
        <w:t>(7</w:t>
      </w:r>
      <w:r w:rsidR="004964CB" w:rsidRPr="00506A83">
        <w:t> </w:t>
      </w:r>
      <w:r w:rsidRPr="00506A83">
        <w:t>projektů), Ghana (1 projekt), Gruzie (1 projekt), Moldavsko (1 projekt), Severní Makedonie (1 projekt) a Ukrajina (1 projekt). 2 projekty byly částečně nebo plně převedeny do roku 2026 z důvodů překážek způsobených kapacitními důvody na straně realizátora či partnerské strany. Finanční prostředky na realizaci přesunutých projektů spolu s</w:t>
      </w:r>
      <w:r w:rsidR="004964CB" w:rsidRPr="00506A83">
        <w:t> </w:t>
      </w:r>
      <w:r w:rsidRPr="00506A83">
        <w:t>uspořenými prostředky (cca</w:t>
      </w:r>
      <w:r w:rsidR="00EF7ED4" w:rsidRPr="00506A83">
        <w:t> </w:t>
      </w:r>
      <w:r w:rsidRPr="00506A83">
        <w:t>4</w:t>
      </w:r>
      <w:r w:rsidR="00EF7ED4" w:rsidRPr="00506A83">
        <w:t> </w:t>
      </w:r>
      <w:r w:rsidRPr="00506A83">
        <w:t>mil. Kč) byly převedeny v rámci nároků na nespotřebované výdaje a budou využity na Program bezpečnostní rozvojové spolupráce v roce 2026.</w:t>
      </w:r>
    </w:p>
    <w:p w14:paraId="5A053D66" w14:textId="77777777" w:rsidR="008A10BE" w:rsidRPr="00506A83" w:rsidRDefault="008A10BE" w:rsidP="005177B3">
      <w:pPr>
        <w:autoSpaceDE w:val="0"/>
        <w:autoSpaceDN w:val="0"/>
        <w:adjustRightInd w:val="0"/>
        <w:spacing w:before="120" w:after="120" w:line="276" w:lineRule="auto"/>
        <w:jc w:val="both"/>
      </w:pPr>
      <w:r w:rsidRPr="00506A83">
        <w:t>Realizátory projektů byly útvary Policie ČR (Národní centrála proti organizovanému zločinu, Pyrotechnická služba, Ředitelství služby pořádkové policie PP ČR a Úřad služby kriminální policie a vyšetřování PP ČR), Zdravotnické zařízení Ministerstva vnitra, Generální ředitelství Hasičského záchranného sboru ČR a Generální inspekce bezpečnostních sborů.</w:t>
      </w:r>
    </w:p>
    <w:p w14:paraId="30359558" w14:textId="4D0E5B32" w:rsidR="008A10BE" w:rsidRPr="00506A83" w:rsidRDefault="008A10BE" w:rsidP="005177B3">
      <w:pPr>
        <w:autoSpaceDE w:val="0"/>
        <w:autoSpaceDN w:val="0"/>
        <w:adjustRightInd w:val="0"/>
        <w:spacing w:before="120" w:after="120" w:line="276" w:lineRule="auto"/>
        <w:jc w:val="both"/>
      </w:pPr>
      <w:r w:rsidRPr="00506A83">
        <w:t xml:space="preserve">Mezi nejvýznamnější projekty Programu BRS v roce 2025 patřily projekty českých policejních potápěčů-pyrotechniků z Ředitelství služby pořádkové policie. Spolupráce v oblasti vyzdvihování a zneškodňování munice z řek a jezer v Bosně a Hercegovině trvá již od roku 2011. V roce 2025 se uskutečnily dvě výcvikové mise a dvě odminovací mise, při nichž došlo k odminování části jezera Bilećko a část řeky Klokot. Na oblast odminování se zaměřil rovněž projekt Pyrotechnické služby Policie ČR, jejíž experti asanovali část areálu bývalého muničního skladu Žunovnica v Bosně a Hercegovině. Pracovníci Zdravotnického zařízení Ministerstva vnitra proškolili rovněž bosenské protějšky v moderních postupech ošetření traumatických zranění a poskytnutí taktické první pomoci v civilním prostředí. </w:t>
      </w:r>
    </w:p>
    <w:p w14:paraId="12AF154E" w14:textId="72E683F4" w:rsidR="008A10BE" w:rsidRPr="00506A83" w:rsidRDefault="008A10BE" w:rsidP="005177B3">
      <w:pPr>
        <w:autoSpaceDE w:val="0"/>
        <w:autoSpaceDN w:val="0"/>
        <w:adjustRightInd w:val="0"/>
        <w:spacing w:before="120" w:after="120" w:line="276" w:lineRule="auto"/>
        <w:jc w:val="both"/>
      </w:pPr>
      <w:r w:rsidRPr="00506A83">
        <w:t>K významným projektům patřil rovněž projekt Generálního ředitelství Hasičského záchranného sboru s Gruzií se zaměřením na školení hasičů v oblasti požární ochrany. Úřad služby kriminální policie a vyšetřování úspěšně zrealizoval projekty v Arménii a Moldavsku. Projekt s Arménií byl zaměřen na výslech dětí ve speciální výslechové místnosti. Cílem projektu s</w:t>
      </w:r>
      <w:r w:rsidR="004964CB" w:rsidRPr="00506A83">
        <w:t> </w:t>
      </w:r>
      <w:r w:rsidRPr="00506A83">
        <w:t xml:space="preserve">Moldavskem bylo předání know-how a praktických zkušeností v oblasti bezpečnostních opatření během sportovních událostí, zejm. fotbalových utkání. Díky realizaci projektu bylo dosaženo zřízení moldavského národního fotbalového kontaktního bodu. </w:t>
      </w:r>
    </w:p>
    <w:p w14:paraId="61D11DFC" w14:textId="77777777" w:rsidR="008A10BE" w:rsidRPr="00506A83" w:rsidRDefault="008A10BE" w:rsidP="005177B3">
      <w:pPr>
        <w:autoSpaceDE w:val="0"/>
        <w:autoSpaceDN w:val="0"/>
        <w:adjustRightInd w:val="0"/>
        <w:spacing w:before="120" w:after="120" w:line="276" w:lineRule="auto"/>
        <w:jc w:val="both"/>
      </w:pPr>
      <w:r w:rsidRPr="00506A83">
        <w:t>Dalšími tématy, kterým se projekty věnovaly, byly boj proti kybernetické kriminalitě, finanční šetření, podpora efektivnosti trestního řízení a institut zkoušky spolehlivosti Generální inspekce bezpečnostních sborů.</w:t>
      </w:r>
    </w:p>
    <w:p w14:paraId="3FE49358" w14:textId="760EDE83" w:rsidR="004B3CA8" w:rsidRPr="00506A83" w:rsidRDefault="008A10BE" w:rsidP="00906DC8">
      <w:pPr>
        <w:autoSpaceDE w:val="0"/>
        <w:autoSpaceDN w:val="0"/>
        <w:adjustRightInd w:val="0"/>
        <w:spacing w:before="120" w:after="120" w:line="276" w:lineRule="auto"/>
        <w:jc w:val="both"/>
        <w:rPr>
          <w:b/>
        </w:rPr>
      </w:pPr>
      <w:r w:rsidRPr="00506A83">
        <w:rPr>
          <w:b/>
        </w:rPr>
        <w:t>Celkem bylo na Program bezpečnostní rozvojové spolupráce vynaloženo 6 897 275 Kč.</w:t>
      </w:r>
    </w:p>
    <w:p w14:paraId="183C6E00" w14:textId="4EC8C96C" w:rsidR="00EF7ED4" w:rsidRPr="00506A83" w:rsidRDefault="00EF7ED4">
      <w:pPr>
        <w:rPr>
          <w:b/>
        </w:rPr>
      </w:pPr>
      <w:r w:rsidRPr="00506A83">
        <w:rPr>
          <w:b/>
        </w:rPr>
        <w:br w:type="page"/>
      </w:r>
    </w:p>
    <w:p w14:paraId="5531D319" w14:textId="009F8323" w:rsidR="00F91A60" w:rsidRPr="00506A83" w:rsidRDefault="00BD1EAB" w:rsidP="0012521C">
      <w:pPr>
        <w:pStyle w:val="Nadpis3"/>
        <w:numPr>
          <w:ilvl w:val="2"/>
          <w:numId w:val="37"/>
        </w:numPr>
        <w:spacing w:before="120" w:after="120" w:line="276" w:lineRule="auto"/>
        <w:ind w:left="709" w:hanging="709"/>
        <w:rPr>
          <w:rFonts w:ascii="Times New Roman" w:hAnsi="Times New Roman" w:cs="Times New Roman"/>
        </w:rPr>
      </w:pPr>
      <w:bookmarkStart w:id="28" w:name="_Toc228190590"/>
      <w:bookmarkStart w:id="29" w:name="_Toc231294144"/>
      <w:r w:rsidRPr="00506A83">
        <w:rPr>
          <w:rFonts w:ascii="Times New Roman" w:hAnsi="Times New Roman" w:cs="Times New Roman"/>
        </w:rPr>
        <w:lastRenderedPageBreak/>
        <w:t xml:space="preserve">Program posilování kapacit </w:t>
      </w:r>
      <w:r w:rsidR="00F91A60" w:rsidRPr="00506A83">
        <w:rPr>
          <w:rFonts w:ascii="Times New Roman" w:hAnsi="Times New Roman" w:cs="Times New Roman"/>
        </w:rPr>
        <w:t>VVŠ</w:t>
      </w:r>
      <w:bookmarkEnd w:id="28"/>
      <w:bookmarkEnd w:id="29"/>
    </w:p>
    <w:p w14:paraId="1CEE14C6" w14:textId="5C2E8D0A" w:rsidR="00D84E66" w:rsidRPr="00506A83" w:rsidRDefault="00D84E66" w:rsidP="00D84E66">
      <w:pPr>
        <w:spacing w:before="120" w:after="120" w:line="276" w:lineRule="auto"/>
        <w:contextualSpacing/>
        <w:jc w:val="both"/>
      </w:pPr>
      <w:r w:rsidRPr="00506A83">
        <w:t xml:space="preserve">Čerpáno v roce 2025: </w:t>
      </w:r>
      <w:r w:rsidR="00C4033D" w:rsidRPr="00506A83">
        <w:t>10 mil. Kč</w:t>
      </w:r>
    </w:p>
    <w:p w14:paraId="749FBB9B" w14:textId="77777777" w:rsidR="00D84E66" w:rsidRPr="00506A83" w:rsidRDefault="00D84E66" w:rsidP="00D84E66">
      <w:pPr>
        <w:spacing w:before="120" w:after="120" w:line="276" w:lineRule="auto"/>
        <w:contextualSpacing/>
        <w:jc w:val="both"/>
      </w:pPr>
      <w:r w:rsidRPr="00506A83">
        <w:t xml:space="preserve">Počet realizovaných projektů: </w:t>
      </w:r>
    </w:p>
    <w:p w14:paraId="6C935968" w14:textId="77777777" w:rsidR="00D84E66" w:rsidRPr="00506A83" w:rsidRDefault="00D84E66" w:rsidP="005177B3">
      <w:pPr>
        <w:autoSpaceDE w:val="0"/>
        <w:autoSpaceDN w:val="0"/>
        <w:adjustRightInd w:val="0"/>
        <w:spacing w:before="120" w:after="120" w:line="276" w:lineRule="auto"/>
        <w:jc w:val="both"/>
      </w:pPr>
    </w:p>
    <w:p w14:paraId="017ADD50" w14:textId="7F7CAA04" w:rsidR="00DC3972" w:rsidRPr="00506A83" w:rsidRDefault="002424CB" w:rsidP="005177B3">
      <w:pPr>
        <w:autoSpaceDE w:val="0"/>
        <w:autoSpaceDN w:val="0"/>
        <w:adjustRightInd w:val="0"/>
        <w:spacing w:before="120" w:after="120" w:line="276" w:lineRule="auto"/>
        <w:jc w:val="both"/>
      </w:pPr>
      <w:r w:rsidRPr="00506A83">
        <w:t xml:space="preserve">V roce 2025 pokračoval v gesci MZV dotační program Posilování kapacit veřejných vysokých škol v rozvojových zemích. Cílem tohoto programu je podpořit </w:t>
      </w:r>
      <w:r w:rsidRPr="00506A83">
        <w:rPr>
          <w:b/>
        </w:rPr>
        <w:t>kapacity veřejných VŠ</w:t>
      </w:r>
      <w:r w:rsidRPr="00506A83">
        <w:t xml:space="preserve"> zejména v prioritních zemích dvoustranné ZRS </w:t>
      </w:r>
      <w:r w:rsidRPr="00506A83">
        <w:rPr>
          <w:b/>
        </w:rPr>
        <w:t>v oblasti výuky, výzkumu i managementu</w:t>
      </w:r>
      <w:r w:rsidRPr="00506A83">
        <w:t xml:space="preserve">, včetně podpory jejich </w:t>
      </w:r>
      <w:r w:rsidRPr="00506A83">
        <w:rPr>
          <w:b/>
        </w:rPr>
        <w:t>zapojení do mezinárodní spolupráce</w:t>
      </w:r>
      <w:r w:rsidRPr="00506A83">
        <w:t xml:space="preserve">. Program podporuje rovněž </w:t>
      </w:r>
      <w:r w:rsidRPr="00506A83">
        <w:rPr>
          <w:b/>
        </w:rPr>
        <w:t>synergie s programem vládních rozvojových stipendií</w:t>
      </w:r>
      <w:r w:rsidRPr="00506A83">
        <w:t xml:space="preserve"> a to podporou krátkodobé vzájemné mobility učitelů i studentů a vytvářením příležitostí pro vytipování vhodných kandidátů pro dlouhodobá rozvojová stipendia zejména na vyšších stupních studia. V řadě případů Program vhodně doplňuje bilaterální rozvojové projekty v prioritních zemích zahraniční rozvojové spolupráce ČR. </w:t>
      </w:r>
    </w:p>
    <w:p w14:paraId="47F5DF61" w14:textId="591C4730" w:rsidR="002424CB" w:rsidRPr="00506A83" w:rsidRDefault="002424CB" w:rsidP="005177B3">
      <w:pPr>
        <w:autoSpaceDE w:val="0"/>
        <w:autoSpaceDN w:val="0"/>
        <w:adjustRightInd w:val="0"/>
        <w:spacing w:before="120" w:after="120" w:line="276" w:lineRule="auto"/>
        <w:jc w:val="both"/>
      </w:pPr>
      <w:r w:rsidRPr="00506A83">
        <w:t>V roce 2025 bylo v rámci Programu podpořeno 1</w:t>
      </w:r>
      <w:r w:rsidR="00AB5BA6" w:rsidRPr="00506A83">
        <w:t>1</w:t>
      </w:r>
      <w:r w:rsidRPr="00506A83">
        <w:t xml:space="preserve"> projektů v rozvojových zemích v celkové hodnotě téměř 10mil. Kč v rámci Plánu ZRS (a 9 projektů z Programu Ukrajina, viz 2.3.3 v celkové výši 10,2 mil. Kč). Celkem tak bylo podpořeno</w:t>
      </w:r>
      <w:r w:rsidRPr="00506A83">
        <w:rPr>
          <w:b/>
        </w:rPr>
        <w:t xml:space="preserve"> </w:t>
      </w:r>
      <w:r w:rsidRPr="00506A83">
        <w:t xml:space="preserve">21 projektů českých veřejných vysokých škol (ČZU, Mendelova univerzita, Západočeská univerzita, ČVUT, VUT, Univerzita Pardubice, Univerzita Karlova, Palackého univerzita). Z hlediska cílových zemí byly projekty realizovány v Moldavsku, Kambodži, Zambii, Bosně a Hercegovině, Indii, Etiopii, Argentině, Srbsku a Keni. </w:t>
      </w:r>
    </w:p>
    <w:p w14:paraId="12B37670" w14:textId="623E4ECC" w:rsidR="00215058" w:rsidRPr="00506A83" w:rsidRDefault="005D408D" w:rsidP="00093125">
      <w:pPr>
        <w:pStyle w:val="Nadpis3"/>
        <w:numPr>
          <w:ilvl w:val="2"/>
          <w:numId w:val="37"/>
        </w:numPr>
        <w:spacing w:before="360" w:after="120" w:line="276" w:lineRule="auto"/>
        <w:ind w:left="709" w:hanging="709"/>
        <w:rPr>
          <w:rFonts w:ascii="Times New Roman" w:hAnsi="Times New Roman" w:cs="Times New Roman"/>
        </w:rPr>
      </w:pPr>
      <w:bookmarkStart w:id="30" w:name="_Toc228190591"/>
      <w:bookmarkStart w:id="31" w:name="_Toc231294145"/>
      <w:r w:rsidRPr="00506A83">
        <w:rPr>
          <w:rFonts w:ascii="Times New Roman" w:hAnsi="Times New Roman" w:cs="Times New Roman"/>
        </w:rPr>
        <w:t xml:space="preserve">Program </w:t>
      </w:r>
      <w:r w:rsidR="006C08DC" w:rsidRPr="00506A83">
        <w:rPr>
          <w:rFonts w:ascii="Times New Roman" w:hAnsi="Times New Roman" w:cs="Times New Roman"/>
        </w:rPr>
        <w:t>Cyber</w:t>
      </w:r>
      <w:bookmarkEnd w:id="30"/>
      <w:r w:rsidRPr="00506A83">
        <w:rPr>
          <w:rFonts w:ascii="Times New Roman" w:hAnsi="Times New Roman" w:cs="Times New Roman"/>
        </w:rPr>
        <w:t>V</w:t>
      </w:r>
      <w:r w:rsidR="00A65604" w:rsidRPr="00506A83">
        <w:rPr>
          <w:rFonts w:ascii="Times New Roman" w:hAnsi="Times New Roman" w:cs="Times New Roman"/>
        </w:rPr>
        <w:t>ac</w:t>
      </w:r>
      <w:bookmarkEnd w:id="31"/>
    </w:p>
    <w:p w14:paraId="284E8D05" w14:textId="3DA5997C" w:rsidR="00D84E66" w:rsidRPr="00506A83" w:rsidRDefault="00D84E66" w:rsidP="00906DC8">
      <w:pPr>
        <w:spacing w:before="120" w:after="120" w:line="276" w:lineRule="auto"/>
        <w:contextualSpacing/>
        <w:jc w:val="both"/>
      </w:pPr>
      <w:r w:rsidRPr="00506A83">
        <w:t xml:space="preserve">Čerpáno v roce 2025: </w:t>
      </w:r>
      <w:r w:rsidR="00A024E9" w:rsidRPr="00506A83">
        <w:t>3,4 mil. Kč</w:t>
      </w:r>
    </w:p>
    <w:p w14:paraId="72DEABE6" w14:textId="1E538E48" w:rsidR="00D84E66" w:rsidRPr="00506A83" w:rsidRDefault="00D84E66" w:rsidP="00650396">
      <w:pPr>
        <w:spacing w:before="120" w:after="120" w:line="276" w:lineRule="auto"/>
        <w:contextualSpacing/>
        <w:jc w:val="both"/>
      </w:pPr>
      <w:r w:rsidRPr="00506A83">
        <w:t xml:space="preserve">Počet realizovaných projektů: </w:t>
      </w:r>
      <w:r w:rsidR="00A024E9" w:rsidRPr="00506A83">
        <w:t>11</w:t>
      </w:r>
    </w:p>
    <w:p w14:paraId="65606955" w14:textId="77777777" w:rsidR="00650396" w:rsidRPr="00506A83" w:rsidRDefault="00650396" w:rsidP="00650396">
      <w:pPr>
        <w:spacing w:before="120" w:after="120" w:line="276" w:lineRule="auto"/>
        <w:contextualSpacing/>
        <w:jc w:val="both"/>
      </w:pPr>
    </w:p>
    <w:p w14:paraId="5A734E6B" w14:textId="60DF8F2C" w:rsidR="00074EB4" w:rsidRPr="00506A83" w:rsidRDefault="00074EB4" w:rsidP="00074EB4">
      <w:pPr>
        <w:autoSpaceDE w:val="0"/>
        <w:autoSpaceDN w:val="0"/>
        <w:adjustRightInd w:val="0"/>
        <w:spacing w:before="120" w:after="120" w:line="276" w:lineRule="auto"/>
        <w:jc w:val="both"/>
      </w:pPr>
      <w:r w:rsidRPr="00506A83">
        <w:t>Rozvojový program CyberVac cílí na posílení odolnosti a budování kapacit v oblasti kybernetické bezpečnosti či boje s kyberkriminalitou v partnerských rozvojových zemích dle předem projednaných preferencí a kapacitních možností české strany. Na jeho realizaci bylo v</w:t>
      </w:r>
      <w:r w:rsidR="00FF16EE" w:rsidRPr="00506A83">
        <w:t> </w:t>
      </w:r>
      <w:r w:rsidRPr="00506A83">
        <w:t>roce 2025 vyčleněno 6 mil. Kč.</w:t>
      </w:r>
    </w:p>
    <w:p w14:paraId="5323D69A" w14:textId="2244D701" w:rsidR="00074EB4" w:rsidRPr="00506A83" w:rsidRDefault="00074EB4" w:rsidP="00074EB4">
      <w:pPr>
        <w:autoSpaceDE w:val="0"/>
        <w:autoSpaceDN w:val="0"/>
        <w:adjustRightInd w:val="0"/>
        <w:spacing w:before="120" w:after="120" w:line="276" w:lineRule="auto"/>
        <w:jc w:val="both"/>
      </w:pPr>
      <w:r w:rsidRPr="00506A83">
        <w:t xml:space="preserve">V roce 2025 byly realizovány projekty jednak v zemi příjemce (Brazílie, Bhútán, BaH, Tunisko), stejně tak proběhly incomingové mise expertů z partnerských zemí do ČR (Brazílie, Indonésie), a byla zajištěna účast expertů ze zemí Latinské Ameriky, Indo-Pacifiku a Afriky na Prague Cyber Security Conference. </w:t>
      </w:r>
      <w:r w:rsidR="009847DA" w:rsidRPr="00506A83">
        <w:t>R</w:t>
      </w:r>
      <w:r w:rsidRPr="00506A83">
        <w:t>ealizován</w:t>
      </w:r>
      <w:r w:rsidR="009847DA" w:rsidRPr="00506A83">
        <w:t xml:space="preserve"> byl</w:t>
      </w:r>
      <w:r w:rsidRPr="00506A83">
        <w:t xml:space="preserve"> projekt Vysokého učení technického Brno v</w:t>
      </w:r>
      <w:r w:rsidR="00F63BCB" w:rsidRPr="00506A83">
        <w:t> </w:t>
      </w:r>
      <w:r w:rsidRPr="00506A83">
        <w:t>Keni</w:t>
      </w:r>
      <w:r w:rsidR="00F63BCB" w:rsidRPr="00506A83">
        <w:t xml:space="preserve">, </w:t>
      </w:r>
      <w:r w:rsidRPr="00506A83">
        <w:t>zacílen</w:t>
      </w:r>
      <w:r w:rsidR="0052568D" w:rsidRPr="00506A83">
        <w:t>ý</w:t>
      </w:r>
      <w:r w:rsidRPr="00506A83">
        <w:t xml:space="preserve"> na zvýšení úrovně vzdělání v kybernetické bezpečnosti na Kenyattově univerzitě. Proběhlo také několik regionálních seminářů, zejména v</w:t>
      </w:r>
      <w:r w:rsidR="004964CB" w:rsidRPr="00506A83">
        <w:t> </w:t>
      </w:r>
      <w:r w:rsidRPr="00506A83">
        <w:t>Latinské Americe a</w:t>
      </w:r>
      <w:r w:rsidR="00FF16EE" w:rsidRPr="00506A83">
        <w:t> </w:t>
      </w:r>
      <w:r w:rsidRPr="00506A83">
        <w:t xml:space="preserve">Karibiku. </w:t>
      </w:r>
    </w:p>
    <w:p w14:paraId="50E907BF" w14:textId="3B9623E1" w:rsidR="00326F37" w:rsidRPr="00506A83" w:rsidRDefault="00074EB4" w:rsidP="00074EB4">
      <w:pPr>
        <w:autoSpaceDE w:val="0"/>
        <w:autoSpaceDN w:val="0"/>
        <w:adjustRightInd w:val="0"/>
        <w:spacing w:before="120" w:after="120" w:line="276" w:lineRule="auto"/>
        <w:jc w:val="both"/>
        <w:rPr>
          <w:b/>
          <w:bCs/>
        </w:rPr>
      </w:pPr>
      <w:r w:rsidRPr="00506A83">
        <w:rPr>
          <w:b/>
          <w:bCs/>
        </w:rPr>
        <w:t xml:space="preserve">Celkové čerpání v rámci programu CyberVac v roce 2025 činilo </w:t>
      </w:r>
      <w:r w:rsidR="00353ED4" w:rsidRPr="00506A83">
        <w:rPr>
          <w:b/>
          <w:bCs/>
        </w:rPr>
        <w:t>3</w:t>
      </w:r>
      <w:r w:rsidR="00C60B85" w:rsidRPr="00506A83">
        <w:rPr>
          <w:b/>
          <w:bCs/>
        </w:rPr>
        <w:t>,4 mil. Kč.</w:t>
      </w:r>
      <w:r w:rsidRPr="00506A83">
        <w:rPr>
          <w:b/>
          <w:bCs/>
        </w:rPr>
        <w:t xml:space="preserve"> </w:t>
      </w:r>
    </w:p>
    <w:p w14:paraId="6BB6F7A8" w14:textId="72BB8E4D" w:rsidR="00D84E66" w:rsidRPr="00506A83" w:rsidRDefault="00F91A60" w:rsidP="00D026C1">
      <w:pPr>
        <w:pStyle w:val="Nadpis3"/>
        <w:numPr>
          <w:ilvl w:val="2"/>
          <w:numId w:val="37"/>
        </w:numPr>
        <w:spacing w:before="120" w:after="120" w:line="276" w:lineRule="auto"/>
        <w:ind w:left="709" w:hanging="709"/>
        <w:rPr>
          <w:rFonts w:ascii="Times New Roman" w:hAnsi="Times New Roman" w:cs="Times New Roman"/>
        </w:rPr>
      </w:pPr>
      <w:bookmarkStart w:id="32" w:name="_Toc228190592"/>
      <w:bookmarkStart w:id="33" w:name="_Toc231294146"/>
      <w:r w:rsidRPr="00506A83">
        <w:rPr>
          <w:rFonts w:ascii="Times New Roman" w:hAnsi="Times New Roman" w:cs="Times New Roman"/>
        </w:rPr>
        <w:lastRenderedPageBreak/>
        <w:t>Finanční nástroje</w:t>
      </w:r>
      <w:r w:rsidR="001A7337" w:rsidRPr="00506A83">
        <w:rPr>
          <w:rFonts w:ascii="Times New Roman" w:hAnsi="Times New Roman" w:cs="Times New Roman"/>
        </w:rPr>
        <w:t xml:space="preserve"> ZRS ČR</w:t>
      </w:r>
      <w:bookmarkEnd w:id="32"/>
      <w:bookmarkEnd w:id="33"/>
    </w:p>
    <w:p w14:paraId="3F9D4167" w14:textId="529EFE9E" w:rsidR="00D84E66" w:rsidRPr="00506A83" w:rsidRDefault="00D84E66" w:rsidP="00D84E66">
      <w:pPr>
        <w:spacing w:before="120" w:after="120" w:line="276" w:lineRule="auto"/>
        <w:contextualSpacing/>
        <w:jc w:val="both"/>
      </w:pPr>
      <w:r w:rsidRPr="00506A83">
        <w:t xml:space="preserve">Čerpáno v roce 2025: </w:t>
      </w:r>
      <w:r w:rsidR="00C85523" w:rsidRPr="00506A83">
        <w:t>4 mil. Kč</w:t>
      </w:r>
    </w:p>
    <w:p w14:paraId="43A53E11" w14:textId="74910382" w:rsidR="00D84E66" w:rsidRPr="00506A83" w:rsidRDefault="00D84E66" w:rsidP="00906DC8">
      <w:pPr>
        <w:spacing w:before="120" w:after="120" w:line="276" w:lineRule="auto"/>
        <w:contextualSpacing/>
        <w:jc w:val="both"/>
      </w:pPr>
      <w:r w:rsidRPr="00506A83">
        <w:t xml:space="preserve">Počet realizovaných projektů: </w:t>
      </w:r>
      <w:r w:rsidR="00C85523" w:rsidRPr="00506A83">
        <w:t>1</w:t>
      </w:r>
    </w:p>
    <w:p w14:paraId="1B130E24" w14:textId="77777777" w:rsidR="00906DC8" w:rsidRPr="00506A83" w:rsidRDefault="00906DC8" w:rsidP="00906DC8">
      <w:pPr>
        <w:spacing w:before="120" w:after="120" w:line="276" w:lineRule="auto"/>
        <w:contextualSpacing/>
        <w:jc w:val="both"/>
      </w:pPr>
    </w:p>
    <w:p w14:paraId="6374871E" w14:textId="06FA8511" w:rsidR="00C44B32" w:rsidRPr="00506A83" w:rsidRDefault="00C44B32" w:rsidP="005177B3">
      <w:pPr>
        <w:spacing w:before="120" w:after="120" w:line="276" w:lineRule="auto"/>
        <w:jc w:val="both"/>
      </w:pPr>
      <w:r w:rsidRPr="00506A83">
        <w:t xml:space="preserve">Program </w:t>
      </w:r>
      <w:r w:rsidRPr="00506A83">
        <w:rPr>
          <w:b/>
        </w:rPr>
        <w:t>Záruka Zahraniční rozvojové spolupráce (ZRS),</w:t>
      </w:r>
      <w:r w:rsidRPr="00506A83">
        <w:t xml:space="preserve"> realizovaný Ministerstvem zahraničních věcí ve spolupráci s Národní rozvojovou bankou od roku 2019 na základě každoročně aktualizované výzvy, zůstává jedním z klíčových nástrojů pro zapojení českých firem do rozvojových trhů. V roce 2025 byla v rámci tohoto programu poprvé poskytnuta záruka, a to na projekt společnosti SEDA, zaměřený na nákup a instalaci technologie pro stáčení pitné vody v Ghaně, v celkové výši 4 mil. Kč. Tento případ představuje pilotní ověření programu v praxi a ukazuje, že i relativně malé projekty privátních subjektů mohou díky kombinaci rozvojových cílů a investiční povahy najít vhodné uplatnění v rámci Záruky ZRS</w:t>
      </w:r>
      <w:r w:rsidR="00101839" w:rsidRPr="00506A83">
        <w:t>.</w:t>
      </w:r>
    </w:p>
    <w:p w14:paraId="698E789D" w14:textId="5CB3C6AF" w:rsidR="00D026C1" w:rsidRPr="00506A83" w:rsidRDefault="00C44B32" w:rsidP="003C6E4B">
      <w:pPr>
        <w:spacing w:before="120" w:after="120" w:line="276" w:lineRule="auto"/>
        <w:jc w:val="both"/>
      </w:pPr>
      <w:r w:rsidRPr="00506A83">
        <w:t xml:space="preserve">Program se zároveň postupně propojuje s širší architekturou evropských investičních nástrojů v rámci iniciativy Global Gateway, která staví na mobilizaci soukromého sektoru a na investiční orientaci do strategických sektorů partnerských zemí. </w:t>
      </w:r>
    </w:p>
    <w:p w14:paraId="2DA9E645" w14:textId="02051704" w:rsidR="001A7337" w:rsidRPr="00506A83" w:rsidRDefault="001A7337" w:rsidP="00093125">
      <w:pPr>
        <w:pStyle w:val="Nadpis3"/>
        <w:numPr>
          <w:ilvl w:val="2"/>
          <w:numId w:val="37"/>
        </w:numPr>
        <w:spacing w:before="360" w:after="120" w:line="276" w:lineRule="auto"/>
        <w:ind w:left="709" w:hanging="709"/>
        <w:rPr>
          <w:rFonts w:ascii="Times New Roman" w:hAnsi="Times New Roman" w:cs="Times New Roman"/>
        </w:rPr>
      </w:pPr>
      <w:bookmarkStart w:id="34" w:name="_Toc228190593"/>
      <w:bookmarkStart w:id="35" w:name="_Toc231294147"/>
      <w:r w:rsidRPr="00506A83">
        <w:rPr>
          <w:rFonts w:ascii="Times New Roman" w:hAnsi="Times New Roman" w:cs="Times New Roman"/>
        </w:rPr>
        <w:t>Peněžní dary</w:t>
      </w:r>
      <w:bookmarkEnd w:id="34"/>
      <w:bookmarkEnd w:id="35"/>
    </w:p>
    <w:p w14:paraId="19EF7358" w14:textId="63A8B405" w:rsidR="00321C7A" w:rsidRPr="00506A83" w:rsidRDefault="00321C7A" w:rsidP="00321C7A">
      <w:pPr>
        <w:spacing w:before="120" w:after="120" w:line="276" w:lineRule="auto"/>
        <w:contextualSpacing/>
        <w:jc w:val="both"/>
      </w:pPr>
      <w:r w:rsidRPr="00506A83">
        <w:t xml:space="preserve">Čerpáno v roce 2025: </w:t>
      </w:r>
      <w:r w:rsidR="00F943E7" w:rsidRPr="00506A83">
        <w:t>60 mil. Kč</w:t>
      </w:r>
    </w:p>
    <w:p w14:paraId="34176279" w14:textId="1AC717E7" w:rsidR="00D84E66" w:rsidRPr="00506A83" w:rsidRDefault="00321C7A" w:rsidP="00906DC8">
      <w:pPr>
        <w:spacing w:before="120" w:after="120" w:line="276" w:lineRule="auto"/>
        <w:contextualSpacing/>
        <w:jc w:val="both"/>
      </w:pPr>
      <w:r w:rsidRPr="00506A83">
        <w:t xml:space="preserve">Počet realizovaných projektů: </w:t>
      </w:r>
      <w:r w:rsidR="00F943E7" w:rsidRPr="00506A83">
        <w:t>9</w:t>
      </w:r>
    </w:p>
    <w:p w14:paraId="31475AB2" w14:textId="77777777" w:rsidR="00906DC8" w:rsidRPr="00506A83" w:rsidRDefault="00906DC8" w:rsidP="00906DC8">
      <w:pPr>
        <w:spacing w:before="120" w:after="120" w:line="276" w:lineRule="auto"/>
        <w:contextualSpacing/>
        <w:jc w:val="both"/>
      </w:pPr>
    </w:p>
    <w:p w14:paraId="4B5297F6" w14:textId="611D1765" w:rsidR="0073711D" w:rsidRPr="00506A83" w:rsidRDefault="0073711D" w:rsidP="005177B3">
      <w:pPr>
        <w:spacing w:before="120" w:after="120" w:line="276" w:lineRule="auto"/>
        <w:jc w:val="both"/>
      </w:pPr>
      <w:r w:rsidRPr="00506A83">
        <w:t>Forma peněžních darů se využívá v bilaterální i multilaterální ZRS ČR, zpravidla na spolupráci s mezinárodními, ale také místními partnery.</w:t>
      </w:r>
    </w:p>
    <w:p w14:paraId="3A9C8EE9" w14:textId="77777777" w:rsidR="0073711D" w:rsidRPr="00506A83" w:rsidRDefault="0073711D" w:rsidP="005177B3">
      <w:pPr>
        <w:spacing w:before="120" w:after="120" w:line="276" w:lineRule="auto"/>
        <w:jc w:val="both"/>
        <w:rPr>
          <w:b/>
        </w:rPr>
      </w:pPr>
      <w:r w:rsidRPr="00506A83">
        <w:t xml:space="preserve">Pod vedením Programu OSN pro životní prostředí (UNEP) byl v roce 2025 zahájen projekt na posuzování kontaminace životního prostředí na Ukrajině, jehož cílem je zmapovat a vyhodnotit stav průmyslového znečištění v Kyjevské oblasti a následně vyvinout model hodnocení zátěže životního prostředí. </w:t>
      </w:r>
      <w:r w:rsidRPr="00506A83">
        <w:rPr>
          <w:b/>
        </w:rPr>
        <w:t xml:space="preserve">ČR podpořila projekt celkovou částkou 9,5 mil. Kč s tím, že 4,5 mil. Kč bylo alokováno z Programu humanitární, stabilizační, rekonstrukční a hospodářské asistence Ukrajině v letech 2023 – 2025. </w:t>
      </w:r>
    </w:p>
    <w:p w14:paraId="2323529E" w14:textId="00B4F553" w:rsidR="0073711D" w:rsidRPr="00506A83" w:rsidRDefault="0073711D" w:rsidP="005177B3">
      <w:pPr>
        <w:spacing w:before="120" w:after="120" w:line="276" w:lineRule="auto"/>
        <w:jc w:val="both"/>
      </w:pPr>
      <w:r w:rsidRPr="00506A83">
        <w:rPr>
          <w:b/>
        </w:rPr>
        <w:t>Zapojení ČR do Tallinnského mechanismu, který představuje klíčový nástroj pro posílení kybernetické bezpečnosti Ukrajiny v kontextu aktuálních bezpečnostních výzev, bylo podpořeno částkou 10 mil. Kč.</w:t>
      </w:r>
      <w:r w:rsidRPr="00506A83">
        <w:t xml:space="preserve"> Příspěvek umožní </w:t>
      </w:r>
      <w:r w:rsidR="00D31FEA" w:rsidRPr="00506A83">
        <w:t>ČR zapojení do řízení mechanismu a</w:t>
      </w:r>
      <w:r w:rsidR="004964CB" w:rsidRPr="00506A83">
        <w:t> </w:t>
      </w:r>
      <w:r w:rsidRPr="00506A83">
        <w:t>českým firmám účast na projektech zaměřených na obnovu kritické infrastruktury, dodávky technologií, služby prevence kybernetických útoků a školení ukrajinských odborníků.</w:t>
      </w:r>
    </w:p>
    <w:p w14:paraId="1D25464D" w14:textId="0F939A58" w:rsidR="0073711D" w:rsidRPr="00506A83" w:rsidRDefault="0073711D" w:rsidP="005177B3">
      <w:pPr>
        <w:spacing w:before="120" w:after="120" w:line="276" w:lineRule="auto"/>
        <w:jc w:val="both"/>
      </w:pPr>
      <w:r w:rsidRPr="00506A83">
        <w:t>Mezi další příspěvky patří 2 mil. Kč na podporu Platformy rozvojových organizací Slovenska s názvem Ambrela, pro zajištění kontinuity aktivit v oblasti rozvojové spolupráce nebo také 750 tisíc Kč na dokument</w:t>
      </w:r>
      <w:r w:rsidR="009007CD" w:rsidRPr="00506A83">
        <w:t>ování</w:t>
      </w:r>
      <w:r w:rsidRPr="00506A83">
        <w:t xml:space="preserve"> systematického porušování lidských práv v Gruzii skrze institut IDFI.</w:t>
      </w:r>
    </w:p>
    <w:p w14:paraId="6E239560" w14:textId="48A40206" w:rsidR="00326F37" w:rsidRPr="00506A83" w:rsidRDefault="0073711D" w:rsidP="005177B3">
      <w:pPr>
        <w:spacing w:before="120" w:after="120" w:line="276" w:lineRule="auto"/>
        <w:jc w:val="both"/>
      </w:pPr>
      <w:r w:rsidRPr="00506A83">
        <w:lastRenderedPageBreak/>
        <w:t xml:space="preserve">V neposlední řadě byly vyčleněny 4 mil. Kč </w:t>
      </w:r>
      <w:r w:rsidR="00D31FEA" w:rsidRPr="00506A83">
        <w:t xml:space="preserve">na podporu působení ČR v </w:t>
      </w:r>
      <w:r w:rsidRPr="00506A83">
        <w:t>Evropské síti pro globální vzdělávání GENE</w:t>
      </w:r>
      <w:r w:rsidR="00D31FEA" w:rsidRPr="00506A83">
        <w:t>. Příspěvek určený na léta 2025-</w:t>
      </w:r>
      <w:r w:rsidR="009007CD" w:rsidRPr="00506A83">
        <w:t>20</w:t>
      </w:r>
      <w:r w:rsidR="00D31FEA" w:rsidRPr="00506A83">
        <w:t>26</w:t>
      </w:r>
      <w:r w:rsidRPr="00506A83">
        <w:t xml:space="preserve"> </w:t>
      </w:r>
      <w:r w:rsidR="00D31FEA" w:rsidRPr="00506A83">
        <w:t xml:space="preserve">byl využit zejména </w:t>
      </w:r>
      <w:r w:rsidRPr="00506A83">
        <w:t xml:space="preserve">na </w:t>
      </w:r>
      <w:r w:rsidR="00D31FEA" w:rsidRPr="00506A83">
        <w:t xml:space="preserve">přípravu celoevropského kulatého stolu </w:t>
      </w:r>
      <w:r w:rsidRPr="00506A83">
        <w:t xml:space="preserve">globálního vzdělávání </w:t>
      </w:r>
      <w:r w:rsidR="00D31FEA" w:rsidRPr="00506A83">
        <w:t xml:space="preserve">v Praze </w:t>
      </w:r>
      <w:r w:rsidRPr="00506A83">
        <w:t xml:space="preserve">a </w:t>
      </w:r>
      <w:r w:rsidR="00D31FEA" w:rsidRPr="00506A83">
        <w:t>navazující konference k</w:t>
      </w:r>
      <w:r w:rsidR="004964CB" w:rsidRPr="00506A83">
        <w:t> </w:t>
      </w:r>
      <w:r w:rsidRPr="00506A83">
        <w:t>promítání jeho cílů do veřejných politik, s důrazem na rámcové vzdělávací programy.</w:t>
      </w:r>
    </w:p>
    <w:p w14:paraId="4257F0D9" w14:textId="6C3EF11D" w:rsidR="00C5359E" w:rsidRPr="00506A83" w:rsidRDefault="00875F04" w:rsidP="0012521C">
      <w:pPr>
        <w:pStyle w:val="Nadpis3"/>
        <w:numPr>
          <w:ilvl w:val="2"/>
          <w:numId w:val="37"/>
        </w:numPr>
        <w:spacing w:before="120" w:after="120" w:line="276" w:lineRule="auto"/>
        <w:ind w:left="709" w:hanging="709"/>
        <w:rPr>
          <w:rFonts w:ascii="Times New Roman" w:hAnsi="Times New Roman" w:cs="Times New Roman"/>
        </w:rPr>
      </w:pPr>
      <w:bookmarkStart w:id="36" w:name="_Toc228190594"/>
      <w:bookmarkStart w:id="37" w:name="_Toc231294148"/>
      <w:r w:rsidRPr="00506A83">
        <w:rPr>
          <w:rFonts w:ascii="Times New Roman" w:hAnsi="Times New Roman" w:cs="Times New Roman"/>
        </w:rPr>
        <w:t>Evaluace</w:t>
      </w:r>
      <w:bookmarkEnd w:id="36"/>
      <w:bookmarkEnd w:id="37"/>
    </w:p>
    <w:p w14:paraId="74E5A000" w14:textId="1E225589" w:rsidR="004002AD" w:rsidRPr="00506A83" w:rsidRDefault="004002AD" w:rsidP="005177B3">
      <w:pPr>
        <w:autoSpaceDE w:val="0"/>
        <w:autoSpaceDN w:val="0"/>
        <w:adjustRightInd w:val="0"/>
        <w:spacing w:before="120" w:after="120" w:line="276" w:lineRule="auto"/>
        <w:jc w:val="both"/>
      </w:pPr>
      <w:r w:rsidRPr="00506A83">
        <w:t>Evaluace projektů a programů zahraniční rozvojové spolupráce realizuje MZV ČR s cílem získat systematické, odborné a objektivní vyhodnocení výsledků a dopadů rozvojových aktivit v partnerských zemích i v České republice</w:t>
      </w:r>
      <w:r w:rsidR="006E613B" w:rsidRPr="00506A83">
        <w:t>.</w:t>
      </w:r>
    </w:p>
    <w:p w14:paraId="283823A7" w14:textId="7D8F5AFF" w:rsidR="004002AD" w:rsidRPr="00506A83" w:rsidRDefault="004002AD" w:rsidP="005177B3">
      <w:pPr>
        <w:autoSpaceDE w:val="0"/>
        <w:autoSpaceDN w:val="0"/>
        <w:adjustRightInd w:val="0"/>
        <w:spacing w:before="120" w:after="120" w:line="276" w:lineRule="auto"/>
        <w:jc w:val="both"/>
      </w:pPr>
      <w:r w:rsidRPr="00506A83">
        <w:t>V roce 2025 došlo k úpravě harmonogramu evaluací ZRS a HP. Portfoliová evaluace – komplexní vyhodnocení sektoru zemědělství a rozvoje venkova v pěti prioritních zemích, zahájená v roce 2024, byla z důvodu rozsahu</w:t>
      </w:r>
      <w:r w:rsidR="00644FF4" w:rsidRPr="00506A83">
        <w:t xml:space="preserve"> prodloužena</w:t>
      </w:r>
      <w:r w:rsidR="006E613B" w:rsidRPr="00506A83">
        <w:t>.</w:t>
      </w:r>
    </w:p>
    <w:p w14:paraId="3522208B" w14:textId="6E36FE06" w:rsidR="004002AD" w:rsidRPr="00506A83" w:rsidRDefault="004002AD" w:rsidP="005177B3">
      <w:pPr>
        <w:autoSpaceDE w:val="0"/>
        <w:autoSpaceDN w:val="0"/>
        <w:adjustRightInd w:val="0"/>
        <w:spacing w:before="120" w:after="120" w:line="276" w:lineRule="auto"/>
        <w:jc w:val="both"/>
      </w:pPr>
      <w:r w:rsidRPr="00506A83">
        <w:t>Současně v roce 2025 proběhla revize zadávacího režimu pro evaluace ZRS a HP. Namísto dosavadního postupu v režimu VZMR (veřejná zakázka malého rozsahu) přešlo Ministerstvo zahraničních věcí k využívání Dynamického nákupního systému (DNS). Tato změna umožňuje transparentnější, flexibilnější a profesionálnější výběr dodavatelů, širší soutěžní prostředí a</w:t>
      </w:r>
      <w:r w:rsidR="004964CB" w:rsidRPr="00506A83">
        <w:t> </w:t>
      </w:r>
      <w:r w:rsidRPr="00506A83">
        <w:t>efektivnější administraci evaluací. V návaznosti na tyto změny byl Plán evaluací ZRS a HP upraven a prodloužen pro rok 2025 a 2026, aby reflektoval novou soutěžní metodiku a</w:t>
      </w:r>
      <w:r w:rsidR="004964CB" w:rsidRPr="00506A83">
        <w:t> </w:t>
      </w:r>
      <w:r w:rsidRPr="00506A83">
        <w:t>aktualizované časové rámce.</w:t>
      </w:r>
    </w:p>
    <w:p w14:paraId="1D1FB6CE" w14:textId="47A95473" w:rsidR="00D31FEA" w:rsidRPr="00506A83" w:rsidRDefault="00D31FEA" w:rsidP="005177B3">
      <w:pPr>
        <w:autoSpaceDE w:val="0"/>
        <w:autoSpaceDN w:val="0"/>
        <w:adjustRightInd w:val="0"/>
        <w:spacing w:before="120" w:after="120" w:line="276" w:lineRule="auto"/>
        <w:jc w:val="both"/>
      </w:pPr>
      <w:r w:rsidRPr="00506A83">
        <w:t>Závěrečné zprávy ze všech evaluací jsou veřejně dostupné na webu MZV, včetně souvisejících příloh a přehledu doporučení. Doporučení vzešlá z jednotlivých vyhodnocení jsou řádně vypořádána s českými i místními partnerskými subjekty a dále průběžně sledována.</w:t>
      </w:r>
    </w:p>
    <w:p w14:paraId="4755D2B0" w14:textId="470951CF" w:rsidR="00464D6D" w:rsidRPr="00506A83" w:rsidRDefault="004002AD" w:rsidP="003C6E4B">
      <w:pPr>
        <w:autoSpaceDE w:val="0"/>
        <w:autoSpaceDN w:val="0"/>
        <w:adjustRightInd w:val="0"/>
        <w:spacing w:before="120" w:after="120" w:line="276" w:lineRule="auto"/>
        <w:jc w:val="both"/>
      </w:pPr>
      <w:r w:rsidRPr="00506A83">
        <w:t xml:space="preserve">Vedle administrace a realizace evaluací zajišťuje MZV také aktivní účast v </w:t>
      </w:r>
      <w:r w:rsidR="00D31FEA" w:rsidRPr="00506A83">
        <w:t>m</w:t>
      </w:r>
      <w:r w:rsidRPr="00506A83">
        <w:t>ezinárodních pracovních skupinách a odborných platformách</w:t>
      </w:r>
      <w:r w:rsidR="00D31FEA" w:rsidRPr="00506A83">
        <w:t xml:space="preserve"> pro rozvojové evaluace</w:t>
      </w:r>
      <w:r w:rsidR="00853C37" w:rsidRPr="00506A83">
        <w:t>.</w:t>
      </w:r>
      <w:r w:rsidR="009945B7" w:rsidRPr="00506A83">
        <w:t xml:space="preserve"> </w:t>
      </w:r>
      <w:r w:rsidR="002A6207" w:rsidRPr="00506A83">
        <w:t>Z</w:t>
      </w:r>
      <w:r w:rsidRPr="00506A83">
        <w:t xml:space="preserve">apojení </w:t>
      </w:r>
      <w:r w:rsidR="00D31FEA" w:rsidRPr="00506A83">
        <w:t xml:space="preserve">ČR do odborných činností </w:t>
      </w:r>
      <w:r w:rsidR="002A6207" w:rsidRPr="00506A83">
        <w:t>OECD</w:t>
      </w:r>
      <w:r w:rsidR="00D31FEA" w:rsidRPr="00506A83">
        <w:t>/</w:t>
      </w:r>
      <w:r w:rsidR="002A6207" w:rsidRPr="00506A83">
        <w:t>DAC (</w:t>
      </w:r>
      <w:r w:rsidR="004D5F21" w:rsidRPr="00506A83">
        <w:t>včetně</w:t>
      </w:r>
      <w:r w:rsidR="002A6207" w:rsidRPr="00506A83">
        <w:t xml:space="preserve"> EvalNet) </w:t>
      </w:r>
      <w:r w:rsidRPr="00506A83">
        <w:t>je každoročně podpořeno prostředky z</w:t>
      </w:r>
      <w:r w:rsidR="006F65D0" w:rsidRPr="00506A83">
        <w:t> </w:t>
      </w:r>
      <w:r w:rsidRPr="00506A83">
        <w:t xml:space="preserve">dobrovolného příspěvku ČR, který měl v roce 2025 výši </w:t>
      </w:r>
      <w:r w:rsidR="00860F85" w:rsidRPr="00506A83">
        <w:t>4</w:t>
      </w:r>
      <w:r w:rsidRPr="00506A83">
        <w:t xml:space="preserve"> mil. Kč (viz bod 2.2.1</w:t>
      </w:r>
      <w:r w:rsidR="009A40D5" w:rsidRPr="00506A83">
        <w:t>2</w:t>
      </w:r>
      <w:r w:rsidRPr="00506A83">
        <w:t>).</w:t>
      </w:r>
    </w:p>
    <w:p w14:paraId="7B3254D2" w14:textId="19786CE7" w:rsidR="00D026C1" w:rsidRPr="00506A83" w:rsidRDefault="00C5359E" w:rsidP="00151FB1">
      <w:pPr>
        <w:pStyle w:val="Nadpis3"/>
        <w:numPr>
          <w:ilvl w:val="2"/>
          <w:numId w:val="37"/>
        </w:numPr>
        <w:spacing w:before="120" w:after="120" w:line="276" w:lineRule="auto"/>
        <w:ind w:left="709" w:hanging="709"/>
        <w:rPr>
          <w:rFonts w:ascii="Times New Roman" w:hAnsi="Times New Roman" w:cs="Times New Roman"/>
        </w:rPr>
      </w:pPr>
      <w:bookmarkStart w:id="38" w:name="_Toc228190595"/>
      <w:bookmarkStart w:id="39" w:name="_Toc231294149"/>
      <w:r w:rsidRPr="00506A83">
        <w:rPr>
          <w:rFonts w:ascii="Times New Roman" w:hAnsi="Times New Roman" w:cs="Times New Roman"/>
        </w:rPr>
        <w:t>Komunikace</w:t>
      </w:r>
      <w:r w:rsidR="004C1836" w:rsidRPr="00506A83">
        <w:rPr>
          <w:rFonts w:ascii="Times New Roman" w:hAnsi="Times New Roman" w:cs="Times New Roman"/>
        </w:rPr>
        <w:t>,</w:t>
      </w:r>
      <w:r w:rsidR="002B359D" w:rsidRPr="00506A83">
        <w:rPr>
          <w:rFonts w:ascii="Times New Roman" w:hAnsi="Times New Roman" w:cs="Times New Roman"/>
        </w:rPr>
        <w:t xml:space="preserve"> </w:t>
      </w:r>
      <w:r w:rsidR="004C1836" w:rsidRPr="00506A83">
        <w:rPr>
          <w:rFonts w:ascii="Times New Roman" w:hAnsi="Times New Roman" w:cs="Times New Roman"/>
        </w:rPr>
        <w:t>prezentace, GV a osvěta</w:t>
      </w:r>
      <w:bookmarkEnd w:id="38"/>
      <w:bookmarkEnd w:id="39"/>
    </w:p>
    <w:p w14:paraId="02DD1BA5" w14:textId="27884B85" w:rsidR="00AB260D" w:rsidRPr="00506A83" w:rsidRDefault="00605AFA" w:rsidP="00F31475">
      <w:pPr>
        <w:autoSpaceDE w:val="0"/>
        <w:autoSpaceDN w:val="0"/>
        <w:adjustRightInd w:val="0"/>
        <w:spacing w:before="120" w:after="120" w:line="276" w:lineRule="auto"/>
        <w:jc w:val="both"/>
        <w:rPr>
          <w:bCs/>
        </w:rPr>
      </w:pPr>
      <w:r w:rsidRPr="00506A83">
        <w:rPr>
          <w:bCs/>
        </w:rPr>
        <w:t xml:space="preserve">V roce 2025 </w:t>
      </w:r>
      <w:r w:rsidR="000B166C" w:rsidRPr="00506A83">
        <w:rPr>
          <w:bCs/>
        </w:rPr>
        <w:t>r</w:t>
      </w:r>
      <w:r w:rsidRPr="00506A83">
        <w:rPr>
          <w:bCs/>
        </w:rPr>
        <w:t>elevantní zastupitelské úřady a stálé mise realizovaly téměř 60 aktivit na podporu jejich viditelnosti.</w:t>
      </w:r>
      <w:r w:rsidR="00F31475" w:rsidRPr="00506A83">
        <w:rPr>
          <w:bCs/>
        </w:rPr>
        <w:t xml:space="preserve"> </w:t>
      </w:r>
      <w:r w:rsidR="00AB260D" w:rsidRPr="00506A83">
        <w:rPr>
          <w:bCs/>
        </w:rPr>
        <w:t xml:space="preserve">Ve dnech </w:t>
      </w:r>
      <w:r w:rsidR="00AB260D" w:rsidRPr="00506A83">
        <w:rPr>
          <w:b/>
        </w:rPr>
        <w:t>22. a 23. května 2025</w:t>
      </w:r>
      <w:r w:rsidR="00AB260D" w:rsidRPr="00506A83">
        <w:rPr>
          <w:bCs/>
        </w:rPr>
        <w:t xml:space="preserve"> proběhl </w:t>
      </w:r>
      <w:r w:rsidR="005A4A81" w:rsidRPr="00506A83">
        <w:rPr>
          <w:bCs/>
        </w:rPr>
        <w:t>2.</w:t>
      </w:r>
      <w:r w:rsidR="00AB260D" w:rsidRPr="00506A83">
        <w:rPr>
          <w:bCs/>
        </w:rPr>
        <w:t xml:space="preserve"> ročník </w:t>
      </w:r>
      <w:r w:rsidR="00AB260D" w:rsidRPr="00506A83">
        <w:rPr>
          <w:b/>
        </w:rPr>
        <w:t>akce Národní rozvojové dny.</w:t>
      </w:r>
      <w:r w:rsidR="00AB260D" w:rsidRPr="00506A83">
        <w:rPr>
          <w:bCs/>
        </w:rPr>
        <w:t xml:space="preserve"> Akce se zúčastnili mimo jiné Jozef Síkel</w:t>
      </w:r>
      <w:r w:rsidR="00151FB1" w:rsidRPr="00506A83">
        <w:rPr>
          <w:bCs/>
        </w:rPr>
        <w:t>a</w:t>
      </w:r>
      <w:r w:rsidR="001E1987" w:rsidRPr="00506A83">
        <w:rPr>
          <w:bCs/>
        </w:rPr>
        <w:t xml:space="preserve"> </w:t>
      </w:r>
      <w:r w:rsidR="00F31475" w:rsidRPr="00506A83">
        <w:rPr>
          <w:bCs/>
        </w:rPr>
        <w:t>–</w:t>
      </w:r>
      <w:r w:rsidR="002A7B31" w:rsidRPr="00506A83">
        <w:rPr>
          <w:bCs/>
        </w:rPr>
        <w:t xml:space="preserve"> česk</w:t>
      </w:r>
      <w:r w:rsidR="00F31475" w:rsidRPr="00506A83">
        <w:rPr>
          <w:bCs/>
        </w:rPr>
        <w:t xml:space="preserve">ý </w:t>
      </w:r>
      <w:r w:rsidR="002A7B31" w:rsidRPr="00506A83">
        <w:rPr>
          <w:bCs/>
        </w:rPr>
        <w:t>eurokomisař,</w:t>
      </w:r>
      <w:r w:rsidR="00AB260D" w:rsidRPr="00506A83">
        <w:rPr>
          <w:bCs/>
        </w:rPr>
        <w:t xml:space="preserve"> Ragnheiður Elín Árnadóttir</w:t>
      </w:r>
      <w:r w:rsidR="001E1987" w:rsidRPr="00506A83">
        <w:rPr>
          <w:bCs/>
        </w:rPr>
        <w:t xml:space="preserve"> -</w:t>
      </w:r>
      <w:r w:rsidR="00AB260D" w:rsidRPr="00506A83">
        <w:rPr>
          <w:bCs/>
        </w:rPr>
        <w:t xml:space="preserve"> ředitelka OECD </w:t>
      </w:r>
      <w:r w:rsidR="00F31475" w:rsidRPr="00506A83">
        <w:rPr>
          <w:bCs/>
        </w:rPr>
        <w:t xml:space="preserve">DEV </w:t>
      </w:r>
      <w:r w:rsidR="00AB260D" w:rsidRPr="00506A83">
        <w:rPr>
          <w:bCs/>
        </w:rPr>
        <w:t>a João Gomes Cravinho, zvláštní představitel EU pro Sahel</w:t>
      </w:r>
      <w:r w:rsidR="002A7B31" w:rsidRPr="00506A83">
        <w:rPr>
          <w:bCs/>
        </w:rPr>
        <w:t>.</w:t>
      </w:r>
    </w:p>
    <w:p w14:paraId="11B346D6" w14:textId="74576CEE" w:rsidR="00320703" w:rsidRPr="00506A83" w:rsidRDefault="004963C2" w:rsidP="00151FB1">
      <w:pPr>
        <w:spacing w:before="120" w:after="120" w:line="276" w:lineRule="auto"/>
        <w:jc w:val="both"/>
        <w:rPr>
          <w:bCs/>
        </w:rPr>
      </w:pPr>
      <w:r w:rsidRPr="00506A83">
        <w:rPr>
          <w:bCs/>
        </w:rPr>
        <w:t xml:space="preserve">V oblasti globálního vzdělávání </w:t>
      </w:r>
      <w:r w:rsidR="00464D6D" w:rsidRPr="00506A83">
        <w:rPr>
          <w:bCs/>
        </w:rPr>
        <w:t xml:space="preserve">(GV) </w:t>
      </w:r>
      <w:r w:rsidRPr="00506A83">
        <w:rPr>
          <w:bCs/>
        </w:rPr>
        <w:t xml:space="preserve">pokračovala implementace Akčního plánu pro období 2024–2026 a byla spuštěna česko‑anglická online mapa rozvojových projektů. </w:t>
      </w:r>
      <w:r w:rsidR="00320703" w:rsidRPr="00506A83">
        <w:rPr>
          <w:bCs/>
        </w:rPr>
        <w:t>(https://czechaid.mapotic.com)</w:t>
      </w:r>
      <w:r w:rsidR="002A7B31" w:rsidRPr="00506A83">
        <w:rPr>
          <w:bCs/>
        </w:rPr>
        <w:t>.</w:t>
      </w:r>
    </w:p>
    <w:p w14:paraId="217803CA" w14:textId="77777777" w:rsidR="00320703" w:rsidRPr="00506A83" w:rsidRDefault="00320703" w:rsidP="00151FB1">
      <w:pPr>
        <w:spacing w:before="120" w:after="120" w:line="276" w:lineRule="auto"/>
        <w:jc w:val="both"/>
        <w:rPr>
          <w:b/>
        </w:rPr>
      </w:pPr>
      <w:bookmarkStart w:id="40" w:name="_Toc228190596"/>
      <w:r w:rsidRPr="00506A83">
        <w:rPr>
          <w:b/>
        </w:rPr>
        <w:t>Na komunikační a prezentační aktivity a realizaci GV v gesci MZV bylo v roce 2025 čerpáno 1 032 484,91 Kč.</w:t>
      </w:r>
    </w:p>
    <w:p w14:paraId="2C2A6C30" w14:textId="77777777" w:rsidR="00875F04" w:rsidRPr="00506A83" w:rsidRDefault="00875F04" w:rsidP="0012521C">
      <w:pPr>
        <w:pStyle w:val="Nadpis3"/>
        <w:numPr>
          <w:ilvl w:val="2"/>
          <w:numId w:val="37"/>
        </w:numPr>
        <w:spacing w:before="120" w:after="120" w:line="276" w:lineRule="auto"/>
        <w:ind w:left="709" w:hanging="709"/>
        <w:rPr>
          <w:rFonts w:ascii="Times New Roman" w:hAnsi="Times New Roman" w:cs="Times New Roman"/>
        </w:rPr>
      </w:pPr>
      <w:bookmarkStart w:id="41" w:name="_Toc231294150"/>
      <w:r w:rsidRPr="00506A83">
        <w:rPr>
          <w:rFonts w:ascii="Times New Roman" w:hAnsi="Times New Roman" w:cs="Times New Roman"/>
        </w:rPr>
        <w:lastRenderedPageBreak/>
        <w:t>Humanitární pomoc</w:t>
      </w:r>
      <w:bookmarkEnd w:id="40"/>
      <w:bookmarkEnd w:id="41"/>
      <w:r w:rsidRPr="00506A83">
        <w:rPr>
          <w:rFonts w:ascii="Times New Roman" w:hAnsi="Times New Roman" w:cs="Times New Roman"/>
        </w:rPr>
        <w:t xml:space="preserve"> </w:t>
      </w:r>
    </w:p>
    <w:p w14:paraId="365F3B6F" w14:textId="378F8750" w:rsidR="00321C7A" w:rsidRPr="00506A83" w:rsidRDefault="00321C7A" w:rsidP="00321C7A">
      <w:pPr>
        <w:spacing w:before="120" w:after="120" w:line="276" w:lineRule="auto"/>
        <w:contextualSpacing/>
        <w:jc w:val="both"/>
      </w:pPr>
      <w:r w:rsidRPr="00506A83">
        <w:t xml:space="preserve">Čerpáno v roce 2025: </w:t>
      </w:r>
      <w:r w:rsidR="002B187C" w:rsidRPr="00506A83">
        <w:t>165 mil. Kč</w:t>
      </w:r>
      <w:r w:rsidR="00A47A79" w:rsidRPr="00506A83">
        <w:t xml:space="preserve"> (včetně RO</w:t>
      </w:r>
      <w:r w:rsidR="00BC48B6" w:rsidRPr="00506A83">
        <w:t xml:space="preserve"> z MZV)</w:t>
      </w:r>
    </w:p>
    <w:p w14:paraId="1402D615" w14:textId="12C6D24B" w:rsidR="00321C7A" w:rsidRPr="00506A83" w:rsidRDefault="00321C7A" w:rsidP="00906DC8">
      <w:pPr>
        <w:spacing w:before="120" w:after="120" w:line="276" w:lineRule="auto"/>
        <w:contextualSpacing/>
        <w:jc w:val="both"/>
      </w:pPr>
      <w:r w:rsidRPr="00506A83">
        <w:t xml:space="preserve">Počet realizovaných projektů: </w:t>
      </w:r>
      <w:r w:rsidR="006C1F82" w:rsidRPr="00506A83">
        <w:t>42</w:t>
      </w:r>
    </w:p>
    <w:p w14:paraId="341E6E36" w14:textId="77777777" w:rsidR="00906DC8" w:rsidRPr="00506A83" w:rsidRDefault="00906DC8" w:rsidP="00906DC8">
      <w:pPr>
        <w:spacing w:before="120" w:after="120" w:line="276" w:lineRule="auto"/>
        <w:contextualSpacing/>
        <w:jc w:val="both"/>
      </w:pPr>
    </w:p>
    <w:p w14:paraId="484C2121" w14:textId="1DA6687A" w:rsidR="004D5F21" w:rsidRPr="00506A83" w:rsidRDefault="00B77380" w:rsidP="005177B3">
      <w:pPr>
        <w:autoSpaceDE w:val="0"/>
        <w:autoSpaceDN w:val="0"/>
        <w:adjustRightInd w:val="0"/>
        <w:spacing w:before="120" w:after="120" w:line="276" w:lineRule="auto"/>
        <w:jc w:val="both"/>
      </w:pPr>
      <w:r w:rsidRPr="00506A83">
        <w:t xml:space="preserve">Cílem humanitární pomoci (HP) je záchrana lidských životů a omezení utrpení </w:t>
      </w:r>
      <w:r w:rsidR="00FA34F6" w:rsidRPr="00506A83">
        <w:t>vlivem</w:t>
      </w:r>
      <w:r w:rsidRPr="00506A83">
        <w:t xml:space="preserve"> přírodních i lidmi způsobených katastrof</w:t>
      </w:r>
      <w:r w:rsidR="00FA34F6" w:rsidRPr="00506A83">
        <w:t>,</w:t>
      </w:r>
      <w:r w:rsidR="004D5F21" w:rsidRPr="00506A83">
        <w:t xml:space="preserve"> jejich prevence a posilování připravenosti a odolnosti</w:t>
      </w:r>
      <w:r w:rsidRPr="00506A83">
        <w:t xml:space="preserve">. </w:t>
      </w:r>
    </w:p>
    <w:p w14:paraId="59FBC6A4" w14:textId="118D0BC8" w:rsidR="00B77380" w:rsidRPr="00506A83" w:rsidRDefault="00B77380" w:rsidP="005177B3">
      <w:pPr>
        <w:autoSpaceDE w:val="0"/>
        <w:autoSpaceDN w:val="0"/>
        <w:adjustRightInd w:val="0"/>
        <w:spacing w:before="120" w:after="120" w:line="276" w:lineRule="auto"/>
        <w:jc w:val="both"/>
      </w:pPr>
      <w:r w:rsidRPr="00506A83">
        <w:t xml:space="preserve">V rámci humanitárního rozpočtu MZV na rok 2025 dle UV 471/2024 bylo ministrem zahraničních věcí ČR schváleno </w:t>
      </w:r>
      <w:r w:rsidRPr="00506A83">
        <w:rPr>
          <w:b/>
        </w:rPr>
        <w:t>42 humanitárních aktivit v 18 zemích v souhrnné hodnotě 158,03 mil. Kč;</w:t>
      </w:r>
      <w:r w:rsidRPr="00506A83">
        <w:t xml:space="preserve"> formou vnějších rozpočtových opatření byla v součinnosti s MV realizována další pomoc v souhrnné hodnotě </w:t>
      </w:r>
      <w:r w:rsidRPr="00506A83">
        <w:rPr>
          <w:b/>
          <w:bCs/>
        </w:rPr>
        <w:t>7,04 mil. Kč</w:t>
      </w:r>
      <w:r w:rsidRPr="00506A83">
        <w:t>. V rámci humanitární asistence Ukrajině a</w:t>
      </w:r>
      <w:r w:rsidR="004964CB" w:rsidRPr="00506A83">
        <w:t> </w:t>
      </w:r>
      <w:r w:rsidRPr="00506A83">
        <w:t>ukrajinským uprchlíkům v Moldavsku z Programu humanitární, stabilizační, rekonstrukční a</w:t>
      </w:r>
      <w:r w:rsidR="004964CB" w:rsidRPr="00506A83">
        <w:t> </w:t>
      </w:r>
      <w:r w:rsidRPr="00506A83">
        <w:t>hospodářské asistence Ukrajině v letech 2023-2025 dle UV 855/2022 bylo schváleno další 7</w:t>
      </w:r>
      <w:r w:rsidR="004964CB" w:rsidRPr="00506A83">
        <w:t> </w:t>
      </w:r>
      <w:r w:rsidRPr="00506A83">
        <w:t xml:space="preserve">aktivit v celkové hodnotě </w:t>
      </w:r>
      <w:r w:rsidRPr="00506A83">
        <w:rPr>
          <w:b/>
        </w:rPr>
        <w:t>95,74 mil. Kč</w:t>
      </w:r>
      <w:r w:rsidRPr="00506A83">
        <w:t xml:space="preserve">. Přehled humanitární a stabilizační </w:t>
      </w:r>
      <w:r w:rsidRPr="00506A83">
        <w:rPr>
          <w:b/>
        </w:rPr>
        <w:t>asistence Ukrajině</w:t>
      </w:r>
      <w:r w:rsidRPr="00506A83">
        <w:t xml:space="preserve"> je uveden v samostatném bodu </w:t>
      </w:r>
      <w:r w:rsidRPr="00506A83">
        <w:rPr>
          <w:b/>
        </w:rPr>
        <w:t>2.3.3.</w:t>
      </w:r>
      <w:r w:rsidRPr="00506A83">
        <w:t xml:space="preserve"> </w:t>
      </w:r>
    </w:p>
    <w:p w14:paraId="2B00695B" w14:textId="3DF22378" w:rsidR="00B77380" w:rsidRPr="00506A83" w:rsidRDefault="00B77380" w:rsidP="005177B3">
      <w:pPr>
        <w:autoSpaceDE w:val="0"/>
        <w:autoSpaceDN w:val="0"/>
        <w:adjustRightInd w:val="0"/>
        <w:spacing w:before="120" w:after="120" w:line="276" w:lineRule="auto"/>
        <w:jc w:val="both"/>
      </w:pPr>
      <w:r w:rsidRPr="00506A83">
        <w:t xml:space="preserve">Součástí HP ČR v roce 2025 byla okamžitá pomoc při katastrofách (zemětřesení v Myanmaru, záplavy ve Vietnamu, cyklóny na Srí Lance a v jihovýchodní Asii, požáry v Bulharsku, Albánii, Severní Makedonii, Černé Hoře a Španělsku), při konfliktech a nuceném vysídlení (Afghánistán, Arménie, Bangladéš, Gaza, Jemen, Jordánsko, Středoafrická republika, Súdán, Ukrajina), dále pomoc při komplexních humanitárních krizích způsobených kombinací chudoby, nestability a klimatických vlivů (Barma/Myanmar, Etiopie, Libanon, Sahel, Sýrie) a také </w:t>
      </w:r>
      <w:r w:rsidRPr="00506A83">
        <w:rPr>
          <w:b/>
        </w:rPr>
        <w:t>úsilí o snižování rizika katastrof (DRR) a posilování odolnosti</w:t>
      </w:r>
      <w:r w:rsidRPr="00506A83">
        <w:t xml:space="preserve"> zranitelných zemí a regionů (Bosna a Hercegovina, Etiopie, Kambodža a Zambie). Tato priorita byla podpořena také peněžními dary na pokračující podporu implementace Sendaiského rámce pro DRR zejména </w:t>
      </w:r>
      <w:r w:rsidR="001A63A1" w:rsidRPr="00506A83">
        <w:t xml:space="preserve">prostřednictvím </w:t>
      </w:r>
      <w:r w:rsidRPr="00506A83">
        <w:t>program</w:t>
      </w:r>
      <w:r w:rsidR="001A63A1" w:rsidRPr="00506A83">
        <w:t>ů</w:t>
      </w:r>
      <w:r w:rsidRPr="00506A83">
        <w:t xml:space="preserve"> Úřadu OSN pro snižování rizika katastrof (UNDRR), fondu Mezinárodní federace společností Červeného kříže a Červeného půlměsíce (IFRC) pro reakci na katastrofy (DREF) nebo iniciativ</w:t>
      </w:r>
      <w:r w:rsidR="001A63A1" w:rsidRPr="00506A83">
        <w:t>y</w:t>
      </w:r>
      <w:r w:rsidRPr="00506A83">
        <w:t xml:space="preserve"> GT OSN „</w:t>
      </w:r>
      <w:r w:rsidRPr="00506A83">
        <w:rPr>
          <w:i/>
        </w:rPr>
        <w:t>Early Warnings for All</w:t>
      </w:r>
      <w:r w:rsidRPr="00506A83">
        <w:t xml:space="preserve">“. ČR se zde soustředí na konkrétní </w:t>
      </w:r>
      <w:r w:rsidR="001A63A1" w:rsidRPr="00506A83">
        <w:t>řešení pro včasné varování, zvyšování povědomí a posilování odolnosti</w:t>
      </w:r>
      <w:r w:rsidRPr="00506A83">
        <w:t>, např. jednoduchými digitálními aplikacemi, zejména pro potřeby tzv. křehkých států.</w:t>
      </w:r>
    </w:p>
    <w:p w14:paraId="49D6917D" w14:textId="37A713BF" w:rsidR="00B77380" w:rsidRPr="00506A83" w:rsidRDefault="00B77380" w:rsidP="005177B3">
      <w:pPr>
        <w:autoSpaceDE w:val="0"/>
        <w:autoSpaceDN w:val="0"/>
        <w:adjustRightInd w:val="0"/>
        <w:spacing w:before="120" w:after="120" w:line="276" w:lineRule="auto"/>
        <w:jc w:val="both"/>
      </w:pPr>
      <w:r w:rsidRPr="00506A83">
        <w:t xml:space="preserve">Vzhledem k omezeným finančním prostředkům probíhala po celý rok úzká </w:t>
      </w:r>
      <w:r w:rsidRPr="00506A83">
        <w:rPr>
          <w:b/>
        </w:rPr>
        <w:t>koordinace s</w:t>
      </w:r>
      <w:r w:rsidR="004964CB" w:rsidRPr="00506A83">
        <w:rPr>
          <w:b/>
        </w:rPr>
        <w:t> </w:t>
      </w:r>
      <w:r w:rsidRPr="00506A83">
        <w:rPr>
          <w:b/>
        </w:rPr>
        <w:t xml:space="preserve">asistenčními programy pro Afriku a region Blízkého východu </w:t>
      </w:r>
      <w:r w:rsidRPr="00506A83">
        <w:rPr>
          <w:bCs/>
        </w:rPr>
        <w:t>a s humanitárně-migračními programy MEDEVAC a Pomoc na místě</w:t>
      </w:r>
      <w:r w:rsidRPr="00506A83">
        <w:t xml:space="preserve"> v gesci MV tak, aby u prioritních zemí, regionů a</w:t>
      </w:r>
      <w:r w:rsidR="004964CB" w:rsidRPr="00506A83">
        <w:t> </w:t>
      </w:r>
      <w:r w:rsidRPr="00506A83">
        <w:t>témat byly vždy mobilizovány dostatečné zdroje</w:t>
      </w:r>
      <w:r w:rsidR="001A63A1" w:rsidRPr="00506A83">
        <w:t xml:space="preserve"> a zároveň nedocházelo k duplicitám</w:t>
      </w:r>
      <w:r w:rsidRPr="00506A83">
        <w:t xml:space="preserve">. </w:t>
      </w:r>
    </w:p>
    <w:p w14:paraId="4798428C" w14:textId="77777777" w:rsidR="00B77380" w:rsidRPr="00506A83" w:rsidRDefault="00B77380" w:rsidP="005177B3">
      <w:pPr>
        <w:autoSpaceDE w:val="0"/>
        <w:autoSpaceDN w:val="0"/>
        <w:adjustRightInd w:val="0"/>
        <w:spacing w:before="120" w:after="120" w:line="276" w:lineRule="auto"/>
        <w:jc w:val="both"/>
      </w:pPr>
      <w:r w:rsidRPr="00506A83">
        <w:t>Na realizaci humanitární pomoci ČR v zahraničí se v roce 2025 podílely české i zahraniční nevládní organizace, české firmy, mezinárodní humanitární organizace, místní úřady a také ZÚ ČR a Generální ředitelství Hasičského záchranného sboru MV.</w:t>
      </w:r>
    </w:p>
    <w:p w14:paraId="373DE268" w14:textId="23DE9555" w:rsidR="00B77380" w:rsidRPr="00506A83" w:rsidRDefault="00B77380" w:rsidP="005177B3">
      <w:pPr>
        <w:autoSpaceDE w:val="0"/>
        <w:autoSpaceDN w:val="0"/>
        <w:adjustRightInd w:val="0"/>
        <w:spacing w:before="120" w:after="120" w:line="276" w:lineRule="auto"/>
        <w:jc w:val="both"/>
      </w:pPr>
      <w:r w:rsidRPr="00506A83">
        <w:t xml:space="preserve">Celkové čerpání humanitárního ukazatele rozpočtu MZV </w:t>
      </w:r>
      <w:r w:rsidR="005750EE" w:rsidRPr="00506A83">
        <w:t xml:space="preserve">napříč všemi nástroji </w:t>
      </w:r>
      <w:r w:rsidRPr="00506A83">
        <w:t>v r. 2025 činilo</w:t>
      </w:r>
      <w:r w:rsidRPr="00506A83">
        <w:rPr>
          <w:b/>
        </w:rPr>
        <w:t xml:space="preserve"> 260,813 mil. Kč</w:t>
      </w:r>
      <w:r w:rsidRPr="00506A83">
        <w:t xml:space="preserve">. </w:t>
      </w:r>
    </w:p>
    <w:p w14:paraId="3CDC2807" w14:textId="77777777" w:rsidR="00C557AF" w:rsidRPr="00506A83" w:rsidRDefault="00C557AF" w:rsidP="005177B3">
      <w:pPr>
        <w:spacing w:before="120" w:after="120" w:line="276" w:lineRule="auto"/>
      </w:pPr>
    </w:p>
    <w:p w14:paraId="7A1E2DBA" w14:textId="77777777" w:rsidR="00933793" w:rsidRPr="00506A83" w:rsidRDefault="00875F04" w:rsidP="0012521C">
      <w:pPr>
        <w:pStyle w:val="Nadpis3"/>
        <w:numPr>
          <w:ilvl w:val="2"/>
          <w:numId w:val="37"/>
        </w:numPr>
        <w:spacing w:before="120" w:after="120" w:line="276" w:lineRule="auto"/>
        <w:ind w:left="709" w:hanging="709"/>
        <w:rPr>
          <w:rFonts w:ascii="Times New Roman" w:hAnsi="Times New Roman" w:cs="Times New Roman"/>
        </w:rPr>
      </w:pPr>
      <w:bookmarkStart w:id="42" w:name="_Toc228190597"/>
      <w:bookmarkStart w:id="43" w:name="_Toc231294151"/>
      <w:r w:rsidRPr="00506A83">
        <w:rPr>
          <w:rFonts w:ascii="Times New Roman" w:hAnsi="Times New Roman" w:cs="Times New Roman"/>
        </w:rPr>
        <w:lastRenderedPageBreak/>
        <w:t>Program transformační spolupráce</w:t>
      </w:r>
      <w:bookmarkEnd w:id="42"/>
      <w:bookmarkEnd w:id="43"/>
      <w:r w:rsidRPr="00506A83">
        <w:rPr>
          <w:rFonts w:ascii="Times New Roman" w:hAnsi="Times New Roman" w:cs="Times New Roman"/>
        </w:rPr>
        <w:t xml:space="preserve"> </w:t>
      </w:r>
    </w:p>
    <w:p w14:paraId="19107400" w14:textId="4F7A7983" w:rsidR="00E35402" w:rsidRPr="00506A83" w:rsidRDefault="00E35402" w:rsidP="00E35402">
      <w:pPr>
        <w:spacing w:before="120" w:after="120" w:line="276" w:lineRule="auto"/>
        <w:contextualSpacing/>
        <w:jc w:val="both"/>
      </w:pPr>
      <w:r w:rsidRPr="00506A83">
        <w:t xml:space="preserve">Čerpáno v roce 2025: </w:t>
      </w:r>
      <w:r w:rsidR="00130BFF" w:rsidRPr="00506A83">
        <w:t>98,5 mil. Kč</w:t>
      </w:r>
    </w:p>
    <w:p w14:paraId="273ED322" w14:textId="162600EA" w:rsidR="00E35402" w:rsidRPr="00506A83" w:rsidRDefault="00E35402" w:rsidP="00E35402">
      <w:pPr>
        <w:spacing w:before="120" w:after="120" w:line="276" w:lineRule="auto"/>
        <w:contextualSpacing/>
        <w:jc w:val="both"/>
      </w:pPr>
      <w:r w:rsidRPr="00506A83">
        <w:t xml:space="preserve">Počet realizovaných projektů: </w:t>
      </w:r>
      <w:r w:rsidR="004508BF" w:rsidRPr="00506A83">
        <w:t>109</w:t>
      </w:r>
    </w:p>
    <w:p w14:paraId="3DE297A0" w14:textId="77777777" w:rsidR="00E35402" w:rsidRPr="00506A83" w:rsidRDefault="00E35402" w:rsidP="005177B3">
      <w:pPr>
        <w:autoSpaceDE w:val="0"/>
        <w:autoSpaceDN w:val="0"/>
        <w:adjustRightInd w:val="0"/>
        <w:spacing w:before="120" w:after="120" w:line="276" w:lineRule="auto"/>
        <w:jc w:val="both"/>
      </w:pPr>
    </w:p>
    <w:p w14:paraId="506610F3" w14:textId="1BD59BF2" w:rsidR="002E03FA" w:rsidRPr="00506A83" w:rsidRDefault="0043593B" w:rsidP="005177B3">
      <w:pPr>
        <w:autoSpaceDE w:val="0"/>
        <w:autoSpaceDN w:val="0"/>
        <w:adjustRightInd w:val="0"/>
        <w:spacing w:before="120" w:after="120" w:line="276" w:lineRule="auto"/>
        <w:jc w:val="both"/>
      </w:pPr>
      <w:r w:rsidRPr="00506A83">
        <w:t xml:space="preserve">Zásadní složkou ZRS ČR v sektoru řádné veřejné správy je Program transformační spolupráce, jehož cílem je přispívat k vytváření a posilování demokratických institucí na ochranu lidských práv, k podpoře právního státu, občanské společnosti, nezávislých médií a zásad řádné správy veřejných záležitostí. </w:t>
      </w:r>
      <w:r w:rsidRPr="00506A83">
        <w:rPr>
          <w:b/>
        </w:rPr>
        <w:t xml:space="preserve">V Plánu ZRS na rok 2025 na něj bylo vyčleněno 100 mil. Kč. </w:t>
      </w:r>
    </w:p>
    <w:p w14:paraId="7AF96FC9" w14:textId="77777777" w:rsidR="0043593B" w:rsidRPr="00506A83" w:rsidRDefault="0043593B" w:rsidP="005177B3">
      <w:pPr>
        <w:autoSpaceDE w:val="0"/>
        <w:autoSpaceDN w:val="0"/>
        <w:adjustRightInd w:val="0"/>
        <w:spacing w:before="120" w:after="120" w:line="276" w:lineRule="auto"/>
        <w:jc w:val="both"/>
      </w:pPr>
      <w:r w:rsidRPr="00506A83">
        <w:t xml:space="preserve">Program se i v roce 2025 zaměřil na země přednostního zájmu zahraniční politiky ČR, kde zároveň existuje určitý předpoklad přenositelnosti české zkušenosti a tradice vzájemných kontaktů (Arménie, Bělorusko, Bosna a Hercegovina, Gruzie, Kosovo, Kuba, Moldavsko, Myanmar/Barma, Srbsko, Ukrajina a Vietnam). </w:t>
      </w:r>
    </w:p>
    <w:p w14:paraId="4E425A9E" w14:textId="33C45262" w:rsidR="0043593B" w:rsidRPr="00506A83" w:rsidRDefault="0043593B" w:rsidP="005177B3">
      <w:pPr>
        <w:autoSpaceDE w:val="0"/>
        <w:autoSpaceDN w:val="0"/>
        <w:adjustRightInd w:val="0"/>
        <w:spacing w:before="120" w:after="120" w:line="276" w:lineRule="auto"/>
        <w:jc w:val="both"/>
      </w:pPr>
      <w:r w:rsidRPr="00506A83">
        <w:t>Celkem bylo v roce 2025 v rámci Programu transformační spolupráce financováno 105 projektů českých nevládních organizací a institucí, realizovaných ve spolupráci s jejich partnery v</w:t>
      </w:r>
      <w:r w:rsidR="00FA4CD6" w:rsidRPr="00506A83">
        <w:t> </w:t>
      </w:r>
      <w:r w:rsidRPr="00506A83">
        <w:t>cílových zemích, včetně samosta</w:t>
      </w:r>
      <w:r w:rsidR="00F5675B" w:rsidRPr="00506A83">
        <w:t>t</w:t>
      </w:r>
      <w:r w:rsidRPr="00506A83">
        <w:t xml:space="preserve">ných projektových aktivit MZV, uskutečněných převážně prostřednictvím ZÚ ČR v zahraničí. Kromě programových zemí se některé jednorázové aktivity týkaly i dalších zemí regionů Afriky, Latinské Ameriky, Asie a Blízkého východu či post-sovětského prostoru. Řada projektů, na kterých se podílely české subjekty, byly vícestranné či mezinárodní. </w:t>
      </w:r>
    </w:p>
    <w:p w14:paraId="723D884D" w14:textId="629B4F1D" w:rsidR="0043593B" w:rsidRPr="00506A83" w:rsidRDefault="0043593B" w:rsidP="005177B3">
      <w:pPr>
        <w:autoSpaceDE w:val="0"/>
        <w:autoSpaceDN w:val="0"/>
        <w:adjustRightInd w:val="0"/>
        <w:spacing w:before="120" w:after="120" w:line="276" w:lineRule="auto"/>
        <w:jc w:val="both"/>
        <w:rPr>
          <w:b/>
          <w:bCs/>
        </w:rPr>
      </w:pPr>
      <w:r w:rsidRPr="00506A83">
        <w:rPr>
          <w:b/>
        </w:rPr>
        <w:t>Celkově bylo na projekty na podporu lidských práv a demokracie v roce 2025 vynaloženo 98 519 499,40 Kč</w:t>
      </w:r>
      <w:r w:rsidRPr="00506A83">
        <w:t xml:space="preserve"> (podrobněji viz </w:t>
      </w:r>
      <w:r w:rsidRPr="00506A83">
        <w:rPr>
          <w:b/>
          <w:bCs/>
        </w:rPr>
        <w:t>příloha č. 3).</w:t>
      </w:r>
    </w:p>
    <w:p w14:paraId="40C65CCA" w14:textId="4C44320D" w:rsidR="00D80757" w:rsidRPr="00506A83" w:rsidRDefault="00F91A60" w:rsidP="0012521C">
      <w:pPr>
        <w:pStyle w:val="Nadpis3"/>
        <w:numPr>
          <w:ilvl w:val="2"/>
          <w:numId w:val="37"/>
        </w:numPr>
        <w:spacing w:before="120" w:after="120" w:line="276" w:lineRule="auto"/>
        <w:ind w:left="709" w:hanging="709"/>
        <w:rPr>
          <w:rFonts w:ascii="Times New Roman" w:hAnsi="Times New Roman" w:cs="Times New Roman"/>
          <w:color w:val="FF0000"/>
        </w:rPr>
      </w:pPr>
      <w:bookmarkStart w:id="44" w:name="_Toc228190598"/>
      <w:bookmarkStart w:id="45" w:name="_Toc231294152"/>
      <w:r w:rsidRPr="00506A83">
        <w:rPr>
          <w:rFonts w:ascii="Times New Roman" w:hAnsi="Times New Roman" w:cs="Times New Roman"/>
        </w:rPr>
        <w:t>Rozvojová spolupráce EU</w:t>
      </w:r>
      <w:bookmarkEnd w:id="44"/>
      <w:bookmarkEnd w:id="45"/>
    </w:p>
    <w:p w14:paraId="44E778A5" w14:textId="4A79D1E2" w:rsidR="006C1B3D" w:rsidRPr="00506A83" w:rsidRDefault="006C1B3D" w:rsidP="005A26F9">
      <w:pPr>
        <w:autoSpaceDE w:val="0"/>
        <w:autoSpaceDN w:val="0"/>
        <w:adjustRightInd w:val="0"/>
        <w:spacing w:before="120" w:after="120" w:line="276" w:lineRule="auto"/>
        <w:jc w:val="both"/>
      </w:pPr>
      <w:r w:rsidRPr="00506A83">
        <w:t>Rozvojová spolupráce EU představovala v roce 2025 významnou část agendy</w:t>
      </w:r>
      <w:r w:rsidR="005A26F9" w:rsidRPr="00506A83">
        <w:t xml:space="preserve">, </w:t>
      </w:r>
      <w:r w:rsidRPr="00506A83">
        <w:t>zejména v</w:t>
      </w:r>
      <w:r w:rsidR="00FA4CD6" w:rsidRPr="00506A83">
        <w:t> </w:t>
      </w:r>
      <w:r w:rsidRPr="00506A83">
        <w:t xml:space="preserve">oblasti koordinace českých vstupů do evropských finančních a programových mechanismů. </w:t>
      </w:r>
    </w:p>
    <w:p w14:paraId="48ADC5CE" w14:textId="425102B5" w:rsidR="006C1B3D" w:rsidRPr="00506A83" w:rsidRDefault="006C1B3D" w:rsidP="006C1B3D">
      <w:pPr>
        <w:autoSpaceDE w:val="0"/>
        <w:autoSpaceDN w:val="0"/>
        <w:adjustRightInd w:val="0"/>
        <w:spacing w:before="120" w:after="120" w:line="276" w:lineRule="auto"/>
        <w:jc w:val="both"/>
      </w:pPr>
      <w:r w:rsidRPr="00506A83">
        <w:t>Důraz byl kladen na provázání bilaterální spolupráce ČR s unijními nástroji tak, aby se české tematické i geografické priority promítaly do plánování a realizace programů EU v</w:t>
      </w:r>
      <w:r w:rsidR="004964CB" w:rsidRPr="00506A83">
        <w:t> </w:t>
      </w:r>
      <w:r w:rsidRPr="00506A83">
        <w:t xml:space="preserve">partnerských zemích. Zintenzivnily se kontakty s relevantními ředitelstvími Evropské </w:t>
      </w:r>
      <w:r w:rsidR="007A6F67" w:rsidRPr="00506A83">
        <w:t>k</w:t>
      </w:r>
      <w:r w:rsidRPr="00506A83">
        <w:t>omise (INTPA, MENA a ENEST) k prosazování českých priorit i aktérů, mj. při zasedání výboru k</w:t>
      </w:r>
      <w:r w:rsidR="00FA4CD6" w:rsidRPr="00506A83">
        <w:t> </w:t>
      </w:r>
      <w:r w:rsidRPr="00506A83">
        <w:t>nástroji NDICI-GE. Tyto aktivity zahrnovaly také účast na evropských fórech a koordinačních jednáních, na nichž byly posuzovány priority ČR ve vazbě na dlouhodobé strategie ZRS.</w:t>
      </w:r>
    </w:p>
    <w:p w14:paraId="2E5672CD" w14:textId="16AA2FED" w:rsidR="006C1B3D" w:rsidRPr="00506A83" w:rsidRDefault="006C1B3D" w:rsidP="006C1B3D">
      <w:pPr>
        <w:autoSpaceDE w:val="0"/>
        <w:autoSpaceDN w:val="0"/>
        <w:adjustRightInd w:val="0"/>
        <w:spacing w:before="120" w:after="120" w:line="276" w:lineRule="auto"/>
        <w:jc w:val="both"/>
      </w:pPr>
      <w:r w:rsidRPr="00506A83">
        <w:t>ČR se zároveň aktivně zapojila do vyjednávání budoucí podoby nástroje Global Europe, který bude po roce 2027 představovat hlavní rozpočtový nástroj vnější činnosti EU. Paralelně pokračovalo úsilí o úpravu zadávacích podmínek Evropské komise, EBRD a EIB směrem k</w:t>
      </w:r>
      <w:r w:rsidR="004964CB" w:rsidRPr="00506A83">
        <w:t> </w:t>
      </w:r>
      <w:r w:rsidRPr="00506A83">
        <w:t>většímu zohlednění evropských dodavatelů.</w:t>
      </w:r>
    </w:p>
    <w:p w14:paraId="4B555C16" w14:textId="77777777" w:rsidR="006C1B3D" w:rsidRPr="00506A83" w:rsidRDefault="006C1B3D" w:rsidP="006C1B3D">
      <w:pPr>
        <w:autoSpaceDE w:val="0"/>
        <w:autoSpaceDN w:val="0"/>
        <w:adjustRightInd w:val="0"/>
        <w:spacing w:before="120" w:after="120" w:line="276" w:lineRule="auto"/>
        <w:jc w:val="both"/>
      </w:pPr>
      <w:r w:rsidRPr="00506A83">
        <w:lastRenderedPageBreak/>
        <w:t>Významnou roli sehrála platforma Team Czechia, která v roce 2025–2026 pokračovala ve sběru projektových návrhů a v přípravě české pipeline projektů Global Gateway. Pipeline slouží jako základ pro konzultace s Evropskou komisí (DG INTPA a DG NEAR) a pro posuzování projektů, které mají potenciál vstoupit do evropských investičních nástrojů typu Investment Hub či EFSD+.</w:t>
      </w:r>
    </w:p>
    <w:p w14:paraId="3DA2E630" w14:textId="2E81F9B5" w:rsidR="0043593B" w:rsidRPr="00506A83" w:rsidRDefault="006C1B3D" w:rsidP="006C1B3D">
      <w:pPr>
        <w:autoSpaceDE w:val="0"/>
        <w:autoSpaceDN w:val="0"/>
        <w:adjustRightInd w:val="0"/>
        <w:spacing w:before="120" w:after="120" w:line="276" w:lineRule="auto"/>
        <w:jc w:val="both"/>
      </w:pPr>
      <w:r w:rsidRPr="00506A83">
        <w:t>Koordinovaná prezentace projektů na úrovni EU usnadňuje identifikaci možností pro české firmy a veřejné instituce, a zároveň přispívá ke strategickému směřování zapojení ČR v rámci iniciativy Global Gateway.</w:t>
      </w:r>
    </w:p>
    <w:p w14:paraId="3CF87F09" w14:textId="42DADB73" w:rsidR="00475BA6" w:rsidRPr="00506A83" w:rsidRDefault="00A4492A" w:rsidP="0012521C">
      <w:pPr>
        <w:pStyle w:val="Nadpis3"/>
        <w:numPr>
          <w:ilvl w:val="2"/>
          <w:numId w:val="37"/>
        </w:numPr>
        <w:spacing w:before="120" w:after="120" w:line="276" w:lineRule="auto"/>
        <w:ind w:left="709" w:hanging="709"/>
        <w:rPr>
          <w:rFonts w:ascii="Times New Roman" w:hAnsi="Times New Roman" w:cs="Times New Roman"/>
        </w:rPr>
      </w:pPr>
      <w:bookmarkStart w:id="46" w:name="_Toc228190599"/>
      <w:bookmarkStart w:id="47" w:name="_Toc231294153"/>
      <w:r w:rsidRPr="00506A83">
        <w:rPr>
          <w:rFonts w:ascii="Times New Roman" w:hAnsi="Times New Roman" w:cs="Times New Roman"/>
        </w:rPr>
        <w:t>Mnohostranná rozvojová spolupráce</w:t>
      </w:r>
      <w:bookmarkEnd w:id="46"/>
      <w:bookmarkEnd w:id="47"/>
      <w:r w:rsidRPr="00506A83">
        <w:rPr>
          <w:rFonts w:ascii="Times New Roman" w:hAnsi="Times New Roman" w:cs="Times New Roman"/>
        </w:rPr>
        <w:t xml:space="preserve"> </w:t>
      </w:r>
    </w:p>
    <w:p w14:paraId="48450AB8" w14:textId="77777777" w:rsidR="00BC4DB5" w:rsidRPr="00506A83" w:rsidRDefault="00BC4DB5" w:rsidP="00113593">
      <w:pPr>
        <w:pStyle w:val="Nadpis4"/>
        <w:rPr>
          <w:rStyle w:val="normaltextrun"/>
        </w:rPr>
      </w:pPr>
      <w:r w:rsidRPr="00506A83">
        <w:rPr>
          <w:rStyle w:val="normaltextrun"/>
        </w:rPr>
        <w:t>Výbor pro rozvojovou pomoc OECD (OECD/DAC)</w:t>
      </w:r>
    </w:p>
    <w:p w14:paraId="5814D918" w14:textId="1CEACF83" w:rsidR="00BC4DB5" w:rsidRPr="00506A83" w:rsidRDefault="00BC4DB5" w:rsidP="003D4685">
      <w:pPr>
        <w:pStyle w:val="paragraph"/>
        <w:spacing w:before="120" w:beforeAutospacing="0" w:after="120" w:afterAutospacing="0" w:line="276" w:lineRule="auto"/>
        <w:jc w:val="both"/>
        <w:textAlignment w:val="baseline"/>
        <w:rPr>
          <w:color w:val="000000" w:themeColor="text1"/>
        </w:rPr>
      </w:pPr>
      <w:r w:rsidRPr="00506A83">
        <w:rPr>
          <w:rStyle w:val="normaltextrun"/>
          <w:bCs/>
          <w:color w:val="000000" w:themeColor="text1"/>
        </w:rPr>
        <w:t>ČR</w:t>
      </w:r>
      <w:r w:rsidR="00A91C00" w:rsidRPr="00506A83">
        <w:rPr>
          <w:rStyle w:val="normaltextrun"/>
          <w:bCs/>
          <w:color w:val="000000" w:themeColor="text1"/>
        </w:rPr>
        <w:t xml:space="preserve"> i v roce 2025</w:t>
      </w:r>
      <w:r w:rsidRPr="00506A83">
        <w:rPr>
          <w:rStyle w:val="normaltextrun"/>
          <w:bCs/>
          <w:color w:val="000000" w:themeColor="text1"/>
        </w:rPr>
        <w:t xml:space="preserve"> pokračovala v aktivním sledování je</w:t>
      </w:r>
      <w:r w:rsidRPr="00506A83">
        <w:rPr>
          <w:color w:val="000000" w:themeColor="text1"/>
        </w:rPr>
        <w:t xml:space="preserve">dnání </w:t>
      </w:r>
      <w:r w:rsidRPr="00506A83">
        <w:rPr>
          <w:b/>
          <w:color w:val="000000" w:themeColor="text1"/>
        </w:rPr>
        <w:t>ke statistickému výkaznictví (WP-STAT),</w:t>
      </w:r>
      <w:r w:rsidR="002E03FA" w:rsidRPr="00506A83">
        <w:rPr>
          <w:color w:val="000000" w:themeColor="text1"/>
        </w:rPr>
        <w:t xml:space="preserve"> kde hlavním tématem bylo vykazování mobilizování soukromého sektoru a tzv. vázaná pomoc. </w:t>
      </w:r>
      <w:r w:rsidRPr="00506A83">
        <w:rPr>
          <w:color w:val="000000" w:themeColor="text1"/>
        </w:rPr>
        <w:t xml:space="preserve">ČR se aktivně účastnila též </w:t>
      </w:r>
      <w:r w:rsidRPr="00506A83">
        <w:rPr>
          <w:b/>
          <w:color w:val="000000" w:themeColor="text1"/>
        </w:rPr>
        <w:t>evaluačních jednání (EVALNET</w:t>
      </w:r>
      <w:r w:rsidRPr="00506A83">
        <w:rPr>
          <w:color w:val="000000" w:themeColor="text1"/>
        </w:rPr>
        <w:t xml:space="preserve">) a odborné </w:t>
      </w:r>
      <w:r w:rsidRPr="00506A83">
        <w:rPr>
          <w:b/>
          <w:color w:val="000000" w:themeColor="text1"/>
        </w:rPr>
        <w:t>Skupiny ke konfliktu a křehkosti (INCAF),</w:t>
      </w:r>
      <w:r w:rsidRPr="00506A83">
        <w:rPr>
          <w:color w:val="000000" w:themeColor="text1"/>
        </w:rPr>
        <w:t xml:space="preserve"> která je garantem Doporučení OECD/DAC k trojitému nexu i Globálního rámce křehkosti (Fragility Framework).</w:t>
      </w:r>
    </w:p>
    <w:p w14:paraId="54DD27A5" w14:textId="6340A9DC" w:rsidR="00BC4DB5" w:rsidRPr="00506A83" w:rsidRDefault="00BC4DB5" w:rsidP="005177B3">
      <w:pPr>
        <w:pStyle w:val="paragraph"/>
        <w:spacing w:before="120" w:beforeAutospacing="0" w:after="120" w:afterAutospacing="0" w:line="276" w:lineRule="auto"/>
        <w:jc w:val="both"/>
        <w:textAlignment w:val="baseline"/>
        <w:rPr>
          <w:color w:val="000000" w:themeColor="text1"/>
        </w:rPr>
      </w:pPr>
      <w:r w:rsidRPr="00506A83">
        <w:rPr>
          <w:color w:val="000000" w:themeColor="text1"/>
        </w:rPr>
        <w:t xml:space="preserve">ČR poskytla OECD/DAC v závěru roku 2025 </w:t>
      </w:r>
      <w:r w:rsidRPr="00506A83">
        <w:rPr>
          <w:b/>
          <w:color w:val="000000" w:themeColor="text1"/>
        </w:rPr>
        <w:t xml:space="preserve">dobrovolný příspěvek ve </w:t>
      </w:r>
      <w:r w:rsidRPr="00506A83">
        <w:rPr>
          <w:b/>
        </w:rPr>
        <w:t xml:space="preserve">výši </w:t>
      </w:r>
      <w:r w:rsidR="002474CC" w:rsidRPr="00506A83">
        <w:rPr>
          <w:b/>
        </w:rPr>
        <w:t>4</w:t>
      </w:r>
      <w:r w:rsidRPr="00506A83">
        <w:rPr>
          <w:b/>
        </w:rPr>
        <w:t> mil. Kč</w:t>
      </w:r>
      <w:r w:rsidRPr="00506A83">
        <w:t xml:space="preserve">, kterým </w:t>
      </w:r>
      <w:r w:rsidRPr="00506A83">
        <w:rPr>
          <w:color w:val="000000" w:themeColor="text1"/>
        </w:rPr>
        <w:t>podpořila pokračování spolupráce v uvedených oblastech</w:t>
      </w:r>
      <w:r w:rsidR="001A63A1" w:rsidRPr="00506A83">
        <w:rPr>
          <w:color w:val="000000" w:themeColor="text1"/>
        </w:rPr>
        <w:t xml:space="preserve"> v letech 2025-26</w:t>
      </w:r>
      <w:r w:rsidRPr="00506A83">
        <w:rPr>
          <w:color w:val="000000" w:themeColor="text1"/>
        </w:rPr>
        <w:t xml:space="preserve">. </w:t>
      </w:r>
    </w:p>
    <w:p w14:paraId="0F0B8E0F" w14:textId="77777777" w:rsidR="00BC4DB5" w:rsidRPr="00506A83" w:rsidRDefault="00BC4DB5" w:rsidP="00113593">
      <w:pPr>
        <w:pStyle w:val="Nadpis4"/>
      </w:pPr>
      <w:r w:rsidRPr="00506A83">
        <w:rPr>
          <w:rStyle w:val="normaltextrun"/>
        </w:rPr>
        <w:t>Organizace spojených národů (OSN</w:t>
      </w:r>
      <w:r w:rsidRPr="00506A83">
        <w:rPr>
          <w:rStyle w:val="eop"/>
        </w:rPr>
        <w:t>)</w:t>
      </w:r>
    </w:p>
    <w:p w14:paraId="49559CEE" w14:textId="1D317168" w:rsidR="00BC4DB5" w:rsidRPr="00506A83" w:rsidRDefault="00BC4DB5" w:rsidP="005177B3">
      <w:pPr>
        <w:pStyle w:val="paragraph"/>
        <w:spacing w:before="120" w:beforeAutospacing="0" w:after="120" w:afterAutospacing="0" w:line="276" w:lineRule="auto"/>
        <w:jc w:val="both"/>
        <w:textAlignment w:val="baseline"/>
        <w:rPr>
          <w:rStyle w:val="normaltextrun"/>
          <w:bCs/>
          <w:color w:val="000000" w:themeColor="text1"/>
        </w:rPr>
      </w:pPr>
      <w:r w:rsidRPr="00506A83">
        <w:rPr>
          <w:rStyle w:val="normaltextrun"/>
          <w:color w:val="000000" w:themeColor="text1"/>
        </w:rPr>
        <w:t xml:space="preserve">ČR v souvislosti s působením v rozvojovém systému OSN v r. 2025 zasedala ve </w:t>
      </w:r>
      <w:r w:rsidRPr="00506A83">
        <w:rPr>
          <w:rStyle w:val="normaltextrun"/>
          <w:b/>
          <w:color w:val="000000" w:themeColor="text1"/>
        </w:rPr>
        <w:t>Výkonné radě Dětského fondu OSN (UNICEF)</w:t>
      </w:r>
      <w:r w:rsidRPr="00506A83">
        <w:rPr>
          <w:rStyle w:val="Znakapoznpodarou"/>
          <w:b/>
          <w:color w:val="000000" w:themeColor="text1"/>
        </w:rPr>
        <w:footnoteReference w:id="1"/>
      </w:r>
      <w:r w:rsidR="003542D7" w:rsidRPr="00506A83">
        <w:rPr>
          <w:rStyle w:val="normaltextrun"/>
          <w:b/>
          <w:color w:val="000000" w:themeColor="text1"/>
        </w:rPr>
        <w:t xml:space="preserve"> </w:t>
      </w:r>
      <w:r w:rsidRPr="00506A83">
        <w:rPr>
          <w:rStyle w:val="normaltextrun"/>
          <w:color w:val="000000" w:themeColor="text1"/>
        </w:rPr>
        <w:t>v New Yorku</w:t>
      </w:r>
      <w:r w:rsidRPr="00506A83">
        <w:rPr>
          <w:rStyle w:val="normaltextrun"/>
          <w:b/>
          <w:color w:val="000000" w:themeColor="text1"/>
        </w:rPr>
        <w:t xml:space="preserve">, </w:t>
      </w:r>
      <w:r w:rsidRPr="00506A83">
        <w:rPr>
          <w:rStyle w:val="normaltextrun"/>
          <w:bCs/>
          <w:color w:val="000000" w:themeColor="text1"/>
        </w:rPr>
        <w:t>v</w:t>
      </w:r>
      <w:r w:rsidR="00584FDB" w:rsidRPr="00506A83">
        <w:rPr>
          <w:rStyle w:val="normaltextrun"/>
          <w:bCs/>
          <w:color w:val="000000" w:themeColor="text1"/>
        </w:rPr>
        <w:t xml:space="preserve"> předsednictvu</w:t>
      </w:r>
      <w:r w:rsidRPr="00506A83">
        <w:rPr>
          <w:rStyle w:val="normaltextrun"/>
          <w:bCs/>
          <w:color w:val="000000" w:themeColor="text1"/>
        </w:rPr>
        <w:t xml:space="preserve"> </w:t>
      </w:r>
      <w:r w:rsidRPr="00506A83">
        <w:rPr>
          <w:rStyle w:val="normaltextrun"/>
          <w:b/>
          <w:bCs/>
          <w:color w:val="000000" w:themeColor="text1"/>
        </w:rPr>
        <w:t>Výboru stálých představitelů Programu OSN pro životní prostředí</w:t>
      </w:r>
      <w:r w:rsidRPr="00506A83">
        <w:rPr>
          <w:rStyle w:val="normaltextrun"/>
          <w:bCs/>
          <w:color w:val="000000" w:themeColor="text1"/>
        </w:rPr>
        <w:t xml:space="preserve"> (</w:t>
      </w:r>
      <w:r w:rsidRPr="00506A83">
        <w:rPr>
          <w:rStyle w:val="normaltextrun"/>
          <w:b/>
          <w:bCs/>
          <w:color w:val="000000" w:themeColor="text1"/>
        </w:rPr>
        <w:t>UNEP)</w:t>
      </w:r>
      <w:r w:rsidRPr="00506A83">
        <w:rPr>
          <w:rStyle w:val="Znakapoznpodarou"/>
          <w:b/>
          <w:bCs/>
          <w:color w:val="000000" w:themeColor="text1"/>
        </w:rPr>
        <w:footnoteReference w:id="2"/>
      </w:r>
      <w:r w:rsidRPr="00506A83">
        <w:rPr>
          <w:rStyle w:val="normaltextrun"/>
          <w:bCs/>
          <w:color w:val="000000" w:themeColor="text1"/>
        </w:rPr>
        <w:t xml:space="preserve"> v Nairobi a ve </w:t>
      </w:r>
      <w:r w:rsidRPr="00506A83">
        <w:rPr>
          <w:rStyle w:val="normaltextrun"/>
          <w:b/>
          <w:bCs/>
          <w:color w:val="000000" w:themeColor="text1"/>
        </w:rPr>
        <w:t xml:space="preserve">Výkonné radě Světového potravinového programu OSN (WFP) </w:t>
      </w:r>
      <w:r w:rsidRPr="00506A83">
        <w:rPr>
          <w:rStyle w:val="normaltextrun"/>
          <w:bCs/>
          <w:color w:val="000000" w:themeColor="text1"/>
        </w:rPr>
        <w:t xml:space="preserve">v Římě. </w:t>
      </w:r>
    </w:p>
    <w:p w14:paraId="1C27041C" w14:textId="741353A6" w:rsidR="00A91C00" w:rsidRPr="00506A83" w:rsidRDefault="00BC4DB5" w:rsidP="005177B3">
      <w:pPr>
        <w:pStyle w:val="paragraph"/>
        <w:spacing w:before="120" w:beforeAutospacing="0" w:after="120" w:afterAutospacing="0" w:line="276" w:lineRule="auto"/>
        <w:jc w:val="both"/>
        <w:textAlignment w:val="baseline"/>
        <w:rPr>
          <w:color w:val="000000" w:themeColor="text1"/>
        </w:rPr>
      </w:pPr>
      <w:r w:rsidRPr="00506A83">
        <w:rPr>
          <w:rStyle w:val="normaltextrun"/>
          <w:color w:val="000000" w:themeColor="text1"/>
        </w:rPr>
        <w:t xml:space="preserve">V roce 2025 pokračovala komplexní spolupráce s Rozvojovým programem OSN (UNDP) v rámci dlouhodobého </w:t>
      </w:r>
      <w:r w:rsidRPr="00506A83">
        <w:rPr>
          <w:rStyle w:val="normaltextrun"/>
          <w:b/>
          <w:color w:val="000000" w:themeColor="text1"/>
        </w:rPr>
        <w:t xml:space="preserve">Partnerství pro cíle udržitelného rozvoje mezi ČR a Rozvojovým programem OSN (CUP) </w:t>
      </w:r>
      <w:r w:rsidRPr="00506A83">
        <w:rPr>
          <w:rStyle w:val="normaltextrun"/>
          <w:bCs/>
          <w:color w:val="000000" w:themeColor="text1"/>
        </w:rPr>
        <w:t>v</w:t>
      </w:r>
      <w:r w:rsidRPr="00506A83">
        <w:rPr>
          <w:rStyle w:val="normaltextrun"/>
          <w:color w:val="000000" w:themeColor="text1"/>
        </w:rPr>
        <w:t xml:space="preserve">e spolupráci s regionální kanceláří UNDP v Istanbulu. Naplňování cílů Partnerství bylo podpořeno celkovou částkou </w:t>
      </w:r>
      <w:r w:rsidR="00584FDB" w:rsidRPr="00506A83">
        <w:rPr>
          <w:rStyle w:val="normaltextrun"/>
          <w:b/>
          <w:color w:val="000000" w:themeColor="text1"/>
        </w:rPr>
        <w:t>17</w:t>
      </w:r>
      <w:r w:rsidRPr="00506A83">
        <w:rPr>
          <w:rStyle w:val="normaltextrun"/>
          <w:b/>
          <w:color w:val="000000" w:themeColor="text1"/>
        </w:rPr>
        <w:t xml:space="preserve"> mil. Kč</w:t>
      </w:r>
      <w:r w:rsidRPr="00506A83">
        <w:rPr>
          <w:rStyle w:val="normaltextrun"/>
          <w:color w:val="000000" w:themeColor="text1"/>
        </w:rPr>
        <w:t xml:space="preserve">, které napomohly přenosu primárně českých zkušeností a inovativních řešení do prioritních zemí české ZRS. V r. 2025 </w:t>
      </w:r>
      <w:r w:rsidRPr="00506A83">
        <w:rPr>
          <w:color w:val="000000" w:themeColor="text1"/>
        </w:rPr>
        <w:t xml:space="preserve">bylo ve výzvě Challenge Fundu podáno celkem 109 platných námětů, z nichž 13 bylo vybráno k realizaci (čtyři návrhy pro Bosnu a Hercegovinu, dva návrhy pro Moldavsko, tři návrhy pro Zambii, dva návrhy pro Gruzii, a po jednom návrhu pro Etiopii a Kambodžu). V rámci Partnerství bylo do zahraničí vysláno také pět českých expertů, kteří se podíleli na budování kybernetických kapacit v Bosně a Hercegovině nebo na projektech s tematikou mentálního zdraví v Gruzii. </w:t>
      </w:r>
    </w:p>
    <w:p w14:paraId="5D5778C3" w14:textId="3121AB0D" w:rsidR="00BC4DB5" w:rsidRPr="00506A83" w:rsidRDefault="00BC4DB5" w:rsidP="005177B3">
      <w:pPr>
        <w:pStyle w:val="paragraph"/>
        <w:spacing w:before="120" w:beforeAutospacing="0" w:after="120" w:afterAutospacing="0" w:line="276" w:lineRule="auto"/>
        <w:jc w:val="both"/>
        <w:textAlignment w:val="baseline"/>
        <w:rPr>
          <w:rStyle w:val="normaltextrun"/>
          <w:color w:val="000000" w:themeColor="text1"/>
        </w:rPr>
      </w:pPr>
      <w:r w:rsidRPr="00506A83">
        <w:rPr>
          <w:rStyle w:val="normaltextrun"/>
          <w:color w:val="000000" w:themeColor="text1"/>
        </w:rPr>
        <w:t>V roce 2025 byla nově vypsána také tematická výzva zaměřená na inovativní řešení na Ukrajině. Do výzvy se přihlásilo 5</w:t>
      </w:r>
      <w:r w:rsidR="00584FDB" w:rsidRPr="00506A83">
        <w:rPr>
          <w:rStyle w:val="normaltextrun"/>
          <w:color w:val="000000" w:themeColor="text1"/>
        </w:rPr>
        <w:t>6</w:t>
      </w:r>
      <w:r w:rsidRPr="00506A83">
        <w:rPr>
          <w:rStyle w:val="normaltextrun"/>
          <w:color w:val="000000" w:themeColor="text1"/>
        </w:rPr>
        <w:t xml:space="preserve"> subjektů, z nichž byly vybrány 4 projekty. Podpořené </w:t>
      </w:r>
      <w:r w:rsidRPr="00506A83">
        <w:rPr>
          <w:rStyle w:val="normaltextrun"/>
          <w:color w:val="000000" w:themeColor="text1"/>
        </w:rPr>
        <w:lastRenderedPageBreak/>
        <w:t xml:space="preserve">iniciativy se soustředí zejména na oblast cirkulární ekonomiky a elektromobility s přispěním českých partnerů v rámci vybraných projektů. </w:t>
      </w:r>
    </w:p>
    <w:p w14:paraId="7FC0B65D" w14:textId="24AFC040" w:rsidR="00BC4DB5" w:rsidRPr="00506A83" w:rsidRDefault="00BC4DB5" w:rsidP="005177B3">
      <w:pPr>
        <w:pStyle w:val="paragraph"/>
        <w:spacing w:before="120" w:beforeAutospacing="0" w:after="120" w:afterAutospacing="0" w:line="276" w:lineRule="auto"/>
        <w:jc w:val="both"/>
        <w:textAlignment w:val="baseline"/>
        <w:rPr>
          <w:color w:val="000000" w:themeColor="text1"/>
        </w:rPr>
      </w:pPr>
      <w:r w:rsidRPr="00506A83">
        <w:rPr>
          <w:color w:val="000000" w:themeColor="text1"/>
        </w:rPr>
        <w:t xml:space="preserve">V roce 2025 úspěšně pokračoval také program </w:t>
      </w:r>
      <w:r w:rsidRPr="00506A83">
        <w:rPr>
          <w:b/>
          <w:color w:val="000000" w:themeColor="text1"/>
        </w:rPr>
        <w:t>vysílání dobrovolníků OSN (UNV)</w:t>
      </w:r>
      <w:r w:rsidRPr="00506A83">
        <w:rPr>
          <w:color w:val="000000" w:themeColor="text1"/>
        </w:rPr>
        <w:t xml:space="preserve">. Podařilo se vyslat celkem </w:t>
      </w:r>
      <w:r w:rsidRPr="00506A83">
        <w:rPr>
          <w:b/>
          <w:color w:val="000000" w:themeColor="text1"/>
        </w:rPr>
        <w:t>osm českých dobrovolníků</w:t>
      </w:r>
      <w:r w:rsidRPr="00506A83">
        <w:rPr>
          <w:rStyle w:val="Znakapoznpodarou"/>
          <w:b/>
          <w:color w:val="000000" w:themeColor="text1"/>
        </w:rPr>
        <w:footnoteReference w:id="3"/>
      </w:r>
      <w:r w:rsidRPr="00506A83">
        <w:rPr>
          <w:color w:val="000000" w:themeColor="text1"/>
        </w:rPr>
        <w:t xml:space="preserve"> do šesti různých programů OSN (UNDP, FAO, UNDP Regional Service Centre for Africa, UNHCR, UNEP, UNWomen) v Bosně a</w:t>
      </w:r>
      <w:r w:rsidR="004964CB" w:rsidRPr="00506A83">
        <w:rPr>
          <w:color w:val="000000" w:themeColor="text1"/>
        </w:rPr>
        <w:t> </w:t>
      </w:r>
      <w:r w:rsidRPr="00506A83">
        <w:rPr>
          <w:color w:val="000000" w:themeColor="text1"/>
        </w:rPr>
        <w:t xml:space="preserve">Hercegovině, Etiopii, Gruzii, Jordánsku, Keni a Moldavsku). Příspěvek pro UNV na vysílání mladých dobrovolníků činil </w:t>
      </w:r>
      <w:r w:rsidRPr="00506A83">
        <w:rPr>
          <w:b/>
          <w:color w:val="000000" w:themeColor="text1"/>
        </w:rPr>
        <w:t>10 mil. Kč</w:t>
      </w:r>
      <w:r w:rsidRPr="00506A83">
        <w:rPr>
          <w:color w:val="000000" w:themeColor="text1"/>
        </w:rPr>
        <w:t>.</w:t>
      </w:r>
    </w:p>
    <w:p w14:paraId="1F2112B6" w14:textId="77777777" w:rsidR="00BC4DB5" w:rsidRPr="00506A83" w:rsidRDefault="00BC4DB5" w:rsidP="005177B3">
      <w:pPr>
        <w:pStyle w:val="paragraph"/>
        <w:spacing w:before="120" w:beforeAutospacing="0" w:after="120" w:afterAutospacing="0" w:line="276" w:lineRule="auto"/>
        <w:jc w:val="both"/>
        <w:textAlignment w:val="baseline"/>
        <w:rPr>
          <w:rStyle w:val="normaltextrun"/>
          <w:color w:val="000000" w:themeColor="text1"/>
        </w:rPr>
      </w:pPr>
      <w:r w:rsidRPr="00506A83">
        <w:rPr>
          <w:rStyle w:val="normaltextrun"/>
          <w:color w:val="000000" w:themeColor="text1"/>
        </w:rPr>
        <w:t>Pokračovala také spolupráce s MZe ve vztahu k </w:t>
      </w:r>
      <w:r w:rsidRPr="00506A83">
        <w:rPr>
          <w:rStyle w:val="normaltextrun"/>
          <w:b/>
          <w:color w:val="000000" w:themeColor="text1"/>
        </w:rPr>
        <w:t>FAO,</w:t>
      </w:r>
      <w:r w:rsidRPr="00506A83">
        <w:rPr>
          <w:rStyle w:val="normaltextrun"/>
          <w:color w:val="000000" w:themeColor="text1"/>
        </w:rPr>
        <w:t xml:space="preserve"> kde byla pokračující implementace odborných seminářů i dlouhodobějších projektů v oblasti zemědělství, akvakultury a lesnictví, zaměřená na regiony Balkánu, Východní Evropy a Střední Asie, podpořena částkou </w:t>
      </w:r>
      <w:r w:rsidRPr="00506A83">
        <w:rPr>
          <w:rStyle w:val="normaltextrun"/>
          <w:b/>
          <w:bCs/>
          <w:color w:val="000000" w:themeColor="text1"/>
        </w:rPr>
        <w:t>2 mil. Kč</w:t>
      </w:r>
      <w:r w:rsidRPr="00506A83">
        <w:rPr>
          <w:rStyle w:val="normaltextrun"/>
          <w:color w:val="000000" w:themeColor="text1"/>
        </w:rPr>
        <w:t xml:space="preserve">. </w:t>
      </w:r>
    </w:p>
    <w:p w14:paraId="1E59D81C" w14:textId="70A6C057" w:rsidR="00A276A7" w:rsidRPr="00506A83" w:rsidRDefault="00A276A7" w:rsidP="00B35493">
      <w:pPr>
        <w:pStyle w:val="Nadpis2"/>
        <w:spacing w:before="360"/>
        <w:ind w:left="992" w:hanging="635"/>
      </w:pPr>
      <w:bookmarkStart w:id="48" w:name="_Toc228190600"/>
      <w:bookmarkStart w:id="49" w:name="_Toc231294154"/>
      <w:r w:rsidRPr="00506A83">
        <w:t>Vládní stabilizační programy</w:t>
      </w:r>
      <w:bookmarkEnd w:id="48"/>
      <w:bookmarkEnd w:id="49"/>
    </w:p>
    <w:p w14:paraId="77C47745" w14:textId="1D98B37C" w:rsidR="002902D6" w:rsidRPr="00506A83" w:rsidRDefault="009E1FF4" w:rsidP="0012521C">
      <w:pPr>
        <w:pStyle w:val="Nadpis3"/>
        <w:numPr>
          <w:ilvl w:val="2"/>
          <w:numId w:val="37"/>
        </w:numPr>
        <w:spacing w:before="120" w:after="120" w:line="276" w:lineRule="auto"/>
        <w:ind w:left="709" w:hanging="709"/>
        <w:rPr>
          <w:rFonts w:ascii="Times New Roman" w:hAnsi="Times New Roman" w:cs="Times New Roman"/>
        </w:rPr>
      </w:pPr>
      <w:r w:rsidRPr="00506A83">
        <w:rPr>
          <w:rFonts w:ascii="Times New Roman" w:hAnsi="Times New Roman" w:cs="Times New Roman"/>
        </w:rPr>
        <w:t xml:space="preserve"> </w:t>
      </w:r>
      <w:bookmarkStart w:id="50" w:name="_Toc228190601"/>
      <w:bookmarkStart w:id="51" w:name="_Toc231294155"/>
      <w:r w:rsidR="00A276A7" w:rsidRPr="00506A83">
        <w:rPr>
          <w:rFonts w:ascii="Times New Roman" w:hAnsi="Times New Roman" w:cs="Times New Roman"/>
        </w:rPr>
        <w:t xml:space="preserve">Program </w:t>
      </w:r>
      <w:r w:rsidR="004C1836" w:rsidRPr="00506A83">
        <w:rPr>
          <w:rFonts w:ascii="Times New Roman" w:hAnsi="Times New Roman" w:cs="Times New Roman"/>
        </w:rPr>
        <w:t>Afrika</w:t>
      </w:r>
      <w:r w:rsidR="00A276A7" w:rsidRPr="00506A83">
        <w:rPr>
          <w:rFonts w:ascii="Times New Roman" w:hAnsi="Times New Roman" w:cs="Times New Roman"/>
        </w:rPr>
        <w:t xml:space="preserve"> dle UV 5/202</w:t>
      </w:r>
      <w:r w:rsidR="00543D8B" w:rsidRPr="00506A83">
        <w:rPr>
          <w:rFonts w:ascii="Times New Roman" w:hAnsi="Times New Roman" w:cs="Times New Roman"/>
        </w:rPr>
        <w:t>3</w:t>
      </w:r>
      <w:r w:rsidR="00533DBB" w:rsidRPr="00506A83">
        <w:rPr>
          <w:rFonts w:ascii="Times New Roman" w:hAnsi="Times New Roman" w:cs="Times New Roman"/>
        </w:rPr>
        <w:t xml:space="preserve"> v r. 202</w:t>
      </w:r>
      <w:r w:rsidR="001F2C59" w:rsidRPr="00506A83">
        <w:rPr>
          <w:rFonts w:ascii="Times New Roman" w:hAnsi="Times New Roman" w:cs="Times New Roman"/>
        </w:rPr>
        <w:t>5</w:t>
      </w:r>
      <w:bookmarkEnd w:id="50"/>
      <w:bookmarkEnd w:id="51"/>
      <w:r w:rsidR="00A276A7" w:rsidRPr="00506A83">
        <w:rPr>
          <w:rFonts w:ascii="Times New Roman" w:hAnsi="Times New Roman" w:cs="Times New Roman"/>
        </w:rPr>
        <w:t xml:space="preserve"> </w:t>
      </w:r>
    </w:p>
    <w:p w14:paraId="74DAD796" w14:textId="2BC0D6EC" w:rsidR="00BA405C" w:rsidRPr="00506A83" w:rsidRDefault="00BA405C" w:rsidP="00BA405C">
      <w:pPr>
        <w:spacing w:before="120" w:after="120" w:line="276" w:lineRule="auto"/>
        <w:contextualSpacing/>
        <w:jc w:val="both"/>
      </w:pPr>
      <w:r w:rsidRPr="00506A83">
        <w:t xml:space="preserve">Čerpáno v roce 2025: </w:t>
      </w:r>
      <w:r w:rsidR="00BB3A05" w:rsidRPr="00506A83">
        <w:t>35,1 mil. Kč</w:t>
      </w:r>
    </w:p>
    <w:p w14:paraId="508D27F8" w14:textId="4C1A1C23" w:rsidR="009B076D" w:rsidRPr="00506A83" w:rsidRDefault="009B076D" w:rsidP="009B076D">
      <w:pPr>
        <w:autoSpaceDE w:val="0"/>
        <w:autoSpaceDN w:val="0"/>
        <w:adjustRightInd w:val="0"/>
        <w:jc w:val="both"/>
        <w:rPr>
          <w:rFonts w:ascii="Tms Rmn" w:hAnsi="Tms Rmn" w:cs="Tms Rmn"/>
          <w:i/>
          <w:iCs/>
          <w:color w:val="000000"/>
          <w:sz w:val="22"/>
          <w:szCs w:val="22"/>
        </w:rPr>
      </w:pPr>
      <w:r w:rsidRPr="00506A83">
        <w:rPr>
          <w:rFonts w:ascii="Tms Rmn" w:hAnsi="Tms Rmn" w:cs="Tms Rmn"/>
          <w:i/>
          <w:iCs/>
          <w:color w:val="000000"/>
          <w:sz w:val="22"/>
          <w:szCs w:val="22"/>
        </w:rPr>
        <w:t>Pozn. Tato částka nezahrnuje 2,1 mil. Kč, které byly převedeny rozpočtovým opatřením Ministerstvu kultury a které tudíž nejsou započítávány do celkového rozpočtu, ale tvoří součást celkové tabulkové sumy 48,5 mil. Kč přidělené na Program Afrika – viz předposlední odstavec</w:t>
      </w:r>
    </w:p>
    <w:p w14:paraId="0CA73F4B" w14:textId="77777777" w:rsidR="009B076D" w:rsidRPr="00506A83" w:rsidRDefault="009B076D" w:rsidP="00906DC8">
      <w:pPr>
        <w:spacing w:before="120" w:after="120" w:line="276" w:lineRule="auto"/>
        <w:contextualSpacing/>
        <w:jc w:val="both"/>
      </w:pPr>
    </w:p>
    <w:p w14:paraId="5CF9E83D" w14:textId="20B64CA6" w:rsidR="00BA405C" w:rsidRPr="00506A83" w:rsidRDefault="00BA405C" w:rsidP="00906DC8">
      <w:pPr>
        <w:spacing w:before="120" w:after="120" w:line="276" w:lineRule="auto"/>
        <w:contextualSpacing/>
        <w:jc w:val="both"/>
      </w:pPr>
      <w:r w:rsidRPr="00506A83">
        <w:t xml:space="preserve">Počet realizovaných projektů: </w:t>
      </w:r>
      <w:r w:rsidR="00E86DA8" w:rsidRPr="00506A83">
        <w:t>28</w:t>
      </w:r>
    </w:p>
    <w:p w14:paraId="39205F7C" w14:textId="77777777" w:rsidR="00906DC8" w:rsidRPr="00506A83" w:rsidRDefault="00906DC8" w:rsidP="00906DC8">
      <w:pPr>
        <w:spacing w:before="120" w:after="120" w:line="276" w:lineRule="auto"/>
        <w:contextualSpacing/>
        <w:jc w:val="both"/>
      </w:pPr>
    </w:p>
    <w:p w14:paraId="00A8E94E" w14:textId="511989C9" w:rsidR="00A91C00" w:rsidRPr="00506A83" w:rsidRDefault="003A1792" w:rsidP="005177B3">
      <w:pPr>
        <w:spacing w:before="120" w:after="120" w:line="276" w:lineRule="auto"/>
        <w:jc w:val="both"/>
        <w:rPr>
          <w:b/>
        </w:rPr>
      </w:pPr>
      <w:r w:rsidRPr="00506A83">
        <w:t>V roce 2025 byl završen tříletý cyklus Programu Afrika pod názvem „Program na naplňování cílů ČR v Africe na léta 2023-2025“, který navazoval na předchozí tříletý program 2020-2022. Program funguje jako flexibilní nástroj reagující na nové výzvy, mezi které patří snaha o</w:t>
      </w:r>
      <w:r w:rsidR="004964CB" w:rsidRPr="00506A83">
        <w:t> </w:t>
      </w:r>
      <w:r w:rsidRPr="00506A83">
        <w:t>stabilizaci afrických zemí ve světle existujících a nových konfliktů a reakce na aktuální geopolitické změny ve světě. Součástí tohoto Programu byly aktivity cílící na posílení dobrého jména ČR, podporu stabilizace zemí a udržování povědomí o aktivním přístupu české zahraniční politiky na africkém kontinentu</w:t>
      </w:r>
      <w:r w:rsidR="00B52E5B" w:rsidRPr="00506A83">
        <w:t>. V</w:t>
      </w:r>
      <w:r w:rsidRPr="00506A83">
        <w:t xml:space="preserve"> rámci tohoto Programu </w:t>
      </w:r>
      <w:r w:rsidR="00B52E5B" w:rsidRPr="00506A83">
        <w:t>byly</w:t>
      </w:r>
      <w:r w:rsidRPr="00506A83">
        <w:t xml:space="preserve"> využívány nástroje jako zejména vázané peněžní dary (VPD, jež umožnily českým firmám a</w:t>
      </w:r>
      <w:r w:rsidR="004964CB" w:rsidRPr="00506A83">
        <w:t> </w:t>
      </w:r>
      <w:r w:rsidRPr="00506A83">
        <w:t xml:space="preserve">technologiím </w:t>
      </w:r>
      <w:r w:rsidR="004307E2" w:rsidRPr="00506A83">
        <w:t>vstoupit</w:t>
      </w:r>
      <w:r w:rsidRPr="00506A83">
        <w:t xml:space="preserve"> </w:t>
      </w:r>
      <w:r w:rsidR="004307E2" w:rsidRPr="00506A83">
        <w:t>snáze</w:t>
      </w:r>
      <w:r w:rsidRPr="00506A83">
        <w:t xml:space="preserve"> na místní trhy, dále malé lokální projekty (MLP), lokální transformační projekty (LTP), peněžní dary a akce veřejné diplomacie. </w:t>
      </w:r>
      <w:r w:rsidRPr="00506A83">
        <w:rPr>
          <w:b/>
        </w:rPr>
        <w:t xml:space="preserve">Na aktivity Programu Afrika v r. 2025 byly vyčleněny prostředky ve výši 48,5 mil. Kč. V roce 2025 se podařilo zahájit všechny plánované projekty s tím, že část z nich v objemu 11,3 mil. Kč bude dokončena během roku 2026. </w:t>
      </w:r>
    </w:p>
    <w:p w14:paraId="3EA99B14" w14:textId="2D4D7E65" w:rsidR="009B076D" w:rsidRPr="00506A83" w:rsidRDefault="009B076D" w:rsidP="005177B3">
      <w:pPr>
        <w:spacing w:before="120" w:after="120" w:line="276" w:lineRule="auto"/>
        <w:jc w:val="both"/>
      </w:pPr>
      <w:r w:rsidRPr="00506A83">
        <w:t>V rámci podpory českých řešení vyplatil Program Afrika v roce 2025 celkem 16,4 9 mil. Kč na 5 vázaných peněžních darů z oblasti zdravotnictví (vybavení nemocnic v Ghaně a Malawi českou firmou a dodání kontejnerové ordinace vyrobené a sestavené v ČR s vybavením do Namíbie), z oblasti zemědělství (dodání mobilní moštárny do Gabonu zajišťující zpracování a</w:t>
      </w:r>
      <w:r w:rsidR="0052242D" w:rsidRPr="00506A83">
        <w:t> </w:t>
      </w:r>
      <w:r w:rsidRPr="00506A83">
        <w:t xml:space="preserve">konzervaci ovoce), z oblasti vodního hospodářství (dodání mobilního zařízení na výrobu vody </w:t>
      </w:r>
      <w:r w:rsidRPr="00506A83">
        <w:lastRenderedPageBreak/>
        <w:t>ze vzduchu do Maroka). V rámci kybernetické spolupráce tzv. Cybervac byly vyplaceny prostředky ve výši 600 tis.Kč  a na školící projekt kybernetické bezpečnosti VUT Brno na</w:t>
      </w:r>
      <w:r w:rsidR="0052242D" w:rsidRPr="00506A83">
        <w:t> </w:t>
      </w:r>
      <w:r w:rsidRPr="00506A83">
        <w:t>univerzitě Strathmore v Keni. V roce 2025 MZV vyčerpalo prostředky ve výši 3,4 mil. Kč na marketingové akce posilující dobré jméno ČR organizované ZÚ ČR v Africe nebo přímo na MZV ČR. Dále se z těchto peněz a ve spolupráci s EU a Polskem uskutečnila cesta 12 afrických novinářů ze 7 afrických zemí do ČR, Polska a na Ukrajinu v červnu 2025 a studijní cesta 20 mladých afrických leaderů „Cool Czechia 2025“ z 15 afrických zemí do ČR v říjnu 2025 s</w:t>
      </w:r>
      <w:r w:rsidR="0052242D" w:rsidRPr="00506A83">
        <w:t> </w:t>
      </w:r>
      <w:r w:rsidRPr="00506A83">
        <w:t>návštěvou státních a veřejnoprávních institucí. V této částce je zahrnuta také oslava Dne</w:t>
      </w:r>
      <w:r w:rsidR="0052242D" w:rsidRPr="00506A83">
        <w:t> </w:t>
      </w:r>
      <w:r w:rsidRPr="00506A83">
        <w:t xml:space="preserve">Afriky, která byla v roce 2025 spojena s udělením Ceny Tvůrčí Afriky. </w:t>
      </w:r>
    </w:p>
    <w:p w14:paraId="229F2FF5" w14:textId="1BDE6A88" w:rsidR="003A1792" w:rsidRPr="00506A83" w:rsidRDefault="003A1792" w:rsidP="005177B3">
      <w:pPr>
        <w:spacing w:before="120" w:after="120" w:line="276" w:lineRule="auto"/>
        <w:jc w:val="both"/>
      </w:pPr>
      <w:r w:rsidRPr="00506A83">
        <w:t>Na projekty humanitární pomoci a na peněžní dary v roce 2025 bylo vynaloženo 9 mil. Kč.</w:t>
      </w:r>
      <w:r w:rsidR="00A648C2" w:rsidRPr="00506A83">
        <w:t xml:space="preserve"> </w:t>
      </w:r>
      <w:r w:rsidRPr="00506A83">
        <w:t>Podpoř</w:t>
      </w:r>
      <w:r w:rsidR="008035C0" w:rsidRPr="00506A83">
        <w:t>en byl</w:t>
      </w:r>
      <w:r w:rsidRPr="00506A83">
        <w:t xml:space="preserve"> projekt organizace Člověk v tísni na pomoc vysídleným obyvatelům v oblasti jižního Kivu v Konžské demokratické republice</w:t>
      </w:r>
      <w:r w:rsidR="008035C0" w:rsidRPr="00506A83">
        <w:t xml:space="preserve"> a </w:t>
      </w:r>
      <w:r w:rsidR="00EF255E" w:rsidRPr="00506A83">
        <w:t>poskytnut</w:t>
      </w:r>
      <w:r w:rsidRPr="00506A83">
        <w:t xml:space="preserve"> peněžní dar pro Mezinárodní centrum pro rozvoj migračních politik (ICMPD) na podporu uprchlíků a vnitřně vysídlených osob v</w:t>
      </w:r>
      <w:r w:rsidR="009468E3" w:rsidRPr="00506A83">
        <w:t> </w:t>
      </w:r>
      <w:r w:rsidRPr="00506A83">
        <w:t>Mauritánii</w:t>
      </w:r>
      <w:r w:rsidR="009468E3" w:rsidRPr="00506A83">
        <w:t>.</w:t>
      </w:r>
    </w:p>
    <w:p w14:paraId="4FFF83EC" w14:textId="2C139525" w:rsidR="003A1792" w:rsidRPr="00506A83" w:rsidRDefault="003A1792" w:rsidP="005177B3">
      <w:pPr>
        <w:spacing w:before="120" w:after="120" w:line="276" w:lineRule="auto"/>
        <w:jc w:val="both"/>
      </w:pPr>
      <w:r w:rsidRPr="00506A83">
        <w:t>Částkou 1,1 mil. Kč byly podpořeny lidskoprávní projekty (LTP) v Etiopii, Ghaně, Malawi a</w:t>
      </w:r>
      <w:r w:rsidR="004964CB" w:rsidRPr="00506A83">
        <w:t> </w:t>
      </w:r>
      <w:r w:rsidRPr="00506A83">
        <w:t xml:space="preserve">Keni a částkou 4,7 mil. malé lokální rozvojové projekty (MLP) v Etiopii, Jižním Súdánu, JAR, Lesothu, Malawi, </w:t>
      </w:r>
      <w:r w:rsidR="002E00BF" w:rsidRPr="00506A83">
        <w:t>Namibii</w:t>
      </w:r>
      <w:r w:rsidRPr="00506A83">
        <w:t xml:space="preserve">, Nigérii, Senegalu, Středoafrické republice a Zambii.   </w:t>
      </w:r>
    </w:p>
    <w:p w14:paraId="482386D6" w14:textId="77777777" w:rsidR="009B076D" w:rsidRPr="00506A83" w:rsidRDefault="009B076D" w:rsidP="005177B3">
      <w:pPr>
        <w:spacing w:before="120" w:after="120" w:line="276" w:lineRule="auto"/>
        <w:jc w:val="both"/>
        <w:rPr>
          <w:rFonts w:ascii="Tms Rmn" w:hAnsi="Tms Rmn" w:cs="Tms Rmn"/>
          <w:color w:val="000000"/>
        </w:rPr>
      </w:pPr>
      <w:r w:rsidRPr="00506A83">
        <w:rPr>
          <w:rFonts w:ascii="Tms Rmn" w:hAnsi="Tms Rmn" w:cs="Tms Rmn"/>
          <w:color w:val="000000"/>
        </w:rPr>
        <w:t xml:space="preserve">Prostředky ve výši 2,1 mil. Kč byly převedeny na MK ČR zejména na zahájení přípravných prací na vybudování dětského muzea v Addis Abebě v reakci na zápůjčku australopitéků Lucy a Selam do Národního muzea v srpnu – říjnu 2025. Tato částka není započítána do celkové sumy Programu Afrika.  </w:t>
      </w:r>
    </w:p>
    <w:p w14:paraId="1874DE3C" w14:textId="75B1FC28" w:rsidR="003A1792" w:rsidRPr="00506A83" w:rsidRDefault="003A1792" w:rsidP="005177B3">
      <w:pPr>
        <w:spacing w:before="120" w:after="120" w:line="276" w:lineRule="auto"/>
        <w:jc w:val="both"/>
      </w:pPr>
      <w:r w:rsidRPr="00506A83">
        <w:t>Aktivity Programu Afrika 2025 jsou podrobněji vyčísleny v </w:t>
      </w:r>
      <w:r w:rsidRPr="00506A83">
        <w:rPr>
          <w:b/>
          <w:bCs/>
        </w:rPr>
        <w:t>příloze č. 3.</w:t>
      </w:r>
      <w:r w:rsidRPr="00506A83">
        <w:t xml:space="preserve"> </w:t>
      </w:r>
    </w:p>
    <w:p w14:paraId="6A4E96D9" w14:textId="231E51B5" w:rsidR="003A1792" w:rsidRPr="00506A83" w:rsidRDefault="00533DBB" w:rsidP="00B35493">
      <w:pPr>
        <w:pStyle w:val="Nadpis3"/>
        <w:numPr>
          <w:ilvl w:val="2"/>
          <w:numId w:val="37"/>
        </w:numPr>
        <w:spacing w:before="360" w:after="120" w:line="276" w:lineRule="auto"/>
        <w:ind w:left="709" w:hanging="709"/>
        <w:rPr>
          <w:rStyle w:val="normaltextrun"/>
          <w:rFonts w:ascii="Times New Roman" w:hAnsi="Times New Roman" w:cs="Times New Roman"/>
        </w:rPr>
      </w:pPr>
      <w:bookmarkStart w:id="52" w:name="_Toc228190602"/>
      <w:bookmarkStart w:id="53" w:name="_Toc231294156"/>
      <w:r w:rsidRPr="00506A83">
        <w:rPr>
          <w:rFonts w:ascii="Times New Roman" w:hAnsi="Times New Roman" w:cs="Times New Roman"/>
        </w:rPr>
        <w:t>Progra</w:t>
      </w:r>
      <w:r w:rsidR="009E00CF" w:rsidRPr="00506A83">
        <w:rPr>
          <w:rFonts w:ascii="Times New Roman" w:hAnsi="Times New Roman" w:cs="Times New Roman"/>
        </w:rPr>
        <w:t>m</w:t>
      </w:r>
      <w:r w:rsidRPr="00506A83">
        <w:rPr>
          <w:rFonts w:ascii="Times New Roman" w:hAnsi="Times New Roman" w:cs="Times New Roman"/>
        </w:rPr>
        <w:t xml:space="preserve"> BVA</w:t>
      </w:r>
      <w:r w:rsidR="00A276A7" w:rsidRPr="00506A83">
        <w:rPr>
          <w:rFonts w:ascii="Times New Roman" w:hAnsi="Times New Roman" w:cs="Times New Roman"/>
        </w:rPr>
        <w:t xml:space="preserve"> dle UV </w:t>
      </w:r>
      <w:r w:rsidR="003A1792" w:rsidRPr="00506A83">
        <w:rPr>
          <w:rFonts w:ascii="Times New Roman" w:hAnsi="Times New Roman" w:cs="Times New Roman"/>
        </w:rPr>
        <w:t>350</w:t>
      </w:r>
      <w:r w:rsidR="00A276A7" w:rsidRPr="00506A83">
        <w:rPr>
          <w:rFonts w:ascii="Times New Roman" w:hAnsi="Times New Roman" w:cs="Times New Roman"/>
        </w:rPr>
        <w:t>/20</w:t>
      </w:r>
      <w:r w:rsidR="003A1792" w:rsidRPr="00506A83">
        <w:rPr>
          <w:rFonts w:ascii="Times New Roman" w:hAnsi="Times New Roman" w:cs="Times New Roman"/>
        </w:rPr>
        <w:t>24</w:t>
      </w:r>
      <w:r w:rsidR="00A276A7" w:rsidRPr="00506A83">
        <w:rPr>
          <w:rFonts w:ascii="Times New Roman" w:hAnsi="Times New Roman" w:cs="Times New Roman"/>
        </w:rPr>
        <w:t xml:space="preserve"> v r. 202</w:t>
      </w:r>
      <w:r w:rsidR="003A1792" w:rsidRPr="00506A83">
        <w:rPr>
          <w:rFonts w:ascii="Times New Roman" w:hAnsi="Times New Roman" w:cs="Times New Roman"/>
        </w:rPr>
        <w:t>5</w:t>
      </w:r>
      <w:bookmarkEnd w:id="52"/>
      <w:bookmarkEnd w:id="53"/>
      <w:r w:rsidR="00A276A7" w:rsidRPr="00506A83">
        <w:rPr>
          <w:rFonts w:ascii="Times New Roman" w:hAnsi="Times New Roman" w:cs="Times New Roman"/>
        </w:rPr>
        <w:t xml:space="preserve"> </w:t>
      </w:r>
    </w:p>
    <w:p w14:paraId="469C08FE" w14:textId="1713574A" w:rsidR="00BA405C" w:rsidRPr="00506A83" w:rsidRDefault="00BA405C" w:rsidP="00BA405C">
      <w:pPr>
        <w:spacing w:before="120" w:after="120" w:line="276" w:lineRule="auto"/>
        <w:contextualSpacing/>
        <w:jc w:val="both"/>
      </w:pPr>
      <w:r w:rsidRPr="00506A83">
        <w:t xml:space="preserve">Čerpáno v roce 2025: </w:t>
      </w:r>
      <w:r w:rsidR="00973504" w:rsidRPr="00506A83">
        <w:t>10</w:t>
      </w:r>
      <w:r w:rsidR="00B46895" w:rsidRPr="00506A83">
        <w:t>2,7 mil. Kč</w:t>
      </w:r>
    </w:p>
    <w:p w14:paraId="6B11E55E" w14:textId="15893DD1" w:rsidR="00BA405C" w:rsidRPr="00506A83" w:rsidRDefault="00BA405C" w:rsidP="00BA405C">
      <w:pPr>
        <w:spacing w:before="120" w:after="120" w:line="276" w:lineRule="auto"/>
        <w:contextualSpacing/>
        <w:jc w:val="both"/>
      </w:pPr>
      <w:r w:rsidRPr="00506A83">
        <w:t xml:space="preserve">Počet realizovaných projektů: </w:t>
      </w:r>
      <w:r w:rsidR="009B076D" w:rsidRPr="00506A83">
        <w:t>35</w:t>
      </w:r>
    </w:p>
    <w:p w14:paraId="2E48DE92" w14:textId="77777777" w:rsidR="00BA405C" w:rsidRPr="00506A83" w:rsidRDefault="00BA405C" w:rsidP="00D7299F">
      <w:pPr>
        <w:pStyle w:val="Bezmezer"/>
        <w:spacing w:before="120" w:after="120" w:line="276" w:lineRule="auto"/>
        <w:ind w:firstLine="0"/>
        <w:rPr>
          <w:rStyle w:val="normaltextrun"/>
          <w:rFonts w:ascii="Times New Roman" w:hAnsi="Times New Roman" w:cs="Times New Roman"/>
          <w:color w:val="auto"/>
        </w:rPr>
      </w:pPr>
    </w:p>
    <w:p w14:paraId="23355007" w14:textId="330DAA3E" w:rsidR="00A91C00" w:rsidRPr="00506A83" w:rsidRDefault="003A1792" w:rsidP="00D7299F">
      <w:pPr>
        <w:pStyle w:val="Bezmezer"/>
        <w:spacing w:before="120" w:after="120" w:line="276" w:lineRule="auto"/>
        <w:ind w:firstLine="0"/>
        <w:rPr>
          <w:rFonts w:ascii="Times New Roman" w:hAnsi="Times New Roman" w:cs="Times New Roman"/>
          <w:color w:val="auto"/>
        </w:rPr>
      </w:pPr>
      <w:r w:rsidRPr="00506A83">
        <w:rPr>
          <w:rStyle w:val="normaltextrun"/>
          <w:rFonts w:ascii="Times New Roman" w:hAnsi="Times New Roman" w:cs="Times New Roman"/>
          <w:color w:val="auto"/>
        </w:rPr>
        <w:t>V roce 2025 plynule navázala realizace Rekonstrukčního programu České republiky v regionu Blízkého východu v období 2025–2027 (dále jen „Rekonstrukční program BVA“) na předchozí tříleté programové období 2022–2024.</w:t>
      </w:r>
    </w:p>
    <w:p w14:paraId="4F4BE9CB" w14:textId="57896C0C" w:rsidR="00A91C00" w:rsidRPr="00506A83" w:rsidRDefault="003A1792" w:rsidP="00F531CE">
      <w:pPr>
        <w:pStyle w:val="Bezmezer"/>
        <w:spacing w:before="120" w:after="120" w:line="276" w:lineRule="auto"/>
        <w:ind w:firstLine="0"/>
        <w:rPr>
          <w:rFonts w:ascii="Times New Roman" w:hAnsi="Times New Roman" w:cs="Times New Roman"/>
          <w:color w:val="auto"/>
        </w:rPr>
      </w:pPr>
      <w:r w:rsidRPr="00506A83">
        <w:rPr>
          <w:rStyle w:val="normaltextrun"/>
          <w:rFonts w:ascii="Times New Roman" w:hAnsi="Times New Roman" w:cs="Times New Roman"/>
          <w:color w:val="auto"/>
        </w:rPr>
        <w:t>Rozpočet Rekonstrukčního programu BVA, který byl schválen usnesením vlády dne 29. května 2024 č. 350, byl stanoven ve výši 100 mil. Kč. Aktivity Programu se zaměřovaly především na rekonstrukční, rozvojový i humanitární sektor.</w:t>
      </w:r>
    </w:p>
    <w:p w14:paraId="2E54F500" w14:textId="65C87DA7" w:rsidR="00A91C00" w:rsidRPr="00506A83" w:rsidRDefault="003A1792" w:rsidP="00F531CE">
      <w:pPr>
        <w:pStyle w:val="Bezmezer"/>
        <w:spacing w:before="120" w:after="120" w:line="276" w:lineRule="auto"/>
        <w:ind w:firstLine="0"/>
        <w:rPr>
          <w:rFonts w:ascii="Times New Roman" w:hAnsi="Times New Roman" w:cs="Times New Roman"/>
          <w:color w:val="auto"/>
        </w:rPr>
      </w:pPr>
      <w:r w:rsidRPr="00506A83">
        <w:rPr>
          <w:rStyle w:val="normaltextrun"/>
          <w:rFonts w:ascii="Times New Roman" w:hAnsi="Times New Roman" w:cs="Times New Roman"/>
          <w:color w:val="auto"/>
        </w:rPr>
        <w:t>V rámci humanitárního komponentu byly realizovány peněžní dary mezinárodním organizacím (3 projekty) a dotační výzvy pro české nestátní neziskové organizace (5 projektů). V první kategorii byly prostředky poskytnuty na tři projekty organizacím ICRC, UNICEF</w:t>
      </w:r>
      <w:r w:rsidR="00283661" w:rsidRPr="00506A83">
        <w:rPr>
          <w:rStyle w:val="normaltextrun"/>
          <w:rFonts w:ascii="Times New Roman" w:hAnsi="Times New Roman" w:cs="Times New Roman"/>
          <w:color w:val="auto"/>
        </w:rPr>
        <w:t xml:space="preserve"> </w:t>
      </w:r>
      <w:r w:rsidRPr="00506A83">
        <w:rPr>
          <w:rStyle w:val="normaltextrun"/>
          <w:rFonts w:ascii="Times New Roman" w:hAnsi="Times New Roman" w:cs="Times New Roman"/>
          <w:color w:val="auto"/>
        </w:rPr>
        <w:t xml:space="preserve">a WFP ve </w:t>
      </w:r>
      <w:r w:rsidRPr="00506A83">
        <w:rPr>
          <w:rStyle w:val="normaltextrun"/>
          <w:rFonts w:ascii="Times New Roman" w:hAnsi="Times New Roman" w:cs="Times New Roman"/>
          <w:color w:val="auto"/>
        </w:rPr>
        <w:lastRenderedPageBreak/>
        <w:t>výši 12 308 370,26 Kč. Dotační projekty českých NNO směřovaly do Jordánska, Libanonu, Sýrie a Palestiny v souhrnné hodnotě 25 mil. Kč. Z dotačních výzev lze uvést např. projekt v</w:t>
      </w:r>
      <w:r w:rsidR="004964CB" w:rsidRPr="00506A83">
        <w:rPr>
          <w:rStyle w:val="normaltextrun"/>
          <w:rFonts w:ascii="Times New Roman" w:hAnsi="Times New Roman" w:cs="Times New Roman"/>
          <w:color w:val="auto"/>
        </w:rPr>
        <w:t> </w:t>
      </w:r>
      <w:r w:rsidRPr="00506A83">
        <w:rPr>
          <w:rStyle w:val="normaltextrun"/>
          <w:rFonts w:ascii="Times New Roman" w:hAnsi="Times New Roman" w:cs="Times New Roman"/>
          <w:color w:val="auto"/>
        </w:rPr>
        <w:t>Libanonu na zajištění humanitární podpory syrským uprchlíkům a hostitelské libanonské komunitě. Celkově tedy bylo vynaloženo na humanitární aktivity z prostředků Rekonstrukčního programu BVA 37 038 370,26 Kč.</w:t>
      </w:r>
    </w:p>
    <w:p w14:paraId="3BD6F973" w14:textId="0BFED517" w:rsidR="00A91C00" w:rsidRPr="00506A83" w:rsidRDefault="003A1792" w:rsidP="00F531CE">
      <w:pPr>
        <w:pStyle w:val="Bezmezer"/>
        <w:spacing w:before="120" w:after="120" w:line="276" w:lineRule="auto"/>
        <w:ind w:firstLine="0"/>
        <w:rPr>
          <w:rFonts w:ascii="Times New Roman" w:hAnsi="Times New Roman" w:cs="Times New Roman"/>
          <w:color w:val="auto"/>
        </w:rPr>
      </w:pPr>
      <w:r w:rsidRPr="00506A83">
        <w:rPr>
          <w:rStyle w:val="normaltextrun"/>
          <w:rFonts w:ascii="Times New Roman" w:hAnsi="Times New Roman" w:cs="Times New Roman"/>
          <w:color w:val="auto"/>
        </w:rPr>
        <w:t>Rozvojová část Programu se i v roce 2025 zaměřila na realizaci malých lokálních projektů (dále „MLP“), konkrétně 11 MLP, na které byla spotřebována celková částka 4 965 589,57 Kč. Sektorové zaměření projektů zahrnovalo energetiku, zdravotnictví, zdroje obživy, sociální služby, komunitní podporu a podporu žen a vzdělávání. Projekty byly realizovány v Jordánsku, Libanonu, Sýrii a Palestině.</w:t>
      </w:r>
    </w:p>
    <w:p w14:paraId="0C47DC31" w14:textId="007FFC87" w:rsidR="00A91C00" w:rsidRPr="00506A83" w:rsidRDefault="003A1792" w:rsidP="00F531CE">
      <w:pPr>
        <w:pStyle w:val="Bezmezer"/>
        <w:spacing w:before="120" w:after="120" w:line="276" w:lineRule="auto"/>
        <w:ind w:firstLine="0"/>
        <w:rPr>
          <w:rFonts w:ascii="Times New Roman" w:hAnsi="Times New Roman" w:cs="Times New Roman"/>
          <w:color w:val="auto"/>
        </w:rPr>
      </w:pPr>
      <w:r w:rsidRPr="00506A83">
        <w:rPr>
          <w:rStyle w:val="normaltextrun"/>
          <w:rFonts w:ascii="Times New Roman" w:hAnsi="Times New Roman" w:cs="Times New Roman"/>
          <w:color w:val="auto"/>
        </w:rPr>
        <w:t>Z hlediska objemu peněžních prostředků pokrývaly v roce 2025 největší část rekonstrukční aktivity, a to za použití instrumentu vázaných peněžních darů (dále jen „VPD“). Projekty byly uskutečněny ve všech hlavních programových zemích (Irák, Jordánsko, Libanon, Palestina, Sýrie) a jednalo se o 10 projektů v celkové výši 47 336 500 Kč. Většina VPD byla zaměřena na zdravotnický a vodohospodářský sektor.</w:t>
      </w:r>
    </w:p>
    <w:p w14:paraId="6DB9D3C9" w14:textId="05AAA30C" w:rsidR="003A1792" w:rsidRPr="00506A83" w:rsidRDefault="003A1792" w:rsidP="005177B3">
      <w:pPr>
        <w:pStyle w:val="Bezmezer"/>
        <w:spacing w:before="120" w:after="120" w:line="276" w:lineRule="auto"/>
        <w:ind w:firstLine="0"/>
        <w:rPr>
          <w:rStyle w:val="normaltextrun"/>
          <w:rFonts w:ascii="Times New Roman" w:hAnsi="Times New Roman" w:cs="Times New Roman"/>
          <w:color w:val="auto"/>
        </w:rPr>
      </w:pPr>
      <w:r w:rsidRPr="00506A83">
        <w:rPr>
          <w:rStyle w:val="normaltextrun"/>
          <w:rFonts w:ascii="Times New Roman" w:hAnsi="Times New Roman" w:cs="Times New Roman"/>
          <w:color w:val="auto"/>
        </w:rPr>
        <w:t>Na expertní místní síly pro EK a ZRS bylo vyčerpáno 1 050 353,18 Kč, na medializaci Rekonstrukčního programu BVA (výstava „Česko pomáhá (také) na Blízkém východě“) 158</w:t>
      </w:r>
      <w:r w:rsidR="004964CB" w:rsidRPr="00506A83">
        <w:rPr>
          <w:rStyle w:val="normaltextrun"/>
          <w:rFonts w:ascii="Times New Roman" w:hAnsi="Times New Roman" w:cs="Times New Roman"/>
          <w:color w:val="auto"/>
        </w:rPr>
        <w:t> </w:t>
      </w:r>
      <w:r w:rsidRPr="00506A83">
        <w:rPr>
          <w:rStyle w:val="normaltextrun"/>
          <w:rFonts w:ascii="Times New Roman" w:hAnsi="Times New Roman" w:cs="Times New Roman"/>
          <w:color w:val="auto"/>
        </w:rPr>
        <w:t>509 Kč a na logistické části (nájemné služebního bytu a NZŽN) 2 591 606,79 Kč.</w:t>
      </w:r>
    </w:p>
    <w:p w14:paraId="29F7A2BC" w14:textId="09DBBA48" w:rsidR="00A91C00" w:rsidRPr="00506A83" w:rsidRDefault="003A1792" w:rsidP="00EA29A0">
      <w:pPr>
        <w:pStyle w:val="Bezmezer"/>
        <w:spacing w:before="120" w:after="120" w:line="276" w:lineRule="auto"/>
        <w:ind w:firstLine="0"/>
        <w:rPr>
          <w:rFonts w:ascii="Times New Roman" w:hAnsi="Times New Roman" w:cs="Times New Roman"/>
          <w:color w:val="auto"/>
        </w:rPr>
      </w:pPr>
      <w:r w:rsidRPr="00506A83">
        <w:rPr>
          <w:rStyle w:val="normaltextrun"/>
          <w:rFonts w:ascii="Times New Roman" w:hAnsi="Times New Roman" w:cs="Times New Roman"/>
          <w:color w:val="auto"/>
        </w:rPr>
        <w:t>Z roku 2024 byly převedeny nároky nespotřebovaných výdajů (dále jen „NNV“) ve výši 8</w:t>
      </w:r>
      <w:r w:rsidR="004964CB" w:rsidRPr="00506A83">
        <w:rPr>
          <w:rStyle w:val="normaltextrun"/>
          <w:rFonts w:ascii="Times New Roman" w:hAnsi="Times New Roman" w:cs="Times New Roman"/>
          <w:color w:val="auto"/>
        </w:rPr>
        <w:t> </w:t>
      </w:r>
      <w:r w:rsidRPr="00506A83">
        <w:rPr>
          <w:rStyle w:val="normaltextrun"/>
          <w:rFonts w:ascii="Times New Roman" w:hAnsi="Times New Roman" w:cs="Times New Roman"/>
          <w:color w:val="auto"/>
        </w:rPr>
        <w:t>617</w:t>
      </w:r>
      <w:r w:rsidR="004964CB" w:rsidRPr="00506A83">
        <w:rPr>
          <w:rStyle w:val="normaltextrun"/>
          <w:rFonts w:ascii="Times New Roman" w:hAnsi="Times New Roman" w:cs="Times New Roman"/>
          <w:color w:val="auto"/>
        </w:rPr>
        <w:t> </w:t>
      </w:r>
      <w:r w:rsidRPr="00506A83">
        <w:rPr>
          <w:rStyle w:val="normaltextrun"/>
          <w:rFonts w:ascii="Times New Roman" w:hAnsi="Times New Roman" w:cs="Times New Roman"/>
          <w:color w:val="auto"/>
        </w:rPr>
        <w:t>387,50 Kč. Z roku 2025 se do roku 2026 převádí NNV ve výši 4 879 232 Kč (2. část plateb VPD a NZŽN).</w:t>
      </w:r>
    </w:p>
    <w:p w14:paraId="516C1472" w14:textId="65A88BE9" w:rsidR="007C28B3" w:rsidRPr="00506A83" w:rsidRDefault="003A1792" w:rsidP="005177B3">
      <w:pPr>
        <w:pStyle w:val="Bezmezer"/>
        <w:spacing w:before="120" w:after="120" w:line="276" w:lineRule="auto"/>
        <w:ind w:firstLine="0"/>
        <w:rPr>
          <w:rFonts w:ascii="Times New Roman" w:hAnsi="Times New Roman" w:cs="Times New Roman"/>
          <w:b/>
          <w:bCs/>
          <w:color w:val="auto"/>
        </w:rPr>
      </w:pPr>
      <w:r w:rsidRPr="00506A83">
        <w:rPr>
          <w:rStyle w:val="normaltextrun"/>
          <w:rFonts w:ascii="Times New Roman" w:hAnsi="Times New Roman" w:cs="Times New Roman"/>
          <w:b/>
          <w:color w:val="auto"/>
        </w:rPr>
        <w:t>Celkem byly v roce 2025 čerpány výdaje ve výši 102 738 403,19 Kč, tj. 105,2 % skutečnosti roku 2024</w:t>
      </w:r>
      <w:r w:rsidR="00F06A86" w:rsidRPr="00506A83">
        <w:rPr>
          <w:rStyle w:val="normaltextrun"/>
          <w:rFonts w:ascii="Times New Roman" w:hAnsi="Times New Roman" w:cs="Times New Roman"/>
          <w:b/>
          <w:color w:val="auto"/>
        </w:rPr>
        <w:t>,</w:t>
      </w:r>
      <w:r w:rsidRPr="00506A83">
        <w:rPr>
          <w:rStyle w:val="normaltextrun"/>
          <w:rFonts w:ascii="Times New Roman" w:hAnsi="Times New Roman" w:cs="Times New Roman"/>
          <w:b/>
          <w:color w:val="auto"/>
        </w:rPr>
        <w:t xml:space="preserve"> a byly o 5 106 073 Kč vyšší</w:t>
      </w:r>
      <w:r w:rsidRPr="00506A83">
        <w:rPr>
          <w:rStyle w:val="normaltextrun"/>
          <w:rFonts w:ascii="Times New Roman" w:hAnsi="Times New Roman" w:cs="Times New Roman"/>
          <w:color w:val="auto"/>
        </w:rPr>
        <w:t xml:space="preserve">. </w:t>
      </w:r>
      <w:r w:rsidR="001A63A1" w:rsidRPr="00506A83">
        <w:rPr>
          <w:rStyle w:val="normaltextrun"/>
          <w:rFonts w:ascii="Times New Roman" w:hAnsi="Times New Roman" w:cs="Times New Roman"/>
          <w:color w:val="auto"/>
        </w:rPr>
        <w:t xml:space="preserve">Přehled realizovaných aktivit je obsažen </w:t>
      </w:r>
      <w:r w:rsidR="001A63A1" w:rsidRPr="00506A83">
        <w:rPr>
          <w:rStyle w:val="normaltextrun"/>
          <w:rFonts w:ascii="Times New Roman" w:hAnsi="Times New Roman" w:cs="Times New Roman"/>
          <w:b/>
          <w:bCs/>
          <w:color w:val="auto"/>
        </w:rPr>
        <w:t>v příloze č.</w:t>
      </w:r>
      <w:r w:rsidR="00EA29A0" w:rsidRPr="00506A83">
        <w:rPr>
          <w:rStyle w:val="normaltextrun"/>
          <w:rFonts w:ascii="Times New Roman" w:hAnsi="Times New Roman" w:cs="Times New Roman"/>
          <w:b/>
          <w:bCs/>
          <w:color w:val="auto"/>
        </w:rPr>
        <w:t> </w:t>
      </w:r>
      <w:r w:rsidR="001A63A1" w:rsidRPr="00506A83">
        <w:rPr>
          <w:rStyle w:val="normaltextrun"/>
          <w:rFonts w:ascii="Times New Roman" w:hAnsi="Times New Roman" w:cs="Times New Roman"/>
          <w:b/>
          <w:bCs/>
          <w:color w:val="auto"/>
        </w:rPr>
        <w:t>3.</w:t>
      </w:r>
    </w:p>
    <w:p w14:paraId="6812CE55" w14:textId="65F55558" w:rsidR="00313C28" w:rsidRPr="00506A83" w:rsidRDefault="00313C28" w:rsidP="005177B3">
      <w:pPr>
        <w:spacing w:before="120" w:after="120" w:line="276" w:lineRule="auto"/>
        <w:rPr>
          <w:rStyle w:val="normaltextrun"/>
        </w:rPr>
      </w:pPr>
    </w:p>
    <w:p w14:paraId="5BF2456B" w14:textId="1B789BF8" w:rsidR="00A276A7" w:rsidRPr="00506A83" w:rsidRDefault="006249BE" w:rsidP="0012521C">
      <w:pPr>
        <w:pStyle w:val="Nadpis3"/>
        <w:numPr>
          <w:ilvl w:val="2"/>
          <w:numId w:val="37"/>
        </w:numPr>
        <w:spacing w:before="120" w:after="120" w:line="276" w:lineRule="auto"/>
        <w:ind w:left="709" w:hanging="709"/>
        <w:rPr>
          <w:rFonts w:ascii="Times New Roman" w:hAnsi="Times New Roman" w:cs="Times New Roman"/>
        </w:rPr>
      </w:pPr>
      <w:bookmarkStart w:id="54" w:name="_Toc228190603"/>
      <w:bookmarkStart w:id="55" w:name="_Toc231294157"/>
      <w:r w:rsidRPr="00506A83">
        <w:rPr>
          <w:rFonts w:ascii="Times New Roman" w:hAnsi="Times New Roman" w:cs="Times New Roman"/>
        </w:rPr>
        <w:t>Program Ukrajina</w:t>
      </w:r>
      <w:r w:rsidR="00533DBB" w:rsidRPr="00506A83">
        <w:rPr>
          <w:rFonts w:ascii="Times New Roman" w:hAnsi="Times New Roman" w:cs="Times New Roman"/>
        </w:rPr>
        <w:t xml:space="preserve"> </w:t>
      </w:r>
      <w:r w:rsidRPr="00506A83">
        <w:rPr>
          <w:rFonts w:ascii="Times New Roman" w:hAnsi="Times New Roman" w:cs="Times New Roman"/>
        </w:rPr>
        <w:t>dle UV 855/2022 v r. 202</w:t>
      </w:r>
      <w:r w:rsidR="000B1E0B" w:rsidRPr="00506A83">
        <w:rPr>
          <w:rFonts w:ascii="Times New Roman" w:hAnsi="Times New Roman" w:cs="Times New Roman"/>
        </w:rPr>
        <w:t>5</w:t>
      </w:r>
      <w:bookmarkEnd w:id="54"/>
      <w:bookmarkEnd w:id="55"/>
      <w:r w:rsidRPr="00506A83">
        <w:rPr>
          <w:rFonts w:ascii="Times New Roman" w:hAnsi="Times New Roman" w:cs="Times New Roman"/>
        </w:rPr>
        <w:t xml:space="preserve"> </w:t>
      </w:r>
      <w:r w:rsidR="00A276A7" w:rsidRPr="00506A83">
        <w:rPr>
          <w:rFonts w:ascii="Times New Roman" w:hAnsi="Times New Roman" w:cs="Times New Roman"/>
        </w:rPr>
        <w:t xml:space="preserve"> </w:t>
      </w:r>
    </w:p>
    <w:p w14:paraId="3CB2E00C" w14:textId="65490B53" w:rsidR="00BA405C" w:rsidRPr="00506A83" w:rsidRDefault="00BA405C" w:rsidP="00BA405C">
      <w:pPr>
        <w:spacing w:before="120" w:after="120" w:line="276" w:lineRule="auto"/>
        <w:contextualSpacing/>
        <w:jc w:val="both"/>
      </w:pPr>
      <w:r w:rsidRPr="00506A83">
        <w:t xml:space="preserve">Čerpáno v roce 2025: </w:t>
      </w:r>
      <w:r w:rsidR="00F6385B" w:rsidRPr="00506A83">
        <w:t>431 mil. Kč</w:t>
      </w:r>
    </w:p>
    <w:p w14:paraId="354A13FC" w14:textId="0B45C788" w:rsidR="00BA405C" w:rsidRPr="00506A83" w:rsidRDefault="00BA405C" w:rsidP="00BA405C">
      <w:pPr>
        <w:spacing w:before="120" w:after="120" w:line="276" w:lineRule="auto"/>
        <w:contextualSpacing/>
        <w:jc w:val="both"/>
      </w:pPr>
      <w:r w:rsidRPr="00506A83">
        <w:t xml:space="preserve">Počet realizovaných projektů: </w:t>
      </w:r>
      <w:r w:rsidR="00CC7403" w:rsidRPr="00506A83">
        <w:t>130</w:t>
      </w:r>
    </w:p>
    <w:p w14:paraId="3284A7CD" w14:textId="77777777" w:rsidR="00906DC8" w:rsidRPr="00506A83" w:rsidRDefault="00906DC8" w:rsidP="00BA405C">
      <w:pPr>
        <w:spacing w:before="120" w:after="120" w:line="276" w:lineRule="auto"/>
        <w:contextualSpacing/>
        <w:jc w:val="both"/>
      </w:pPr>
    </w:p>
    <w:p w14:paraId="5E22495D" w14:textId="246907A7" w:rsidR="006562FB" w:rsidRPr="00506A83" w:rsidRDefault="006562FB" w:rsidP="005177B3">
      <w:pPr>
        <w:spacing w:before="120" w:after="120" w:line="276" w:lineRule="auto"/>
        <w:jc w:val="both"/>
      </w:pPr>
      <w:r w:rsidRPr="00506A83">
        <w:t xml:space="preserve">V souvislosti s agresí Ruska proti Ukrajině schválila Vláda ČR v říjnu roku 2022 </w:t>
      </w:r>
      <w:r w:rsidRPr="00506A83">
        <w:rPr>
          <w:b/>
        </w:rPr>
        <w:t>Program humanitární, stabilizační, rekonstrukční a hospodářské asistence Ukrajině v letech 2023-2025</w:t>
      </w:r>
      <w:r w:rsidRPr="00506A83">
        <w:t xml:space="preserve"> (UV 855/2022, dále Program Ukrajina) s roční alokací 500 mil. Kč určenou pro MZV (celkem 280 mil. na humanitární, transformační a rozvojovou asistenci a ekonomickou diplomacii), MPO (85 mil. na hospodářskou spolupráci), MV (120 mil. na programy MEDEVAC a Pomoc na místě pro Ukrajinu) MŠMT a MZ (celkem 15 mil. Kč na rozvojová stipendia a související zdravotní pojištění). </w:t>
      </w:r>
    </w:p>
    <w:p w14:paraId="1DD77945" w14:textId="77777777" w:rsidR="006D5090" w:rsidRPr="00506A83" w:rsidRDefault="006562FB" w:rsidP="006D5090">
      <w:pPr>
        <w:spacing w:before="120" w:after="120" w:line="276" w:lineRule="auto"/>
        <w:jc w:val="both"/>
      </w:pPr>
      <w:r w:rsidRPr="00506A83">
        <w:lastRenderedPageBreak/>
        <w:t xml:space="preserve">Do řízení Programu jsou prostřednictvím ustavené meziresortní </w:t>
      </w:r>
      <w:r w:rsidRPr="00506A83">
        <w:rPr>
          <w:b/>
        </w:rPr>
        <w:t>Pracovní skupiny pro Ukrajinu při Radě pro ZRS</w:t>
      </w:r>
      <w:r w:rsidRPr="00506A83">
        <w:t xml:space="preserve"> zapojeny všechny zainteresované resorty ČR i platformy implementačních partnerů ze soukromé a neziskové sféry. </w:t>
      </w:r>
    </w:p>
    <w:p w14:paraId="29E17E6F" w14:textId="77777777" w:rsidR="00B94BBA" w:rsidRPr="00506A83" w:rsidRDefault="00B94BBA" w:rsidP="00B94BBA">
      <w:pPr>
        <w:spacing w:before="120" w:after="120" w:line="276" w:lineRule="auto"/>
        <w:jc w:val="both"/>
      </w:pPr>
      <w:r w:rsidRPr="00506A83">
        <w:t>Na MPO je dále ustavena komunikační a koordinační platforma pro hospodářskou spolupráci nazvaná Business klub Ukrajina s více než 250 členy z veřejného i soukromého sektoru, která představuje pracovní skupinu v rámci česko-ukrajinské Mezivládní komise pro hospodářskou, průmyslovou a vědeckotechnickou spolupráci.</w:t>
      </w:r>
    </w:p>
    <w:p w14:paraId="716B7F22" w14:textId="1BC4C110" w:rsidR="006D5090" w:rsidRPr="00506A83" w:rsidRDefault="00977174" w:rsidP="006D5090">
      <w:pPr>
        <w:spacing w:before="120" w:after="120" w:line="276" w:lineRule="auto"/>
        <w:jc w:val="both"/>
      </w:pPr>
      <w:r w:rsidRPr="00506A83">
        <w:rPr>
          <w:rStyle w:val="normaltextrun"/>
        </w:rPr>
        <w:t xml:space="preserve">Přehled realizovaných aktivit je obsažen </w:t>
      </w:r>
      <w:r w:rsidRPr="00506A83">
        <w:rPr>
          <w:rStyle w:val="normaltextrun"/>
          <w:b/>
          <w:bCs/>
        </w:rPr>
        <w:t>v příloze č. 3.</w:t>
      </w:r>
    </w:p>
    <w:p w14:paraId="7D939994" w14:textId="3DAEAE8F" w:rsidR="006D5090" w:rsidRPr="00506A83" w:rsidRDefault="006562FB" w:rsidP="00C60479">
      <w:pPr>
        <w:pStyle w:val="Nadpis4"/>
        <w:rPr>
          <w:rStyle w:val="normaltextrun"/>
        </w:rPr>
      </w:pPr>
      <w:r w:rsidRPr="00506A83">
        <w:rPr>
          <w:rStyle w:val="normaltextrun"/>
        </w:rPr>
        <w:t>Projekty v gesci MZV</w:t>
      </w:r>
    </w:p>
    <w:p w14:paraId="607586CE" w14:textId="0AE98057" w:rsidR="006D5090" w:rsidRPr="00506A83" w:rsidRDefault="006562FB" w:rsidP="006D5090">
      <w:pPr>
        <w:spacing w:before="120" w:after="120" w:line="276" w:lineRule="auto"/>
        <w:jc w:val="both"/>
        <w:rPr>
          <w:rStyle w:val="normaltextrun"/>
        </w:rPr>
      </w:pPr>
      <w:r w:rsidRPr="00506A83">
        <w:rPr>
          <w:rStyle w:val="normaltextrun"/>
        </w:rPr>
        <w:t xml:space="preserve">Z celkového rozpočtu programu Pomoc Ukrajině bylo na rok 2025 vyčleněno 20 mil. Kč na </w:t>
      </w:r>
      <w:r w:rsidRPr="00506A83">
        <w:rPr>
          <w:rStyle w:val="normaltextrun"/>
          <w:b/>
          <w:bCs/>
        </w:rPr>
        <w:t>projekty transformační spolupráce</w:t>
      </w:r>
      <w:r w:rsidRPr="00506A83">
        <w:rPr>
          <w:rStyle w:val="normaltextrun"/>
        </w:rPr>
        <w:t xml:space="preserve">. V průběhu roku bylo financováno dohromady </w:t>
      </w:r>
      <w:r w:rsidRPr="00506A83">
        <w:rPr>
          <w:rStyle w:val="normaltextrun"/>
          <w:b/>
          <w:bCs/>
        </w:rPr>
        <w:t>11 projektů v celkovém objemu 19 999 998,92 Kč</w:t>
      </w:r>
      <w:r w:rsidRPr="00506A83">
        <w:rPr>
          <w:rStyle w:val="normaltextrun"/>
        </w:rPr>
        <w:t>. Formou dotací byl</w:t>
      </w:r>
      <w:r w:rsidR="006F2779" w:rsidRPr="00506A83">
        <w:rPr>
          <w:rStyle w:val="normaltextrun"/>
        </w:rPr>
        <w:t>y</w:t>
      </w:r>
      <w:r w:rsidRPr="00506A83">
        <w:rPr>
          <w:rStyle w:val="normaltextrun"/>
        </w:rPr>
        <w:t xml:space="preserve"> podpořen</w:t>
      </w:r>
      <w:r w:rsidR="006F2779" w:rsidRPr="00506A83">
        <w:rPr>
          <w:rStyle w:val="normaltextrun"/>
        </w:rPr>
        <w:t>y</w:t>
      </w:r>
      <w:r w:rsidRPr="00506A83">
        <w:rPr>
          <w:rStyle w:val="normaltextrun"/>
        </w:rPr>
        <w:t xml:space="preserve"> celkem 4</w:t>
      </w:r>
      <w:r w:rsidR="004964CB" w:rsidRPr="00506A83">
        <w:rPr>
          <w:rStyle w:val="normaltextrun"/>
        </w:rPr>
        <w:t> </w:t>
      </w:r>
      <w:r w:rsidRPr="00506A83">
        <w:rPr>
          <w:rStyle w:val="normaltextrun"/>
        </w:rPr>
        <w:t>projekt</w:t>
      </w:r>
      <w:r w:rsidR="006F2779" w:rsidRPr="00506A83">
        <w:rPr>
          <w:rStyle w:val="normaltextrun"/>
        </w:rPr>
        <w:t>y</w:t>
      </w:r>
      <w:r w:rsidRPr="00506A83">
        <w:rPr>
          <w:rStyle w:val="normaltextrun"/>
        </w:rPr>
        <w:t xml:space="preserve"> </w:t>
      </w:r>
      <w:r w:rsidR="006F2779" w:rsidRPr="00506A83">
        <w:rPr>
          <w:rStyle w:val="normaltextrun"/>
        </w:rPr>
        <w:t xml:space="preserve">realizované </w:t>
      </w:r>
      <w:r w:rsidRPr="00506A83">
        <w:rPr>
          <w:rStyle w:val="normaltextrun"/>
        </w:rPr>
        <w:t>českými nevládními organizacemi ve spolupráci s</w:t>
      </w:r>
      <w:r w:rsidR="0006277B" w:rsidRPr="00506A83">
        <w:rPr>
          <w:rStyle w:val="normaltextrun"/>
        </w:rPr>
        <w:t> </w:t>
      </w:r>
      <w:r w:rsidRPr="00506A83">
        <w:rPr>
          <w:rStyle w:val="normaltextrun"/>
        </w:rPr>
        <w:t>místními partnery. Dále bylo přes zastupitelský úřad v Kyjevě podpořeno 7 projektů ukrajinských nevládních organizací</w:t>
      </w:r>
      <w:r w:rsidR="006F2779" w:rsidRPr="00506A83">
        <w:rPr>
          <w:rStyle w:val="normaltextrun"/>
        </w:rPr>
        <w:t>.</w:t>
      </w:r>
    </w:p>
    <w:p w14:paraId="44184210" w14:textId="6B8C3EC6" w:rsidR="006D5090" w:rsidRPr="00506A83" w:rsidRDefault="006562FB" w:rsidP="006D5090">
      <w:pPr>
        <w:spacing w:before="120" w:after="120" w:line="276" w:lineRule="auto"/>
        <w:jc w:val="both"/>
        <w:rPr>
          <w:b/>
        </w:rPr>
      </w:pPr>
      <w:r w:rsidRPr="00506A83">
        <w:rPr>
          <w:rStyle w:val="normaltextrun"/>
        </w:rPr>
        <w:t>MZV</w:t>
      </w:r>
      <w:r w:rsidRPr="00506A83">
        <w:t xml:space="preserve"> v roce 2025 dále realizovalo celkem </w:t>
      </w:r>
      <w:r w:rsidR="00F56E6C" w:rsidRPr="00506A83">
        <w:rPr>
          <w:b/>
        </w:rPr>
        <w:t>71</w:t>
      </w:r>
      <w:r w:rsidR="008A596F" w:rsidRPr="00506A83">
        <w:rPr>
          <w:b/>
        </w:rPr>
        <w:t xml:space="preserve"> </w:t>
      </w:r>
      <w:r w:rsidRPr="00506A83">
        <w:rPr>
          <w:b/>
        </w:rPr>
        <w:t>humanitárních a stabilizačních projektů</w:t>
      </w:r>
      <w:r w:rsidRPr="00506A83">
        <w:t xml:space="preserve"> (humanitární dotace, peněžní dary místním partnerům, dotace na podporu VVŠ, vázané peněžní dary), či </w:t>
      </w:r>
      <w:r w:rsidRPr="00506A83">
        <w:rPr>
          <w:b/>
        </w:rPr>
        <w:t>projektů ekonomické diplomacie</w:t>
      </w:r>
      <w:r w:rsidRPr="00506A83">
        <w:t xml:space="preserve"> (včetně projektů PROPED), zaměřených na stabilizaci a rekonstrukci v klíčových oblastech, na které dopadá agrese Ruska, a dalších aktivit s náklady ve výši </w:t>
      </w:r>
      <w:r w:rsidR="004765A5" w:rsidRPr="00506A83">
        <w:rPr>
          <w:b/>
        </w:rPr>
        <w:t xml:space="preserve">230 664 742,53 </w:t>
      </w:r>
      <w:r w:rsidRPr="00506A83">
        <w:rPr>
          <w:b/>
        </w:rPr>
        <w:t xml:space="preserve">Kč. </w:t>
      </w:r>
      <w:r w:rsidRPr="00506A83">
        <w:rPr>
          <w:bCs/>
        </w:rPr>
        <w:t>Z kapitoly MZV bylo také dále realizováno</w:t>
      </w:r>
      <w:r w:rsidRPr="00506A83">
        <w:rPr>
          <w:b/>
        </w:rPr>
        <w:t xml:space="preserve"> 5 projektů prostřednictvím ČRA s celkovým čerpáním 53,6 mil. Kč.</w:t>
      </w:r>
    </w:p>
    <w:p w14:paraId="22CC2A44" w14:textId="2230C592" w:rsidR="006D5090" w:rsidRPr="00506A83" w:rsidRDefault="00D22A9E" w:rsidP="00C60479">
      <w:pPr>
        <w:pStyle w:val="Nadpis4"/>
        <w:rPr>
          <w:rStyle w:val="normaltextrun"/>
        </w:rPr>
      </w:pPr>
      <w:r w:rsidRPr="00506A83">
        <w:rPr>
          <w:rStyle w:val="normaltextrun"/>
        </w:rPr>
        <w:t>Projekty v gesci MPO</w:t>
      </w:r>
    </w:p>
    <w:p w14:paraId="1865B560" w14:textId="26FFCA84" w:rsidR="008151CD" w:rsidRPr="00506A83" w:rsidRDefault="00D22A9E" w:rsidP="008151CD">
      <w:pPr>
        <w:spacing w:before="120" w:after="120" w:line="276" w:lineRule="auto"/>
        <w:jc w:val="both"/>
      </w:pPr>
      <w:r w:rsidRPr="00506A83">
        <w:t>MPO</w:t>
      </w:r>
      <w:r w:rsidR="008151CD" w:rsidRPr="00506A83">
        <w:t xml:space="preserve"> v rámci tohoto programu</w:t>
      </w:r>
      <w:r w:rsidRPr="00506A83">
        <w:t xml:space="preserve"> realizuj</w:t>
      </w:r>
      <w:r w:rsidR="00FB69D2" w:rsidRPr="00506A83">
        <w:t>e</w:t>
      </w:r>
      <w:r w:rsidRPr="00506A83">
        <w:t xml:space="preserve"> projekty pod názvem Aid for Trade – Ukraine (AfT-U). Jedná se o projekty, které si kladou za cíl aktivně přispět k rozvoji obchodní a hospodářské spolupráce mezi ČR a Ukrajinou a českými a ukrajinskými společnostmi, ekonomickému a</w:t>
      </w:r>
      <w:r w:rsidR="0022364E" w:rsidRPr="00506A83">
        <w:t> </w:t>
      </w:r>
      <w:r w:rsidRPr="00506A83">
        <w:t>sociálnímu rozvoji, zvláště na úrovni regionů, k ochraně životního prostředí při obnově válkou poškozené a zničené ekonomické, ekologické a sociální sféry atp.</w:t>
      </w:r>
    </w:p>
    <w:p w14:paraId="604EDCD4" w14:textId="15D03F70" w:rsidR="006D5090" w:rsidRPr="00506A83" w:rsidRDefault="00DE182B" w:rsidP="008151CD">
      <w:pPr>
        <w:spacing w:before="120" w:after="120" w:line="276" w:lineRule="auto"/>
        <w:jc w:val="both"/>
      </w:pPr>
      <w:r w:rsidRPr="00506A83">
        <w:t>V roce 2025 se realizovalo 1</w:t>
      </w:r>
      <w:r w:rsidR="00644480" w:rsidRPr="00506A83">
        <w:t>0</w:t>
      </w:r>
      <w:r w:rsidRPr="00506A83">
        <w:t xml:space="preserve"> víceletých projektů programu AfT-U. Z toho byly řádně zrealizovány a dokončeny 4 projekty, 2 projekty byly předčasně ukončeny z důvodu odstoupení ukrajinských partnerů, 4 projekty byly zrušeny z důvodu nehodnotitelnosti nabídek a realizace 5 projektů bude dokončena průběžně v roce 2026. Celkem bylo na projekty AfT-U v roce 2025 průběžně čerpáno 9,59 mil. Kč. </w:t>
      </w:r>
    </w:p>
    <w:p w14:paraId="17837ED3" w14:textId="2D47A5E2" w:rsidR="00B35493" w:rsidRPr="00506A83" w:rsidRDefault="00B35493">
      <w:r w:rsidRPr="00506A83">
        <w:br w:type="page"/>
      </w:r>
    </w:p>
    <w:p w14:paraId="52789416" w14:textId="3E60BC89" w:rsidR="00C84467" w:rsidRPr="00506A83" w:rsidRDefault="00C84467" w:rsidP="00C60479">
      <w:pPr>
        <w:pStyle w:val="Nadpis4"/>
      </w:pPr>
      <w:r w:rsidRPr="00506A83">
        <w:rPr>
          <w:rStyle w:val="normaltextrun"/>
        </w:rPr>
        <w:lastRenderedPageBreak/>
        <w:t>Projekty v gesci MŠMT</w:t>
      </w:r>
    </w:p>
    <w:p w14:paraId="4B2B754B" w14:textId="77777777" w:rsidR="00BC3F0B" w:rsidRPr="00506A83" w:rsidRDefault="00BC3F0B" w:rsidP="004964CB">
      <w:pPr>
        <w:spacing w:before="120" w:after="120" w:line="276" w:lineRule="auto"/>
        <w:jc w:val="both"/>
        <w:rPr>
          <w:b/>
          <w:bCs/>
        </w:rPr>
      </w:pPr>
      <w:r w:rsidRPr="00506A83">
        <w:rPr>
          <w:b/>
          <w:bCs/>
        </w:rPr>
        <w:t>Dotační výzva „Jazyk jako brána: Soustavné jazykové vzdělávání pro Ukrajince – migranty směřující k jejich terciárnímu vzdělávání v českém jazyce“ (Ministerstvo školství, mládeže a tělovýchovy)</w:t>
      </w:r>
    </w:p>
    <w:p w14:paraId="6E71F65D" w14:textId="30A98194" w:rsidR="00BC3F0B" w:rsidRPr="00506A83" w:rsidRDefault="00BC3F0B" w:rsidP="004964CB">
      <w:pPr>
        <w:spacing w:before="120" w:after="120" w:line="276" w:lineRule="auto"/>
        <w:jc w:val="both"/>
      </w:pPr>
      <w:r w:rsidRPr="00506A83">
        <w:t xml:space="preserve">Po úspěšné realizaci kurzů jazykové a odborné přípravy ke studiu v </w:t>
      </w:r>
      <w:r w:rsidR="00A477E1" w:rsidRPr="00506A83">
        <w:t xml:space="preserve">českojazyčných </w:t>
      </w:r>
      <w:r w:rsidRPr="00506A83">
        <w:t>programech na vysokých školách v ČR v předchozích dvou akademických letech byla pro rok 2025/2026 vyhlášena nová výzva s obdobnými parametry, tzn. cílovou skupinu tvořili ukrajinští migranti s nedostatečnou úrovní znalosti českého jazyka, oprávněným žadatelem mohla být pouze veřejná vysoká škola. Na realizaci uvedené aktivity bylo do rozpočtu MŠMT převedeno 14,5 mil. Kč, přičemž – s ohledem na časové určení akademického roku – byla realizátorovi v</w:t>
      </w:r>
      <w:r w:rsidR="004964CB" w:rsidRPr="00506A83">
        <w:t> </w:t>
      </w:r>
      <w:r w:rsidRPr="00506A83">
        <w:t>roce 2025 vyplacena pouze dílčí část, zbývající prostředky budou příjemci dotace vyplaceny v roce 2026.</w:t>
      </w:r>
    </w:p>
    <w:p w14:paraId="25054DB1" w14:textId="29DF27F2" w:rsidR="00BC3F0B" w:rsidRPr="00506A83" w:rsidRDefault="00BC3F0B" w:rsidP="004964CB">
      <w:pPr>
        <w:spacing w:before="120" w:after="120" w:line="276" w:lineRule="auto"/>
        <w:jc w:val="both"/>
      </w:pPr>
      <w:r w:rsidRPr="00506A83">
        <w:t>Prostřednictvím dotační výzvy byla podpořena realizace 3 kurzů o minimálním celkovém objemu 1980 vyučovacích hodin realizovaných v období 1. října 2025 – 31. srpna 2026. V</w:t>
      </w:r>
      <w:r w:rsidR="004964CB" w:rsidRPr="00506A83">
        <w:t> </w:t>
      </w:r>
      <w:r w:rsidRPr="00506A83">
        <w:t xml:space="preserve">jednom kurzu je po celou dobu zapsáno minimálně 12 a maximálně 18 účastníků. </w:t>
      </w:r>
    </w:p>
    <w:p w14:paraId="393EC9D4" w14:textId="71DCE93F" w:rsidR="00BC3F0B" w:rsidRPr="00506A83" w:rsidRDefault="00BC3F0B" w:rsidP="004964CB">
      <w:pPr>
        <w:spacing w:before="120" w:after="120" w:line="276" w:lineRule="auto"/>
        <w:jc w:val="both"/>
      </w:pPr>
      <w:r w:rsidRPr="00506A83">
        <w:t xml:space="preserve">Realizátorem kurzů je Ústav jazykové a odborné přípravy Univerzity Karlovy. Univerzitě Karlově byla pro akademický rok 2025/2026 přiznána dotace v celkové výši 14 499 000 Kč. První část dotace ve výši </w:t>
      </w:r>
      <w:r w:rsidR="00D00F11" w:rsidRPr="00506A83">
        <w:t>3</w:t>
      </w:r>
      <w:r w:rsidR="008F784F" w:rsidRPr="00506A83">
        <w:t> </w:t>
      </w:r>
      <w:r w:rsidR="00D00F11" w:rsidRPr="00506A83">
        <w:t>760</w:t>
      </w:r>
      <w:r w:rsidR="008F784F" w:rsidRPr="00506A83">
        <w:t xml:space="preserve"> 000</w:t>
      </w:r>
      <w:r w:rsidRPr="00506A83">
        <w:t xml:space="preserve"> Kč byla poskytnuta v roce 2025, druhá ve výši 10 </w:t>
      </w:r>
      <w:r w:rsidR="008F784F" w:rsidRPr="00506A83">
        <w:t>739 0</w:t>
      </w:r>
      <w:r w:rsidRPr="00506A83">
        <w:t>00 Kč bude Ústavu jazykové a odborné přípravy Univerzity Karlovy převedena v termínu stanoveném s ohledem na rozpočtové provizorium.</w:t>
      </w:r>
      <w:r w:rsidR="003A554B" w:rsidRPr="00506A83">
        <w:t xml:space="preserve"> V roce 2025 byla také převedena druhá část dotace pro akademický rok 2024/2025 ve výši </w:t>
      </w:r>
      <w:r w:rsidR="002E3E54" w:rsidRPr="00506A83">
        <w:t>9 744 000</w:t>
      </w:r>
      <w:r w:rsidR="003A554B" w:rsidRPr="00506A83">
        <w:t xml:space="preserve"> Kč.</w:t>
      </w:r>
    </w:p>
    <w:p w14:paraId="6701A791" w14:textId="1D7305B6" w:rsidR="001F1907" w:rsidRPr="00506A83" w:rsidRDefault="00C84467" w:rsidP="00C60479">
      <w:pPr>
        <w:pStyle w:val="Nadpis4"/>
        <w:rPr>
          <w:rStyle w:val="normaltextrun"/>
        </w:rPr>
      </w:pPr>
      <w:r w:rsidRPr="00506A83">
        <w:rPr>
          <w:rStyle w:val="normaltextrun"/>
        </w:rPr>
        <w:t>Projekty v gesci MV</w:t>
      </w:r>
    </w:p>
    <w:p w14:paraId="2D863A72" w14:textId="2473610F" w:rsidR="00881539" w:rsidRPr="00506A83" w:rsidRDefault="00881539" w:rsidP="005177B3">
      <w:pPr>
        <w:spacing w:before="120" w:after="120" w:line="276" w:lineRule="auto"/>
        <w:jc w:val="both"/>
        <w:rPr>
          <w:bCs/>
        </w:rPr>
      </w:pPr>
      <w:r w:rsidRPr="00506A83">
        <w:t>V roce 2025 MV ČR pokračovalo v pomoci Ukrajině vedle Programu bezpečnostní rozvojové spolupráce také v rámci „Programu humanitární, stabilizační, rekonstrukční a hospodářské asistence Ukrajině v letech 2023-2025“, který byl schválen vládou v souladu se zákonem o</w:t>
      </w:r>
      <w:r w:rsidR="004964CB" w:rsidRPr="00506A83">
        <w:t> </w:t>
      </w:r>
      <w:r w:rsidRPr="00506A83">
        <w:t>zahraniční rozvojové spolupráci. Na základě dohody s Ministerstvem zahraničních věcí a</w:t>
      </w:r>
      <w:r w:rsidR="004964CB" w:rsidRPr="00506A83">
        <w:t> </w:t>
      </w:r>
      <w:r w:rsidRPr="00506A83">
        <w:t>odborem azylové a migrační politiky MV (OAMP</w:t>
      </w:r>
      <w:r w:rsidRPr="00506A83">
        <w:rPr>
          <w:bCs/>
        </w:rPr>
        <w:t xml:space="preserve">) bylo do rozpočtu odboru mezinárodní spolupráce a Evropské unie (OMSEU) převedeno z rozpočtu OAMP (program MEDEVAC) na realizaci Programu Ukrajina 6 mil. Kč. Předmětné finanční prostředky byly převedeny za účelem financování bezpečnostně-rozvojových projektů s Ukrajinou, příp. Moldavskem. </w:t>
      </w:r>
      <w:r w:rsidRPr="00506A83">
        <w:rPr>
          <w:b/>
          <w:bCs/>
        </w:rPr>
        <w:t xml:space="preserve">Realizováno bylo celkem 6 projektů ve výši 1 681 368 Kč. </w:t>
      </w:r>
      <w:r w:rsidRPr="00506A83">
        <w:rPr>
          <w:bCs/>
        </w:rPr>
        <w:t xml:space="preserve">V rámci těchto projektů proběhly 3 expertní cesty českých odborníků do partnerských zemí, 6 studijních pobytů zahraničních zástupců v České republice a předán byl 1 materiální dar. Na těchto aktivitách čeští experti spolupracovali se svými ukrajinskými protějšky, 1 projekt byl realizován s Moldavskem. </w:t>
      </w:r>
      <w:r w:rsidR="004510C3" w:rsidRPr="00506A83">
        <w:rPr>
          <w:bCs/>
        </w:rPr>
        <w:t xml:space="preserve">Jeden </w:t>
      </w:r>
      <w:r w:rsidRPr="00506A83">
        <w:rPr>
          <w:bCs/>
        </w:rPr>
        <w:t>projekt byl převeden do roku 2026 z důvodů překážek způsobených kapacitními důvody na straně realizátora. Finanční prostředky na realizaci přesunutého projektu spolu s uspořenými prostředky (cca 4,3 mil. Kč) byly převedeny v rámci nároků na nespotřebované výdaje a budou využity na Program bezpečnostní rozvojové spolupráce s Ukrajinou v roce 2026.</w:t>
      </w:r>
    </w:p>
    <w:p w14:paraId="117D05C0" w14:textId="6480E165" w:rsidR="00881539" w:rsidRPr="00506A83" w:rsidRDefault="00881539" w:rsidP="005177B3">
      <w:pPr>
        <w:spacing w:before="120" w:after="120" w:line="276" w:lineRule="auto"/>
        <w:jc w:val="both"/>
        <w:rPr>
          <w:bCs/>
        </w:rPr>
      </w:pPr>
      <w:r w:rsidRPr="00506A83">
        <w:rPr>
          <w:bCs/>
        </w:rPr>
        <w:lastRenderedPageBreak/>
        <w:t>Realizátory projektů byly útvary Policie ČR (Krajské ředitelství policie Moravskoslezského kraje, Národní centrála proti organizovanému zločinu, Úřad služby kriminální policie a</w:t>
      </w:r>
      <w:r w:rsidR="004510C3" w:rsidRPr="00506A83">
        <w:rPr>
          <w:bCs/>
        </w:rPr>
        <w:t> </w:t>
      </w:r>
      <w:r w:rsidRPr="00506A83">
        <w:rPr>
          <w:bCs/>
        </w:rPr>
        <w:t>vyšetřování PP ČR a Útvar rychlého nasazení PČR), Generální ředitelství Hasičského záchranného sboru ČR a odbor archivní správy a spisové služby MV.</w:t>
      </w:r>
    </w:p>
    <w:p w14:paraId="04526488" w14:textId="73EF3558" w:rsidR="00881539" w:rsidRPr="00506A83" w:rsidRDefault="00881539" w:rsidP="005177B3">
      <w:pPr>
        <w:spacing w:before="120" w:after="120" w:line="276" w:lineRule="auto"/>
        <w:jc w:val="both"/>
        <w:rPr>
          <w:bCs/>
        </w:rPr>
      </w:pPr>
      <w:r w:rsidRPr="00506A83">
        <w:rPr>
          <w:bCs/>
        </w:rPr>
        <w:t xml:space="preserve">Témata, kterým se projekty věnovaly, byly boj proti kybernetické kriminalitě, problematika činnosti protiteroristických jednotek, kriminální vyšetřování, zlepšení monitorovacího systému registračních značek a typů vozidel, požární ochrana a záchrana archivního dědictví. </w:t>
      </w:r>
    </w:p>
    <w:p w14:paraId="310ED609" w14:textId="0BE4525B" w:rsidR="00881539" w:rsidRPr="00506A83" w:rsidRDefault="00881539" w:rsidP="005177B3">
      <w:pPr>
        <w:spacing w:before="120" w:after="120" w:line="276" w:lineRule="auto"/>
        <w:jc w:val="both"/>
        <w:rPr>
          <w:bCs/>
        </w:rPr>
      </w:pPr>
      <w:r w:rsidRPr="00506A83">
        <w:rPr>
          <w:bCs/>
        </w:rPr>
        <w:t>Usnesením vlády č. 855 ze dne 12. října 2022 o Programu humanitární, stabilizační, rekonstrukční a hospodářské asistence Ukrajině v letech 2023–2025 bylo dále alokováno pro Ministerstvo vnitra (OAMP) 120 mil. Kč ročně, přičemž indikativně je implementováno 75 mil. Kč ročně v rámci programu Pomoc na místě a 45 mil. Kč v rámci programu MEDEVAC (v</w:t>
      </w:r>
      <w:r w:rsidR="004510C3" w:rsidRPr="00506A83">
        <w:rPr>
          <w:bCs/>
        </w:rPr>
        <w:t> </w:t>
      </w:r>
      <w:r w:rsidRPr="00506A83">
        <w:rPr>
          <w:bCs/>
        </w:rPr>
        <w:t>roce 2025 byl ponížen rozpočet programu MEDEVAC o 6 mil. Kč ve prospěch OMSEU MV za účelem realizace bezpečnostně-rozvojových projektů).</w:t>
      </w:r>
    </w:p>
    <w:p w14:paraId="60624267" w14:textId="79C3E159" w:rsidR="00F54B16" w:rsidRPr="00506A83" w:rsidRDefault="00881539" w:rsidP="005177B3">
      <w:pPr>
        <w:spacing w:before="120" w:after="120" w:line="276" w:lineRule="auto"/>
        <w:jc w:val="both"/>
        <w:rPr>
          <w:bCs/>
        </w:rPr>
      </w:pPr>
      <w:r w:rsidRPr="00506A83">
        <w:rPr>
          <w:bCs/>
        </w:rPr>
        <w:t>V rámci programu Pomoc na místě byly v roce 2025 podpořeny celkem tři projekty s</w:t>
      </w:r>
      <w:r w:rsidR="004510C3" w:rsidRPr="00506A83">
        <w:rPr>
          <w:bCs/>
        </w:rPr>
        <w:t> </w:t>
      </w:r>
      <w:r w:rsidRPr="00506A83">
        <w:rPr>
          <w:bCs/>
        </w:rPr>
        <w:t>mezinárodními implementačními partnery, včetně podpory humanitárního odminování, hospodářské obnovy a reintegrace v Dněpropetrovské oblasti a navýšení kapacit pro asistenci vysídleným ukrajinským občanům a na zajištění jejich bezpečné mezinárodní mobility. V rámci programu MEDEVAC byly v roce 2025 podpořeny celkem čtyři projekty především s</w:t>
      </w:r>
      <w:r w:rsidR="004510C3" w:rsidRPr="00506A83">
        <w:rPr>
          <w:bCs/>
        </w:rPr>
        <w:t> </w:t>
      </w:r>
      <w:r w:rsidRPr="00506A83">
        <w:rPr>
          <w:bCs/>
        </w:rPr>
        <w:t>ukrajinskými implementačními partnery, zaměřených zejména na posílení zdravotní infrastruktury v Ukrajině. Během roku 2025 se zároveň uskutečnilo pět lékařských misí</w:t>
      </w:r>
      <w:r w:rsidR="00EA29F7" w:rsidRPr="00506A83">
        <w:rPr>
          <w:bCs/>
        </w:rPr>
        <w:t xml:space="preserve"> </w:t>
      </w:r>
      <w:r w:rsidRPr="00506A83">
        <w:rPr>
          <w:bCs/>
        </w:rPr>
        <w:t>v</w:t>
      </w:r>
      <w:r w:rsidR="0022364E" w:rsidRPr="00506A83">
        <w:rPr>
          <w:bCs/>
        </w:rPr>
        <w:t> </w:t>
      </w:r>
      <w:r w:rsidRPr="00506A83">
        <w:rPr>
          <w:bCs/>
        </w:rPr>
        <w:t>nemocnicích ve Lvově, během kterých bylo odoperováno přes sto pacientů. Nadále pokračovaly také stáže a školení ukrajinských doktorů.</w:t>
      </w:r>
    </w:p>
    <w:p w14:paraId="1DF673AF" w14:textId="77777777" w:rsidR="00506A83" w:rsidRPr="00506A83" w:rsidRDefault="00506A83" w:rsidP="00506A83">
      <w:pPr>
        <w:spacing w:before="120" w:after="120" w:line="276" w:lineRule="auto"/>
        <w:jc w:val="both"/>
        <w:rPr>
          <w:bCs/>
        </w:rPr>
      </w:pPr>
      <w:r w:rsidRPr="00506A83">
        <w:rPr>
          <w:bCs/>
        </w:rPr>
        <w:t>V roce 2025 bylo v rámci Programu Ukrajina celkem čerpáno 114 770 000 Kč. Přestože část těchto prostředků je vykazována Ministerstvem zdravotnictví, Ministerstvo vnitra je gestorem jejich čerpání. Z celkové částky bylo 108 770 000 Kč čerpáno na realizaci aktivit programů MEDEVAC a Pomoc na místě a zbývajících 6 000 000 Kč bylo čerpáno na realizaci bezpečnostně-rozvojových projektů.</w:t>
      </w:r>
    </w:p>
    <w:p w14:paraId="7A97448A" w14:textId="4F11A7D9" w:rsidR="001A63A1" w:rsidRPr="00506A83" w:rsidRDefault="001A63A1" w:rsidP="005177B3">
      <w:pPr>
        <w:spacing w:before="120" w:after="120" w:line="276" w:lineRule="auto"/>
        <w:jc w:val="both"/>
        <w:rPr>
          <w:b/>
        </w:rPr>
      </w:pPr>
      <w:r w:rsidRPr="00506A83">
        <w:rPr>
          <w:b/>
        </w:rPr>
        <w:t>Celkový přehled projektů realizovaných v rámci Programu Ukrajina MZV, MPO, MŠMT a MV je obsažen v příloze č. 3.</w:t>
      </w:r>
    </w:p>
    <w:p w14:paraId="080836A6" w14:textId="77777777" w:rsidR="00F9637A" w:rsidRPr="00506A83" w:rsidRDefault="00F9637A" w:rsidP="005177B3">
      <w:pPr>
        <w:spacing w:before="120" w:after="120" w:line="276" w:lineRule="auto"/>
        <w:jc w:val="both"/>
        <w:rPr>
          <w:b/>
        </w:rPr>
      </w:pPr>
    </w:p>
    <w:p w14:paraId="726F999D" w14:textId="0C5DCF8F" w:rsidR="00B35493" w:rsidRPr="00506A83" w:rsidRDefault="00B35493">
      <w:pPr>
        <w:rPr>
          <w:b/>
        </w:rPr>
      </w:pPr>
      <w:r w:rsidRPr="00506A83">
        <w:rPr>
          <w:b/>
        </w:rPr>
        <w:br w:type="page"/>
      </w:r>
    </w:p>
    <w:p w14:paraId="785DF1C2" w14:textId="24254BB4" w:rsidR="00F6243B" w:rsidRPr="00506A83" w:rsidRDefault="00F6243B" w:rsidP="00B35493">
      <w:pPr>
        <w:pStyle w:val="Nadpis1"/>
        <w:numPr>
          <w:ilvl w:val="0"/>
          <w:numId w:val="37"/>
        </w:numPr>
        <w:spacing w:after="120"/>
        <w:ind w:left="714" w:hanging="357"/>
      </w:pPr>
      <w:bookmarkStart w:id="56" w:name="_Toc228190604"/>
      <w:bookmarkStart w:id="57" w:name="_Toc231294158"/>
      <w:r w:rsidRPr="00506A83">
        <w:lastRenderedPageBreak/>
        <w:t xml:space="preserve">Přehled </w:t>
      </w:r>
      <w:r w:rsidR="006311D0" w:rsidRPr="00506A83">
        <w:t>dalších</w:t>
      </w:r>
      <w:r w:rsidR="005F40BC" w:rsidRPr="00506A83">
        <w:t xml:space="preserve"> aktivit</w:t>
      </w:r>
      <w:bookmarkEnd w:id="56"/>
      <w:bookmarkEnd w:id="57"/>
    </w:p>
    <w:p w14:paraId="47371F31" w14:textId="28DE03FF" w:rsidR="00BA405C" w:rsidRPr="00506A83" w:rsidRDefault="00FD6A36" w:rsidP="00B35493">
      <w:pPr>
        <w:pStyle w:val="Nadpis2"/>
        <w:ind w:left="992" w:hanging="635"/>
      </w:pPr>
      <w:bookmarkStart w:id="58" w:name="_Toc228190605"/>
      <w:bookmarkStart w:id="59" w:name="_Toc231294159"/>
      <w:r w:rsidRPr="00506A83">
        <w:t xml:space="preserve">Program </w:t>
      </w:r>
      <w:r w:rsidR="00424273" w:rsidRPr="00506A83">
        <w:t>P</w:t>
      </w:r>
      <w:r w:rsidRPr="00506A83">
        <w:t>omoc na místě</w:t>
      </w:r>
      <w:bookmarkEnd w:id="58"/>
      <w:bookmarkEnd w:id="59"/>
    </w:p>
    <w:p w14:paraId="144F44D9" w14:textId="4B8CC6D9" w:rsidR="00BA405C" w:rsidRPr="00506A83" w:rsidRDefault="00BA405C" w:rsidP="00BA405C">
      <w:pPr>
        <w:spacing w:before="120" w:after="120" w:line="276" w:lineRule="auto"/>
        <w:contextualSpacing/>
        <w:jc w:val="both"/>
      </w:pPr>
      <w:r w:rsidRPr="00506A83">
        <w:t xml:space="preserve">Čerpáno v roce 2025: </w:t>
      </w:r>
      <w:r w:rsidR="00623FBA" w:rsidRPr="00506A83">
        <w:t>150 mil. Kč</w:t>
      </w:r>
    </w:p>
    <w:p w14:paraId="401100B0" w14:textId="68C61F9D" w:rsidR="00BA405C" w:rsidRPr="00506A83" w:rsidRDefault="00BA405C" w:rsidP="00BA405C">
      <w:pPr>
        <w:spacing w:before="120" w:after="120" w:line="276" w:lineRule="auto"/>
        <w:contextualSpacing/>
        <w:jc w:val="both"/>
      </w:pPr>
      <w:r w:rsidRPr="00506A83">
        <w:t xml:space="preserve">Počet realizovaných projektů: </w:t>
      </w:r>
      <w:r w:rsidR="00623FBA" w:rsidRPr="00506A83">
        <w:t>7</w:t>
      </w:r>
    </w:p>
    <w:p w14:paraId="3A4DAA4A" w14:textId="77777777" w:rsidR="00BA405C" w:rsidRPr="00506A83" w:rsidRDefault="00BA405C" w:rsidP="005177B3">
      <w:pPr>
        <w:spacing w:before="120" w:after="120" w:line="276" w:lineRule="auto"/>
        <w:jc w:val="both"/>
      </w:pPr>
    </w:p>
    <w:p w14:paraId="215BB1BD" w14:textId="774201D8" w:rsidR="00914B5F" w:rsidRPr="00506A83" w:rsidRDefault="00914B5F" w:rsidP="005177B3">
      <w:pPr>
        <w:spacing w:before="120" w:after="120" w:line="276" w:lineRule="auto"/>
        <w:jc w:val="both"/>
      </w:pPr>
      <w:r w:rsidRPr="00506A83">
        <w:t>Program Pomoc na místě byl jako specifický nástroj pomoci zřízen Ministerstvem vnitra ČR v</w:t>
      </w:r>
      <w:r w:rsidR="004510C3" w:rsidRPr="00506A83">
        <w:t> </w:t>
      </w:r>
      <w:r w:rsidRPr="00506A83">
        <w:t>lednu 2015. Program je spravován odborem azylové a migrační politiky MV ČR a jeho prostřednictvím jsou udělovány peněžní dary do zahraničí zacílené na asistenci uprchlíkům v</w:t>
      </w:r>
      <w:r w:rsidR="004510C3" w:rsidRPr="00506A83">
        <w:t> </w:t>
      </w:r>
      <w:r w:rsidRPr="00506A83">
        <w:t>místě jejich prvního vysídlení a na podporu azylové a migrační infrastruktury států, které velké uprchlické populace hostí, případně přes které směřuje hlavní migrační proud do Evropské unie.</w:t>
      </w:r>
    </w:p>
    <w:p w14:paraId="752A7D56" w14:textId="3E49F00A" w:rsidR="00914B5F" w:rsidRPr="00506A83" w:rsidRDefault="00914B5F" w:rsidP="005177B3">
      <w:pPr>
        <w:spacing w:before="120" w:after="120" w:line="276" w:lineRule="auto"/>
        <w:jc w:val="both"/>
      </w:pPr>
      <w:r w:rsidRPr="00506A83">
        <w:t xml:space="preserve">Rozpočet programu Pomoc na místě v roce 2025 činil 150 mil. Kč. V roce 2025 tak mohlo být v rámci programu podpořeno 7 projektů, a to v souladu se stanovenými prioritami pro rok 2025 v zemích na východní středomořské a </w:t>
      </w:r>
      <w:r w:rsidR="003B2383" w:rsidRPr="00506A83">
        <w:t>západ balkánské</w:t>
      </w:r>
      <w:r w:rsidRPr="00506A83">
        <w:t xml:space="preserve"> migrační trase, na centrální středomořské migrační trase a na západní středomořské migrační trase.</w:t>
      </w:r>
    </w:p>
    <w:p w14:paraId="029343DF" w14:textId="4BA23BA1" w:rsidR="00914B5F" w:rsidRPr="00506A83" w:rsidRDefault="00914B5F" w:rsidP="005177B3">
      <w:pPr>
        <w:spacing w:before="120" w:after="120" w:line="276" w:lineRule="auto"/>
        <w:jc w:val="both"/>
        <w:rPr>
          <w:b/>
        </w:rPr>
      </w:pPr>
      <w:r w:rsidRPr="00506A83">
        <w:rPr>
          <w:b/>
        </w:rPr>
        <w:t>Celkem bylo v roce 2025 z rozpočtu programu Pomoc na místě vyčerpáno 150 000 000 Kč.</w:t>
      </w:r>
    </w:p>
    <w:p w14:paraId="6A81EEB1" w14:textId="77777777" w:rsidR="002D316B" w:rsidRPr="00506A83" w:rsidRDefault="002D316B" w:rsidP="005177B3">
      <w:pPr>
        <w:spacing w:before="120" w:after="120" w:line="276" w:lineRule="auto"/>
        <w:jc w:val="both"/>
        <w:rPr>
          <w:b/>
        </w:rPr>
      </w:pPr>
    </w:p>
    <w:p w14:paraId="55262EF7" w14:textId="6ECC613A" w:rsidR="00BA405C" w:rsidRPr="00506A83" w:rsidRDefault="00FD6A36" w:rsidP="002D316B">
      <w:pPr>
        <w:pStyle w:val="Nadpis2"/>
      </w:pPr>
      <w:bookmarkStart w:id="60" w:name="_Toc228190606"/>
      <w:bookmarkStart w:id="61" w:name="_Toc231294160"/>
      <w:r w:rsidRPr="00506A83">
        <w:t>MEDEVAC</w:t>
      </w:r>
      <w:bookmarkEnd w:id="60"/>
      <w:bookmarkEnd w:id="61"/>
      <w:r w:rsidRPr="00506A83">
        <w:t xml:space="preserve"> </w:t>
      </w:r>
      <w:bookmarkStart w:id="62" w:name="_Hlk190873350"/>
    </w:p>
    <w:p w14:paraId="3B5DA6D6" w14:textId="64CF6306" w:rsidR="00BA405C" w:rsidRPr="00506A83" w:rsidRDefault="00BA405C" w:rsidP="00BA405C">
      <w:pPr>
        <w:spacing w:before="120" w:after="120" w:line="276" w:lineRule="auto"/>
        <w:contextualSpacing/>
        <w:jc w:val="both"/>
      </w:pPr>
      <w:r w:rsidRPr="00506A83">
        <w:t xml:space="preserve">Čerpáno v roce 2025: </w:t>
      </w:r>
      <w:r w:rsidR="006225EF" w:rsidRPr="00506A83">
        <w:t>52,9 mil. Kč</w:t>
      </w:r>
    </w:p>
    <w:p w14:paraId="12D63131" w14:textId="08EDD4FD" w:rsidR="00BA405C" w:rsidRPr="00506A83" w:rsidRDefault="00BA405C" w:rsidP="00BA405C">
      <w:pPr>
        <w:spacing w:before="120" w:after="120" w:line="276" w:lineRule="auto"/>
        <w:contextualSpacing/>
        <w:jc w:val="both"/>
      </w:pPr>
      <w:r w:rsidRPr="00506A83">
        <w:t xml:space="preserve">Počet realizovaných projektů: </w:t>
      </w:r>
      <w:r w:rsidR="006225EF" w:rsidRPr="00506A83">
        <w:t>34</w:t>
      </w:r>
    </w:p>
    <w:p w14:paraId="3D1EEBCD" w14:textId="77777777" w:rsidR="00391080" w:rsidRPr="00506A83" w:rsidRDefault="00391080" w:rsidP="005177B3">
      <w:pPr>
        <w:spacing w:before="120" w:after="120" w:line="276" w:lineRule="auto"/>
        <w:jc w:val="both"/>
      </w:pPr>
    </w:p>
    <w:p w14:paraId="6FF9BF2A" w14:textId="3BC2D981" w:rsidR="00063A1F" w:rsidRPr="00506A83" w:rsidRDefault="00063A1F" w:rsidP="005177B3">
      <w:pPr>
        <w:spacing w:before="120" w:after="120" w:line="276" w:lineRule="auto"/>
        <w:jc w:val="both"/>
      </w:pPr>
      <w:r w:rsidRPr="00506A83">
        <w:t>V roce 2025 byla realizována 1 rekognoskační mise do Senegalu v 1 specializaci a ve spolupráci s 1 partnerskou nemocnicí (Nemocnice Na Homolce). Dále proběhlo 16 lékařských misí do zahraničí (Ghana, Jordánsko, Pobřeží slonoviny, Rwanda, Senegal, Zambie) za účasti 9</w:t>
      </w:r>
      <w:r w:rsidR="004510C3" w:rsidRPr="00506A83">
        <w:t> </w:t>
      </w:r>
      <w:r w:rsidRPr="00506A83">
        <w:t>partnerských nemocnic (FN Bulovka, FN Brno, FNKV, FN Motol, FN Olomouc, FTN, NNH, ÚVN, VFN). Celkem bylo ošetřeno 755 osob v 7 odborných specializacích (dětská kardiochirurgie, gynekologie, oftalmologie, neurochirurgie, ORL, plastická chirurgie, traumatologie). Také bylo realizováno 16 stáží v ČR (Ghana, Pobřeží Slonoviny, Rwanda, Senegal, Zambie) v 6 specializacích (dětská kardiochirurgie, gynekologie, neonatologie, ORL, plastická chirurgie, traumatologie) ve spolupráci se 7 partnerskými nemocnicemi (FN Brno, FN Bulovka, FNKV, FN Motol, FN Olomouc, FTN, VFN), 5 školení v zahraničí (Irák, Rwanda) ve specializaci anesteziologie, gynekologie, popáleniny a traumatologie ve spolupráci s</w:t>
      </w:r>
      <w:r w:rsidR="004510C3" w:rsidRPr="00506A83">
        <w:t> </w:t>
      </w:r>
      <w:r w:rsidRPr="00506A83">
        <w:t>5</w:t>
      </w:r>
      <w:r w:rsidR="004510C3" w:rsidRPr="00506A83">
        <w:t> </w:t>
      </w:r>
      <w:r w:rsidRPr="00506A83">
        <w:t>partnerskými nemocnicemi (FN Brno, FN Bulovka, FNKV, FN Olomouc, VFN). V rámci edukačních aktivit bylo proškoleno celkem 285 osob z 6 zemí (Ghana, Irák, Pobřeží Slonoviny, Rwanda, Senegal, Zambie).</w:t>
      </w:r>
    </w:p>
    <w:p w14:paraId="4CA170EE" w14:textId="77777777" w:rsidR="00424D70" w:rsidRPr="00506A83" w:rsidRDefault="00424D70" w:rsidP="00D026C1">
      <w:pPr>
        <w:pStyle w:val="Nadpis2"/>
      </w:pPr>
      <w:bookmarkStart w:id="63" w:name="_Toc228190607"/>
      <w:bookmarkStart w:id="64" w:name="_Toc231294161"/>
      <w:bookmarkEnd w:id="62"/>
      <w:r w:rsidRPr="00506A83">
        <w:lastRenderedPageBreak/>
        <w:t>Oddlužení</w:t>
      </w:r>
      <w:bookmarkEnd w:id="63"/>
      <w:bookmarkEnd w:id="64"/>
      <w:r w:rsidRPr="00506A83">
        <w:t xml:space="preserve"> </w:t>
      </w:r>
    </w:p>
    <w:p w14:paraId="31D960E0" w14:textId="5F707BAA" w:rsidR="004910E9" w:rsidRPr="00506A83" w:rsidRDefault="004910E9" w:rsidP="005177B3">
      <w:pPr>
        <w:spacing w:before="120" w:after="120" w:line="276" w:lineRule="auto"/>
        <w:jc w:val="both"/>
      </w:pPr>
      <w:r w:rsidRPr="00506A83">
        <w:t>V roce 2025 v rámci správy zahraničních pohledávek ČR nedošlo k žádnému podílu na oddlužení rozvojových zemí.</w:t>
      </w:r>
    </w:p>
    <w:p w14:paraId="31994325" w14:textId="77777777" w:rsidR="00424D70" w:rsidRPr="00506A83" w:rsidRDefault="00424D70" w:rsidP="00D026C1">
      <w:pPr>
        <w:pStyle w:val="Nadpis2"/>
      </w:pPr>
      <w:bookmarkStart w:id="65" w:name="_Toc228190608"/>
      <w:bookmarkStart w:id="66" w:name="_Toc231294162"/>
      <w:r w:rsidRPr="00506A83">
        <w:t>Mezinárodní finanční instituce</w:t>
      </w:r>
      <w:bookmarkEnd w:id="65"/>
      <w:bookmarkEnd w:id="66"/>
    </w:p>
    <w:p w14:paraId="40A64D40" w14:textId="08A1E12A" w:rsidR="007A2279" w:rsidRPr="00506A83" w:rsidRDefault="007A2279" w:rsidP="00191AD4">
      <w:pPr>
        <w:pStyle w:val="Nadpis3"/>
        <w:numPr>
          <w:ilvl w:val="2"/>
          <w:numId w:val="37"/>
        </w:numPr>
        <w:spacing w:before="120" w:after="120" w:line="276" w:lineRule="auto"/>
        <w:ind w:left="567" w:hanging="567"/>
      </w:pPr>
      <w:bookmarkStart w:id="67" w:name="_Toc228190609"/>
      <w:bookmarkStart w:id="68" w:name="_Toc231294163"/>
      <w:r w:rsidRPr="00506A83">
        <w:t>Skupina Světové banky (WBG)</w:t>
      </w:r>
      <w:bookmarkEnd w:id="67"/>
      <w:bookmarkEnd w:id="68"/>
    </w:p>
    <w:p w14:paraId="45C46ADE" w14:textId="77777777" w:rsidR="007A2279" w:rsidRPr="00506A83" w:rsidRDefault="007A2279" w:rsidP="005177B3">
      <w:pPr>
        <w:spacing w:before="120" w:after="120" w:line="276" w:lineRule="auto"/>
        <w:jc w:val="both"/>
      </w:pPr>
      <w:r w:rsidRPr="00506A83">
        <w:t xml:space="preserve">Do institucí WBG provedla ČR v roce 2025 platby v celkové výši </w:t>
      </w:r>
      <w:r w:rsidRPr="00506A83">
        <w:rPr>
          <w:b/>
        </w:rPr>
        <w:t xml:space="preserve">245 246 174,30 CZK, </w:t>
      </w:r>
      <w:r w:rsidRPr="00506A83">
        <w:t xml:space="preserve">které jsou 100 % vykazatelné jako ODA. </w:t>
      </w:r>
    </w:p>
    <w:p w14:paraId="354610A2" w14:textId="77777777" w:rsidR="007A2279" w:rsidRPr="00506A83" w:rsidRDefault="007A2279" w:rsidP="00F9637A">
      <w:pPr>
        <w:pStyle w:val="Nadpis4"/>
      </w:pPr>
      <w:r w:rsidRPr="00506A83">
        <w:t>IDA (International Development Association)</w:t>
      </w:r>
    </w:p>
    <w:p w14:paraId="5BF8D7F6" w14:textId="77777777" w:rsidR="007A2279" w:rsidRPr="00506A83" w:rsidRDefault="007A2279" w:rsidP="005177B3">
      <w:pPr>
        <w:spacing w:before="120" w:after="120" w:line="276" w:lineRule="auto"/>
        <w:jc w:val="both"/>
      </w:pPr>
      <w:r w:rsidRPr="00506A83">
        <w:t xml:space="preserve">Na základě usnesení vlády č. 1116 z 6. prosince 2021 byl schválen příspěvek ČR do aktuálního 20. cyklu IDA pro období 1. 7. 2022 – 30. 6. 2025 (IDA20) ve výši 388,9 mil. CZK. Vzhledem k volbě zrychleného splácení příspěvku během 3 let má ČR podobně jako v předchozích cyklech IDA nárok na finanční zvýhodnění. Reálně uhrazená částka, rozložená do 3 plateb v letech 2023 – 2025, tak představuje 385,8 mil. CZK. V roce 2025 byla uhrazena druhá splátka ve výši </w:t>
      </w:r>
      <w:r w:rsidRPr="00506A83">
        <w:rPr>
          <w:b/>
          <w:bCs/>
        </w:rPr>
        <w:t>128 860 000 CZK</w:t>
      </w:r>
      <w:r w:rsidRPr="00506A83">
        <w:t>.</w:t>
      </w:r>
    </w:p>
    <w:p w14:paraId="3846B4EE" w14:textId="77777777" w:rsidR="007A2279" w:rsidRPr="00506A83" w:rsidRDefault="007A2279" w:rsidP="00F9637A">
      <w:pPr>
        <w:pStyle w:val="Nadpis4"/>
      </w:pPr>
      <w:r w:rsidRPr="00506A83">
        <w:t xml:space="preserve">MDRI (Multilateral Debt Relief Initiative) </w:t>
      </w:r>
    </w:p>
    <w:p w14:paraId="0B97D439" w14:textId="77777777" w:rsidR="007A2279" w:rsidRPr="00506A83" w:rsidRDefault="007A2279" w:rsidP="005177B3">
      <w:pPr>
        <w:spacing w:before="120" w:after="120" w:line="276" w:lineRule="auto"/>
        <w:jc w:val="both"/>
        <w:rPr>
          <w:b/>
          <w:bCs/>
        </w:rPr>
      </w:pPr>
      <w:r w:rsidRPr="00506A83">
        <w:t xml:space="preserve">Cílem iniciativy MDRI je 100 % oddlužení vybraných rozvojových zemí prostřednictvím odpuštění jejich dluhů vůči IDA. V květnu 2022 podepsal ministr financí aktualizované potvrzení o přijetí závazku ČR podílet se na doplnění zdrojů MDRI. Na roky 2023–2033 se ČR zavázala uhradit celkem 170,48 mil. CZK. ČR se řídí dle splátkového kalendáře, který byl vystaven ze strany MDRI. </w:t>
      </w:r>
      <w:r w:rsidRPr="00506A83">
        <w:rPr>
          <w:bCs/>
        </w:rPr>
        <w:t xml:space="preserve">V roce 2025 byla uhrazena 19. splátka ve výši </w:t>
      </w:r>
      <w:r w:rsidRPr="00506A83">
        <w:rPr>
          <w:b/>
          <w:bCs/>
        </w:rPr>
        <w:t>17 550 000 CZK.</w:t>
      </w:r>
    </w:p>
    <w:p w14:paraId="7756EFA1" w14:textId="61AD91B0" w:rsidR="007A2279" w:rsidRPr="00506A83" w:rsidRDefault="007A2279" w:rsidP="005177B3">
      <w:pPr>
        <w:spacing w:before="120" w:after="120" w:line="276" w:lineRule="auto"/>
        <w:jc w:val="both"/>
        <w:rPr>
          <w:b/>
          <w:bCs/>
        </w:rPr>
      </w:pPr>
      <w:r w:rsidRPr="00506A83">
        <w:t xml:space="preserve">V červnu 2025 podepsal ministr financí aktualizované potvrzení o přijetí závazku ČR podílet se na doplnění zdrojů MDRI. Na fiskální roky 2026–2036 byl schválen bezvýhradný závazek ve výši 142,9 mil. CZK. ČR se řídí dle splátkového kalendáře, který byl vystaven ze strany MDRI. Vzhledem k rozpočtovému provizoriu v úvodu roku 2026 byla platba, původně rozpočtována na rok 2026, uskutečněna již v roce 2025. K úhradě byly využity disponibilní prostředky na položce VPS č. 3326 – Platby mezinárodním finančním organizacím, tedy bez založení dodatečných nároků na státní rozpočet pro rok 2025. </w:t>
      </w:r>
      <w:r w:rsidRPr="00506A83">
        <w:rPr>
          <w:bCs/>
        </w:rPr>
        <w:t>V roce 2025 byla uhrazena</w:t>
      </w:r>
      <w:r w:rsidR="004510C3" w:rsidRPr="00506A83">
        <w:rPr>
          <w:bCs/>
        </w:rPr>
        <w:t xml:space="preserve"> </w:t>
      </w:r>
      <w:r w:rsidRPr="00506A83">
        <w:rPr>
          <w:bCs/>
        </w:rPr>
        <w:t>20.</w:t>
      </w:r>
      <w:r w:rsidR="004510C3" w:rsidRPr="00506A83">
        <w:rPr>
          <w:bCs/>
        </w:rPr>
        <w:t> </w:t>
      </w:r>
      <w:r w:rsidRPr="00506A83">
        <w:rPr>
          <w:bCs/>
        </w:rPr>
        <w:t xml:space="preserve">splátka ve výši </w:t>
      </w:r>
      <w:r w:rsidRPr="00506A83">
        <w:rPr>
          <w:b/>
          <w:bCs/>
        </w:rPr>
        <w:t xml:space="preserve">17 200 000 CZK. </w:t>
      </w:r>
    </w:p>
    <w:p w14:paraId="5D33F6C3" w14:textId="77777777" w:rsidR="007A2279" w:rsidRPr="00506A83" w:rsidRDefault="007A2279" w:rsidP="005177B3">
      <w:pPr>
        <w:spacing w:before="120" w:after="120" w:line="276" w:lineRule="auto"/>
        <w:jc w:val="both"/>
        <w:rPr>
          <w:b/>
          <w:bCs/>
        </w:rPr>
      </w:pPr>
      <w:r w:rsidRPr="00506A83">
        <w:rPr>
          <w:bCs/>
        </w:rPr>
        <w:t xml:space="preserve">Za rok 2025 ČR v rámci iniciativy MDRI uhradila splátky v celkové výši </w:t>
      </w:r>
      <w:r w:rsidRPr="00506A83">
        <w:rPr>
          <w:b/>
          <w:bCs/>
        </w:rPr>
        <w:t>34 750 000 CZK.</w:t>
      </w:r>
    </w:p>
    <w:p w14:paraId="4DDE855D" w14:textId="77777777" w:rsidR="007A2279" w:rsidRPr="00506A83" w:rsidRDefault="007A2279" w:rsidP="00F9637A">
      <w:pPr>
        <w:pStyle w:val="Nadpis4"/>
      </w:pPr>
      <w:r w:rsidRPr="00506A83">
        <w:t xml:space="preserve">IFC </w:t>
      </w:r>
      <w:r w:rsidRPr="00506A83">
        <w:rPr>
          <w:color w:val="474747"/>
          <w:shd w:val="clear" w:color="auto" w:fill="FFFFFF"/>
        </w:rPr>
        <w:t>(</w:t>
      </w:r>
      <w:r w:rsidRPr="00506A83">
        <w:t>International Finance Corporation)</w:t>
      </w:r>
    </w:p>
    <w:p w14:paraId="6CAF1E5E" w14:textId="7089D139" w:rsidR="007A2279" w:rsidRPr="00506A83" w:rsidRDefault="007A2279" w:rsidP="005177B3">
      <w:pPr>
        <w:pStyle w:val="Popisky"/>
        <w:spacing w:before="120" w:after="120" w:line="276" w:lineRule="auto"/>
        <w:jc w:val="both"/>
        <w:rPr>
          <w:rFonts w:ascii="Times New Roman" w:hAnsi="Times New Roman"/>
          <w:b/>
          <w:bCs/>
          <w:sz w:val="24"/>
          <w:szCs w:val="24"/>
        </w:rPr>
      </w:pPr>
      <w:r w:rsidRPr="00506A83">
        <w:rPr>
          <w:rFonts w:ascii="Times New Roman" w:hAnsi="Times New Roman"/>
          <w:sz w:val="24"/>
          <w:szCs w:val="24"/>
        </w:rPr>
        <w:t>Dne 14. prosince 2020 schválila vláda usnesením č. 1310 navýšení kapitálu ČR v Mezinárodní finanční korporaci (IFC) ve výši 29 407 000 USD</w:t>
      </w:r>
      <w:r w:rsidR="00F9637A" w:rsidRPr="00506A83">
        <w:rPr>
          <w:rFonts w:ascii="Times New Roman" w:hAnsi="Times New Roman"/>
          <w:sz w:val="24"/>
          <w:szCs w:val="24"/>
        </w:rPr>
        <w:t xml:space="preserve"> </w:t>
      </w:r>
      <w:r w:rsidRPr="00506A83">
        <w:rPr>
          <w:rFonts w:ascii="Times New Roman" w:hAnsi="Times New Roman"/>
          <w:sz w:val="24"/>
          <w:szCs w:val="24"/>
        </w:rPr>
        <w:t xml:space="preserve"> (ve formě splaceného kapitálu), což odpovídá úpisu 21 517 akcií v rámci tzv. všeobecného navýšení kapitálu</w:t>
      </w:r>
      <w:r w:rsidR="00F9637A" w:rsidRPr="00506A83">
        <w:rPr>
          <w:rFonts w:ascii="Times New Roman" w:hAnsi="Times New Roman"/>
          <w:sz w:val="24"/>
          <w:szCs w:val="24"/>
        </w:rPr>
        <w:t xml:space="preserve"> </w:t>
      </w:r>
      <w:r w:rsidRPr="00506A83">
        <w:rPr>
          <w:rFonts w:ascii="Times New Roman" w:hAnsi="Times New Roman"/>
          <w:sz w:val="24"/>
          <w:szCs w:val="24"/>
        </w:rPr>
        <w:t xml:space="preserve">a 7 890 akcií v rámci tzv. selektivního navýšení kapitálu. Ministryně financí a zároveň guvernérka IFC za ČR následně formálně potvrdila závazek ČR podílet se na navýšení kapitálu podpisem Instrument of </w:t>
      </w:r>
      <w:r w:rsidRPr="00506A83">
        <w:rPr>
          <w:rFonts w:ascii="Times New Roman" w:hAnsi="Times New Roman"/>
          <w:sz w:val="24"/>
          <w:szCs w:val="24"/>
        </w:rPr>
        <w:lastRenderedPageBreak/>
        <w:t xml:space="preserve">Subscription dne 16. prosince 2020. Úpis kapitálu je rozdělen do šesti ročních splátek rozložených rovnoměrně do období let 2020 až 2025. V roce 2025 byla uhrazena 5. splátka ve výši </w:t>
      </w:r>
      <w:r w:rsidRPr="00506A83">
        <w:rPr>
          <w:rFonts w:ascii="Times New Roman" w:hAnsi="Times New Roman"/>
          <w:b/>
          <w:bCs/>
          <w:sz w:val="24"/>
          <w:szCs w:val="24"/>
        </w:rPr>
        <w:t>81 636 174,30 CZK</w:t>
      </w:r>
      <w:r w:rsidRPr="00506A83">
        <w:rPr>
          <w:rFonts w:ascii="Times New Roman" w:hAnsi="Times New Roman"/>
          <w:sz w:val="24"/>
          <w:szCs w:val="24"/>
        </w:rPr>
        <w:t xml:space="preserve"> (3 587 000 USD)</w:t>
      </w:r>
      <w:r w:rsidRPr="00506A83">
        <w:rPr>
          <w:rFonts w:ascii="Times New Roman" w:hAnsi="Times New Roman"/>
          <w:b/>
          <w:bCs/>
          <w:sz w:val="24"/>
          <w:szCs w:val="24"/>
        </w:rPr>
        <w:t>.</w:t>
      </w:r>
    </w:p>
    <w:p w14:paraId="152CF755" w14:textId="5E7C24CC" w:rsidR="007A2279" w:rsidRPr="00506A83" w:rsidRDefault="007A2279" w:rsidP="00C60479">
      <w:pPr>
        <w:pStyle w:val="Nadpis3"/>
        <w:numPr>
          <w:ilvl w:val="0"/>
          <w:numId w:val="0"/>
        </w:numPr>
        <w:ind w:left="709" w:hanging="709"/>
      </w:pPr>
      <w:bookmarkStart w:id="69" w:name="_Toc228190610"/>
      <w:bookmarkStart w:id="70" w:name="_Toc231294164"/>
      <w:r w:rsidRPr="00506A83">
        <w:t>3.4.2.</w:t>
      </w:r>
      <w:r w:rsidR="00C60479" w:rsidRPr="00506A83">
        <w:t xml:space="preserve"> </w:t>
      </w:r>
      <w:r w:rsidRPr="00506A83">
        <w:t>Rozvojová banka Rady Evropy (CEB)</w:t>
      </w:r>
      <w:bookmarkEnd w:id="69"/>
      <w:bookmarkEnd w:id="70"/>
    </w:p>
    <w:p w14:paraId="79194307" w14:textId="401AAF1F" w:rsidR="007A2279" w:rsidRPr="00506A83" w:rsidRDefault="007A2279" w:rsidP="005177B3">
      <w:pPr>
        <w:spacing w:before="120" w:after="120" w:line="276" w:lineRule="auto"/>
        <w:jc w:val="both"/>
      </w:pPr>
      <w:r w:rsidRPr="00506A83">
        <w:t xml:space="preserve">V roce 2025 uhradila ČR mandatorní příspěvek ČR do rozpočtu Rady Evropy na rok 2025 na základě parciální dohody o CEB, ve 2 platbách. První platba byla uhrazena dne 27. 2. 2025 ve výši 5 429,27 EUR (korunový ekvivalent byl vyčíslen ve výši 136 193,24 CZK). Zbývající část příspěvku ve výši 10 858,54 EUR byla uhrazena dne 27. 6. 2025 (korunový ekvivalent byl vyčíslen ve výši 268 966,04CZK). </w:t>
      </w:r>
      <w:r w:rsidRPr="00506A83">
        <w:rPr>
          <w:bCs/>
        </w:rPr>
        <w:t>Celkem ČR uhradila 405 159,28 CZK (16 287,81 EUR)</w:t>
      </w:r>
      <w:r w:rsidRPr="00506A83">
        <w:t xml:space="preserve">, přičemž jako ODA lze vykázat 18 %, což odpovídá </w:t>
      </w:r>
      <w:r w:rsidRPr="00506A83">
        <w:rPr>
          <w:b/>
        </w:rPr>
        <w:t>72 929 CZK.</w:t>
      </w:r>
      <w:r w:rsidRPr="00506A83">
        <w:t xml:space="preserve"> </w:t>
      </w:r>
    </w:p>
    <w:p w14:paraId="6B86C143" w14:textId="40938DDA" w:rsidR="00F9637A" w:rsidRPr="00506A83" w:rsidRDefault="007A2279" w:rsidP="00424700">
      <w:pPr>
        <w:pStyle w:val="Nadpis3"/>
        <w:numPr>
          <w:ilvl w:val="0"/>
          <w:numId w:val="0"/>
        </w:numPr>
        <w:spacing w:after="120" w:line="276" w:lineRule="auto"/>
        <w:ind w:left="709" w:hanging="709"/>
        <w:rPr>
          <w:rFonts w:ascii="Times New Roman" w:hAnsi="Times New Roman" w:cs="Times New Roman"/>
        </w:rPr>
      </w:pPr>
      <w:bookmarkStart w:id="71" w:name="_Toc228190611"/>
      <w:bookmarkStart w:id="72" w:name="_Toc231294165"/>
      <w:r w:rsidRPr="00506A83">
        <w:rPr>
          <w:rFonts w:ascii="Times New Roman" w:hAnsi="Times New Roman" w:cs="Times New Roman"/>
        </w:rPr>
        <w:t>3.4.3. Evropská banka pro obnovu a rozvoj (EBRD)</w:t>
      </w:r>
      <w:bookmarkEnd w:id="71"/>
      <w:bookmarkEnd w:id="72"/>
      <w:r w:rsidRPr="00506A83">
        <w:rPr>
          <w:rFonts w:ascii="Times New Roman" w:hAnsi="Times New Roman" w:cs="Times New Roman"/>
        </w:rPr>
        <w:t xml:space="preserve"> </w:t>
      </w:r>
    </w:p>
    <w:p w14:paraId="6FBE2C73" w14:textId="33297D0F" w:rsidR="007A2279" w:rsidRPr="00506A83" w:rsidRDefault="007A2279" w:rsidP="005177B3">
      <w:pPr>
        <w:spacing w:before="120" w:after="120" w:line="276" w:lineRule="auto"/>
        <w:jc w:val="both"/>
      </w:pPr>
      <w:r w:rsidRPr="00506A83">
        <w:t xml:space="preserve">Rada guvernérů EBRD (nejvyšší orgán banky) schválila v prosinci 2023 navýšení splaceného kapitálu EBRD o 4 mld. EUR mimo jiné v souvislosti se scénářem další podpory válkou zasažené Ukrajiny. Vláda ČR schválila účast na navýšení kapitálu v plné výši podílu ČR, který byl odvozen od hlasovací síly ČR (0,86 % kapitálu EBRD) ve výši 3 442 akcií dne 13. prosince 2023 usnesením č. 958. Úpis kapitálu byl bance oznámen dne 8. října 2024 a nabyl účinnosti ke konci roku 2024. </w:t>
      </w:r>
    </w:p>
    <w:p w14:paraId="6DBC2997" w14:textId="77777777" w:rsidR="007A2279" w:rsidRPr="00506A83" w:rsidRDefault="007A2279" w:rsidP="005177B3">
      <w:pPr>
        <w:spacing w:before="120" w:after="120" w:line="276" w:lineRule="auto"/>
        <w:jc w:val="both"/>
      </w:pPr>
      <w:r w:rsidRPr="00506A83">
        <w:t>Splacení upsaného kapitálu se předpokládá v pěti stejných ročních splátkách v letech 2025–2029. Celkový podíl na navýšení splaceného kapitálu EBRD je v případě ČR 34,42 mil. EUR (tj. výše roční splátky 6 884 000 EUR).</w:t>
      </w:r>
    </w:p>
    <w:p w14:paraId="6A6944E2" w14:textId="77777777" w:rsidR="007A2279" w:rsidRPr="00506A83" w:rsidRDefault="007A2279" w:rsidP="005177B3">
      <w:pPr>
        <w:pStyle w:val="Popisky"/>
        <w:spacing w:before="120" w:after="120" w:line="276" w:lineRule="auto"/>
        <w:jc w:val="both"/>
        <w:rPr>
          <w:rFonts w:ascii="Times New Roman" w:hAnsi="Times New Roman"/>
          <w:sz w:val="24"/>
          <w:szCs w:val="24"/>
        </w:rPr>
      </w:pPr>
      <w:r w:rsidRPr="00506A83">
        <w:rPr>
          <w:rFonts w:ascii="Times New Roman" w:hAnsi="Times New Roman"/>
          <w:sz w:val="24"/>
          <w:szCs w:val="24"/>
        </w:rPr>
        <w:t xml:space="preserve">V roce 2025 byla uhrazena první splátka ve výši </w:t>
      </w:r>
      <w:r w:rsidRPr="00506A83">
        <w:rPr>
          <w:rFonts w:ascii="Times New Roman" w:hAnsi="Times New Roman"/>
          <w:b/>
          <w:bCs/>
          <w:sz w:val="24"/>
          <w:szCs w:val="24"/>
        </w:rPr>
        <w:t>172 781 516 CZK</w:t>
      </w:r>
      <w:r w:rsidRPr="00506A83">
        <w:rPr>
          <w:rFonts w:ascii="Times New Roman" w:hAnsi="Times New Roman"/>
          <w:sz w:val="24"/>
          <w:szCs w:val="24"/>
        </w:rPr>
        <w:t xml:space="preserve"> (6 884 000 EUR), kterou lze ze 71 % vykázat jako ODA.</w:t>
      </w:r>
    </w:p>
    <w:p w14:paraId="63848E55" w14:textId="57C14786" w:rsidR="007A2279" w:rsidRPr="00506A83" w:rsidRDefault="007A2279" w:rsidP="00424700">
      <w:pPr>
        <w:pStyle w:val="Nadpis3"/>
        <w:numPr>
          <w:ilvl w:val="0"/>
          <w:numId w:val="0"/>
        </w:numPr>
        <w:spacing w:after="120" w:line="276" w:lineRule="auto"/>
        <w:ind w:left="709" w:hanging="709"/>
        <w:rPr>
          <w:rFonts w:ascii="Times New Roman" w:hAnsi="Times New Roman" w:cs="Times New Roman"/>
        </w:rPr>
      </w:pPr>
      <w:bookmarkStart w:id="73" w:name="_Toc228190612"/>
      <w:bookmarkStart w:id="74" w:name="_Toc231294166"/>
      <w:r w:rsidRPr="00506A83">
        <w:rPr>
          <w:rFonts w:ascii="Times New Roman" w:hAnsi="Times New Roman" w:cs="Times New Roman"/>
        </w:rPr>
        <w:t>3.4.4. Evropský rozvojový fond (EDF)</w:t>
      </w:r>
      <w:bookmarkEnd w:id="73"/>
      <w:bookmarkEnd w:id="74"/>
      <w:r w:rsidRPr="00506A83">
        <w:rPr>
          <w:rFonts w:ascii="Times New Roman" w:hAnsi="Times New Roman" w:cs="Times New Roman"/>
        </w:rPr>
        <w:t xml:space="preserve"> </w:t>
      </w:r>
    </w:p>
    <w:p w14:paraId="76D86965" w14:textId="7304CBC3" w:rsidR="00BA5DE2" w:rsidRPr="00506A83" w:rsidRDefault="00BA5DE2" w:rsidP="005177B3">
      <w:pPr>
        <w:spacing w:before="120" w:after="120" w:line="276" w:lineRule="auto"/>
        <w:jc w:val="both"/>
        <w:rPr>
          <w:rFonts w:eastAsia="Arial"/>
        </w:rPr>
      </w:pPr>
      <w:r w:rsidRPr="00506A83">
        <w:rPr>
          <w:rFonts w:eastAsia="Arial"/>
        </w:rPr>
        <w:t>Evropský rozvojový fond je finanční nástroj rozvojové spolupráce se zeměmi skupiny AKT (Afrika, Karibik, Tichomoří) a tzv. zámořskými zeměmi a územími. Základem vzájemné spolupráce EU-AKT je Dohoda o partnerství z Cotonou z roku 2000. 10. a 11. EDF, do kterého ČR přispívala a přispívá, stojí mimo rozpočet EU a je plně financován z příspěvků členských států EU. EDF je programován v pětiletých cyklech. Po vstupu první revize Dohody z Cotonou v platnost dne 1. 7. 2008 vstoupil formálně v platnost 10. EDF určený pro období 2008-2013. 11. EDF platí pro období 2014-2020. V rámci Víceletého finančního rámce pro období 2021-2027 je EDF již zcela součástí rozpočtu EU Heading 6 (Sousedství  a svět). Do něj začne ČR přispívat až po splacení celého 11. EDF.</w:t>
      </w:r>
    </w:p>
    <w:p w14:paraId="0B36CCB9" w14:textId="39A8E7E8" w:rsidR="00BA5DE2" w:rsidRPr="00506A83" w:rsidRDefault="00BA5DE2" w:rsidP="005177B3">
      <w:pPr>
        <w:spacing w:before="120" w:after="120" w:line="276" w:lineRule="auto"/>
        <w:jc w:val="both"/>
        <w:rPr>
          <w:rFonts w:eastAsia="Arial"/>
        </w:rPr>
      </w:pPr>
      <w:r w:rsidRPr="00506A83">
        <w:rPr>
          <w:rFonts w:eastAsia="Arial"/>
        </w:rPr>
        <w:t>ČR, stejně jako ostatní „nové“ členské státy EU, začala přispívat do 10. EDF v roce 2011. Od</w:t>
      </w:r>
      <w:r w:rsidR="004510C3" w:rsidRPr="00506A83">
        <w:rPr>
          <w:rFonts w:eastAsia="Arial"/>
        </w:rPr>
        <w:t> </w:t>
      </w:r>
      <w:r w:rsidRPr="00506A83">
        <w:rPr>
          <w:rFonts w:eastAsia="Arial"/>
        </w:rPr>
        <w:t>roku 2017 (2. splátka) platí ČR do 11. EDF. Dle závěrů Evropské rady ze 7/8. února 2013 k</w:t>
      </w:r>
      <w:r w:rsidR="004510C3" w:rsidRPr="00506A83">
        <w:rPr>
          <w:rFonts w:eastAsia="Arial"/>
        </w:rPr>
        <w:t> </w:t>
      </w:r>
      <w:r w:rsidRPr="00506A83">
        <w:rPr>
          <w:rFonts w:eastAsia="Arial"/>
        </w:rPr>
        <w:t xml:space="preserve">novému „Víceletému finančnímu rámci“ (Multiannual Financial Framework 2014-2020 EUCO 37/13) jsou pro 11. EDF stanoveny příspěvky členských států EU v celkové výši 26 984 </w:t>
      </w:r>
      <w:r w:rsidRPr="00506A83">
        <w:rPr>
          <w:rFonts w:eastAsia="Arial"/>
        </w:rPr>
        <w:lastRenderedPageBreak/>
        <w:t>mil. EUR (ve stálých cenách roku 2011) a 30 505 mil. EUR v běžných cenách. Na ČR připadá dle nového modelu podíl 0,79745 %, tj. 243 270 097 EUR.</w:t>
      </w:r>
    </w:p>
    <w:p w14:paraId="40095247" w14:textId="44914633" w:rsidR="007A2279" w:rsidRPr="00506A83" w:rsidRDefault="00BA5DE2" w:rsidP="005177B3">
      <w:pPr>
        <w:spacing w:before="120" w:after="120" w:line="276" w:lineRule="auto"/>
        <w:jc w:val="both"/>
        <w:rPr>
          <w:rFonts w:eastAsia="Arial"/>
          <w:b/>
        </w:rPr>
      </w:pPr>
      <w:r w:rsidRPr="00506A83">
        <w:rPr>
          <w:rFonts w:eastAsia="Arial"/>
          <w:b/>
        </w:rPr>
        <w:t xml:space="preserve">V roce 2025 se uskutečnily celkem 3 platby v souvislosti s 11. EDF v celkové </w:t>
      </w:r>
      <w:r w:rsidR="00211788" w:rsidRPr="00506A83">
        <w:rPr>
          <w:rFonts w:eastAsia="Arial"/>
          <w:b/>
        </w:rPr>
        <w:t>výši 160 291 027,22</w:t>
      </w:r>
      <w:r w:rsidRPr="00506A83">
        <w:rPr>
          <w:rFonts w:eastAsia="Arial"/>
          <w:b/>
        </w:rPr>
        <w:t xml:space="preserve"> CZK 100 % vykazatelných jako ODA.</w:t>
      </w:r>
    </w:p>
    <w:p w14:paraId="39118B16" w14:textId="77777777" w:rsidR="00B0060E" w:rsidRPr="00506A83" w:rsidRDefault="00B0060E" w:rsidP="002E20C5">
      <w:pPr>
        <w:pStyle w:val="Nadpis2"/>
        <w:spacing w:before="360"/>
        <w:ind w:left="992" w:hanging="635"/>
      </w:pPr>
      <w:bookmarkStart w:id="75" w:name="_Toc228190613"/>
      <w:bookmarkStart w:id="76" w:name="_Toc231294167"/>
      <w:r w:rsidRPr="00506A83">
        <w:t>Podpora životního prostředí</w:t>
      </w:r>
      <w:r w:rsidR="00452BA9" w:rsidRPr="00506A83">
        <w:t xml:space="preserve"> </w:t>
      </w:r>
      <w:r w:rsidRPr="00506A83">
        <w:t>a klimatu</w:t>
      </w:r>
      <w:bookmarkEnd w:id="75"/>
      <w:bookmarkEnd w:id="76"/>
    </w:p>
    <w:p w14:paraId="443C0507" w14:textId="0C48DDF6" w:rsidR="007431A2" w:rsidRPr="00506A83" w:rsidRDefault="007431A2" w:rsidP="005177B3">
      <w:pPr>
        <w:spacing w:before="120" w:after="120" w:line="276" w:lineRule="auto"/>
        <w:jc w:val="both"/>
      </w:pPr>
      <w:r w:rsidRPr="00506A83">
        <w:t>Ministerstvo životního prostředí připravuje každý rok za Českou republiku výkaz o financování klimatických opatření v rozvojových zemích na základě nařízení o správě energetické unie</w:t>
      </w:r>
      <w:r w:rsidRPr="00506A83">
        <w:rPr>
          <w:rStyle w:val="Znakapoznpodarou"/>
        </w:rPr>
        <w:footnoteReference w:id="4"/>
      </w:r>
      <w:r w:rsidRPr="00506A83">
        <w:t xml:space="preserve"> a</w:t>
      </w:r>
      <w:r w:rsidR="0070625A" w:rsidRPr="00506A83">
        <w:t> </w:t>
      </w:r>
      <w:r w:rsidRPr="00506A83">
        <w:t xml:space="preserve">opatření v oblasti klimatu. </w:t>
      </w:r>
    </w:p>
    <w:p w14:paraId="4D99B73B" w14:textId="47232150" w:rsidR="007431A2" w:rsidRPr="00506A83" w:rsidRDefault="007431A2" w:rsidP="005177B3">
      <w:pPr>
        <w:spacing w:before="120" w:after="120" w:line="276" w:lineRule="auto"/>
        <w:jc w:val="both"/>
      </w:pPr>
      <w:r w:rsidRPr="00506A83">
        <w:t xml:space="preserve">Dle posledního dostupného reportingu poskytla ČR v roce 2024 rozvojovým zemím celkem 451 189 160 Kč, z toho </w:t>
      </w:r>
      <w:r w:rsidRPr="00506A83">
        <w:rPr>
          <w:color w:val="000000"/>
        </w:rPr>
        <w:t>136 585 099 Kč do mezinárodních institucí (multilaterální příspěvky) jako je např. Zelený klimatický fond (Green Climate Fund, GCF) či Globální fond pro životní prostředí (Global Environment Facility, GEF) a 314 604 061 Kč na konkrétní projekty v</w:t>
      </w:r>
      <w:r w:rsidR="00611085" w:rsidRPr="00506A83">
        <w:rPr>
          <w:color w:val="000000"/>
        </w:rPr>
        <w:t> </w:t>
      </w:r>
      <w:r w:rsidRPr="00506A83">
        <w:rPr>
          <w:color w:val="000000"/>
        </w:rPr>
        <w:t xml:space="preserve">rozvojových zemích (bilaterální příspěvky). </w:t>
      </w:r>
      <w:r w:rsidRPr="00506A83">
        <w:t>Všechny tyto finanční toky jsou součástí ODA, jejich vztah ke klimatu je posuzován na základě metodiky OECD – bilaterální příspěvky skrz přiřazování tzv. Rio markerů a multilaterální příspěvky po přepočítání na základě definovaných podílů.</w:t>
      </w:r>
    </w:p>
    <w:p w14:paraId="71119BD6" w14:textId="78EDFC57" w:rsidR="00B45517" w:rsidRPr="00506A83" w:rsidRDefault="00B45517" w:rsidP="002E20C5">
      <w:pPr>
        <w:pStyle w:val="Nadpis2"/>
        <w:spacing w:before="360"/>
        <w:ind w:left="992" w:hanging="635"/>
      </w:pPr>
      <w:bookmarkStart w:id="77" w:name="_Toc228190614"/>
      <w:bookmarkStart w:id="78" w:name="_Toc231294168"/>
      <w:r w:rsidRPr="00506A83">
        <w:t>Civilní mise EU a OBSE</w:t>
      </w:r>
      <w:bookmarkEnd w:id="77"/>
      <w:bookmarkEnd w:id="78"/>
      <w:r w:rsidRPr="00506A83">
        <w:t xml:space="preserve"> </w:t>
      </w:r>
    </w:p>
    <w:p w14:paraId="0E7CB1EC" w14:textId="77777777" w:rsidR="00950361" w:rsidRPr="00506A83" w:rsidRDefault="00950361" w:rsidP="005177B3">
      <w:pPr>
        <w:spacing w:before="120" w:after="120" w:line="276" w:lineRule="auto"/>
        <w:jc w:val="both"/>
      </w:pPr>
      <w:r w:rsidRPr="00506A83">
        <w:t xml:space="preserve">ČR se i v roce 2025 angažovala prostřednictvím vyslaných expertů </w:t>
      </w:r>
      <w:r w:rsidRPr="00506A83">
        <w:rPr>
          <w:b/>
        </w:rPr>
        <w:t>v civilních misích</w:t>
      </w:r>
      <w:r w:rsidRPr="00506A83">
        <w:t xml:space="preserve"> mezinárodních organizací, zejména </w:t>
      </w:r>
      <w:r w:rsidRPr="00506A83">
        <w:rPr>
          <w:b/>
        </w:rPr>
        <w:t>EU a OBSE</w:t>
      </w:r>
      <w:r w:rsidRPr="00506A83">
        <w:t>. Zapojení ČR do civilních misí reflektuje tematické a geografické priority zahraniční a bezpečnostní politiky.</w:t>
      </w:r>
    </w:p>
    <w:p w14:paraId="1CB902E0" w14:textId="5EB39AA4" w:rsidR="00950361" w:rsidRPr="00506A83" w:rsidRDefault="00950361" w:rsidP="005177B3">
      <w:pPr>
        <w:spacing w:before="120" w:after="120" w:line="276" w:lineRule="auto"/>
        <w:jc w:val="both"/>
      </w:pPr>
      <w:r w:rsidRPr="00506A83">
        <w:t xml:space="preserve">MZV se podílí na využití prostředků, jimiž je financováno vysílání národních expertů do civilních misí. </w:t>
      </w:r>
      <w:r w:rsidRPr="00506A83">
        <w:rPr>
          <w:bCs/>
        </w:rPr>
        <w:t>Za rok 2025 dosáhl celkový objem čerpaných prostředků na vysílání národních expertů, započitatelný do ODA, částky</w:t>
      </w:r>
      <w:r w:rsidRPr="00506A83">
        <w:rPr>
          <w:b/>
        </w:rPr>
        <w:t xml:space="preserve"> 17 017 437 Kč.</w:t>
      </w:r>
      <w:r w:rsidRPr="00506A83">
        <w:t xml:space="preserve"> </w:t>
      </w:r>
    </w:p>
    <w:p w14:paraId="00B018C8" w14:textId="16B64B7A" w:rsidR="00950361" w:rsidRPr="00506A83" w:rsidRDefault="00950361" w:rsidP="005177B3">
      <w:pPr>
        <w:spacing w:before="120" w:after="120" w:line="276" w:lineRule="auto"/>
        <w:jc w:val="both"/>
      </w:pPr>
      <w:r w:rsidRPr="00506A83">
        <w:t xml:space="preserve">Největší podíl prostředků ve výši </w:t>
      </w:r>
      <w:r w:rsidRPr="00506A83">
        <w:rPr>
          <w:b/>
          <w:bCs/>
          <w:color w:val="000000"/>
        </w:rPr>
        <w:t xml:space="preserve">13 619 647 </w:t>
      </w:r>
      <w:r w:rsidRPr="00506A83">
        <w:rPr>
          <w:b/>
        </w:rPr>
        <w:t xml:space="preserve">Kč </w:t>
      </w:r>
      <w:r w:rsidRPr="00506A83">
        <w:rPr>
          <w:bCs/>
        </w:rPr>
        <w:t xml:space="preserve">byl použit k financování </w:t>
      </w:r>
      <w:r w:rsidRPr="00506A83">
        <w:rPr>
          <w:b/>
        </w:rPr>
        <w:t>civilních expertů ČR v misích Společné bezpečnostní a obranné politiky (SBOP) EU</w:t>
      </w:r>
      <w:r w:rsidRPr="00506A83">
        <w:t>. Hlavními úkoly civilních misí EU jsou prevence konfliktů, boj proti organizovanému zločinu a pašeráctví, reforma národních bezpečnostních sektorů, podpora budování celních a pohraničních kapacit nebo vláda práva. Konkrétně byli v roce 2025 civilní experti ČR zapojeni do těchto unijních misí: EUAM Ukrajina, EUMM Gruzie, EUMA Arménie, EUPM Moldavsko, EULEX Kosovo, EUBAM Libye, EUCAP Sahel Mali, EUCAP Somálsko a EUSDI  Guinejský záliv.</w:t>
      </w:r>
    </w:p>
    <w:p w14:paraId="7EB3561E" w14:textId="39959F72" w:rsidR="00950361" w:rsidRPr="00506A83" w:rsidRDefault="00950361" w:rsidP="005177B3">
      <w:pPr>
        <w:spacing w:before="120" w:after="120" w:line="276" w:lineRule="auto"/>
        <w:jc w:val="both"/>
      </w:pPr>
      <w:r w:rsidRPr="00506A83">
        <w:lastRenderedPageBreak/>
        <w:t xml:space="preserve">Mimo unijní mise MZV přiřazuje prostředky také na vysílání národních expertů do </w:t>
      </w:r>
      <w:r w:rsidRPr="00506A83">
        <w:rPr>
          <w:b/>
          <w:bCs/>
        </w:rPr>
        <w:t>polních misí OBSE</w:t>
      </w:r>
      <w:r w:rsidRPr="00506A83">
        <w:t>. Mise OBSE podporují místní kapacity na podporu právního systému, práv menšin, legislativní reformy, právního státu a svobody médií, podporu tolerance a nediskriminace a</w:t>
      </w:r>
      <w:r w:rsidR="0070625A" w:rsidRPr="00506A83">
        <w:t> </w:t>
      </w:r>
      <w:r w:rsidRPr="00506A83">
        <w:t>mnoho dalších oblastí. Na </w:t>
      </w:r>
      <w:r w:rsidRPr="00506A83">
        <w:rPr>
          <w:b/>
        </w:rPr>
        <w:t xml:space="preserve">vysílání národních expertů do misí OBSE </w:t>
      </w:r>
      <w:r w:rsidRPr="00506A83">
        <w:rPr>
          <w:bCs/>
        </w:rPr>
        <w:t>Česko přispělo částkou</w:t>
      </w:r>
      <w:r w:rsidRPr="00506A83">
        <w:rPr>
          <w:b/>
        </w:rPr>
        <w:t xml:space="preserve"> </w:t>
      </w:r>
      <w:r w:rsidRPr="00506A83">
        <w:rPr>
          <w:b/>
          <w:bCs/>
          <w:color w:val="000000"/>
        </w:rPr>
        <w:t>1 548 039</w:t>
      </w:r>
      <w:r w:rsidRPr="00506A83">
        <w:rPr>
          <w:b/>
          <w:bCs/>
          <w:color w:val="000000"/>
          <w:sz w:val="20"/>
          <w:szCs w:val="20"/>
        </w:rPr>
        <w:t xml:space="preserve"> </w:t>
      </w:r>
      <w:r w:rsidRPr="00506A83">
        <w:rPr>
          <w:b/>
        </w:rPr>
        <w:t xml:space="preserve">Kč. </w:t>
      </w:r>
      <w:r w:rsidRPr="00506A83">
        <w:t xml:space="preserve">Šlo o mise OBSE v Tádžikistánu a Kosovu. </w:t>
      </w:r>
    </w:p>
    <w:p w14:paraId="40FBB635" w14:textId="62D9E6E9" w:rsidR="00950361" w:rsidRPr="00506A83" w:rsidRDefault="00950361" w:rsidP="005177B3">
      <w:pPr>
        <w:spacing w:before="120" w:after="120" w:line="276" w:lineRule="auto"/>
        <w:jc w:val="both"/>
      </w:pPr>
      <w:r w:rsidRPr="00506A83">
        <w:t xml:space="preserve">Česko též přispělo částkou </w:t>
      </w:r>
      <w:r w:rsidRPr="00506A83">
        <w:rPr>
          <w:b/>
          <w:bCs/>
          <w:color w:val="000000"/>
        </w:rPr>
        <w:t>1 849 751</w:t>
      </w:r>
      <w:r w:rsidRPr="00506A83">
        <w:rPr>
          <w:b/>
          <w:bCs/>
          <w:color w:val="000000"/>
          <w:sz w:val="20"/>
          <w:szCs w:val="20"/>
        </w:rPr>
        <w:t xml:space="preserve"> </w:t>
      </w:r>
      <w:r w:rsidRPr="00506A83">
        <w:rPr>
          <w:b/>
        </w:rPr>
        <w:t>Kč</w:t>
      </w:r>
      <w:r w:rsidRPr="00506A83">
        <w:t xml:space="preserve"> </w:t>
      </w:r>
      <w:r w:rsidRPr="00506A83">
        <w:rPr>
          <w:b/>
        </w:rPr>
        <w:t>na vyslání národního experta k posílení fungování Kanceláře vysokého představitele (OHR) v Bosně a Hercegovině</w:t>
      </w:r>
      <w:r w:rsidRPr="00506A83">
        <w:t xml:space="preserve">. OHR je dočasným mezinárodním orgánem odpovědným za dohled nad realizací civilních aspektů Mírové dohody ukončující válku v Bosně a Hercegovině. </w:t>
      </w:r>
    </w:p>
    <w:p w14:paraId="599D0B1E" w14:textId="538CCCBB" w:rsidR="00211788" w:rsidRPr="00506A83" w:rsidRDefault="00950361" w:rsidP="002A172D">
      <w:pPr>
        <w:spacing w:before="120" w:after="120" w:line="276" w:lineRule="auto"/>
        <w:jc w:val="both"/>
      </w:pPr>
      <w:r w:rsidRPr="00506A83">
        <w:t>Vedle vysílání expertů financovala ČR v roce 2025 také několik peněžních darů na mimorozpočtové projekty OBSE zaměřené na podporu specifických potřeb členských zemí. ČR podpořila</w:t>
      </w:r>
      <w:r w:rsidR="00545D7B" w:rsidRPr="00506A83">
        <w:t xml:space="preserve"> v souhrnu částkou</w:t>
      </w:r>
      <w:r w:rsidR="00EE7908" w:rsidRPr="00506A83">
        <w:t xml:space="preserve"> 1,4 mil. Kč</w:t>
      </w:r>
      <w:r w:rsidR="002A172D" w:rsidRPr="00506A83">
        <w:t xml:space="preserve"> -</w:t>
      </w:r>
      <w:r w:rsidRPr="00506A83">
        <w:t xml:space="preserve"> humanitární odminování a chemickou ochranu na Ukrajině (0,4 mil. Kč), posilování kapacity Ukrajiny pro řešení chemických nouzových událostí (0,3 mil. Kč), projekt se zaměřením na zlepšování koordinovaného přístupu k vyšetřování závažných trestných činů, zejména co se týká pohřešovaných dětí (0,3 mil. Kč), prevenci nezákonného obchodování s kulturními statky v regionu OBSE (0,1 mil. Kč),  snižování rizik vyplývajících z nelegálního obchodu a držení malých a lehkých zbraní v Bosně a Hercegovině (0,1 mil. Kč) a financování předsednických akcí OBSE částkou 0,2 mil Kč. </w:t>
      </w:r>
    </w:p>
    <w:p w14:paraId="381F2049" w14:textId="77777777" w:rsidR="00B42E15" w:rsidRPr="00506A83" w:rsidRDefault="00950361" w:rsidP="00B42E15">
      <w:pPr>
        <w:spacing w:before="120" w:after="120" w:line="276" w:lineRule="auto"/>
        <w:jc w:val="both"/>
      </w:pPr>
      <w:r w:rsidRPr="00506A83">
        <w:t xml:space="preserve">V roce 2025 vyslala ČR celkem 43 volebních pozorovatelů do volebních pozorovatelských misí OBSE, které sledovaly volby v Tádžikistánu, Rumunsku, Albánii, Polsku, Moldavsku, Severní Makedonii a Kyrgyzstánu. Náklady v roce 2025 na vyslání volebních pozorovatelů do misí OBSE byly </w:t>
      </w:r>
      <w:r w:rsidRPr="00506A83">
        <w:rPr>
          <w:b/>
          <w:bCs/>
          <w:color w:val="000000"/>
        </w:rPr>
        <w:t xml:space="preserve">2 947 813 </w:t>
      </w:r>
      <w:r w:rsidRPr="00506A83">
        <w:t>Kč. Do volebních pozorovatelských misí EU bylo v roce 2025 na základě doporučení MZV vybráno celkem 26 volebních pozorovatelů, kteří byli vysláni do Ekvádoru, Kosova, Filipín, Bolívie, Guyany, Malawi a Hondurasu. Náklady na jejich vyslání hradila EU.</w:t>
      </w:r>
      <w:bookmarkStart w:id="79" w:name="_Toc228190615"/>
    </w:p>
    <w:p w14:paraId="13A7E25B" w14:textId="46FF3862" w:rsidR="00013145" w:rsidRPr="00506A83" w:rsidRDefault="006B7A0A" w:rsidP="002E20C5">
      <w:pPr>
        <w:pStyle w:val="Nadpis2"/>
        <w:spacing w:before="360"/>
        <w:ind w:left="992" w:hanging="635"/>
      </w:pPr>
      <w:bookmarkStart w:id="80" w:name="_Toc231294169"/>
      <w:r w:rsidRPr="00506A83">
        <w:t xml:space="preserve">Pomoc </w:t>
      </w:r>
      <w:r w:rsidR="00013145" w:rsidRPr="00506A83">
        <w:t>Afghánistánu v letech 2021 až 2024</w:t>
      </w:r>
      <w:bookmarkEnd w:id="79"/>
      <w:r w:rsidRPr="00506A83">
        <w:t xml:space="preserve"> dle UV 662/2021</w:t>
      </w:r>
      <w:bookmarkEnd w:id="80"/>
    </w:p>
    <w:p w14:paraId="66563058" w14:textId="7D24494D" w:rsidR="00013145" w:rsidRPr="00506A83" w:rsidRDefault="00013145" w:rsidP="005776DD">
      <w:pPr>
        <w:spacing w:before="120" w:after="120" w:line="276" w:lineRule="auto"/>
        <w:jc w:val="both"/>
      </w:pPr>
      <w:r w:rsidRPr="00506A83">
        <w:t xml:space="preserve">Usnesením vlády České republiky ze dne 19. července </w:t>
      </w:r>
      <w:r w:rsidR="002A172D" w:rsidRPr="00506A83">
        <w:t>2021 č. 662 o poskytnutí peněžního daru České republiky na podporu fungování Afghánských národních obranných a bezpečnostních sil a na podporu udržitelného rozvoje Afghánistánu v letech 2021 až 2024 uložila vláda ministru zahraničních věcí zajistit realizaci bodu I/6 tohoto usnesení a informovat vládu o výsledcích v</w:t>
      </w:r>
      <w:r w:rsidR="005776DD" w:rsidRPr="00506A83">
        <w:t> </w:t>
      </w:r>
      <w:r w:rsidR="002A172D" w:rsidRPr="00506A83">
        <w:t>rámci Informace o realizaci zahraniční rozvojové spolupráce a humanitární pomoci České republiky za příslušný kalendářní rok. Vzhledem k ukončení aliančního angažmá a zásadním změnám politického a bezpečnostního prostředí v Afghánistánu došlo v roce 2021 k</w:t>
      </w:r>
      <w:r w:rsidR="005776DD" w:rsidRPr="00506A83">
        <w:t> </w:t>
      </w:r>
      <w:r w:rsidR="002A172D" w:rsidRPr="00506A83">
        <w:t>přehodnocení postoje České republiky v poskytování rozvojové a humanitární pomoci vůči této zemi. Z těchto důvodů bylo několikrát požádáno o posun termínu předložení tohoto materiálu. Usnesením č. 546/25 byl stanoven konečný termín 30. 6. 2026.</w:t>
      </w:r>
    </w:p>
    <w:p w14:paraId="138996BC" w14:textId="77777777" w:rsidR="00013145" w:rsidRPr="00506A83" w:rsidRDefault="00013145" w:rsidP="005177B3">
      <w:pPr>
        <w:spacing w:before="120" w:after="120" w:line="276" w:lineRule="auto"/>
        <w:jc w:val="both"/>
      </w:pPr>
      <w:r w:rsidRPr="00506A83">
        <w:t xml:space="preserve">Po stažení aliančních vojsk z Afghánistánu v roce 2021 bylo na půdě Aliance rozhodnuto </w:t>
      </w:r>
      <w:r w:rsidRPr="00506A83">
        <w:br/>
        <w:t>o zrušení svěřeneckého fondu na podporu afghánských národních sil (</w:t>
      </w:r>
      <w:r w:rsidRPr="00506A83">
        <w:rPr>
          <w:i/>
          <w:iCs/>
        </w:rPr>
        <w:t xml:space="preserve">Afghan National Army </w:t>
      </w:r>
      <w:r w:rsidRPr="00506A83">
        <w:rPr>
          <w:i/>
          <w:iCs/>
        </w:rPr>
        <w:lastRenderedPageBreak/>
        <w:t>Trust Fund</w:t>
      </w:r>
      <w:r w:rsidRPr="00506A83">
        <w:t xml:space="preserve">). Z rozhodnutí ministra zahraničí z roku 2022 byly nevyčerpané finanční prostředky České republiky převedeny na jiné alianční svěřenecké fondy pro budování obranných kapacit partnerů NATO a poskytování naléhavé nevojenské podpory. Poslední převod byl proveden na konci roku 2025. </w:t>
      </w:r>
    </w:p>
    <w:p w14:paraId="206859F4" w14:textId="77777777" w:rsidR="00013145" w:rsidRPr="00506A83" w:rsidRDefault="00013145" w:rsidP="005177B3">
      <w:pPr>
        <w:spacing w:before="120" w:after="120" w:line="276" w:lineRule="auto"/>
        <w:jc w:val="both"/>
        <w:rPr>
          <w:u w:val="single"/>
        </w:rPr>
      </w:pPr>
      <w:r w:rsidRPr="00506A83">
        <w:rPr>
          <w:u w:val="single"/>
        </w:rPr>
        <w:t xml:space="preserve">Konkrétně se od roku 2022 jednalo o následující převody: </w:t>
      </w:r>
    </w:p>
    <w:p w14:paraId="0C90D53C" w14:textId="27DBD3E3" w:rsidR="00013145" w:rsidRPr="00506A83" w:rsidRDefault="00013145" w:rsidP="00364FA3">
      <w:pPr>
        <w:pStyle w:val="Odstavecseseznamem"/>
        <w:numPr>
          <w:ilvl w:val="0"/>
          <w:numId w:val="32"/>
        </w:numPr>
        <w:spacing w:before="120" w:after="120" w:line="276" w:lineRule="auto"/>
        <w:jc w:val="both"/>
        <w:rPr>
          <w:lang w:val="cs-CZ"/>
        </w:rPr>
      </w:pPr>
      <w:r w:rsidRPr="00506A83">
        <w:rPr>
          <w:lang w:val="cs-CZ"/>
        </w:rPr>
        <w:t xml:space="preserve">Celkem </w:t>
      </w:r>
      <w:r w:rsidRPr="00506A83">
        <w:rPr>
          <w:b/>
          <w:lang w:val="cs-CZ"/>
        </w:rPr>
        <w:t xml:space="preserve">1 781 777 USD </w:t>
      </w:r>
      <w:r w:rsidRPr="00506A83">
        <w:rPr>
          <w:lang w:val="cs-CZ"/>
        </w:rPr>
        <w:t>na naléhavou nevojenskou pomoc Ukrajině prostřednictvím Souhrnného balíčku pomoci pro Ukrajinu</w:t>
      </w:r>
      <w:r w:rsidRPr="00506A83">
        <w:rPr>
          <w:b/>
          <w:lang w:val="cs-CZ"/>
        </w:rPr>
        <w:t xml:space="preserve"> (NATO’s Comprehensive Assistance Package for Ukraine). </w:t>
      </w:r>
      <w:r w:rsidRPr="00506A83">
        <w:rPr>
          <w:lang w:val="cs-CZ"/>
        </w:rPr>
        <w:t>Jednalo se zejména o nákup paliva, vojenské potravinové dávky, zdravotnický materiál a prostředky v oblasti protidronové a kybernetické ochrany.</w:t>
      </w:r>
      <w:r w:rsidRPr="00506A83">
        <w:rPr>
          <w:b/>
          <w:lang w:val="cs-CZ"/>
        </w:rPr>
        <w:t xml:space="preserve"> </w:t>
      </w:r>
      <w:r w:rsidRPr="00506A83">
        <w:rPr>
          <w:lang w:val="cs-CZ"/>
        </w:rPr>
        <w:t>Finanční převody byly vykonány postupně, v</w:t>
      </w:r>
      <w:r w:rsidRPr="00506A83">
        <w:rPr>
          <w:b/>
          <w:lang w:val="cs-CZ"/>
        </w:rPr>
        <w:t> </w:t>
      </w:r>
      <w:r w:rsidRPr="00506A83">
        <w:rPr>
          <w:lang w:val="cs-CZ"/>
        </w:rPr>
        <w:t xml:space="preserve">jednotlivých tranších, za období 2022-2025. </w:t>
      </w:r>
    </w:p>
    <w:p w14:paraId="31B442EA" w14:textId="77777777" w:rsidR="00013145" w:rsidRPr="00506A83" w:rsidRDefault="00013145" w:rsidP="005177B3">
      <w:pPr>
        <w:pStyle w:val="Odstavecseseznamem"/>
        <w:numPr>
          <w:ilvl w:val="0"/>
          <w:numId w:val="32"/>
        </w:numPr>
        <w:spacing w:before="120" w:after="120" w:line="276" w:lineRule="auto"/>
        <w:jc w:val="both"/>
        <w:rPr>
          <w:lang w:val="cs-CZ"/>
        </w:rPr>
      </w:pPr>
      <w:r w:rsidRPr="00506A83">
        <w:rPr>
          <w:b/>
          <w:lang w:val="cs-CZ"/>
        </w:rPr>
        <w:t>110 000 USD</w:t>
      </w:r>
      <w:r w:rsidRPr="00506A83">
        <w:rPr>
          <w:lang w:val="cs-CZ"/>
        </w:rPr>
        <w:t xml:space="preserve"> v roce 2022 bylo převedeno na alianční projekty v rámci budováních obranných kapacit Gruzie (NATO’s Professional Development Programme).</w:t>
      </w:r>
    </w:p>
    <w:p w14:paraId="6B77C620" w14:textId="6DE919E1" w:rsidR="00013145" w:rsidRPr="00506A83" w:rsidRDefault="00013145" w:rsidP="005177B3">
      <w:pPr>
        <w:pStyle w:val="Odstavecseseznamem"/>
        <w:numPr>
          <w:ilvl w:val="0"/>
          <w:numId w:val="32"/>
        </w:numPr>
        <w:spacing w:before="120" w:after="120" w:line="276" w:lineRule="auto"/>
        <w:jc w:val="both"/>
        <w:rPr>
          <w:lang w:val="cs-CZ"/>
        </w:rPr>
      </w:pPr>
      <w:r w:rsidRPr="00506A83">
        <w:rPr>
          <w:b/>
          <w:bCs/>
          <w:lang w:val="cs-CZ"/>
        </w:rPr>
        <w:t xml:space="preserve">100 000 USD </w:t>
      </w:r>
      <w:r w:rsidRPr="00506A83">
        <w:rPr>
          <w:lang w:val="cs-CZ"/>
        </w:rPr>
        <w:t>v roce 2022 bylo převedeno</w:t>
      </w:r>
      <w:r w:rsidRPr="00506A83">
        <w:rPr>
          <w:b/>
          <w:bCs/>
          <w:lang w:val="cs-CZ"/>
        </w:rPr>
        <w:t xml:space="preserve"> </w:t>
      </w:r>
      <w:r w:rsidRPr="00506A83">
        <w:rPr>
          <w:lang w:val="cs-CZ"/>
        </w:rPr>
        <w:t>na alianční projekty v Moldavsku (NATO’s</w:t>
      </w:r>
      <w:r w:rsidR="0070625A" w:rsidRPr="00506A83">
        <w:rPr>
          <w:lang w:val="cs-CZ"/>
        </w:rPr>
        <w:t> </w:t>
      </w:r>
      <w:r w:rsidRPr="00506A83">
        <w:rPr>
          <w:lang w:val="cs-CZ"/>
        </w:rPr>
        <w:t xml:space="preserve">Professional Development Programme). </w:t>
      </w:r>
    </w:p>
    <w:p w14:paraId="6CF89F86" w14:textId="77777777" w:rsidR="00013145" w:rsidRPr="00506A83" w:rsidRDefault="00013145" w:rsidP="005177B3">
      <w:pPr>
        <w:pStyle w:val="Odstavecseseznamem"/>
        <w:numPr>
          <w:ilvl w:val="0"/>
          <w:numId w:val="32"/>
        </w:numPr>
        <w:spacing w:before="120" w:after="120" w:line="276" w:lineRule="auto"/>
        <w:jc w:val="both"/>
        <w:rPr>
          <w:lang w:val="cs-CZ"/>
        </w:rPr>
      </w:pPr>
      <w:r w:rsidRPr="00506A83">
        <w:rPr>
          <w:b/>
          <w:lang w:val="cs-CZ"/>
        </w:rPr>
        <w:t>10 021 USD</w:t>
      </w:r>
      <w:r w:rsidRPr="00506A83">
        <w:rPr>
          <w:lang w:val="cs-CZ"/>
        </w:rPr>
        <w:t xml:space="preserve"> bylo v roce 2025 převedeno na alianční projekt v rámci budováních obranných kapacit speciálních sil Mauritánie. Jednalo se o nákup neletálního vybavení (komunikace, ochranné pomůcky, helmy apod.). </w:t>
      </w:r>
    </w:p>
    <w:p w14:paraId="515341A4" w14:textId="31EE70C9" w:rsidR="007D2B70" w:rsidRPr="00506A83" w:rsidRDefault="00372347" w:rsidP="002E20C5">
      <w:pPr>
        <w:pStyle w:val="Nadpis2"/>
        <w:spacing w:before="360"/>
        <w:ind w:left="992" w:hanging="635"/>
      </w:pPr>
      <w:bookmarkStart w:id="81" w:name="_Toc228190616"/>
      <w:bookmarkStart w:id="82" w:name="_Toc231294170"/>
      <w:r w:rsidRPr="00506A83">
        <w:t>Pomoc uprchlíkům na území ČR</w:t>
      </w:r>
      <w:bookmarkEnd w:id="81"/>
      <w:bookmarkEnd w:id="82"/>
    </w:p>
    <w:p w14:paraId="400A21C2" w14:textId="77777777" w:rsidR="007D2B70" w:rsidRPr="00506A83" w:rsidRDefault="007D2B70" w:rsidP="008875F8">
      <w:pPr>
        <w:spacing w:before="120" w:after="120" w:line="276" w:lineRule="auto"/>
        <w:jc w:val="both"/>
        <w:rPr>
          <w:bCs/>
        </w:rPr>
      </w:pPr>
      <w:r w:rsidRPr="00506A83">
        <w:rPr>
          <w:bCs/>
        </w:rPr>
        <w:t>Náklady na azylová zařízení za rok 2025, ve kterých je Ministerstvem vnitra ČR poskytována pomoc žadatelům o azyl a uprchlíkům, se skládají zejména z těchto položek:</w:t>
      </w:r>
    </w:p>
    <w:p w14:paraId="5FBDF574" w14:textId="70EFBDAA" w:rsidR="007D2B70" w:rsidRPr="00506A83" w:rsidRDefault="007D2B70" w:rsidP="008875F8">
      <w:pPr>
        <w:pStyle w:val="Odstavecseseznamem"/>
        <w:numPr>
          <w:ilvl w:val="0"/>
          <w:numId w:val="26"/>
        </w:numPr>
        <w:spacing w:before="120" w:after="120" w:line="276" w:lineRule="auto"/>
        <w:ind w:left="714" w:hanging="357"/>
        <w:contextualSpacing/>
        <w:jc w:val="both"/>
        <w:rPr>
          <w:lang w:val="cs-CZ"/>
        </w:rPr>
      </w:pPr>
      <w:r w:rsidRPr="00506A83">
        <w:rPr>
          <w:lang w:val="cs-CZ"/>
        </w:rPr>
        <w:t>Mzdové a související výdaje: 67 340 380 Kč;</w:t>
      </w:r>
    </w:p>
    <w:p w14:paraId="157E4526" w14:textId="152BCD05" w:rsidR="007D2B70" w:rsidRPr="00506A83" w:rsidRDefault="007D2B70" w:rsidP="008875F8">
      <w:pPr>
        <w:pStyle w:val="Odstavecseseznamem"/>
        <w:numPr>
          <w:ilvl w:val="0"/>
          <w:numId w:val="26"/>
        </w:numPr>
        <w:spacing w:before="120" w:after="120" w:line="276" w:lineRule="auto"/>
        <w:ind w:left="714" w:hanging="357"/>
        <w:contextualSpacing/>
        <w:jc w:val="both"/>
        <w:rPr>
          <w:lang w:val="cs-CZ"/>
        </w:rPr>
      </w:pPr>
      <w:r w:rsidRPr="00506A83">
        <w:rPr>
          <w:lang w:val="cs-CZ"/>
        </w:rPr>
        <w:t xml:space="preserve">Ostatní běžné výdaje (potraviny, nájemné, kapesné, energie): 62 697 917,32 Kč </w:t>
      </w:r>
    </w:p>
    <w:p w14:paraId="282F8CC3" w14:textId="77777777" w:rsidR="007D2B70" w:rsidRPr="00506A83" w:rsidRDefault="007D2B70" w:rsidP="008875F8">
      <w:pPr>
        <w:spacing w:before="120" w:after="120" w:line="276" w:lineRule="auto"/>
        <w:jc w:val="both"/>
        <w:rPr>
          <w:bCs/>
        </w:rPr>
      </w:pPr>
      <w:r w:rsidRPr="00506A83">
        <w:rPr>
          <w:bCs/>
        </w:rPr>
        <w:t>z toho 20 584 813,32 Kč na výdaje spojené s Ukrajinou.</w:t>
      </w:r>
    </w:p>
    <w:p w14:paraId="3AFD7BDC" w14:textId="77777777" w:rsidR="00DC338C" w:rsidRPr="00506A83" w:rsidRDefault="00707FF6" w:rsidP="008875F8">
      <w:pPr>
        <w:spacing w:before="120" w:after="120" w:line="276" w:lineRule="auto"/>
        <w:jc w:val="both"/>
        <w:rPr>
          <w:bCs/>
        </w:rPr>
      </w:pPr>
      <w:r w:rsidRPr="00506A83">
        <w:rPr>
          <w:bCs/>
        </w:rPr>
        <w:t>Celkové náklady na azylová zařízení za rok 2025</w:t>
      </w:r>
      <w:r w:rsidR="007D2B70" w:rsidRPr="00506A83">
        <w:rPr>
          <w:bCs/>
        </w:rPr>
        <w:t xml:space="preserve"> bylo na pomoc uprchlíkům na území ČR vynaloženo 130 038 297,32 Kč.</w:t>
      </w:r>
      <w:r w:rsidR="00AF5152" w:rsidRPr="00506A83">
        <w:rPr>
          <w:bCs/>
        </w:rPr>
        <w:t xml:space="preserve"> </w:t>
      </w:r>
    </w:p>
    <w:p w14:paraId="42D0895A" w14:textId="1A1E858E" w:rsidR="00340815" w:rsidRPr="00506A83" w:rsidRDefault="00707FF6" w:rsidP="008875F8">
      <w:pPr>
        <w:spacing w:before="120" w:after="120" w:line="276" w:lineRule="auto"/>
        <w:jc w:val="both"/>
      </w:pPr>
      <w:r w:rsidRPr="00506A83">
        <w:t>Celkov</w:t>
      </w:r>
      <w:r w:rsidR="00DC338C" w:rsidRPr="00506A83">
        <w:t>é náklady na</w:t>
      </w:r>
      <w:r w:rsidRPr="00506A83">
        <w:t xml:space="preserve"> pomoc uprchlíkům </w:t>
      </w:r>
      <w:r w:rsidR="00DC338C" w:rsidRPr="00506A83">
        <w:t xml:space="preserve">na území ČR </w:t>
      </w:r>
      <w:r w:rsidRPr="00506A83">
        <w:t>podle metodiky OECD v</w:t>
      </w:r>
      <w:r w:rsidR="00AF5152" w:rsidRPr="00506A83">
        <w:t> rámci oficiální rozvojové pomoci (ODA)</w:t>
      </w:r>
      <w:r w:rsidRPr="00506A83">
        <w:t xml:space="preserve">, tedy vč. nákladů na azylová zařízení dosáhla výše </w:t>
      </w:r>
      <w:r w:rsidR="00AF5152" w:rsidRPr="00506A83">
        <w:t>340 929</w:t>
      </w:r>
      <w:r w:rsidR="009D5A83" w:rsidRPr="00506A83">
        <w:t> </w:t>
      </w:r>
      <w:r w:rsidR="00AF5152" w:rsidRPr="00506A83">
        <w:t>80</w:t>
      </w:r>
      <w:r w:rsidR="009D5A83" w:rsidRPr="00506A83">
        <w:t xml:space="preserve">3 </w:t>
      </w:r>
      <w:r w:rsidR="00AF5152" w:rsidRPr="00506A83">
        <w:t xml:space="preserve">Kč. </w:t>
      </w:r>
    </w:p>
    <w:p w14:paraId="137F4F2F" w14:textId="237BD246" w:rsidR="002E20C5" w:rsidRPr="00506A83" w:rsidRDefault="002E20C5">
      <w:r w:rsidRPr="00506A83">
        <w:br w:type="page"/>
      </w:r>
    </w:p>
    <w:p w14:paraId="47557318" w14:textId="64B58753" w:rsidR="00BA24DB" w:rsidRPr="00506A83" w:rsidRDefault="00F6243B" w:rsidP="0012521C">
      <w:pPr>
        <w:pStyle w:val="Nadpis1"/>
        <w:numPr>
          <w:ilvl w:val="0"/>
          <w:numId w:val="37"/>
        </w:numPr>
        <w:spacing w:before="120" w:after="120" w:line="276" w:lineRule="auto"/>
        <w:ind w:left="709" w:hanging="709"/>
        <w:rPr>
          <w:rFonts w:ascii="Times New Roman" w:hAnsi="Times New Roman" w:cs="Times New Roman"/>
        </w:rPr>
      </w:pPr>
      <w:bookmarkStart w:id="83" w:name="_Toc228190617"/>
      <w:bookmarkStart w:id="84" w:name="_Toc231294171"/>
      <w:r w:rsidRPr="00506A83">
        <w:rPr>
          <w:rFonts w:ascii="Times New Roman" w:hAnsi="Times New Roman" w:cs="Times New Roman"/>
        </w:rPr>
        <w:lastRenderedPageBreak/>
        <w:t>Předběžný přehled ODA za rok 20</w:t>
      </w:r>
      <w:r w:rsidR="00C5359E" w:rsidRPr="00506A83">
        <w:rPr>
          <w:rFonts w:ascii="Times New Roman" w:hAnsi="Times New Roman" w:cs="Times New Roman"/>
        </w:rPr>
        <w:t>2</w:t>
      </w:r>
      <w:r w:rsidR="00654C25" w:rsidRPr="00506A83">
        <w:rPr>
          <w:rFonts w:ascii="Times New Roman" w:hAnsi="Times New Roman" w:cs="Times New Roman"/>
        </w:rPr>
        <w:t>5</w:t>
      </w:r>
      <w:bookmarkEnd w:id="83"/>
      <w:bookmarkEnd w:id="84"/>
      <w:r w:rsidRPr="00506A83">
        <w:rPr>
          <w:rFonts w:ascii="Times New Roman" w:hAnsi="Times New Roman" w:cs="Times New Roman"/>
        </w:rPr>
        <w:t xml:space="preserve"> </w:t>
      </w:r>
    </w:p>
    <w:p w14:paraId="39138A54" w14:textId="0FFBF55F" w:rsidR="008C707C" w:rsidRPr="00506A83" w:rsidRDefault="008C707C" w:rsidP="005177B3">
      <w:pPr>
        <w:spacing w:before="120" w:after="120" w:line="276" w:lineRule="auto"/>
        <w:jc w:val="both"/>
        <w:rPr>
          <w:bCs/>
        </w:rPr>
      </w:pPr>
      <w:r w:rsidRPr="00506A83">
        <w:rPr>
          <w:bCs/>
        </w:rPr>
        <w:t>V roce 2025</w:t>
      </w:r>
      <w:r w:rsidR="00A923AC" w:rsidRPr="00506A83">
        <w:rPr>
          <w:bCs/>
        </w:rPr>
        <w:t xml:space="preserve"> dosáhla oficiální rozvojová pomoc (ODA) České republiky pod</w:t>
      </w:r>
      <w:r w:rsidRPr="00506A83">
        <w:rPr>
          <w:bCs/>
        </w:rPr>
        <w:t>le předběžných údajů úrovně 0,12</w:t>
      </w:r>
      <w:r w:rsidR="00A923AC" w:rsidRPr="00506A83">
        <w:rPr>
          <w:bCs/>
        </w:rPr>
        <w:t xml:space="preserve"> % hrubého národního důchodu (HND), což odpovídá </w:t>
      </w:r>
      <w:r w:rsidRPr="00506A83">
        <w:rPr>
          <w:bCs/>
        </w:rPr>
        <w:t>9,54 mld Kč (tj.</w:t>
      </w:r>
      <w:r w:rsidR="00DA52E2" w:rsidRPr="00506A83">
        <w:t> </w:t>
      </w:r>
      <w:r w:rsidRPr="00506A83">
        <w:rPr>
          <w:bCs/>
        </w:rPr>
        <w:t>435</w:t>
      </w:r>
      <w:r w:rsidR="00DA52E2" w:rsidRPr="00506A83">
        <w:rPr>
          <w:bCs/>
        </w:rPr>
        <w:t> </w:t>
      </w:r>
      <w:r w:rsidRPr="00506A83">
        <w:rPr>
          <w:bCs/>
        </w:rPr>
        <w:t>mil. USD). Bilaterální ODA činila 2,41 mld. Kč (109,85 mil. USD) a </w:t>
      </w:r>
      <w:r w:rsidR="00211788" w:rsidRPr="00506A83">
        <w:rPr>
          <w:bCs/>
        </w:rPr>
        <w:t>multilaterální ODA dosáhla 8,23</w:t>
      </w:r>
      <w:r w:rsidRPr="00506A83">
        <w:rPr>
          <w:bCs/>
        </w:rPr>
        <w:t xml:space="preserve"> mld. Kč (375,35 mil. USD).</w:t>
      </w:r>
    </w:p>
    <w:p w14:paraId="67257560" w14:textId="4F01AD64" w:rsidR="00DA0AF6" w:rsidRPr="00506A83" w:rsidRDefault="008C707C" w:rsidP="005177B3">
      <w:pPr>
        <w:spacing w:before="120" w:after="120" w:line="276" w:lineRule="auto"/>
        <w:jc w:val="both"/>
        <w:rPr>
          <w:bCs/>
        </w:rPr>
      </w:pPr>
      <w:r w:rsidRPr="00506A83">
        <w:rPr>
          <w:bCs/>
        </w:rPr>
        <w:t>Pokračuje tak sestupný trend, který nastal po mimořádném nárůstu výdajů na rozvoj v roce 2022. Významný růst ODA v letech 202</w:t>
      </w:r>
      <w:r w:rsidR="00DA0AF6" w:rsidRPr="00506A83">
        <w:rPr>
          <w:bCs/>
        </w:rPr>
        <w:t>2, kdy ODA dosáhla 0,38% (24, 56 mld. Kč) byl způsoben především náklady spojenými s přílivem uprchlíků z Ukrajiny. Tyto výdaje byly v souladu s pravidly OECD částečně vykazovány jako rozvojová spolupráce (pouze tzv.</w:t>
      </w:r>
      <w:r w:rsidR="00DA52E2" w:rsidRPr="00506A83">
        <w:rPr>
          <w:bCs/>
        </w:rPr>
        <w:t> </w:t>
      </w:r>
      <w:r w:rsidR="00DA0AF6" w:rsidRPr="00506A83">
        <w:rPr>
          <w:bCs/>
        </w:rPr>
        <w:t>neintegrační komodity). Bez těchto mimořádných a časově omezených výdajů bychom se blížili k aktuálním 0,12 % HND jako nyní.</w:t>
      </w:r>
    </w:p>
    <w:p w14:paraId="7D85284F" w14:textId="03D2B677" w:rsidR="008C707C" w:rsidRPr="00506A83" w:rsidRDefault="00211788" w:rsidP="005177B3">
      <w:pPr>
        <w:spacing w:before="120" w:after="120" w:line="276" w:lineRule="auto"/>
        <w:jc w:val="both"/>
        <w:rPr>
          <w:bCs/>
        </w:rPr>
      </w:pPr>
      <w:r w:rsidRPr="00506A83">
        <w:rPr>
          <w:bCs/>
        </w:rPr>
        <w:t xml:space="preserve">ODA v roce </w:t>
      </w:r>
      <w:r w:rsidR="00DA0AF6" w:rsidRPr="00506A83">
        <w:rPr>
          <w:bCs/>
        </w:rPr>
        <w:t>202</w:t>
      </w:r>
      <w:r w:rsidR="008C707C" w:rsidRPr="00506A83">
        <w:rPr>
          <w:bCs/>
        </w:rPr>
        <w:t>3</w:t>
      </w:r>
      <w:r w:rsidR="00DA0AF6" w:rsidRPr="00506A83">
        <w:rPr>
          <w:bCs/>
        </w:rPr>
        <w:t xml:space="preserve"> činila</w:t>
      </w:r>
      <w:r w:rsidR="008C707C" w:rsidRPr="00506A83">
        <w:rPr>
          <w:bCs/>
        </w:rPr>
        <w:t xml:space="preserve"> </w:t>
      </w:r>
      <w:r w:rsidR="00DA0AF6" w:rsidRPr="00506A83">
        <w:rPr>
          <w:bCs/>
        </w:rPr>
        <w:t>0,2</w:t>
      </w:r>
      <w:r w:rsidRPr="00506A83">
        <w:rPr>
          <w:bCs/>
        </w:rPr>
        <w:t xml:space="preserve">4 % HND (17,99 mld. Kč,), </w:t>
      </w:r>
      <w:r w:rsidR="00DA0AF6" w:rsidRPr="00506A83">
        <w:rPr>
          <w:bCs/>
        </w:rPr>
        <w:t>v roce 2024 0,16</w:t>
      </w:r>
      <w:r w:rsidR="00DD2299" w:rsidRPr="00506A83">
        <w:rPr>
          <w:bCs/>
        </w:rPr>
        <w:t xml:space="preserve"> </w:t>
      </w:r>
      <w:r w:rsidR="00DA0AF6" w:rsidRPr="00506A83">
        <w:rPr>
          <w:bCs/>
        </w:rPr>
        <w:t xml:space="preserve">% vůči HND 13,29 mld. Kč (tj. 572 mil. USD). </w:t>
      </w:r>
    </w:p>
    <w:p w14:paraId="26CAAEBA" w14:textId="4A13FC06" w:rsidR="00A923AC" w:rsidRPr="00506A83" w:rsidRDefault="00A923AC" w:rsidP="005177B3">
      <w:pPr>
        <w:spacing w:before="120" w:after="120" w:line="276" w:lineRule="auto"/>
        <w:jc w:val="both"/>
        <w:rPr>
          <w:bCs/>
          <w:color w:val="FF0000"/>
          <w:highlight w:val="yellow"/>
        </w:rPr>
      </w:pPr>
      <w:r w:rsidRPr="00506A83">
        <w:rPr>
          <w:bCs/>
        </w:rPr>
        <w:t>Pro srovnání – průměrný podíl ODA/HND mezi členskými státy Výboru pro rozvojovou pomoc (DAC) v roce 2024 činil 0,33 %.</w:t>
      </w:r>
      <w:r w:rsidR="003D1FF1" w:rsidRPr="00506A83">
        <w:rPr>
          <w:bCs/>
        </w:rPr>
        <w:t xml:space="preserve"> </w:t>
      </w:r>
      <w:r w:rsidRPr="00506A83">
        <w:rPr>
          <w:bCs/>
        </w:rPr>
        <w:t xml:space="preserve">Závazek vyplývající z Agendy 2030 pro udržitelný rozvoj stanoví cíl ve výši 0,7 % ODA/HND, přičemž na úrovni EU se Česká republika zavázala dosáhnout alespoň 0,33 % ODA/HND do roku 2030. </w:t>
      </w:r>
    </w:p>
    <w:p w14:paraId="7E8B2981" w14:textId="11675365" w:rsidR="002E20C5" w:rsidRPr="00506A83" w:rsidRDefault="002E20C5">
      <w:pPr>
        <w:rPr>
          <w:bCs/>
        </w:rPr>
      </w:pPr>
      <w:r w:rsidRPr="00506A83">
        <w:rPr>
          <w:bCs/>
        </w:rPr>
        <w:br w:type="page"/>
      </w:r>
    </w:p>
    <w:p w14:paraId="46A9CD40" w14:textId="0813DC1D" w:rsidR="00F6243B" w:rsidRPr="00506A83" w:rsidRDefault="00F6243B" w:rsidP="0012521C">
      <w:pPr>
        <w:pStyle w:val="Nadpis1"/>
        <w:numPr>
          <w:ilvl w:val="0"/>
          <w:numId w:val="37"/>
        </w:numPr>
        <w:spacing w:before="120" w:after="120" w:line="276" w:lineRule="auto"/>
        <w:ind w:left="709" w:hanging="709"/>
        <w:rPr>
          <w:rFonts w:ascii="Times New Roman" w:hAnsi="Times New Roman" w:cs="Times New Roman"/>
        </w:rPr>
      </w:pPr>
      <w:bookmarkStart w:id="85" w:name="_Toc228190618"/>
      <w:bookmarkStart w:id="86" w:name="_Toc231294172"/>
      <w:r w:rsidRPr="00506A83">
        <w:rPr>
          <w:rFonts w:ascii="Times New Roman" w:hAnsi="Times New Roman" w:cs="Times New Roman"/>
        </w:rPr>
        <w:lastRenderedPageBreak/>
        <w:t>Závěr</w:t>
      </w:r>
      <w:bookmarkEnd w:id="85"/>
      <w:bookmarkEnd w:id="86"/>
    </w:p>
    <w:p w14:paraId="6C861876" w14:textId="679D73ED" w:rsidR="00E801F8" w:rsidRPr="00506A83" w:rsidRDefault="00E801F8" w:rsidP="005177B3">
      <w:pPr>
        <w:pStyle w:val="paragraph"/>
        <w:spacing w:before="120" w:beforeAutospacing="0" w:after="120" w:afterAutospacing="0" w:line="276" w:lineRule="auto"/>
        <w:jc w:val="both"/>
        <w:textAlignment w:val="baseline"/>
        <w:rPr>
          <w:bCs/>
        </w:rPr>
      </w:pPr>
      <w:r w:rsidRPr="00506A83">
        <w:rPr>
          <w:bCs/>
        </w:rPr>
        <w:t>Mezi hlavní úspěchy v roce 2025 lze počítat získávání prostředků v rámci delegované spolupráce ČRA v návaznosti na další rozvojové aktivity v prioritních zemích dvoustranné ZRS ČR, včetně uplatňování českých realizátorů a řešení.</w:t>
      </w:r>
    </w:p>
    <w:p w14:paraId="4124A9A1" w14:textId="673FFF07" w:rsidR="003F5C47" w:rsidRPr="00506A83" w:rsidRDefault="00E801F8" w:rsidP="005177B3">
      <w:pPr>
        <w:pStyle w:val="paragraph"/>
        <w:spacing w:before="120" w:beforeAutospacing="0" w:after="120" w:afterAutospacing="0" w:line="276" w:lineRule="auto"/>
        <w:jc w:val="both"/>
        <w:textAlignment w:val="baseline"/>
        <w:rPr>
          <w:bCs/>
        </w:rPr>
      </w:pPr>
      <w:r w:rsidRPr="00506A83">
        <w:rPr>
          <w:bCs/>
        </w:rPr>
        <w:t xml:space="preserve">Podařilo se také </w:t>
      </w:r>
      <w:r w:rsidR="003F5C47" w:rsidRPr="00506A83">
        <w:rPr>
          <w:bCs/>
        </w:rPr>
        <w:t>získ</w:t>
      </w:r>
      <w:r w:rsidRPr="00506A83">
        <w:rPr>
          <w:bCs/>
        </w:rPr>
        <w:t>at</w:t>
      </w:r>
      <w:r w:rsidR="003F5C47" w:rsidRPr="00506A83">
        <w:rPr>
          <w:bCs/>
        </w:rPr>
        <w:t xml:space="preserve"> záruční</w:t>
      </w:r>
      <w:r w:rsidRPr="00506A83">
        <w:rPr>
          <w:bCs/>
        </w:rPr>
        <w:t xml:space="preserve"> a</w:t>
      </w:r>
      <w:r w:rsidR="003F5C47" w:rsidRPr="00506A83">
        <w:rPr>
          <w:bCs/>
        </w:rPr>
        <w:t xml:space="preserve"> blendingov</w:t>
      </w:r>
      <w:r w:rsidRPr="00506A83">
        <w:rPr>
          <w:bCs/>
        </w:rPr>
        <w:t>ý</w:t>
      </w:r>
      <w:r w:rsidR="003F5C47" w:rsidRPr="00506A83">
        <w:rPr>
          <w:bCs/>
        </w:rPr>
        <w:t xml:space="preserve"> program z Nástroje EU pro Ukrajinu Národní rozvojovou bankou v součinnosti s Českou rozvojovou agenturou. </w:t>
      </w:r>
    </w:p>
    <w:p w14:paraId="0EC083B9" w14:textId="1F5575B0" w:rsidR="00320250" w:rsidRPr="00506A83" w:rsidRDefault="003F5C47" w:rsidP="005177B3">
      <w:pPr>
        <w:pStyle w:val="paragraph"/>
        <w:spacing w:before="120" w:beforeAutospacing="0" w:after="120" w:afterAutospacing="0" w:line="276" w:lineRule="auto"/>
        <w:jc w:val="both"/>
        <w:textAlignment w:val="baseline"/>
        <w:rPr>
          <w:bCs/>
        </w:rPr>
      </w:pPr>
      <w:r w:rsidRPr="00506A83">
        <w:rPr>
          <w:bCs/>
        </w:rPr>
        <w:t>Úspěšně pokračovala také profilace MZV ČR jako jednoho z hlavních globálních aktérů v oblasti snižování rizika katastrof a posilování odolnosti vůči přírodním katastrofám. Díky finančním příspěvkům z humanitárního rozpočtu MZV, praktickým realizacím a pravidelným workshopům v Bruselu, New Yorku a Ženev</w:t>
      </w:r>
      <w:r w:rsidR="0093074A" w:rsidRPr="00506A83">
        <w:rPr>
          <w:bCs/>
        </w:rPr>
        <w:t>ě</w:t>
      </w:r>
      <w:r w:rsidRPr="00506A83">
        <w:rPr>
          <w:bCs/>
        </w:rPr>
        <w:t xml:space="preserve"> je ČR v této oblasti vnímána jako relevantní a</w:t>
      </w:r>
      <w:r w:rsidR="00934BE7" w:rsidRPr="00506A83">
        <w:rPr>
          <w:bCs/>
        </w:rPr>
        <w:t> </w:t>
      </w:r>
      <w:r w:rsidRPr="00506A83">
        <w:rPr>
          <w:bCs/>
        </w:rPr>
        <w:t>agilní partner ze strany OSN, OBSE, OECD, EU i dotčených zemí, zejména v subsaharské Africe, v zemích západního Balkánu, východní Evropy a střední i jihovýchodní Asie.</w:t>
      </w:r>
    </w:p>
    <w:p w14:paraId="4BAF7229" w14:textId="6234A8A9" w:rsidR="003F5C47" w:rsidRPr="00506A83" w:rsidRDefault="00320250" w:rsidP="005177B3">
      <w:pPr>
        <w:pStyle w:val="paragraph"/>
        <w:spacing w:before="120" w:beforeAutospacing="0" w:after="120" w:afterAutospacing="0" w:line="276" w:lineRule="auto"/>
        <w:jc w:val="both"/>
        <w:textAlignment w:val="baseline"/>
        <w:rPr>
          <w:bCs/>
        </w:rPr>
      </w:pPr>
      <w:r w:rsidRPr="00506A83">
        <w:rPr>
          <w:bCs/>
        </w:rPr>
        <w:t>Potenciál pro další uplatňování českých realizátorů a řešení v rámci ZRS, TRANS a HP i</w:t>
      </w:r>
      <w:r w:rsidR="00934BE7" w:rsidRPr="00506A83">
        <w:rPr>
          <w:bCs/>
        </w:rPr>
        <w:t> </w:t>
      </w:r>
      <w:r w:rsidRPr="00506A83">
        <w:rPr>
          <w:bCs/>
        </w:rPr>
        <w:t>v propojení s ekonomickou a bezpečnostní diplomacií je nesporný, avšak jeho plnému rozvinutí nadále brání velmi omezené a dále klesající prostředky zejména na bilaterální ODA.</w:t>
      </w:r>
    </w:p>
    <w:p w14:paraId="1E2E4768" w14:textId="7BC4FF6A" w:rsidR="001F3A2D" w:rsidRPr="00506A83" w:rsidRDefault="001F3A2D" w:rsidP="005177B3">
      <w:pPr>
        <w:spacing w:before="120" w:after="120" w:line="276" w:lineRule="auto"/>
        <w:jc w:val="both"/>
      </w:pPr>
      <w:r w:rsidRPr="00506A83">
        <w:t>V roce 2025 dosáhla oficiální rozvojová pomoc (ODA) České republiky podle předběžných údajů úrovně 0,12 % HND (9,54 mld. Kč), čímž se potvrdil postupný návrat k hodnotám před mimořádným nárůstem v roce 2022</w:t>
      </w:r>
      <w:r w:rsidR="008A5E45" w:rsidRPr="00506A83">
        <w:t>.</w:t>
      </w:r>
      <w:r w:rsidRPr="00506A83">
        <w:t xml:space="preserve"> Česká republika tak nadále zůstává pod průměrem členských států Výboru pro rozvojovou pomoc (DAC), který činí přibližně 0,33 % HND</w:t>
      </w:r>
      <w:r w:rsidR="00EF1031" w:rsidRPr="00506A83">
        <w:t>.</w:t>
      </w:r>
    </w:p>
    <w:p w14:paraId="1BE0F360" w14:textId="11FF534C" w:rsidR="002E20C5" w:rsidRPr="00506A83" w:rsidRDefault="001928AD" w:rsidP="005177B3">
      <w:pPr>
        <w:spacing w:before="120" w:after="120" w:line="276" w:lineRule="auto"/>
        <w:jc w:val="both"/>
      </w:pPr>
      <w:r w:rsidRPr="00506A83">
        <w:rPr>
          <w:b/>
        </w:rPr>
        <w:t>Uplatňování českých řešení a expertních kapacit</w:t>
      </w:r>
      <w:r w:rsidRPr="00506A83">
        <w:t xml:space="preserve">, propojování geografických i tematických priorit a multiplikace vložených finančních prostředků zůstávají hlavními záměry MZV při realizaci humanitárních, transformačních a rozvojových aktivit bilaterálních i v součinnosti s dalšími zeměmi, EU a osvědčenými multilaterálními partnery. </w:t>
      </w:r>
    </w:p>
    <w:p w14:paraId="0B2B498E" w14:textId="77777777" w:rsidR="002E20C5" w:rsidRPr="00506A83" w:rsidRDefault="002E20C5">
      <w:r w:rsidRPr="00506A83">
        <w:br w:type="page"/>
      </w:r>
    </w:p>
    <w:p w14:paraId="7064B398" w14:textId="7E400DE6" w:rsidR="001A3161" w:rsidRPr="00506A83" w:rsidRDefault="00174AD8" w:rsidP="00174AD8">
      <w:pPr>
        <w:pStyle w:val="Nadpis1"/>
        <w:numPr>
          <w:ilvl w:val="0"/>
          <w:numId w:val="37"/>
        </w:numPr>
      </w:pPr>
      <w:bookmarkStart w:id="87" w:name="_Toc231294173"/>
      <w:r w:rsidRPr="00506A83">
        <w:lastRenderedPageBreak/>
        <w:t>Přílohy</w:t>
      </w:r>
      <w:bookmarkEnd w:id="87"/>
    </w:p>
    <w:p w14:paraId="2A294650" w14:textId="0D8784D3" w:rsidR="001A3161" w:rsidRPr="00506A83" w:rsidRDefault="001A3161" w:rsidP="005177B3">
      <w:pPr>
        <w:spacing w:before="120" w:after="120" w:line="276" w:lineRule="auto"/>
        <w:jc w:val="both"/>
      </w:pPr>
      <w:r w:rsidRPr="00506A83">
        <w:rPr>
          <w:b/>
          <w:bCs/>
        </w:rPr>
        <w:t>Příloha 1</w:t>
      </w:r>
      <w:r w:rsidR="008E2422" w:rsidRPr="00506A83">
        <w:rPr>
          <w:b/>
          <w:bCs/>
        </w:rPr>
        <w:t xml:space="preserve"> -</w:t>
      </w:r>
      <w:r w:rsidR="008E2422" w:rsidRPr="00506A83">
        <w:t xml:space="preserve"> </w:t>
      </w:r>
      <w:r w:rsidR="005942C9" w:rsidRPr="00506A83">
        <w:t xml:space="preserve">Celkový přehled čerpání prostředků na zahraniční rozvojovou spolupráci dle </w:t>
      </w:r>
      <w:r w:rsidR="006B7A0A" w:rsidRPr="00506A83">
        <w:t>usnesení vlády č. 471/2024</w:t>
      </w:r>
      <w:r w:rsidR="005942C9" w:rsidRPr="00506A83">
        <w:t xml:space="preserve"> </w:t>
      </w:r>
    </w:p>
    <w:p w14:paraId="346B8B8B" w14:textId="06CF2F05" w:rsidR="001A3161" w:rsidRPr="00506A83" w:rsidRDefault="001A3161" w:rsidP="005177B3">
      <w:pPr>
        <w:spacing w:before="120" w:after="120" w:line="276" w:lineRule="auto"/>
        <w:jc w:val="both"/>
      </w:pPr>
      <w:r w:rsidRPr="00506A83">
        <w:rPr>
          <w:b/>
          <w:bCs/>
        </w:rPr>
        <w:t xml:space="preserve">Příloha 2 </w:t>
      </w:r>
      <w:r w:rsidR="006B7A0A" w:rsidRPr="00506A83">
        <w:rPr>
          <w:b/>
          <w:bCs/>
        </w:rPr>
        <w:t>–</w:t>
      </w:r>
      <w:r w:rsidR="005942C9" w:rsidRPr="00506A83">
        <w:rPr>
          <w:b/>
          <w:bCs/>
        </w:rPr>
        <w:t xml:space="preserve"> </w:t>
      </w:r>
      <w:r w:rsidR="006B7A0A" w:rsidRPr="00506A83">
        <w:t>Projekty a</w:t>
      </w:r>
      <w:r w:rsidR="006B7A0A" w:rsidRPr="00506A83">
        <w:rPr>
          <w:b/>
          <w:bCs/>
        </w:rPr>
        <w:t xml:space="preserve"> </w:t>
      </w:r>
      <w:r w:rsidR="006B7A0A" w:rsidRPr="00506A83">
        <w:t>v</w:t>
      </w:r>
      <w:r w:rsidR="00ED09BD" w:rsidRPr="00506A83">
        <w:t xml:space="preserve">yužité finanční prostředky na ZRS ČR v roce 2025 dle usnesení vlády č. </w:t>
      </w:r>
      <w:r w:rsidR="005F7DDA" w:rsidRPr="00506A83">
        <w:t>47</w:t>
      </w:r>
      <w:r w:rsidR="000F0CB1" w:rsidRPr="00506A83">
        <w:t>1</w:t>
      </w:r>
      <w:r w:rsidR="00ED09BD" w:rsidRPr="00506A83">
        <w:t>/202</w:t>
      </w:r>
      <w:r w:rsidR="005F7DDA" w:rsidRPr="00506A83">
        <w:t>4</w:t>
      </w:r>
      <w:r w:rsidR="00ED09BD" w:rsidRPr="00506A83">
        <w:t xml:space="preserve"> v gesci ČRA</w:t>
      </w:r>
    </w:p>
    <w:p w14:paraId="3A0D4C07" w14:textId="5D713FE2" w:rsidR="001A3161" w:rsidRPr="00506A83" w:rsidRDefault="001A3161" w:rsidP="005177B3">
      <w:pPr>
        <w:spacing w:before="120" w:after="120" w:line="276" w:lineRule="auto"/>
        <w:jc w:val="both"/>
      </w:pPr>
      <w:r w:rsidRPr="00506A83">
        <w:rPr>
          <w:b/>
          <w:bCs/>
        </w:rPr>
        <w:t>Příloha 3</w:t>
      </w:r>
      <w:r w:rsidR="00D93EE2" w:rsidRPr="00506A83">
        <w:t xml:space="preserve"> - Projekty a využité finanční prostředky na ZRS ČR v r. 2025 dle usnesení vlády č.</w:t>
      </w:r>
      <w:r w:rsidR="00934BE7" w:rsidRPr="00506A83">
        <w:t> </w:t>
      </w:r>
      <w:r w:rsidR="005F7DDA" w:rsidRPr="00506A83">
        <w:t>471</w:t>
      </w:r>
      <w:r w:rsidR="00D93EE2" w:rsidRPr="00506A83">
        <w:t>/202</w:t>
      </w:r>
      <w:r w:rsidR="005F7DDA" w:rsidRPr="00506A83">
        <w:t>4</w:t>
      </w:r>
      <w:r w:rsidR="00D93EE2" w:rsidRPr="00506A83">
        <w:t xml:space="preserve"> v gesci MZV a jiných resortů</w:t>
      </w:r>
    </w:p>
    <w:p w14:paraId="56D6453C" w14:textId="6400E6C2" w:rsidR="006B6D87" w:rsidRPr="00C96C90" w:rsidRDefault="006B6D87" w:rsidP="005177B3">
      <w:pPr>
        <w:spacing w:before="120" w:after="120" w:line="276" w:lineRule="auto"/>
        <w:jc w:val="both"/>
      </w:pPr>
      <w:r w:rsidRPr="00506A83">
        <w:rPr>
          <w:b/>
          <w:bCs/>
        </w:rPr>
        <w:t xml:space="preserve">Příloha 4 </w:t>
      </w:r>
      <w:r w:rsidRPr="00506A83">
        <w:t>– Seznam zkratek</w:t>
      </w:r>
    </w:p>
    <w:sectPr w:rsidR="006B6D87" w:rsidRPr="00C96C90" w:rsidSect="00AD01FD">
      <w:footerReference w:type="default" r:id="rId9"/>
      <w:footerReference w:type="first" r:id="rId10"/>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FE5FF" w14:textId="77777777" w:rsidR="00530C2F" w:rsidRPr="00506A83" w:rsidRDefault="00530C2F">
      <w:r w:rsidRPr="00506A83">
        <w:separator/>
      </w:r>
    </w:p>
  </w:endnote>
  <w:endnote w:type="continuationSeparator" w:id="0">
    <w:p w14:paraId="5C2361FC" w14:textId="77777777" w:rsidR="00530C2F" w:rsidRPr="00506A83" w:rsidRDefault="00530C2F">
      <w:r w:rsidRPr="00506A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Georgia&quot;,serif">
    <w:altName w:val="Cambria"/>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Cardo">
    <w:altName w:val="Calibri"/>
    <w:charset w:val="00"/>
    <w:family w:val="auto"/>
    <w:pitch w:val="default"/>
  </w:font>
  <w:font w:name="Tms Rmn">
    <w:altName w:val="Times New Roman"/>
    <w:panose1 w:val="020206030405050203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B0A73" w14:textId="77777777" w:rsidR="00DC112D" w:rsidRPr="00506A83" w:rsidRDefault="00DC112D" w:rsidP="00413B75">
    <w:pPr>
      <w:pStyle w:val="Zpat"/>
      <w:jc w:val="center"/>
    </w:pPr>
    <w:r w:rsidRPr="00506A83">
      <w:fldChar w:fldCharType="begin"/>
    </w:r>
    <w:r w:rsidRPr="00506A83">
      <w:instrText>PAGE   \* MERGEFORMAT</w:instrText>
    </w:r>
    <w:r w:rsidRPr="00506A83">
      <w:fldChar w:fldCharType="separate"/>
    </w:r>
    <w:r w:rsidR="00320250" w:rsidRPr="00506A83">
      <w:t>51</w:t>
    </w:r>
    <w:r w:rsidRPr="00506A83">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2090252"/>
      <w:docPartObj>
        <w:docPartGallery w:val="Page Numbers (Bottom of Page)"/>
        <w:docPartUnique/>
      </w:docPartObj>
    </w:sdtPr>
    <w:sdtContent>
      <w:p w14:paraId="260D5943" w14:textId="77777777" w:rsidR="00DC112D" w:rsidRPr="00506A83" w:rsidRDefault="00DC112D" w:rsidP="00AD01FD">
        <w:pPr>
          <w:pStyle w:val="Zpat"/>
          <w:jc w:val="center"/>
        </w:pPr>
        <w:r w:rsidRPr="00506A83">
          <w:fldChar w:fldCharType="begin"/>
        </w:r>
        <w:r w:rsidRPr="00506A83">
          <w:instrText>PAGE   \* MERGEFORMAT</w:instrText>
        </w:r>
        <w:r w:rsidRPr="00506A83">
          <w:fldChar w:fldCharType="separate"/>
        </w:r>
        <w:r w:rsidRPr="00506A83">
          <w:t>2</w:t>
        </w:r>
        <w:r w:rsidRPr="00506A83">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165A3" w14:textId="77777777" w:rsidR="00530C2F" w:rsidRPr="00506A83" w:rsidRDefault="00530C2F">
      <w:r w:rsidRPr="00506A83">
        <w:separator/>
      </w:r>
    </w:p>
  </w:footnote>
  <w:footnote w:type="continuationSeparator" w:id="0">
    <w:p w14:paraId="77C0801D" w14:textId="77777777" w:rsidR="00530C2F" w:rsidRPr="00506A83" w:rsidRDefault="00530C2F">
      <w:r w:rsidRPr="00506A83">
        <w:continuationSeparator/>
      </w:r>
    </w:p>
  </w:footnote>
  <w:footnote w:id="1">
    <w:p w14:paraId="52D78C6F" w14:textId="77777777" w:rsidR="00DC112D" w:rsidRPr="00506A83" w:rsidRDefault="00DC112D" w:rsidP="00BC4DB5">
      <w:pPr>
        <w:pStyle w:val="Textpoznpodarou"/>
      </w:pPr>
      <w:r w:rsidRPr="00506A83">
        <w:rPr>
          <w:rStyle w:val="Znakapoznpodarou"/>
        </w:rPr>
        <w:footnoteRef/>
      </w:r>
      <w:r w:rsidRPr="00506A83">
        <w:t xml:space="preserve"> Mandát CZ vypršel k 31. 12. 2025.</w:t>
      </w:r>
    </w:p>
  </w:footnote>
  <w:footnote w:id="2">
    <w:p w14:paraId="323360A2" w14:textId="77777777" w:rsidR="00DC112D" w:rsidRPr="00506A83" w:rsidRDefault="00DC112D" w:rsidP="00BC4DB5">
      <w:pPr>
        <w:pStyle w:val="Textpoznpodarou"/>
      </w:pPr>
      <w:r w:rsidRPr="00506A83">
        <w:rPr>
          <w:rStyle w:val="Znakapoznpodarou"/>
        </w:rPr>
        <w:footnoteRef/>
      </w:r>
      <w:r w:rsidRPr="00506A83">
        <w:t xml:space="preserve"> Mandát CZ vypršel k 30. 6. 2025.</w:t>
      </w:r>
    </w:p>
  </w:footnote>
  <w:footnote w:id="3">
    <w:p w14:paraId="780EE650" w14:textId="77777777" w:rsidR="00DC112D" w:rsidRPr="00506A83" w:rsidRDefault="00DC112D" w:rsidP="00BC4DB5">
      <w:pPr>
        <w:pStyle w:val="Textpoznpodarou"/>
      </w:pPr>
      <w:r w:rsidRPr="00506A83">
        <w:rPr>
          <w:rStyle w:val="Znakapoznpodarou"/>
        </w:rPr>
        <w:footnoteRef/>
      </w:r>
      <w:r w:rsidRPr="00506A83">
        <w:t xml:space="preserve"> V současnosti jen 7, poslední pozice se stále obsazuje.</w:t>
      </w:r>
    </w:p>
  </w:footnote>
  <w:footnote w:id="4">
    <w:p w14:paraId="1D173C89" w14:textId="77777777" w:rsidR="00DC112D" w:rsidRPr="00E45859" w:rsidRDefault="00DC112D" w:rsidP="007431A2">
      <w:pPr>
        <w:jc w:val="both"/>
        <w:rPr>
          <w:sz w:val="20"/>
          <w:szCs w:val="20"/>
        </w:rPr>
      </w:pPr>
      <w:r w:rsidRPr="00506A83">
        <w:rPr>
          <w:rStyle w:val="Znakapoznpodarou"/>
          <w:sz w:val="20"/>
          <w:szCs w:val="20"/>
        </w:rPr>
        <w:footnoteRef/>
      </w:r>
      <w:r w:rsidRPr="00506A83">
        <w:rPr>
          <w:sz w:val="20"/>
          <w:szCs w:val="20"/>
        </w:rPr>
        <w:t xml:space="preserve"> Od roku 2021 se reportuje o podpoře poskytované rozvojovým zemím v souladu s </w:t>
      </w:r>
      <w:hyperlink r:id="rId1" w:history="1">
        <w:r w:rsidRPr="00506A83">
          <w:rPr>
            <w:rStyle w:val="Hypertextovodkaz"/>
            <w:sz w:val="20"/>
            <w:szCs w:val="20"/>
          </w:rPr>
          <w:t>Nařízením (EU) 2018/1999 o správě energetické unie a opatření v oblasti klimatu</w:t>
        </w:r>
      </w:hyperlink>
      <w:r w:rsidRPr="00506A83">
        <w:rPr>
          <w:sz w:val="20"/>
          <w:szCs w:val="20"/>
        </w:rPr>
        <w:t xml:space="preserve"> a </w:t>
      </w:r>
      <w:hyperlink r:id="rId2" w:history="1">
        <w:r w:rsidRPr="00506A83">
          <w:rPr>
            <w:rStyle w:val="Hypertextovodkaz"/>
            <w:sz w:val="20"/>
            <w:szCs w:val="20"/>
          </w:rPr>
          <w:t>prováděcím nařízením Komise (EU) 2020/1208</w:t>
        </w:r>
      </w:hyperlink>
      <w:r w:rsidRPr="00506A83">
        <w:rPr>
          <w:sz w:val="20"/>
          <w:szCs w:val="20"/>
        </w:rPr>
        <w:t xml:space="preserve"> o struktuře, formátu, postupech předkládání a přezkumu informací vykázaných ČS podle nařízení (EU) 2018/1999, které obsahuje rozšířené reportingové povinnosti.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70402"/>
    <w:multiLevelType w:val="hybridMultilevel"/>
    <w:tmpl w:val="4B6CF4B0"/>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1DF648F"/>
    <w:multiLevelType w:val="hybridMultilevel"/>
    <w:tmpl w:val="FE68813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3B42FF0"/>
    <w:multiLevelType w:val="hybridMultilevel"/>
    <w:tmpl w:val="113C8A5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4A00A9F"/>
    <w:multiLevelType w:val="hybridMultilevel"/>
    <w:tmpl w:val="FFFFFFFF"/>
    <w:lvl w:ilvl="0" w:tplc="79C4E40A">
      <w:start w:val="1"/>
      <w:numFmt w:val="decimal"/>
      <w:lvlText w:val="%1."/>
      <w:lvlJc w:val="left"/>
      <w:pPr>
        <w:ind w:left="720" w:hanging="360"/>
      </w:pPr>
    </w:lvl>
    <w:lvl w:ilvl="1" w:tplc="0E1EE60C">
      <w:start w:val="1"/>
      <w:numFmt w:val="lowerLetter"/>
      <w:lvlText w:val="%2."/>
      <w:lvlJc w:val="left"/>
      <w:pPr>
        <w:ind w:left="1440" w:hanging="360"/>
      </w:pPr>
    </w:lvl>
    <w:lvl w:ilvl="2" w:tplc="E7DC78FC">
      <w:start w:val="1"/>
      <w:numFmt w:val="lowerRoman"/>
      <w:lvlText w:val="%3."/>
      <w:lvlJc w:val="right"/>
      <w:pPr>
        <w:ind w:left="2160" w:hanging="180"/>
      </w:pPr>
    </w:lvl>
    <w:lvl w:ilvl="3" w:tplc="FAC0354A">
      <w:start w:val="1"/>
      <w:numFmt w:val="decimal"/>
      <w:lvlText w:val="%4."/>
      <w:lvlJc w:val="left"/>
      <w:pPr>
        <w:ind w:left="2880" w:hanging="360"/>
      </w:pPr>
    </w:lvl>
    <w:lvl w:ilvl="4" w:tplc="B21C71FE">
      <w:start w:val="1"/>
      <w:numFmt w:val="lowerLetter"/>
      <w:lvlText w:val="%5."/>
      <w:lvlJc w:val="left"/>
      <w:pPr>
        <w:ind w:left="3600" w:hanging="360"/>
      </w:pPr>
    </w:lvl>
    <w:lvl w:ilvl="5" w:tplc="9CCE1C56">
      <w:start w:val="1"/>
      <w:numFmt w:val="lowerRoman"/>
      <w:lvlText w:val="%6."/>
      <w:lvlJc w:val="right"/>
      <w:pPr>
        <w:ind w:left="4320" w:hanging="180"/>
      </w:pPr>
    </w:lvl>
    <w:lvl w:ilvl="6" w:tplc="52E8FEF2">
      <w:start w:val="1"/>
      <w:numFmt w:val="decimal"/>
      <w:lvlText w:val="%7."/>
      <w:lvlJc w:val="left"/>
      <w:pPr>
        <w:ind w:left="5040" w:hanging="360"/>
      </w:pPr>
    </w:lvl>
    <w:lvl w:ilvl="7" w:tplc="56F440B2">
      <w:start w:val="1"/>
      <w:numFmt w:val="lowerLetter"/>
      <w:lvlText w:val="%8."/>
      <w:lvlJc w:val="left"/>
      <w:pPr>
        <w:ind w:left="5760" w:hanging="360"/>
      </w:pPr>
    </w:lvl>
    <w:lvl w:ilvl="8" w:tplc="5EFA3088">
      <w:start w:val="1"/>
      <w:numFmt w:val="lowerRoman"/>
      <w:lvlText w:val="%9."/>
      <w:lvlJc w:val="right"/>
      <w:pPr>
        <w:ind w:left="6480" w:hanging="180"/>
      </w:pPr>
    </w:lvl>
  </w:abstractNum>
  <w:abstractNum w:abstractNumId="4" w15:restartNumberingAfterBreak="0">
    <w:nsid w:val="0560675F"/>
    <w:multiLevelType w:val="hybridMultilevel"/>
    <w:tmpl w:val="57EC56F0"/>
    <w:lvl w:ilvl="0" w:tplc="04090001">
      <w:start w:val="1"/>
      <w:numFmt w:val="bullet"/>
      <w:lvlText w:val=""/>
      <w:lvlJc w:val="left"/>
      <w:pPr>
        <w:ind w:left="1068" w:hanging="360"/>
      </w:pPr>
      <w:rPr>
        <w:rFonts w:ascii="Symbol" w:hAnsi="Symbol" w:hint="default"/>
      </w:rPr>
    </w:lvl>
    <w:lvl w:ilvl="1" w:tplc="FFFFFFFF">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5" w15:restartNumberingAfterBreak="0">
    <w:nsid w:val="15535811"/>
    <w:multiLevelType w:val="hybridMultilevel"/>
    <w:tmpl w:val="53C07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8A3E0C"/>
    <w:multiLevelType w:val="multilevel"/>
    <w:tmpl w:val="2BC81F0E"/>
    <w:lvl w:ilvl="0">
      <w:start w:val="1"/>
      <w:numFmt w:val="decimal"/>
      <w:pStyle w:val="Nadpis1"/>
      <w:lvlText w:val="%1."/>
      <w:lvlJc w:val="left"/>
      <w:pPr>
        <w:ind w:left="360" w:hanging="360"/>
      </w:pPr>
      <w:rPr>
        <w:b/>
      </w:rPr>
    </w:lvl>
    <w:lvl w:ilvl="1">
      <w:start w:val="1"/>
      <w:numFmt w:val="decimal"/>
      <w:lvlText w:val="%1.%2."/>
      <w:lvlJc w:val="left"/>
      <w:pPr>
        <w:ind w:left="792" w:hanging="432"/>
      </w:pPr>
      <w:rPr>
        <w:b/>
        <w:i w:val="0"/>
      </w:rPr>
    </w:lvl>
    <w:lvl w:ilvl="2">
      <w:start w:val="1"/>
      <w:numFmt w:val="decimal"/>
      <w:pStyle w:val="Nadpis3"/>
      <w:lvlText w:val="%1.%2.%3."/>
      <w:lvlJc w:val="left"/>
      <w:pPr>
        <w:ind w:left="1355" w:hanging="504"/>
      </w:pPr>
      <w:rPr>
        <w:b/>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E744E56"/>
    <w:multiLevelType w:val="hybridMultilevel"/>
    <w:tmpl w:val="F7DEA03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4375291"/>
    <w:multiLevelType w:val="hybridMultilevel"/>
    <w:tmpl w:val="B6D82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597C7A"/>
    <w:multiLevelType w:val="multilevel"/>
    <w:tmpl w:val="FEE894D8"/>
    <w:lvl w:ilvl="0">
      <w:start w:val="2"/>
      <w:numFmt w:val="decimal"/>
      <w:lvlText w:val="%1"/>
      <w:lvlJc w:val="left"/>
      <w:pPr>
        <w:ind w:left="480" w:hanging="480"/>
      </w:pPr>
      <w:rPr>
        <w:rFonts w:hint="default"/>
        <w:b/>
      </w:rPr>
    </w:lvl>
    <w:lvl w:ilvl="1">
      <w:start w:val="3"/>
      <w:numFmt w:val="decimal"/>
      <w:lvlText w:val="%1.%2"/>
      <w:lvlJc w:val="left"/>
      <w:pPr>
        <w:ind w:left="763" w:hanging="480"/>
      </w:pPr>
      <w:rPr>
        <w:rFonts w:hint="default"/>
        <w:b/>
      </w:rPr>
    </w:lvl>
    <w:lvl w:ilvl="2">
      <w:start w:val="2"/>
      <w:numFmt w:val="decimal"/>
      <w:lvlText w:val="%1.%2.%3"/>
      <w:lvlJc w:val="left"/>
      <w:pPr>
        <w:ind w:left="862" w:hanging="720"/>
      </w:pPr>
      <w:rPr>
        <w:rFonts w:hint="default"/>
        <w:b/>
        <w:i w:val="0"/>
      </w:rPr>
    </w:lvl>
    <w:lvl w:ilvl="3">
      <w:start w:val="1"/>
      <w:numFmt w:val="decimal"/>
      <w:lvlText w:val="%1.%2.%3.%4"/>
      <w:lvlJc w:val="left"/>
      <w:pPr>
        <w:ind w:left="1569" w:hanging="720"/>
      </w:pPr>
      <w:rPr>
        <w:rFonts w:hint="default"/>
        <w:b/>
      </w:rPr>
    </w:lvl>
    <w:lvl w:ilvl="4">
      <w:start w:val="1"/>
      <w:numFmt w:val="decimal"/>
      <w:lvlText w:val="%1.%2.%3.%4.%5"/>
      <w:lvlJc w:val="left"/>
      <w:pPr>
        <w:ind w:left="2212" w:hanging="1080"/>
      </w:pPr>
      <w:rPr>
        <w:rFonts w:hint="default"/>
        <w:b/>
      </w:rPr>
    </w:lvl>
    <w:lvl w:ilvl="5">
      <w:start w:val="1"/>
      <w:numFmt w:val="decimal"/>
      <w:lvlText w:val="%1.%2.%3.%4.%5.%6"/>
      <w:lvlJc w:val="left"/>
      <w:pPr>
        <w:ind w:left="2495" w:hanging="1080"/>
      </w:pPr>
      <w:rPr>
        <w:rFonts w:hint="default"/>
        <w:b/>
      </w:rPr>
    </w:lvl>
    <w:lvl w:ilvl="6">
      <w:start w:val="1"/>
      <w:numFmt w:val="decimal"/>
      <w:lvlText w:val="%1.%2.%3.%4.%5.%6.%7"/>
      <w:lvlJc w:val="left"/>
      <w:pPr>
        <w:ind w:left="3138" w:hanging="1440"/>
      </w:pPr>
      <w:rPr>
        <w:rFonts w:hint="default"/>
        <w:b/>
      </w:rPr>
    </w:lvl>
    <w:lvl w:ilvl="7">
      <w:start w:val="1"/>
      <w:numFmt w:val="decimal"/>
      <w:lvlText w:val="%1.%2.%3.%4.%5.%6.%7.%8"/>
      <w:lvlJc w:val="left"/>
      <w:pPr>
        <w:ind w:left="3421" w:hanging="1440"/>
      </w:pPr>
      <w:rPr>
        <w:rFonts w:hint="default"/>
        <w:b/>
      </w:rPr>
    </w:lvl>
    <w:lvl w:ilvl="8">
      <w:start w:val="1"/>
      <w:numFmt w:val="decimal"/>
      <w:lvlText w:val="%1.%2.%3.%4.%5.%6.%7.%8.%9"/>
      <w:lvlJc w:val="left"/>
      <w:pPr>
        <w:ind w:left="4064" w:hanging="1800"/>
      </w:pPr>
      <w:rPr>
        <w:rFonts w:hint="default"/>
        <w:b/>
      </w:rPr>
    </w:lvl>
  </w:abstractNum>
  <w:abstractNum w:abstractNumId="10" w15:restartNumberingAfterBreak="0">
    <w:nsid w:val="399E2DE1"/>
    <w:multiLevelType w:val="hybridMultilevel"/>
    <w:tmpl w:val="FCFAA4B0"/>
    <w:lvl w:ilvl="0" w:tplc="DC7280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AAE6479"/>
    <w:multiLevelType w:val="hybridMultilevel"/>
    <w:tmpl w:val="F9DE3FEA"/>
    <w:lvl w:ilvl="0" w:tplc="0405000F">
      <w:start w:val="1"/>
      <w:numFmt w:val="decimal"/>
      <w:lvlText w:val="%1."/>
      <w:lvlJc w:val="left"/>
      <w:pPr>
        <w:ind w:left="360" w:hanging="360"/>
      </w:p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3E394392"/>
    <w:multiLevelType w:val="multilevel"/>
    <w:tmpl w:val="B394B4E2"/>
    <w:lvl w:ilvl="0">
      <w:start w:val="3"/>
      <w:numFmt w:val="decimal"/>
      <w:lvlText w:val="%1."/>
      <w:lvlJc w:val="left"/>
      <w:pPr>
        <w:ind w:left="360" w:hanging="360"/>
      </w:pPr>
      <w:rPr>
        <w:rFonts w:hint="default"/>
      </w:rPr>
    </w:lvl>
    <w:lvl w:ilvl="1">
      <w:start w:val="4"/>
      <w:numFmt w:val="decimal"/>
      <w:lvlText w:val="%1.%2."/>
      <w:lvlJc w:val="left"/>
      <w:pPr>
        <w:ind w:left="643" w:hanging="360"/>
      </w:pPr>
      <w:rPr>
        <w:rFonts w:hint="default"/>
        <w:b/>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3" w15:restartNumberingAfterBreak="0">
    <w:nsid w:val="4462334B"/>
    <w:multiLevelType w:val="hybridMultilevel"/>
    <w:tmpl w:val="C5803F9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4" w15:restartNumberingAfterBreak="0">
    <w:nsid w:val="450043A6"/>
    <w:multiLevelType w:val="hybridMultilevel"/>
    <w:tmpl w:val="3EA8017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9B361DA"/>
    <w:multiLevelType w:val="hybridMultilevel"/>
    <w:tmpl w:val="0368F894"/>
    <w:lvl w:ilvl="0" w:tplc="FFFFFFFF">
      <w:start w:val="1"/>
      <w:numFmt w:val="bullet"/>
      <w:lvlText w:val="-"/>
      <w:lvlJc w:val="left"/>
      <w:pPr>
        <w:ind w:left="720" w:hanging="360"/>
      </w:pPr>
      <w:rPr>
        <w:rFonts w:ascii="&quot;Georgia&quot;,serif" w:hAnsi="&quot;Georgia&quot;,serif"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6" w15:restartNumberingAfterBreak="0">
    <w:nsid w:val="4C645AA0"/>
    <w:multiLevelType w:val="hybridMultilevel"/>
    <w:tmpl w:val="D116B50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4EB13080"/>
    <w:multiLevelType w:val="hybridMultilevel"/>
    <w:tmpl w:val="ABE051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EC100BD"/>
    <w:multiLevelType w:val="hybridMultilevel"/>
    <w:tmpl w:val="25547B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4FF52D63"/>
    <w:multiLevelType w:val="hybridMultilevel"/>
    <w:tmpl w:val="905ED95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8F306A9"/>
    <w:multiLevelType w:val="hybridMultilevel"/>
    <w:tmpl w:val="CDBC480A"/>
    <w:lvl w:ilvl="0" w:tplc="04050001">
      <w:start w:val="1"/>
      <w:numFmt w:val="bullet"/>
      <w:lvlText w:val=""/>
      <w:lvlJc w:val="left"/>
      <w:pPr>
        <w:ind w:left="1080" w:hanging="360"/>
      </w:pPr>
      <w:rPr>
        <w:rFonts w:ascii="Symbol" w:hAnsi="Symbol" w:hint="default"/>
      </w:rPr>
    </w:lvl>
    <w:lvl w:ilvl="1" w:tplc="04050003">
      <w:start w:val="1"/>
      <w:numFmt w:val="bullet"/>
      <w:lvlText w:val="o"/>
      <w:lvlJc w:val="left"/>
      <w:pPr>
        <w:ind w:left="1800" w:hanging="360"/>
      </w:pPr>
      <w:rPr>
        <w:rFonts w:ascii="Courier New" w:hAnsi="Courier New" w:cs="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cs="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cs="Courier New" w:hint="default"/>
      </w:rPr>
    </w:lvl>
    <w:lvl w:ilvl="8" w:tplc="04050005">
      <w:start w:val="1"/>
      <w:numFmt w:val="bullet"/>
      <w:lvlText w:val=""/>
      <w:lvlJc w:val="left"/>
      <w:pPr>
        <w:ind w:left="6840" w:hanging="360"/>
      </w:pPr>
      <w:rPr>
        <w:rFonts w:ascii="Wingdings" w:hAnsi="Wingdings" w:hint="default"/>
      </w:rPr>
    </w:lvl>
  </w:abstractNum>
  <w:abstractNum w:abstractNumId="21" w15:restartNumberingAfterBreak="0">
    <w:nsid w:val="6A225709"/>
    <w:multiLevelType w:val="multilevel"/>
    <w:tmpl w:val="9D7649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B002CA2"/>
    <w:multiLevelType w:val="hybridMultilevel"/>
    <w:tmpl w:val="206046C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6DFA6DF5"/>
    <w:multiLevelType w:val="multilevel"/>
    <w:tmpl w:val="F2D0C61C"/>
    <w:lvl w:ilvl="0">
      <w:start w:val="3"/>
      <w:numFmt w:val="decimal"/>
      <w:lvlText w:val="%1"/>
      <w:lvlJc w:val="left"/>
      <w:pPr>
        <w:ind w:left="360" w:hanging="360"/>
      </w:pPr>
      <w:rPr>
        <w:rFonts w:hint="default"/>
        <w:b/>
      </w:rPr>
    </w:lvl>
    <w:lvl w:ilvl="1">
      <w:start w:val="1"/>
      <w:numFmt w:val="decimal"/>
      <w:lvlText w:val="%1.%2"/>
      <w:lvlJc w:val="left"/>
      <w:pPr>
        <w:ind w:left="643" w:hanging="360"/>
      </w:pPr>
      <w:rPr>
        <w:rFonts w:hint="default"/>
        <w:b/>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4" w15:restartNumberingAfterBreak="0">
    <w:nsid w:val="71FF1AF6"/>
    <w:multiLevelType w:val="hybridMultilevel"/>
    <w:tmpl w:val="28606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4E00449"/>
    <w:multiLevelType w:val="hybridMultilevel"/>
    <w:tmpl w:val="51CEE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51A3E6E"/>
    <w:multiLevelType w:val="multilevel"/>
    <w:tmpl w:val="C3A89CB6"/>
    <w:lvl w:ilvl="0">
      <w:start w:val="1"/>
      <w:numFmt w:val="decimal"/>
      <w:lvlText w:val="%1"/>
      <w:lvlJc w:val="left"/>
      <w:pPr>
        <w:ind w:left="432" w:hanging="432"/>
      </w:pPr>
    </w:lvl>
    <w:lvl w:ilvl="1">
      <w:start w:val="1"/>
      <w:numFmt w:val="decimal"/>
      <w:lvlText w:val="%1.%2"/>
      <w:lvlJc w:val="left"/>
      <w:pPr>
        <w:ind w:left="576" w:hanging="576"/>
      </w:pPr>
      <w:rPr>
        <w:i w: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27" w15:restartNumberingAfterBreak="0">
    <w:nsid w:val="76AD0A50"/>
    <w:multiLevelType w:val="hybridMultilevel"/>
    <w:tmpl w:val="B5E83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E56DFB"/>
    <w:multiLevelType w:val="multilevel"/>
    <w:tmpl w:val="FC1674F0"/>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9" w15:restartNumberingAfterBreak="0">
    <w:nsid w:val="7BC4707B"/>
    <w:multiLevelType w:val="multilevel"/>
    <w:tmpl w:val="FC4451B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C33027E"/>
    <w:multiLevelType w:val="hybridMultilevel"/>
    <w:tmpl w:val="2064E592"/>
    <w:lvl w:ilvl="0" w:tplc="FFFFFFFF">
      <w:start w:val="5"/>
      <w:numFmt w:val="bullet"/>
      <w:lvlText w:val=""/>
      <w:lvlJc w:val="left"/>
      <w:pPr>
        <w:ind w:left="720" w:hanging="360"/>
      </w:pPr>
      <w:rPr>
        <w:rFonts w:ascii="Symbol" w:eastAsia="Times New Roman" w:hAnsi="Symbol"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D25561D"/>
    <w:multiLevelType w:val="multilevel"/>
    <w:tmpl w:val="D8BEB312"/>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2" w15:restartNumberingAfterBreak="0">
    <w:nsid w:val="7D480F43"/>
    <w:multiLevelType w:val="multilevel"/>
    <w:tmpl w:val="BAD0772E"/>
    <w:lvl w:ilvl="0">
      <w:start w:val="2"/>
      <w:numFmt w:val="decimal"/>
      <w:lvlText w:val="%1."/>
      <w:lvlJc w:val="left"/>
      <w:pPr>
        <w:ind w:left="720" w:hanging="360"/>
      </w:pPr>
      <w:rPr>
        <w:rFonts w:hint="default"/>
      </w:rPr>
    </w:lvl>
    <w:lvl w:ilvl="1">
      <w:start w:val="1"/>
      <w:numFmt w:val="decimal"/>
      <w:pStyle w:val="Nadpis2"/>
      <w:isLgl/>
      <w:lvlText w:val="%1.%2."/>
      <w:lvlJc w:val="left"/>
      <w:pPr>
        <w:ind w:left="720" w:hanging="360"/>
      </w:pPr>
      <w:rPr>
        <w:rFonts w:hint="default"/>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544632616">
    <w:abstractNumId w:val="26"/>
  </w:num>
  <w:num w:numId="2" w16cid:durableId="2097480601">
    <w:abstractNumId w:val="6"/>
  </w:num>
  <w:num w:numId="3" w16cid:durableId="554390622">
    <w:abstractNumId w:val="7"/>
  </w:num>
  <w:num w:numId="4" w16cid:durableId="552891147">
    <w:abstractNumId w:val="15"/>
  </w:num>
  <w:num w:numId="5" w16cid:durableId="1534879400">
    <w:abstractNumId w:val="19"/>
  </w:num>
  <w:num w:numId="6" w16cid:durableId="192040973">
    <w:abstractNumId w:val="9"/>
  </w:num>
  <w:num w:numId="7" w16cid:durableId="1029185967">
    <w:abstractNumId w:val="23"/>
  </w:num>
  <w:num w:numId="8" w16cid:durableId="183859864">
    <w:abstractNumId w:val="12"/>
  </w:num>
  <w:num w:numId="9" w16cid:durableId="1963607443">
    <w:abstractNumId w:val="1"/>
  </w:num>
  <w:num w:numId="10" w16cid:durableId="1480877196">
    <w:abstractNumId w:val="11"/>
  </w:num>
  <w:num w:numId="11" w16cid:durableId="1893038331">
    <w:abstractNumId w:val="28"/>
  </w:num>
  <w:num w:numId="12" w16cid:durableId="1816141094">
    <w:abstractNumId w:val="22"/>
  </w:num>
  <w:num w:numId="13" w16cid:durableId="2111585253">
    <w:abstractNumId w:val="31"/>
  </w:num>
  <w:num w:numId="14" w16cid:durableId="1070617499">
    <w:abstractNumId w:val="21"/>
  </w:num>
  <w:num w:numId="15" w16cid:durableId="1536771551">
    <w:abstractNumId w:val="18"/>
  </w:num>
  <w:num w:numId="16" w16cid:durableId="1809471349">
    <w:abstractNumId w:val="0"/>
  </w:num>
  <w:num w:numId="17" w16cid:durableId="1239438179">
    <w:abstractNumId w:val="13"/>
  </w:num>
  <w:num w:numId="18" w16cid:durableId="980573154">
    <w:abstractNumId w:val="6"/>
  </w:num>
  <w:num w:numId="19" w16cid:durableId="1014695134">
    <w:abstractNumId w:val="6"/>
  </w:num>
  <w:num w:numId="20" w16cid:durableId="395277050">
    <w:abstractNumId w:val="25"/>
  </w:num>
  <w:num w:numId="21" w16cid:durableId="1126434699">
    <w:abstractNumId w:val="6"/>
  </w:num>
  <w:num w:numId="22" w16cid:durableId="1123234081">
    <w:abstractNumId w:val="20"/>
  </w:num>
  <w:num w:numId="23" w16cid:durableId="36439574">
    <w:abstractNumId w:val="14"/>
  </w:num>
  <w:num w:numId="24" w16cid:durableId="1809712226">
    <w:abstractNumId w:val="30"/>
  </w:num>
  <w:num w:numId="25" w16cid:durableId="1179853389">
    <w:abstractNumId w:val="6"/>
    <w:lvlOverride w:ilvl="0">
      <w:startOverride w:val="3"/>
    </w:lvlOverride>
    <w:lvlOverride w:ilvl="1">
      <w:startOverride w:val="4"/>
    </w:lvlOverride>
    <w:lvlOverride w:ilvl="2">
      <w:startOverride w:val="2"/>
    </w:lvlOverride>
  </w:num>
  <w:num w:numId="26" w16cid:durableId="738023240">
    <w:abstractNumId w:val="16"/>
  </w:num>
  <w:num w:numId="27" w16cid:durableId="1677725426">
    <w:abstractNumId w:val="4"/>
  </w:num>
  <w:num w:numId="28" w16cid:durableId="1240486362">
    <w:abstractNumId w:val="2"/>
  </w:num>
  <w:num w:numId="29" w16cid:durableId="120652428">
    <w:abstractNumId w:val="24"/>
  </w:num>
  <w:num w:numId="30" w16cid:durableId="482086530">
    <w:abstractNumId w:val="8"/>
  </w:num>
  <w:num w:numId="31" w16cid:durableId="1163738159">
    <w:abstractNumId w:val="27"/>
  </w:num>
  <w:num w:numId="32" w16cid:durableId="1493137893">
    <w:abstractNumId w:val="17"/>
  </w:num>
  <w:num w:numId="33" w16cid:durableId="1316373378">
    <w:abstractNumId w:val="3"/>
  </w:num>
  <w:num w:numId="34" w16cid:durableId="963803060">
    <w:abstractNumId w:val="6"/>
    <w:lvlOverride w:ilvl="0">
      <w:startOverride w:val="2"/>
    </w:lvlOverride>
  </w:num>
  <w:num w:numId="35" w16cid:durableId="645622292">
    <w:abstractNumId w:val="29"/>
  </w:num>
  <w:num w:numId="36" w16cid:durableId="1933856163">
    <w:abstractNumId w:val="5"/>
  </w:num>
  <w:num w:numId="37" w16cid:durableId="1631663079">
    <w:abstractNumId w:val="32"/>
  </w:num>
  <w:num w:numId="38" w16cid:durableId="2038462648">
    <w:abstractNumId w:val="6"/>
  </w:num>
  <w:num w:numId="39" w16cid:durableId="96947140">
    <w:abstractNumId w:val="6"/>
  </w:num>
  <w:num w:numId="40" w16cid:durableId="1675956911">
    <w:abstractNumId w:val="10"/>
  </w:num>
  <w:num w:numId="41" w16cid:durableId="2459646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CDF"/>
    <w:rsid w:val="00000103"/>
    <w:rsid w:val="00000403"/>
    <w:rsid w:val="00000800"/>
    <w:rsid w:val="00000A06"/>
    <w:rsid w:val="0000115E"/>
    <w:rsid w:val="0000119B"/>
    <w:rsid w:val="000012CE"/>
    <w:rsid w:val="000013EB"/>
    <w:rsid w:val="00001CE0"/>
    <w:rsid w:val="00001E01"/>
    <w:rsid w:val="00002021"/>
    <w:rsid w:val="00002247"/>
    <w:rsid w:val="0000232C"/>
    <w:rsid w:val="0000259C"/>
    <w:rsid w:val="000025EA"/>
    <w:rsid w:val="00003127"/>
    <w:rsid w:val="00003717"/>
    <w:rsid w:val="00004064"/>
    <w:rsid w:val="0000409C"/>
    <w:rsid w:val="000042AF"/>
    <w:rsid w:val="00004847"/>
    <w:rsid w:val="000049A6"/>
    <w:rsid w:val="00004F2E"/>
    <w:rsid w:val="000059FB"/>
    <w:rsid w:val="0000607C"/>
    <w:rsid w:val="00006A29"/>
    <w:rsid w:val="0000763C"/>
    <w:rsid w:val="00007C1C"/>
    <w:rsid w:val="00007F68"/>
    <w:rsid w:val="00010AD9"/>
    <w:rsid w:val="000110E5"/>
    <w:rsid w:val="00011E95"/>
    <w:rsid w:val="000120F4"/>
    <w:rsid w:val="000122D0"/>
    <w:rsid w:val="0001251A"/>
    <w:rsid w:val="00012760"/>
    <w:rsid w:val="00013145"/>
    <w:rsid w:val="0001322C"/>
    <w:rsid w:val="00013A1D"/>
    <w:rsid w:val="00014680"/>
    <w:rsid w:val="0001489A"/>
    <w:rsid w:val="000155EB"/>
    <w:rsid w:val="0001566B"/>
    <w:rsid w:val="00017697"/>
    <w:rsid w:val="00017F2F"/>
    <w:rsid w:val="00020492"/>
    <w:rsid w:val="00021798"/>
    <w:rsid w:val="00021A22"/>
    <w:rsid w:val="00021A2D"/>
    <w:rsid w:val="00021FBF"/>
    <w:rsid w:val="0002398F"/>
    <w:rsid w:val="00023AD0"/>
    <w:rsid w:val="0002419D"/>
    <w:rsid w:val="00025002"/>
    <w:rsid w:val="00027400"/>
    <w:rsid w:val="000310EB"/>
    <w:rsid w:val="0003133D"/>
    <w:rsid w:val="00031C5D"/>
    <w:rsid w:val="00032A3E"/>
    <w:rsid w:val="0003328B"/>
    <w:rsid w:val="00033A4D"/>
    <w:rsid w:val="00034521"/>
    <w:rsid w:val="00035A85"/>
    <w:rsid w:val="0003605E"/>
    <w:rsid w:val="000361FB"/>
    <w:rsid w:val="00036335"/>
    <w:rsid w:val="000368D6"/>
    <w:rsid w:val="00037173"/>
    <w:rsid w:val="00037831"/>
    <w:rsid w:val="00040088"/>
    <w:rsid w:val="000402B2"/>
    <w:rsid w:val="00040569"/>
    <w:rsid w:val="0004074E"/>
    <w:rsid w:val="000415D7"/>
    <w:rsid w:val="0004162B"/>
    <w:rsid w:val="00045912"/>
    <w:rsid w:val="00046489"/>
    <w:rsid w:val="000465A3"/>
    <w:rsid w:val="000465BA"/>
    <w:rsid w:val="000467B2"/>
    <w:rsid w:val="00050850"/>
    <w:rsid w:val="000514BA"/>
    <w:rsid w:val="000515A2"/>
    <w:rsid w:val="00051BC3"/>
    <w:rsid w:val="0005417D"/>
    <w:rsid w:val="00054817"/>
    <w:rsid w:val="00055F6B"/>
    <w:rsid w:val="000560EA"/>
    <w:rsid w:val="000562C0"/>
    <w:rsid w:val="00056D6B"/>
    <w:rsid w:val="00057303"/>
    <w:rsid w:val="00057B3E"/>
    <w:rsid w:val="00057D80"/>
    <w:rsid w:val="000600D5"/>
    <w:rsid w:val="00060137"/>
    <w:rsid w:val="00060381"/>
    <w:rsid w:val="000603A8"/>
    <w:rsid w:val="00060F45"/>
    <w:rsid w:val="00061ACD"/>
    <w:rsid w:val="0006277B"/>
    <w:rsid w:val="00063A1F"/>
    <w:rsid w:val="00063B84"/>
    <w:rsid w:val="00064A11"/>
    <w:rsid w:val="00065F49"/>
    <w:rsid w:val="00065F6C"/>
    <w:rsid w:val="00066D38"/>
    <w:rsid w:val="0007095C"/>
    <w:rsid w:val="00072171"/>
    <w:rsid w:val="000727D6"/>
    <w:rsid w:val="000730B3"/>
    <w:rsid w:val="00073AEF"/>
    <w:rsid w:val="00074EB4"/>
    <w:rsid w:val="00075B36"/>
    <w:rsid w:val="00075B56"/>
    <w:rsid w:val="000763A8"/>
    <w:rsid w:val="000765BF"/>
    <w:rsid w:val="00076A4E"/>
    <w:rsid w:val="0007718D"/>
    <w:rsid w:val="00077796"/>
    <w:rsid w:val="00080573"/>
    <w:rsid w:val="00080B0F"/>
    <w:rsid w:val="00080CE2"/>
    <w:rsid w:val="000816E5"/>
    <w:rsid w:val="00082179"/>
    <w:rsid w:val="00082504"/>
    <w:rsid w:val="00082B55"/>
    <w:rsid w:val="00085780"/>
    <w:rsid w:val="00085E96"/>
    <w:rsid w:val="000864C9"/>
    <w:rsid w:val="00087A4F"/>
    <w:rsid w:val="000900D3"/>
    <w:rsid w:val="000911F7"/>
    <w:rsid w:val="000916A6"/>
    <w:rsid w:val="00091C65"/>
    <w:rsid w:val="00092B24"/>
    <w:rsid w:val="00093125"/>
    <w:rsid w:val="00093281"/>
    <w:rsid w:val="0009487C"/>
    <w:rsid w:val="000954C1"/>
    <w:rsid w:val="000A0106"/>
    <w:rsid w:val="000A03F9"/>
    <w:rsid w:val="000A1476"/>
    <w:rsid w:val="000A1B0A"/>
    <w:rsid w:val="000A2478"/>
    <w:rsid w:val="000A2A0D"/>
    <w:rsid w:val="000A3D68"/>
    <w:rsid w:val="000A481A"/>
    <w:rsid w:val="000A4B65"/>
    <w:rsid w:val="000A4F27"/>
    <w:rsid w:val="000A5012"/>
    <w:rsid w:val="000A5302"/>
    <w:rsid w:val="000A56EF"/>
    <w:rsid w:val="000A73ED"/>
    <w:rsid w:val="000B02E3"/>
    <w:rsid w:val="000B041E"/>
    <w:rsid w:val="000B0528"/>
    <w:rsid w:val="000B0AD3"/>
    <w:rsid w:val="000B166C"/>
    <w:rsid w:val="000B19E1"/>
    <w:rsid w:val="000B1E0B"/>
    <w:rsid w:val="000B2B89"/>
    <w:rsid w:val="000B3D14"/>
    <w:rsid w:val="000B4D48"/>
    <w:rsid w:val="000B4F8D"/>
    <w:rsid w:val="000B53F2"/>
    <w:rsid w:val="000B58AC"/>
    <w:rsid w:val="000B71C9"/>
    <w:rsid w:val="000C0020"/>
    <w:rsid w:val="000C040B"/>
    <w:rsid w:val="000C07FE"/>
    <w:rsid w:val="000C0C65"/>
    <w:rsid w:val="000C1157"/>
    <w:rsid w:val="000C18B4"/>
    <w:rsid w:val="000C1993"/>
    <w:rsid w:val="000C1EFF"/>
    <w:rsid w:val="000C36A1"/>
    <w:rsid w:val="000C4042"/>
    <w:rsid w:val="000C4A7E"/>
    <w:rsid w:val="000C4D3A"/>
    <w:rsid w:val="000C79EE"/>
    <w:rsid w:val="000D26AE"/>
    <w:rsid w:val="000D2C6B"/>
    <w:rsid w:val="000D321D"/>
    <w:rsid w:val="000D34C7"/>
    <w:rsid w:val="000D496D"/>
    <w:rsid w:val="000D4C87"/>
    <w:rsid w:val="000D5A78"/>
    <w:rsid w:val="000D6111"/>
    <w:rsid w:val="000D61E6"/>
    <w:rsid w:val="000D71DF"/>
    <w:rsid w:val="000E03FD"/>
    <w:rsid w:val="000E0F5C"/>
    <w:rsid w:val="000E10E1"/>
    <w:rsid w:val="000E1584"/>
    <w:rsid w:val="000E1ED4"/>
    <w:rsid w:val="000E4316"/>
    <w:rsid w:val="000E45D4"/>
    <w:rsid w:val="000E4725"/>
    <w:rsid w:val="000E5103"/>
    <w:rsid w:val="000E543C"/>
    <w:rsid w:val="000E56E6"/>
    <w:rsid w:val="000E5D48"/>
    <w:rsid w:val="000E7FFB"/>
    <w:rsid w:val="000F0CB1"/>
    <w:rsid w:val="000F1A42"/>
    <w:rsid w:val="000F1C27"/>
    <w:rsid w:val="000F1D4B"/>
    <w:rsid w:val="000F2421"/>
    <w:rsid w:val="000F2580"/>
    <w:rsid w:val="000F2A4B"/>
    <w:rsid w:val="000F2BB5"/>
    <w:rsid w:val="000F2F1A"/>
    <w:rsid w:val="000F42F8"/>
    <w:rsid w:val="000F4F99"/>
    <w:rsid w:val="000F5003"/>
    <w:rsid w:val="000F56D4"/>
    <w:rsid w:val="000F659D"/>
    <w:rsid w:val="000F6A5F"/>
    <w:rsid w:val="000F7B17"/>
    <w:rsid w:val="001013F4"/>
    <w:rsid w:val="0010179A"/>
    <w:rsid w:val="00101839"/>
    <w:rsid w:val="00101883"/>
    <w:rsid w:val="00101924"/>
    <w:rsid w:val="001024CA"/>
    <w:rsid w:val="001053F6"/>
    <w:rsid w:val="001055DC"/>
    <w:rsid w:val="001059AE"/>
    <w:rsid w:val="00105D62"/>
    <w:rsid w:val="0010633A"/>
    <w:rsid w:val="001077F3"/>
    <w:rsid w:val="001079B6"/>
    <w:rsid w:val="0011032D"/>
    <w:rsid w:val="001112DE"/>
    <w:rsid w:val="001116EE"/>
    <w:rsid w:val="001119D3"/>
    <w:rsid w:val="00111D9F"/>
    <w:rsid w:val="00113593"/>
    <w:rsid w:val="0011393B"/>
    <w:rsid w:val="0011591F"/>
    <w:rsid w:val="001164B0"/>
    <w:rsid w:val="00120001"/>
    <w:rsid w:val="00121462"/>
    <w:rsid w:val="00121E80"/>
    <w:rsid w:val="001226FD"/>
    <w:rsid w:val="00122B7F"/>
    <w:rsid w:val="001231D8"/>
    <w:rsid w:val="00124715"/>
    <w:rsid w:val="00124982"/>
    <w:rsid w:val="0012521C"/>
    <w:rsid w:val="001268A3"/>
    <w:rsid w:val="00126909"/>
    <w:rsid w:val="00126D1B"/>
    <w:rsid w:val="0013050C"/>
    <w:rsid w:val="00130623"/>
    <w:rsid w:val="0013069B"/>
    <w:rsid w:val="00130BFF"/>
    <w:rsid w:val="00130C97"/>
    <w:rsid w:val="00131476"/>
    <w:rsid w:val="0013367F"/>
    <w:rsid w:val="00134614"/>
    <w:rsid w:val="0013508D"/>
    <w:rsid w:val="00135299"/>
    <w:rsid w:val="0013583C"/>
    <w:rsid w:val="00135C9F"/>
    <w:rsid w:val="00135E40"/>
    <w:rsid w:val="00136404"/>
    <w:rsid w:val="00137C67"/>
    <w:rsid w:val="001401EC"/>
    <w:rsid w:val="001405CB"/>
    <w:rsid w:val="001409FE"/>
    <w:rsid w:val="00140FBA"/>
    <w:rsid w:val="00141909"/>
    <w:rsid w:val="00141AA0"/>
    <w:rsid w:val="00141AAA"/>
    <w:rsid w:val="00141ED4"/>
    <w:rsid w:val="001420BA"/>
    <w:rsid w:val="001426AF"/>
    <w:rsid w:val="00143F3D"/>
    <w:rsid w:val="00145663"/>
    <w:rsid w:val="00145689"/>
    <w:rsid w:val="0014592A"/>
    <w:rsid w:val="001461BC"/>
    <w:rsid w:val="001462A2"/>
    <w:rsid w:val="001462A3"/>
    <w:rsid w:val="00147993"/>
    <w:rsid w:val="00147C56"/>
    <w:rsid w:val="001507F3"/>
    <w:rsid w:val="00150F1B"/>
    <w:rsid w:val="00151FB1"/>
    <w:rsid w:val="001531F0"/>
    <w:rsid w:val="001533F6"/>
    <w:rsid w:val="00153409"/>
    <w:rsid w:val="0015363B"/>
    <w:rsid w:val="0015394E"/>
    <w:rsid w:val="001541FB"/>
    <w:rsid w:val="00154358"/>
    <w:rsid w:val="00154EFA"/>
    <w:rsid w:val="00155018"/>
    <w:rsid w:val="001552B3"/>
    <w:rsid w:val="00155D1B"/>
    <w:rsid w:val="001567E3"/>
    <w:rsid w:val="00156800"/>
    <w:rsid w:val="00156DBC"/>
    <w:rsid w:val="001574F9"/>
    <w:rsid w:val="0015786A"/>
    <w:rsid w:val="00157EBD"/>
    <w:rsid w:val="00161264"/>
    <w:rsid w:val="00161884"/>
    <w:rsid w:val="001623BD"/>
    <w:rsid w:val="00162517"/>
    <w:rsid w:val="00163A3F"/>
    <w:rsid w:val="0016417E"/>
    <w:rsid w:val="00165C6F"/>
    <w:rsid w:val="0017054F"/>
    <w:rsid w:val="00170920"/>
    <w:rsid w:val="00171E4C"/>
    <w:rsid w:val="00171F41"/>
    <w:rsid w:val="00172A9B"/>
    <w:rsid w:val="00172ACB"/>
    <w:rsid w:val="00172BA0"/>
    <w:rsid w:val="0017308E"/>
    <w:rsid w:val="001732AB"/>
    <w:rsid w:val="00174081"/>
    <w:rsid w:val="00174530"/>
    <w:rsid w:val="0017492F"/>
    <w:rsid w:val="00174AD8"/>
    <w:rsid w:val="00174D1B"/>
    <w:rsid w:val="0017531C"/>
    <w:rsid w:val="00175EBE"/>
    <w:rsid w:val="0017651E"/>
    <w:rsid w:val="001770EE"/>
    <w:rsid w:val="00177475"/>
    <w:rsid w:val="00177803"/>
    <w:rsid w:val="001778E4"/>
    <w:rsid w:val="00177F0D"/>
    <w:rsid w:val="001802C8"/>
    <w:rsid w:val="00181D80"/>
    <w:rsid w:val="00182148"/>
    <w:rsid w:val="001837AD"/>
    <w:rsid w:val="001839E8"/>
    <w:rsid w:val="00184251"/>
    <w:rsid w:val="00187245"/>
    <w:rsid w:val="001875A9"/>
    <w:rsid w:val="001878BF"/>
    <w:rsid w:val="00190684"/>
    <w:rsid w:val="00190DFE"/>
    <w:rsid w:val="001919C1"/>
    <w:rsid w:val="00191AD4"/>
    <w:rsid w:val="00191BA7"/>
    <w:rsid w:val="001928AD"/>
    <w:rsid w:val="00192BFC"/>
    <w:rsid w:val="00193847"/>
    <w:rsid w:val="0019497F"/>
    <w:rsid w:val="00194AD6"/>
    <w:rsid w:val="001968AF"/>
    <w:rsid w:val="0019698B"/>
    <w:rsid w:val="001A080C"/>
    <w:rsid w:val="001A1854"/>
    <w:rsid w:val="001A2677"/>
    <w:rsid w:val="001A3161"/>
    <w:rsid w:val="001A49AE"/>
    <w:rsid w:val="001A4F6C"/>
    <w:rsid w:val="001A60FD"/>
    <w:rsid w:val="001A63A1"/>
    <w:rsid w:val="001A6A8E"/>
    <w:rsid w:val="001A6C1E"/>
    <w:rsid w:val="001A6FAB"/>
    <w:rsid w:val="001A7247"/>
    <w:rsid w:val="001A7337"/>
    <w:rsid w:val="001B0C66"/>
    <w:rsid w:val="001B1A46"/>
    <w:rsid w:val="001B1C02"/>
    <w:rsid w:val="001B1EF1"/>
    <w:rsid w:val="001B23C9"/>
    <w:rsid w:val="001B247E"/>
    <w:rsid w:val="001B2595"/>
    <w:rsid w:val="001B3224"/>
    <w:rsid w:val="001B354D"/>
    <w:rsid w:val="001B47B4"/>
    <w:rsid w:val="001B4CA9"/>
    <w:rsid w:val="001B5323"/>
    <w:rsid w:val="001B53D1"/>
    <w:rsid w:val="001B5B8E"/>
    <w:rsid w:val="001B5EE7"/>
    <w:rsid w:val="001B6049"/>
    <w:rsid w:val="001B6253"/>
    <w:rsid w:val="001B785E"/>
    <w:rsid w:val="001B7B89"/>
    <w:rsid w:val="001B7DC5"/>
    <w:rsid w:val="001C07B5"/>
    <w:rsid w:val="001C0882"/>
    <w:rsid w:val="001C1367"/>
    <w:rsid w:val="001C177B"/>
    <w:rsid w:val="001C2030"/>
    <w:rsid w:val="001C3A9E"/>
    <w:rsid w:val="001C3ADB"/>
    <w:rsid w:val="001C3DA3"/>
    <w:rsid w:val="001C51A8"/>
    <w:rsid w:val="001C5A55"/>
    <w:rsid w:val="001C5CCA"/>
    <w:rsid w:val="001C6338"/>
    <w:rsid w:val="001C63F9"/>
    <w:rsid w:val="001C7A7B"/>
    <w:rsid w:val="001D08D3"/>
    <w:rsid w:val="001D1161"/>
    <w:rsid w:val="001D16D8"/>
    <w:rsid w:val="001D1BB0"/>
    <w:rsid w:val="001D1E3E"/>
    <w:rsid w:val="001D226E"/>
    <w:rsid w:val="001D2BEA"/>
    <w:rsid w:val="001D3FF1"/>
    <w:rsid w:val="001D41A4"/>
    <w:rsid w:val="001D41BD"/>
    <w:rsid w:val="001D426C"/>
    <w:rsid w:val="001D447B"/>
    <w:rsid w:val="001D49EE"/>
    <w:rsid w:val="001D4B3D"/>
    <w:rsid w:val="001D4DB8"/>
    <w:rsid w:val="001D528F"/>
    <w:rsid w:val="001D6B4E"/>
    <w:rsid w:val="001D6C6B"/>
    <w:rsid w:val="001D7446"/>
    <w:rsid w:val="001E0B54"/>
    <w:rsid w:val="001E0D00"/>
    <w:rsid w:val="001E0D2E"/>
    <w:rsid w:val="001E1987"/>
    <w:rsid w:val="001E3352"/>
    <w:rsid w:val="001E3890"/>
    <w:rsid w:val="001E3EE1"/>
    <w:rsid w:val="001E4628"/>
    <w:rsid w:val="001E4D3A"/>
    <w:rsid w:val="001E506F"/>
    <w:rsid w:val="001E50CF"/>
    <w:rsid w:val="001E5154"/>
    <w:rsid w:val="001E585F"/>
    <w:rsid w:val="001E651B"/>
    <w:rsid w:val="001F0621"/>
    <w:rsid w:val="001F1907"/>
    <w:rsid w:val="001F1DEE"/>
    <w:rsid w:val="001F2152"/>
    <w:rsid w:val="001F2C59"/>
    <w:rsid w:val="001F308D"/>
    <w:rsid w:val="001F33A0"/>
    <w:rsid w:val="001F35BE"/>
    <w:rsid w:val="001F3A2D"/>
    <w:rsid w:val="001F57BF"/>
    <w:rsid w:val="001F6AA7"/>
    <w:rsid w:val="001F77E8"/>
    <w:rsid w:val="002006D6"/>
    <w:rsid w:val="00200D02"/>
    <w:rsid w:val="00201DB9"/>
    <w:rsid w:val="00202779"/>
    <w:rsid w:val="0020377C"/>
    <w:rsid w:val="00204317"/>
    <w:rsid w:val="002049AA"/>
    <w:rsid w:val="0020502D"/>
    <w:rsid w:val="002057AD"/>
    <w:rsid w:val="00205B25"/>
    <w:rsid w:val="002065DB"/>
    <w:rsid w:val="0020688C"/>
    <w:rsid w:val="002079B0"/>
    <w:rsid w:val="002113AE"/>
    <w:rsid w:val="00211788"/>
    <w:rsid w:val="00212803"/>
    <w:rsid w:val="002131DA"/>
    <w:rsid w:val="002137EB"/>
    <w:rsid w:val="00213B3C"/>
    <w:rsid w:val="00215058"/>
    <w:rsid w:val="00215442"/>
    <w:rsid w:val="00215802"/>
    <w:rsid w:val="00215901"/>
    <w:rsid w:val="00216134"/>
    <w:rsid w:val="002168B4"/>
    <w:rsid w:val="00216E2E"/>
    <w:rsid w:val="0021727E"/>
    <w:rsid w:val="00217810"/>
    <w:rsid w:val="00217E79"/>
    <w:rsid w:val="002204F2"/>
    <w:rsid w:val="002209FC"/>
    <w:rsid w:val="00222399"/>
    <w:rsid w:val="00222BA0"/>
    <w:rsid w:val="002232A2"/>
    <w:rsid w:val="0022364E"/>
    <w:rsid w:val="00223A16"/>
    <w:rsid w:val="00223A60"/>
    <w:rsid w:val="00224B1E"/>
    <w:rsid w:val="00224BBD"/>
    <w:rsid w:val="00224D6A"/>
    <w:rsid w:val="0022533C"/>
    <w:rsid w:val="00225628"/>
    <w:rsid w:val="00226EAC"/>
    <w:rsid w:val="002308BC"/>
    <w:rsid w:val="002308CC"/>
    <w:rsid w:val="002309A3"/>
    <w:rsid w:val="00231AA2"/>
    <w:rsid w:val="0023204E"/>
    <w:rsid w:val="0023238B"/>
    <w:rsid w:val="002326BE"/>
    <w:rsid w:val="00232ABD"/>
    <w:rsid w:val="002330B4"/>
    <w:rsid w:val="0023370C"/>
    <w:rsid w:val="002338C0"/>
    <w:rsid w:val="00234825"/>
    <w:rsid w:val="00235295"/>
    <w:rsid w:val="00235B2A"/>
    <w:rsid w:val="002378A2"/>
    <w:rsid w:val="002414BD"/>
    <w:rsid w:val="00241514"/>
    <w:rsid w:val="002424CB"/>
    <w:rsid w:val="00242C67"/>
    <w:rsid w:val="0024425F"/>
    <w:rsid w:val="00244285"/>
    <w:rsid w:val="00244351"/>
    <w:rsid w:val="00244423"/>
    <w:rsid w:val="002456BD"/>
    <w:rsid w:val="0024583C"/>
    <w:rsid w:val="00245AFD"/>
    <w:rsid w:val="002465FF"/>
    <w:rsid w:val="0024699D"/>
    <w:rsid w:val="00246EDA"/>
    <w:rsid w:val="00247276"/>
    <w:rsid w:val="0024745B"/>
    <w:rsid w:val="002474CC"/>
    <w:rsid w:val="00247698"/>
    <w:rsid w:val="00247985"/>
    <w:rsid w:val="00247AE3"/>
    <w:rsid w:val="00252D18"/>
    <w:rsid w:val="0025356A"/>
    <w:rsid w:val="002535F5"/>
    <w:rsid w:val="0025415B"/>
    <w:rsid w:val="00255026"/>
    <w:rsid w:val="00255975"/>
    <w:rsid w:val="00256359"/>
    <w:rsid w:val="00256F6D"/>
    <w:rsid w:val="00257191"/>
    <w:rsid w:val="002572AD"/>
    <w:rsid w:val="002579AE"/>
    <w:rsid w:val="00257EF3"/>
    <w:rsid w:val="00260C6B"/>
    <w:rsid w:val="00260D51"/>
    <w:rsid w:val="00261316"/>
    <w:rsid w:val="00261D22"/>
    <w:rsid w:val="00262878"/>
    <w:rsid w:val="002629C8"/>
    <w:rsid w:val="002630CF"/>
    <w:rsid w:val="00263CE7"/>
    <w:rsid w:val="00264573"/>
    <w:rsid w:val="00264DF1"/>
    <w:rsid w:val="00265A82"/>
    <w:rsid w:val="00265C9B"/>
    <w:rsid w:val="00266B83"/>
    <w:rsid w:val="00266B9B"/>
    <w:rsid w:val="00270C4F"/>
    <w:rsid w:val="0027141B"/>
    <w:rsid w:val="002716FE"/>
    <w:rsid w:val="00271A4E"/>
    <w:rsid w:val="00272221"/>
    <w:rsid w:val="00272631"/>
    <w:rsid w:val="00272FEF"/>
    <w:rsid w:val="00273A1B"/>
    <w:rsid w:val="00274D49"/>
    <w:rsid w:val="00275B47"/>
    <w:rsid w:val="0027721A"/>
    <w:rsid w:val="00277795"/>
    <w:rsid w:val="00280239"/>
    <w:rsid w:val="00280545"/>
    <w:rsid w:val="002809B4"/>
    <w:rsid w:val="0028304A"/>
    <w:rsid w:val="00283661"/>
    <w:rsid w:val="002836F2"/>
    <w:rsid w:val="00283735"/>
    <w:rsid w:val="002840ED"/>
    <w:rsid w:val="002846CD"/>
    <w:rsid w:val="00284D04"/>
    <w:rsid w:val="00285137"/>
    <w:rsid w:val="002851D6"/>
    <w:rsid w:val="0028541C"/>
    <w:rsid w:val="00285FDF"/>
    <w:rsid w:val="00286003"/>
    <w:rsid w:val="00286394"/>
    <w:rsid w:val="002902D6"/>
    <w:rsid w:val="00290B03"/>
    <w:rsid w:val="00291994"/>
    <w:rsid w:val="0029311B"/>
    <w:rsid w:val="002932F4"/>
    <w:rsid w:val="002935D6"/>
    <w:rsid w:val="00293B56"/>
    <w:rsid w:val="00293BC5"/>
    <w:rsid w:val="002944E0"/>
    <w:rsid w:val="002950B9"/>
    <w:rsid w:val="002953B3"/>
    <w:rsid w:val="00295662"/>
    <w:rsid w:val="00295757"/>
    <w:rsid w:val="00296925"/>
    <w:rsid w:val="00296B8A"/>
    <w:rsid w:val="00296BC6"/>
    <w:rsid w:val="00297ADE"/>
    <w:rsid w:val="00297E6E"/>
    <w:rsid w:val="002A00CA"/>
    <w:rsid w:val="002A172D"/>
    <w:rsid w:val="002A21EF"/>
    <w:rsid w:val="002A263F"/>
    <w:rsid w:val="002A2B2F"/>
    <w:rsid w:val="002A2D8C"/>
    <w:rsid w:val="002A303D"/>
    <w:rsid w:val="002A3B89"/>
    <w:rsid w:val="002A4010"/>
    <w:rsid w:val="002A4011"/>
    <w:rsid w:val="002A420D"/>
    <w:rsid w:val="002A5162"/>
    <w:rsid w:val="002A51B4"/>
    <w:rsid w:val="002A571E"/>
    <w:rsid w:val="002A5A33"/>
    <w:rsid w:val="002A5BE1"/>
    <w:rsid w:val="002A6207"/>
    <w:rsid w:val="002A7B31"/>
    <w:rsid w:val="002B1224"/>
    <w:rsid w:val="002B185F"/>
    <w:rsid w:val="002B187C"/>
    <w:rsid w:val="002B2063"/>
    <w:rsid w:val="002B2978"/>
    <w:rsid w:val="002B359D"/>
    <w:rsid w:val="002B3FC6"/>
    <w:rsid w:val="002B4479"/>
    <w:rsid w:val="002B49FE"/>
    <w:rsid w:val="002B4CD6"/>
    <w:rsid w:val="002B5C66"/>
    <w:rsid w:val="002B5D8A"/>
    <w:rsid w:val="002C0376"/>
    <w:rsid w:val="002C1212"/>
    <w:rsid w:val="002C230F"/>
    <w:rsid w:val="002C2E66"/>
    <w:rsid w:val="002C3188"/>
    <w:rsid w:val="002C3FA0"/>
    <w:rsid w:val="002C4311"/>
    <w:rsid w:val="002C463F"/>
    <w:rsid w:val="002C4B43"/>
    <w:rsid w:val="002D04FE"/>
    <w:rsid w:val="002D0B3C"/>
    <w:rsid w:val="002D0BCB"/>
    <w:rsid w:val="002D0C0F"/>
    <w:rsid w:val="002D0DBF"/>
    <w:rsid w:val="002D2475"/>
    <w:rsid w:val="002D2885"/>
    <w:rsid w:val="002D2F7D"/>
    <w:rsid w:val="002D316B"/>
    <w:rsid w:val="002D39E1"/>
    <w:rsid w:val="002D4145"/>
    <w:rsid w:val="002D49B1"/>
    <w:rsid w:val="002D50AA"/>
    <w:rsid w:val="002D5199"/>
    <w:rsid w:val="002D59AD"/>
    <w:rsid w:val="002D5FBD"/>
    <w:rsid w:val="002D62DE"/>
    <w:rsid w:val="002D6FC9"/>
    <w:rsid w:val="002E00BF"/>
    <w:rsid w:val="002E03FA"/>
    <w:rsid w:val="002E0D47"/>
    <w:rsid w:val="002E0DAD"/>
    <w:rsid w:val="002E13F2"/>
    <w:rsid w:val="002E1581"/>
    <w:rsid w:val="002E1D4A"/>
    <w:rsid w:val="002E20C5"/>
    <w:rsid w:val="002E2A68"/>
    <w:rsid w:val="002E3150"/>
    <w:rsid w:val="002E318F"/>
    <w:rsid w:val="002E34C3"/>
    <w:rsid w:val="002E3E54"/>
    <w:rsid w:val="002E3F5F"/>
    <w:rsid w:val="002E4B54"/>
    <w:rsid w:val="002E5E12"/>
    <w:rsid w:val="002E61AC"/>
    <w:rsid w:val="002E6C82"/>
    <w:rsid w:val="002E7FFB"/>
    <w:rsid w:val="002F00C8"/>
    <w:rsid w:val="002F0501"/>
    <w:rsid w:val="002F0D17"/>
    <w:rsid w:val="002F187B"/>
    <w:rsid w:val="002F23E1"/>
    <w:rsid w:val="002F2819"/>
    <w:rsid w:val="002F2991"/>
    <w:rsid w:val="002F3EF6"/>
    <w:rsid w:val="002F458E"/>
    <w:rsid w:val="002F4CC7"/>
    <w:rsid w:val="002F5140"/>
    <w:rsid w:val="002F55E8"/>
    <w:rsid w:val="002F67CE"/>
    <w:rsid w:val="002F6EAB"/>
    <w:rsid w:val="002F7047"/>
    <w:rsid w:val="003013E1"/>
    <w:rsid w:val="00301FCD"/>
    <w:rsid w:val="00302907"/>
    <w:rsid w:val="00302FBF"/>
    <w:rsid w:val="00303246"/>
    <w:rsid w:val="003035F0"/>
    <w:rsid w:val="0030384B"/>
    <w:rsid w:val="00303DD8"/>
    <w:rsid w:val="00304843"/>
    <w:rsid w:val="00305FC4"/>
    <w:rsid w:val="00307CD2"/>
    <w:rsid w:val="00307DA6"/>
    <w:rsid w:val="00307F69"/>
    <w:rsid w:val="00310C35"/>
    <w:rsid w:val="00310EEC"/>
    <w:rsid w:val="00311499"/>
    <w:rsid w:val="003114EE"/>
    <w:rsid w:val="003117D5"/>
    <w:rsid w:val="00311ECB"/>
    <w:rsid w:val="00312255"/>
    <w:rsid w:val="00312959"/>
    <w:rsid w:val="003130E0"/>
    <w:rsid w:val="00313C28"/>
    <w:rsid w:val="00314DAE"/>
    <w:rsid w:val="003165C0"/>
    <w:rsid w:val="003167AB"/>
    <w:rsid w:val="0031703B"/>
    <w:rsid w:val="00317939"/>
    <w:rsid w:val="00320250"/>
    <w:rsid w:val="00320703"/>
    <w:rsid w:val="003207E3"/>
    <w:rsid w:val="00320C4B"/>
    <w:rsid w:val="0032151E"/>
    <w:rsid w:val="00321C7A"/>
    <w:rsid w:val="00323017"/>
    <w:rsid w:val="00323706"/>
    <w:rsid w:val="003239CE"/>
    <w:rsid w:val="003240B9"/>
    <w:rsid w:val="00324409"/>
    <w:rsid w:val="00324DA3"/>
    <w:rsid w:val="00324FE1"/>
    <w:rsid w:val="00325502"/>
    <w:rsid w:val="003260D3"/>
    <w:rsid w:val="00326574"/>
    <w:rsid w:val="00326E2B"/>
    <w:rsid w:val="00326F37"/>
    <w:rsid w:val="0032756B"/>
    <w:rsid w:val="003277DB"/>
    <w:rsid w:val="00327ED0"/>
    <w:rsid w:val="00327F8A"/>
    <w:rsid w:val="00330894"/>
    <w:rsid w:val="003317C0"/>
    <w:rsid w:val="00331A0E"/>
    <w:rsid w:val="003325DE"/>
    <w:rsid w:val="003333C1"/>
    <w:rsid w:val="0033381E"/>
    <w:rsid w:val="003341B0"/>
    <w:rsid w:val="00334F2D"/>
    <w:rsid w:val="00335884"/>
    <w:rsid w:val="00335A42"/>
    <w:rsid w:val="00335BE2"/>
    <w:rsid w:val="00335D5F"/>
    <w:rsid w:val="003361CF"/>
    <w:rsid w:val="003362C3"/>
    <w:rsid w:val="003368B2"/>
    <w:rsid w:val="003369EE"/>
    <w:rsid w:val="0033716A"/>
    <w:rsid w:val="00340815"/>
    <w:rsid w:val="0034167E"/>
    <w:rsid w:val="003416C8"/>
    <w:rsid w:val="00344512"/>
    <w:rsid w:val="00344885"/>
    <w:rsid w:val="00344CC4"/>
    <w:rsid w:val="00344DAF"/>
    <w:rsid w:val="00344F8C"/>
    <w:rsid w:val="003451EA"/>
    <w:rsid w:val="003452A6"/>
    <w:rsid w:val="003453B1"/>
    <w:rsid w:val="003453C2"/>
    <w:rsid w:val="003459A5"/>
    <w:rsid w:val="003461F7"/>
    <w:rsid w:val="0034621B"/>
    <w:rsid w:val="00347405"/>
    <w:rsid w:val="00347B5F"/>
    <w:rsid w:val="00347C53"/>
    <w:rsid w:val="00347E77"/>
    <w:rsid w:val="003503A5"/>
    <w:rsid w:val="003503FE"/>
    <w:rsid w:val="00350612"/>
    <w:rsid w:val="003509A7"/>
    <w:rsid w:val="00351F65"/>
    <w:rsid w:val="00352506"/>
    <w:rsid w:val="00352697"/>
    <w:rsid w:val="00352A57"/>
    <w:rsid w:val="00353BCA"/>
    <w:rsid w:val="00353ED4"/>
    <w:rsid w:val="003542D7"/>
    <w:rsid w:val="003550D1"/>
    <w:rsid w:val="00355734"/>
    <w:rsid w:val="003559D7"/>
    <w:rsid w:val="00355C3E"/>
    <w:rsid w:val="0035628E"/>
    <w:rsid w:val="00357691"/>
    <w:rsid w:val="00357900"/>
    <w:rsid w:val="003601BF"/>
    <w:rsid w:val="00361077"/>
    <w:rsid w:val="00361227"/>
    <w:rsid w:val="003613FB"/>
    <w:rsid w:val="0036162A"/>
    <w:rsid w:val="0036182E"/>
    <w:rsid w:val="0036188F"/>
    <w:rsid w:val="00361D2D"/>
    <w:rsid w:val="00362E1E"/>
    <w:rsid w:val="0036300F"/>
    <w:rsid w:val="00363188"/>
    <w:rsid w:val="003638C1"/>
    <w:rsid w:val="003638DC"/>
    <w:rsid w:val="003642E4"/>
    <w:rsid w:val="00364866"/>
    <w:rsid w:val="003663BA"/>
    <w:rsid w:val="00366488"/>
    <w:rsid w:val="003666B0"/>
    <w:rsid w:val="003669D2"/>
    <w:rsid w:val="0036741F"/>
    <w:rsid w:val="003702C1"/>
    <w:rsid w:val="00370435"/>
    <w:rsid w:val="00372347"/>
    <w:rsid w:val="003726E2"/>
    <w:rsid w:val="00372933"/>
    <w:rsid w:val="003729A0"/>
    <w:rsid w:val="00372D47"/>
    <w:rsid w:val="00373C8F"/>
    <w:rsid w:val="00374740"/>
    <w:rsid w:val="003752DB"/>
    <w:rsid w:val="003753FC"/>
    <w:rsid w:val="003757BF"/>
    <w:rsid w:val="00375C85"/>
    <w:rsid w:val="003761B5"/>
    <w:rsid w:val="0037664A"/>
    <w:rsid w:val="00376EE3"/>
    <w:rsid w:val="0037704F"/>
    <w:rsid w:val="003800F5"/>
    <w:rsid w:val="00381AF0"/>
    <w:rsid w:val="00382066"/>
    <w:rsid w:val="00382355"/>
    <w:rsid w:val="00382C9B"/>
    <w:rsid w:val="00382D54"/>
    <w:rsid w:val="00383B65"/>
    <w:rsid w:val="00384C0C"/>
    <w:rsid w:val="003852C8"/>
    <w:rsid w:val="00385C26"/>
    <w:rsid w:val="003864D4"/>
    <w:rsid w:val="00386AF1"/>
    <w:rsid w:val="003901D9"/>
    <w:rsid w:val="00390963"/>
    <w:rsid w:val="00391080"/>
    <w:rsid w:val="0039132B"/>
    <w:rsid w:val="00391394"/>
    <w:rsid w:val="003918FE"/>
    <w:rsid w:val="00392655"/>
    <w:rsid w:val="0039479F"/>
    <w:rsid w:val="00394AF6"/>
    <w:rsid w:val="00394DC9"/>
    <w:rsid w:val="00396878"/>
    <w:rsid w:val="00396E92"/>
    <w:rsid w:val="00397220"/>
    <w:rsid w:val="003A010A"/>
    <w:rsid w:val="003A061B"/>
    <w:rsid w:val="003A0E05"/>
    <w:rsid w:val="003A1792"/>
    <w:rsid w:val="003A1EAF"/>
    <w:rsid w:val="003A2CD5"/>
    <w:rsid w:val="003A2CE5"/>
    <w:rsid w:val="003A2E87"/>
    <w:rsid w:val="003A3F65"/>
    <w:rsid w:val="003A554B"/>
    <w:rsid w:val="003A7095"/>
    <w:rsid w:val="003A71D9"/>
    <w:rsid w:val="003A7376"/>
    <w:rsid w:val="003A780F"/>
    <w:rsid w:val="003A7E17"/>
    <w:rsid w:val="003A7E2B"/>
    <w:rsid w:val="003B0075"/>
    <w:rsid w:val="003B0301"/>
    <w:rsid w:val="003B0303"/>
    <w:rsid w:val="003B149C"/>
    <w:rsid w:val="003B1640"/>
    <w:rsid w:val="003B17FA"/>
    <w:rsid w:val="003B1D04"/>
    <w:rsid w:val="003B208D"/>
    <w:rsid w:val="003B2383"/>
    <w:rsid w:val="003B2E4F"/>
    <w:rsid w:val="003B32E2"/>
    <w:rsid w:val="003B369B"/>
    <w:rsid w:val="003B3B23"/>
    <w:rsid w:val="003B57F2"/>
    <w:rsid w:val="003B5A49"/>
    <w:rsid w:val="003B5EEA"/>
    <w:rsid w:val="003B5FA4"/>
    <w:rsid w:val="003B6096"/>
    <w:rsid w:val="003B6306"/>
    <w:rsid w:val="003B6757"/>
    <w:rsid w:val="003B7BDB"/>
    <w:rsid w:val="003C0318"/>
    <w:rsid w:val="003C0849"/>
    <w:rsid w:val="003C0EB6"/>
    <w:rsid w:val="003C2086"/>
    <w:rsid w:val="003C3210"/>
    <w:rsid w:val="003C39AC"/>
    <w:rsid w:val="003C3BB3"/>
    <w:rsid w:val="003C4702"/>
    <w:rsid w:val="003C5119"/>
    <w:rsid w:val="003C52D1"/>
    <w:rsid w:val="003C5778"/>
    <w:rsid w:val="003C6C51"/>
    <w:rsid w:val="003C6E0C"/>
    <w:rsid w:val="003C6E4B"/>
    <w:rsid w:val="003C7121"/>
    <w:rsid w:val="003C731C"/>
    <w:rsid w:val="003D00AC"/>
    <w:rsid w:val="003D06F7"/>
    <w:rsid w:val="003D08A0"/>
    <w:rsid w:val="003D0978"/>
    <w:rsid w:val="003D1943"/>
    <w:rsid w:val="003D1FF1"/>
    <w:rsid w:val="003D2520"/>
    <w:rsid w:val="003D2898"/>
    <w:rsid w:val="003D2DA6"/>
    <w:rsid w:val="003D37E8"/>
    <w:rsid w:val="003D4107"/>
    <w:rsid w:val="003D4685"/>
    <w:rsid w:val="003D4F7C"/>
    <w:rsid w:val="003D5090"/>
    <w:rsid w:val="003D519C"/>
    <w:rsid w:val="003D54B0"/>
    <w:rsid w:val="003D6584"/>
    <w:rsid w:val="003D6E43"/>
    <w:rsid w:val="003D6F43"/>
    <w:rsid w:val="003E0234"/>
    <w:rsid w:val="003E0CCE"/>
    <w:rsid w:val="003E0DBD"/>
    <w:rsid w:val="003E2457"/>
    <w:rsid w:val="003E2A0A"/>
    <w:rsid w:val="003E2FC4"/>
    <w:rsid w:val="003E3000"/>
    <w:rsid w:val="003E499E"/>
    <w:rsid w:val="003E5528"/>
    <w:rsid w:val="003E577B"/>
    <w:rsid w:val="003E59D2"/>
    <w:rsid w:val="003E64CF"/>
    <w:rsid w:val="003E672D"/>
    <w:rsid w:val="003E682A"/>
    <w:rsid w:val="003E6AA4"/>
    <w:rsid w:val="003E6BC8"/>
    <w:rsid w:val="003E6C33"/>
    <w:rsid w:val="003F0575"/>
    <w:rsid w:val="003F1D83"/>
    <w:rsid w:val="003F1EAF"/>
    <w:rsid w:val="003F2924"/>
    <w:rsid w:val="003F2C19"/>
    <w:rsid w:val="003F33AB"/>
    <w:rsid w:val="003F3B88"/>
    <w:rsid w:val="003F4C74"/>
    <w:rsid w:val="003F5C47"/>
    <w:rsid w:val="003F7E66"/>
    <w:rsid w:val="003F7F01"/>
    <w:rsid w:val="003F7FE4"/>
    <w:rsid w:val="0040003B"/>
    <w:rsid w:val="004002AD"/>
    <w:rsid w:val="004008EF"/>
    <w:rsid w:val="00400E9E"/>
    <w:rsid w:val="00401319"/>
    <w:rsid w:val="0040144A"/>
    <w:rsid w:val="004014F3"/>
    <w:rsid w:val="00401BC5"/>
    <w:rsid w:val="00401C94"/>
    <w:rsid w:val="00401F62"/>
    <w:rsid w:val="00402D1A"/>
    <w:rsid w:val="00402DC0"/>
    <w:rsid w:val="00402E63"/>
    <w:rsid w:val="00403A94"/>
    <w:rsid w:val="00403ECA"/>
    <w:rsid w:val="00405CCD"/>
    <w:rsid w:val="00406E86"/>
    <w:rsid w:val="00406F20"/>
    <w:rsid w:val="00406F50"/>
    <w:rsid w:val="00407C2C"/>
    <w:rsid w:val="004108B3"/>
    <w:rsid w:val="00410AA5"/>
    <w:rsid w:val="00410C84"/>
    <w:rsid w:val="00410E4C"/>
    <w:rsid w:val="004115CB"/>
    <w:rsid w:val="00412787"/>
    <w:rsid w:val="004127C9"/>
    <w:rsid w:val="00413061"/>
    <w:rsid w:val="004130F9"/>
    <w:rsid w:val="004136EA"/>
    <w:rsid w:val="00413B75"/>
    <w:rsid w:val="00413F4B"/>
    <w:rsid w:val="00414430"/>
    <w:rsid w:val="004146D5"/>
    <w:rsid w:val="00414EEB"/>
    <w:rsid w:val="00415E03"/>
    <w:rsid w:val="004174ED"/>
    <w:rsid w:val="00417CE4"/>
    <w:rsid w:val="00420389"/>
    <w:rsid w:val="00420F45"/>
    <w:rsid w:val="0042248F"/>
    <w:rsid w:val="00423C03"/>
    <w:rsid w:val="004240B4"/>
    <w:rsid w:val="00424173"/>
    <w:rsid w:val="00424273"/>
    <w:rsid w:val="0042448D"/>
    <w:rsid w:val="00424700"/>
    <w:rsid w:val="00424D70"/>
    <w:rsid w:val="00425050"/>
    <w:rsid w:val="0042517A"/>
    <w:rsid w:val="00425532"/>
    <w:rsid w:val="00425F17"/>
    <w:rsid w:val="0042637A"/>
    <w:rsid w:val="00426441"/>
    <w:rsid w:val="0042656C"/>
    <w:rsid w:val="004265E1"/>
    <w:rsid w:val="00427489"/>
    <w:rsid w:val="00427966"/>
    <w:rsid w:val="004307E2"/>
    <w:rsid w:val="00430B5C"/>
    <w:rsid w:val="00431079"/>
    <w:rsid w:val="00431480"/>
    <w:rsid w:val="004324A4"/>
    <w:rsid w:val="00432AB5"/>
    <w:rsid w:val="004332D6"/>
    <w:rsid w:val="00433514"/>
    <w:rsid w:val="00433914"/>
    <w:rsid w:val="00433FC2"/>
    <w:rsid w:val="00434425"/>
    <w:rsid w:val="00434C5E"/>
    <w:rsid w:val="00435430"/>
    <w:rsid w:val="0043593B"/>
    <w:rsid w:val="00435F5C"/>
    <w:rsid w:val="0043623A"/>
    <w:rsid w:val="00440556"/>
    <w:rsid w:val="0044123A"/>
    <w:rsid w:val="00441625"/>
    <w:rsid w:val="00441CDC"/>
    <w:rsid w:val="00442091"/>
    <w:rsid w:val="0044219A"/>
    <w:rsid w:val="00442669"/>
    <w:rsid w:val="004433E4"/>
    <w:rsid w:val="00443F76"/>
    <w:rsid w:val="00444863"/>
    <w:rsid w:val="00445385"/>
    <w:rsid w:val="00445620"/>
    <w:rsid w:val="004459DC"/>
    <w:rsid w:val="00445E6E"/>
    <w:rsid w:val="00446090"/>
    <w:rsid w:val="004462C1"/>
    <w:rsid w:val="00447A88"/>
    <w:rsid w:val="004500E2"/>
    <w:rsid w:val="004508BF"/>
    <w:rsid w:val="00450B80"/>
    <w:rsid w:val="00450C04"/>
    <w:rsid w:val="004510BA"/>
    <w:rsid w:val="004510C3"/>
    <w:rsid w:val="0045234F"/>
    <w:rsid w:val="00452BA9"/>
    <w:rsid w:val="00453188"/>
    <w:rsid w:val="004534B9"/>
    <w:rsid w:val="004544A6"/>
    <w:rsid w:val="00454C28"/>
    <w:rsid w:val="0045526E"/>
    <w:rsid w:val="004575C4"/>
    <w:rsid w:val="004606FF"/>
    <w:rsid w:val="0046083D"/>
    <w:rsid w:val="00460DEB"/>
    <w:rsid w:val="00461284"/>
    <w:rsid w:val="00464D16"/>
    <w:rsid w:val="00464D6D"/>
    <w:rsid w:val="004653C0"/>
    <w:rsid w:val="00466239"/>
    <w:rsid w:val="00466928"/>
    <w:rsid w:val="004671C9"/>
    <w:rsid w:val="0046721E"/>
    <w:rsid w:val="004672BC"/>
    <w:rsid w:val="00467F6B"/>
    <w:rsid w:val="004702BB"/>
    <w:rsid w:val="00470CCA"/>
    <w:rsid w:val="00470CE0"/>
    <w:rsid w:val="00470F1D"/>
    <w:rsid w:val="00472AD4"/>
    <w:rsid w:val="00472B6B"/>
    <w:rsid w:val="0047313F"/>
    <w:rsid w:val="00473A7D"/>
    <w:rsid w:val="004750BA"/>
    <w:rsid w:val="00475BA6"/>
    <w:rsid w:val="004763D5"/>
    <w:rsid w:val="004765A5"/>
    <w:rsid w:val="00476B95"/>
    <w:rsid w:val="00477486"/>
    <w:rsid w:val="00477593"/>
    <w:rsid w:val="004778FB"/>
    <w:rsid w:val="004805DE"/>
    <w:rsid w:val="00480BC8"/>
    <w:rsid w:val="00480C9D"/>
    <w:rsid w:val="004831E4"/>
    <w:rsid w:val="00483984"/>
    <w:rsid w:val="00483DF7"/>
    <w:rsid w:val="004840C1"/>
    <w:rsid w:val="00484881"/>
    <w:rsid w:val="0048558C"/>
    <w:rsid w:val="00485760"/>
    <w:rsid w:val="00486777"/>
    <w:rsid w:val="00486AA8"/>
    <w:rsid w:val="00487188"/>
    <w:rsid w:val="00487320"/>
    <w:rsid w:val="00487507"/>
    <w:rsid w:val="004910E9"/>
    <w:rsid w:val="00491193"/>
    <w:rsid w:val="00491D00"/>
    <w:rsid w:val="004922CC"/>
    <w:rsid w:val="004935C2"/>
    <w:rsid w:val="0049368C"/>
    <w:rsid w:val="00494029"/>
    <w:rsid w:val="004942F6"/>
    <w:rsid w:val="00494BD9"/>
    <w:rsid w:val="00495698"/>
    <w:rsid w:val="00496267"/>
    <w:rsid w:val="0049631E"/>
    <w:rsid w:val="004963C2"/>
    <w:rsid w:val="004964CB"/>
    <w:rsid w:val="00496574"/>
    <w:rsid w:val="004975D8"/>
    <w:rsid w:val="004A0448"/>
    <w:rsid w:val="004A0721"/>
    <w:rsid w:val="004A0AA0"/>
    <w:rsid w:val="004A1F97"/>
    <w:rsid w:val="004A2AF1"/>
    <w:rsid w:val="004A2D58"/>
    <w:rsid w:val="004A42D8"/>
    <w:rsid w:val="004A49DC"/>
    <w:rsid w:val="004A4C02"/>
    <w:rsid w:val="004A5C93"/>
    <w:rsid w:val="004A60EF"/>
    <w:rsid w:val="004A643E"/>
    <w:rsid w:val="004A6E12"/>
    <w:rsid w:val="004A7330"/>
    <w:rsid w:val="004B0052"/>
    <w:rsid w:val="004B0B9B"/>
    <w:rsid w:val="004B0CD2"/>
    <w:rsid w:val="004B133F"/>
    <w:rsid w:val="004B1722"/>
    <w:rsid w:val="004B1DD0"/>
    <w:rsid w:val="004B2131"/>
    <w:rsid w:val="004B2C24"/>
    <w:rsid w:val="004B2F37"/>
    <w:rsid w:val="004B3720"/>
    <w:rsid w:val="004B3796"/>
    <w:rsid w:val="004B3CA8"/>
    <w:rsid w:val="004B6A60"/>
    <w:rsid w:val="004B6F40"/>
    <w:rsid w:val="004B7770"/>
    <w:rsid w:val="004B7BE2"/>
    <w:rsid w:val="004C04FA"/>
    <w:rsid w:val="004C1836"/>
    <w:rsid w:val="004C1A3B"/>
    <w:rsid w:val="004C1AD4"/>
    <w:rsid w:val="004C24B4"/>
    <w:rsid w:val="004C24D0"/>
    <w:rsid w:val="004C2C04"/>
    <w:rsid w:val="004C32E3"/>
    <w:rsid w:val="004C3CF4"/>
    <w:rsid w:val="004C47EA"/>
    <w:rsid w:val="004C4B42"/>
    <w:rsid w:val="004C552C"/>
    <w:rsid w:val="004C6551"/>
    <w:rsid w:val="004C6751"/>
    <w:rsid w:val="004C7516"/>
    <w:rsid w:val="004C7C9B"/>
    <w:rsid w:val="004D00D3"/>
    <w:rsid w:val="004D0403"/>
    <w:rsid w:val="004D04B4"/>
    <w:rsid w:val="004D05CC"/>
    <w:rsid w:val="004D1122"/>
    <w:rsid w:val="004D14B2"/>
    <w:rsid w:val="004D1867"/>
    <w:rsid w:val="004D1A9A"/>
    <w:rsid w:val="004D2804"/>
    <w:rsid w:val="004D2F7E"/>
    <w:rsid w:val="004D3020"/>
    <w:rsid w:val="004D5085"/>
    <w:rsid w:val="004D5F21"/>
    <w:rsid w:val="004D7102"/>
    <w:rsid w:val="004D71EA"/>
    <w:rsid w:val="004E1076"/>
    <w:rsid w:val="004E12D8"/>
    <w:rsid w:val="004E26AC"/>
    <w:rsid w:val="004E296C"/>
    <w:rsid w:val="004E2B3C"/>
    <w:rsid w:val="004E31FB"/>
    <w:rsid w:val="004E4086"/>
    <w:rsid w:val="004E4799"/>
    <w:rsid w:val="004E4CFC"/>
    <w:rsid w:val="004E6122"/>
    <w:rsid w:val="004E68DF"/>
    <w:rsid w:val="004E6946"/>
    <w:rsid w:val="004E783D"/>
    <w:rsid w:val="004E7BD1"/>
    <w:rsid w:val="004E7CA2"/>
    <w:rsid w:val="004F01BE"/>
    <w:rsid w:val="004F046E"/>
    <w:rsid w:val="004F06FB"/>
    <w:rsid w:val="004F07E4"/>
    <w:rsid w:val="004F14A9"/>
    <w:rsid w:val="004F251B"/>
    <w:rsid w:val="004F2CC5"/>
    <w:rsid w:val="004F4576"/>
    <w:rsid w:val="004F50BD"/>
    <w:rsid w:val="004F52A0"/>
    <w:rsid w:val="004F56D7"/>
    <w:rsid w:val="004F6036"/>
    <w:rsid w:val="004F73F9"/>
    <w:rsid w:val="004F79F8"/>
    <w:rsid w:val="00500739"/>
    <w:rsid w:val="0050093A"/>
    <w:rsid w:val="00501158"/>
    <w:rsid w:val="0050150E"/>
    <w:rsid w:val="0050163F"/>
    <w:rsid w:val="00501E9C"/>
    <w:rsid w:val="0050232C"/>
    <w:rsid w:val="00502C5C"/>
    <w:rsid w:val="00503141"/>
    <w:rsid w:val="005031F3"/>
    <w:rsid w:val="005032EA"/>
    <w:rsid w:val="0050493B"/>
    <w:rsid w:val="00506154"/>
    <w:rsid w:val="0050617B"/>
    <w:rsid w:val="00506688"/>
    <w:rsid w:val="00506A83"/>
    <w:rsid w:val="00506A97"/>
    <w:rsid w:val="0051152B"/>
    <w:rsid w:val="00511CA4"/>
    <w:rsid w:val="00512B5D"/>
    <w:rsid w:val="00513311"/>
    <w:rsid w:val="005135A3"/>
    <w:rsid w:val="00513B2B"/>
    <w:rsid w:val="005152E6"/>
    <w:rsid w:val="005162ED"/>
    <w:rsid w:val="00516C1B"/>
    <w:rsid w:val="00516CBA"/>
    <w:rsid w:val="00516F0B"/>
    <w:rsid w:val="005177B3"/>
    <w:rsid w:val="00517C7A"/>
    <w:rsid w:val="005207C1"/>
    <w:rsid w:val="0052242D"/>
    <w:rsid w:val="005233C7"/>
    <w:rsid w:val="0052343E"/>
    <w:rsid w:val="0052402A"/>
    <w:rsid w:val="0052433E"/>
    <w:rsid w:val="0052491B"/>
    <w:rsid w:val="005255A0"/>
    <w:rsid w:val="0052568D"/>
    <w:rsid w:val="00525A22"/>
    <w:rsid w:val="00525AB0"/>
    <w:rsid w:val="00525EC5"/>
    <w:rsid w:val="00526059"/>
    <w:rsid w:val="00526346"/>
    <w:rsid w:val="005265A3"/>
    <w:rsid w:val="00526818"/>
    <w:rsid w:val="00526BE2"/>
    <w:rsid w:val="00530831"/>
    <w:rsid w:val="00530C2F"/>
    <w:rsid w:val="005332C1"/>
    <w:rsid w:val="005337FE"/>
    <w:rsid w:val="00533B52"/>
    <w:rsid w:val="00533DBB"/>
    <w:rsid w:val="00534257"/>
    <w:rsid w:val="00534A8C"/>
    <w:rsid w:val="00534BB5"/>
    <w:rsid w:val="00534D0B"/>
    <w:rsid w:val="005359F3"/>
    <w:rsid w:val="00535CA3"/>
    <w:rsid w:val="00536847"/>
    <w:rsid w:val="0054009C"/>
    <w:rsid w:val="00540B50"/>
    <w:rsid w:val="00541770"/>
    <w:rsid w:val="0054245F"/>
    <w:rsid w:val="00543D8B"/>
    <w:rsid w:val="005448C1"/>
    <w:rsid w:val="00545D7B"/>
    <w:rsid w:val="00546044"/>
    <w:rsid w:val="00546191"/>
    <w:rsid w:val="00546677"/>
    <w:rsid w:val="00546BE6"/>
    <w:rsid w:val="00546EDA"/>
    <w:rsid w:val="005501D4"/>
    <w:rsid w:val="00550430"/>
    <w:rsid w:val="00550C85"/>
    <w:rsid w:val="00550CB1"/>
    <w:rsid w:val="00550E4D"/>
    <w:rsid w:val="0055104A"/>
    <w:rsid w:val="00551534"/>
    <w:rsid w:val="00551F73"/>
    <w:rsid w:val="00552247"/>
    <w:rsid w:val="00553A55"/>
    <w:rsid w:val="005542EE"/>
    <w:rsid w:val="00554334"/>
    <w:rsid w:val="005547F4"/>
    <w:rsid w:val="00554A29"/>
    <w:rsid w:val="00554E07"/>
    <w:rsid w:val="00555232"/>
    <w:rsid w:val="00556173"/>
    <w:rsid w:val="00556546"/>
    <w:rsid w:val="0055660D"/>
    <w:rsid w:val="00556913"/>
    <w:rsid w:val="0056021D"/>
    <w:rsid w:val="005605D4"/>
    <w:rsid w:val="00560668"/>
    <w:rsid w:val="00560EC5"/>
    <w:rsid w:val="005610D8"/>
    <w:rsid w:val="005612D8"/>
    <w:rsid w:val="00561C7B"/>
    <w:rsid w:val="0056216F"/>
    <w:rsid w:val="0056254D"/>
    <w:rsid w:val="00562C0A"/>
    <w:rsid w:val="00563463"/>
    <w:rsid w:val="00563FA5"/>
    <w:rsid w:val="00564090"/>
    <w:rsid w:val="005644E6"/>
    <w:rsid w:val="00565BFC"/>
    <w:rsid w:val="005672A5"/>
    <w:rsid w:val="005675A2"/>
    <w:rsid w:val="00567E3F"/>
    <w:rsid w:val="00571467"/>
    <w:rsid w:val="00572986"/>
    <w:rsid w:val="00573455"/>
    <w:rsid w:val="00573BBC"/>
    <w:rsid w:val="00573F1F"/>
    <w:rsid w:val="00574CEF"/>
    <w:rsid w:val="00574EEA"/>
    <w:rsid w:val="005750EE"/>
    <w:rsid w:val="00575191"/>
    <w:rsid w:val="005753FB"/>
    <w:rsid w:val="0057555B"/>
    <w:rsid w:val="005758F3"/>
    <w:rsid w:val="005769C7"/>
    <w:rsid w:val="00577227"/>
    <w:rsid w:val="005776DD"/>
    <w:rsid w:val="00580423"/>
    <w:rsid w:val="00580AF2"/>
    <w:rsid w:val="00580D7E"/>
    <w:rsid w:val="00580DBE"/>
    <w:rsid w:val="0058100E"/>
    <w:rsid w:val="00581141"/>
    <w:rsid w:val="00582210"/>
    <w:rsid w:val="00582719"/>
    <w:rsid w:val="00583605"/>
    <w:rsid w:val="00583689"/>
    <w:rsid w:val="00584013"/>
    <w:rsid w:val="00584F8C"/>
    <w:rsid w:val="00584FDB"/>
    <w:rsid w:val="005852F7"/>
    <w:rsid w:val="0058561C"/>
    <w:rsid w:val="005859F5"/>
    <w:rsid w:val="00585A94"/>
    <w:rsid w:val="00585AEF"/>
    <w:rsid w:val="00586734"/>
    <w:rsid w:val="005868E6"/>
    <w:rsid w:val="005872A4"/>
    <w:rsid w:val="00590064"/>
    <w:rsid w:val="00591298"/>
    <w:rsid w:val="00591300"/>
    <w:rsid w:val="00592A6A"/>
    <w:rsid w:val="00592D13"/>
    <w:rsid w:val="00592DBD"/>
    <w:rsid w:val="00592DEB"/>
    <w:rsid w:val="0059303C"/>
    <w:rsid w:val="00593D30"/>
    <w:rsid w:val="00594074"/>
    <w:rsid w:val="005942C9"/>
    <w:rsid w:val="00595347"/>
    <w:rsid w:val="00596643"/>
    <w:rsid w:val="00596863"/>
    <w:rsid w:val="0059748B"/>
    <w:rsid w:val="005A02F4"/>
    <w:rsid w:val="005A0455"/>
    <w:rsid w:val="005A0F6E"/>
    <w:rsid w:val="005A16B0"/>
    <w:rsid w:val="005A1711"/>
    <w:rsid w:val="005A1C2D"/>
    <w:rsid w:val="005A229C"/>
    <w:rsid w:val="005A25ED"/>
    <w:rsid w:val="005A2604"/>
    <w:rsid w:val="005A26F9"/>
    <w:rsid w:val="005A38A0"/>
    <w:rsid w:val="005A38BB"/>
    <w:rsid w:val="005A3CDD"/>
    <w:rsid w:val="005A4A81"/>
    <w:rsid w:val="005A4FE0"/>
    <w:rsid w:val="005A5447"/>
    <w:rsid w:val="005A55DF"/>
    <w:rsid w:val="005A58E1"/>
    <w:rsid w:val="005A67B0"/>
    <w:rsid w:val="005A71A7"/>
    <w:rsid w:val="005A7411"/>
    <w:rsid w:val="005A74BA"/>
    <w:rsid w:val="005A75F7"/>
    <w:rsid w:val="005A792E"/>
    <w:rsid w:val="005A7C2F"/>
    <w:rsid w:val="005B0271"/>
    <w:rsid w:val="005B02A8"/>
    <w:rsid w:val="005B0882"/>
    <w:rsid w:val="005B0E0E"/>
    <w:rsid w:val="005B112B"/>
    <w:rsid w:val="005B1740"/>
    <w:rsid w:val="005B20F3"/>
    <w:rsid w:val="005B2157"/>
    <w:rsid w:val="005B26EB"/>
    <w:rsid w:val="005B2806"/>
    <w:rsid w:val="005B2BE0"/>
    <w:rsid w:val="005B36D2"/>
    <w:rsid w:val="005B3E2E"/>
    <w:rsid w:val="005B3EB7"/>
    <w:rsid w:val="005B4104"/>
    <w:rsid w:val="005B4CD7"/>
    <w:rsid w:val="005B55DF"/>
    <w:rsid w:val="005B6C3C"/>
    <w:rsid w:val="005B6F4A"/>
    <w:rsid w:val="005B721F"/>
    <w:rsid w:val="005B73C6"/>
    <w:rsid w:val="005C0027"/>
    <w:rsid w:val="005C0AC5"/>
    <w:rsid w:val="005C10AF"/>
    <w:rsid w:val="005C1F30"/>
    <w:rsid w:val="005C1F31"/>
    <w:rsid w:val="005C2594"/>
    <w:rsid w:val="005C300D"/>
    <w:rsid w:val="005C3A8D"/>
    <w:rsid w:val="005C3E05"/>
    <w:rsid w:val="005C49AA"/>
    <w:rsid w:val="005C4DCB"/>
    <w:rsid w:val="005C5572"/>
    <w:rsid w:val="005C5FAD"/>
    <w:rsid w:val="005C60F6"/>
    <w:rsid w:val="005C65B7"/>
    <w:rsid w:val="005D1248"/>
    <w:rsid w:val="005D1B88"/>
    <w:rsid w:val="005D1BC6"/>
    <w:rsid w:val="005D2465"/>
    <w:rsid w:val="005D252E"/>
    <w:rsid w:val="005D326B"/>
    <w:rsid w:val="005D408D"/>
    <w:rsid w:val="005D4C85"/>
    <w:rsid w:val="005D5ACD"/>
    <w:rsid w:val="005D5D31"/>
    <w:rsid w:val="005D7048"/>
    <w:rsid w:val="005D752D"/>
    <w:rsid w:val="005E0694"/>
    <w:rsid w:val="005E0838"/>
    <w:rsid w:val="005E0AE1"/>
    <w:rsid w:val="005E0CCA"/>
    <w:rsid w:val="005E2085"/>
    <w:rsid w:val="005E3957"/>
    <w:rsid w:val="005E5469"/>
    <w:rsid w:val="005E54A9"/>
    <w:rsid w:val="005E5538"/>
    <w:rsid w:val="005E5785"/>
    <w:rsid w:val="005E5888"/>
    <w:rsid w:val="005E5F06"/>
    <w:rsid w:val="005E5F2B"/>
    <w:rsid w:val="005E626D"/>
    <w:rsid w:val="005E6467"/>
    <w:rsid w:val="005E6A6F"/>
    <w:rsid w:val="005E70CF"/>
    <w:rsid w:val="005E7576"/>
    <w:rsid w:val="005F048C"/>
    <w:rsid w:val="005F0A9F"/>
    <w:rsid w:val="005F0E7E"/>
    <w:rsid w:val="005F2438"/>
    <w:rsid w:val="005F2673"/>
    <w:rsid w:val="005F29B9"/>
    <w:rsid w:val="005F2E40"/>
    <w:rsid w:val="005F40BC"/>
    <w:rsid w:val="005F42C9"/>
    <w:rsid w:val="005F4824"/>
    <w:rsid w:val="005F53DC"/>
    <w:rsid w:val="005F5407"/>
    <w:rsid w:val="005F57B7"/>
    <w:rsid w:val="005F6045"/>
    <w:rsid w:val="005F6641"/>
    <w:rsid w:val="005F6A7B"/>
    <w:rsid w:val="005F6C4C"/>
    <w:rsid w:val="005F7DDA"/>
    <w:rsid w:val="006004C3"/>
    <w:rsid w:val="00601ECA"/>
    <w:rsid w:val="006020D5"/>
    <w:rsid w:val="00602DA7"/>
    <w:rsid w:val="00602E31"/>
    <w:rsid w:val="00603D5D"/>
    <w:rsid w:val="00603F27"/>
    <w:rsid w:val="0060515E"/>
    <w:rsid w:val="00605AFA"/>
    <w:rsid w:val="006067A6"/>
    <w:rsid w:val="00606E35"/>
    <w:rsid w:val="006079BA"/>
    <w:rsid w:val="00607F4E"/>
    <w:rsid w:val="00607F6C"/>
    <w:rsid w:val="006102AC"/>
    <w:rsid w:val="00610724"/>
    <w:rsid w:val="00610AD7"/>
    <w:rsid w:val="00611085"/>
    <w:rsid w:val="00611628"/>
    <w:rsid w:val="00611A68"/>
    <w:rsid w:val="0061257C"/>
    <w:rsid w:val="00612812"/>
    <w:rsid w:val="00612B19"/>
    <w:rsid w:val="00612E5E"/>
    <w:rsid w:val="00613A09"/>
    <w:rsid w:val="00613ADB"/>
    <w:rsid w:val="00613D0C"/>
    <w:rsid w:val="006148EE"/>
    <w:rsid w:val="00614F41"/>
    <w:rsid w:val="0061561E"/>
    <w:rsid w:val="006160DB"/>
    <w:rsid w:val="00617F40"/>
    <w:rsid w:val="00617FBF"/>
    <w:rsid w:val="00621C7E"/>
    <w:rsid w:val="006225EF"/>
    <w:rsid w:val="00622701"/>
    <w:rsid w:val="00623838"/>
    <w:rsid w:val="00623FBA"/>
    <w:rsid w:val="006242E5"/>
    <w:rsid w:val="006243C3"/>
    <w:rsid w:val="006249BE"/>
    <w:rsid w:val="00624DA2"/>
    <w:rsid w:val="00624E11"/>
    <w:rsid w:val="00625197"/>
    <w:rsid w:val="00626992"/>
    <w:rsid w:val="0062707D"/>
    <w:rsid w:val="006276A6"/>
    <w:rsid w:val="00627BB4"/>
    <w:rsid w:val="00627BD6"/>
    <w:rsid w:val="00627D81"/>
    <w:rsid w:val="00627F9E"/>
    <w:rsid w:val="006306FA"/>
    <w:rsid w:val="006311D0"/>
    <w:rsid w:val="006328C0"/>
    <w:rsid w:val="00633CD1"/>
    <w:rsid w:val="00634295"/>
    <w:rsid w:val="00635925"/>
    <w:rsid w:val="00635B07"/>
    <w:rsid w:val="00637A0B"/>
    <w:rsid w:val="00637C49"/>
    <w:rsid w:val="00637F3C"/>
    <w:rsid w:val="00640512"/>
    <w:rsid w:val="00640B63"/>
    <w:rsid w:val="00640FC5"/>
    <w:rsid w:val="006411E8"/>
    <w:rsid w:val="00641B39"/>
    <w:rsid w:val="00641ECC"/>
    <w:rsid w:val="00642021"/>
    <w:rsid w:val="0064269D"/>
    <w:rsid w:val="006429D8"/>
    <w:rsid w:val="00642B8A"/>
    <w:rsid w:val="00642D7F"/>
    <w:rsid w:val="00644480"/>
    <w:rsid w:val="00644FF4"/>
    <w:rsid w:val="00645F21"/>
    <w:rsid w:val="006460C2"/>
    <w:rsid w:val="006460EE"/>
    <w:rsid w:val="0064705C"/>
    <w:rsid w:val="00647B4F"/>
    <w:rsid w:val="00647CD6"/>
    <w:rsid w:val="00647F14"/>
    <w:rsid w:val="00650396"/>
    <w:rsid w:val="00652422"/>
    <w:rsid w:val="0065283F"/>
    <w:rsid w:val="006536BA"/>
    <w:rsid w:val="00653D1D"/>
    <w:rsid w:val="00654C11"/>
    <w:rsid w:val="00654C13"/>
    <w:rsid w:val="00654C25"/>
    <w:rsid w:val="006556C4"/>
    <w:rsid w:val="006556D3"/>
    <w:rsid w:val="00655A34"/>
    <w:rsid w:val="006562FB"/>
    <w:rsid w:val="00656792"/>
    <w:rsid w:val="0065695D"/>
    <w:rsid w:val="006571F5"/>
    <w:rsid w:val="00657BCD"/>
    <w:rsid w:val="00660516"/>
    <w:rsid w:val="00660AB6"/>
    <w:rsid w:val="00660CD5"/>
    <w:rsid w:val="00662000"/>
    <w:rsid w:val="0066210B"/>
    <w:rsid w:val="0066302C"/>
    <w:rsid w:val="0066342B"/>
    <w:rsid w:val="00663DF4"/>
    <w:rsid w:val="00664769"/>
    <w:rsid w:val="00665151"/>
    <w:rsid w:val="00666436"/>
    <w:rsid w:val="006667F4"/>
    <w:rsid w:val="00666A9E"/>
    <w:rsid w:val="00667410"/>
    <w:rsid w:val="0066778E"/>
    <w:rsid w:val="00667ED4"/>
    <w:rsid w:val="006702F0"/>
    <w:rsid w:val="00670AC1"/>
    <w:rsid w:val="00670BF7"/>
    <w:rsid w:val="00670CB0"/>
    <w:rsid w:val="00672752"/>
    <w:rsid w:val="00673A8D"/>
    <w:rsid w:val="00673B1F"/>
    <w:rsid w:val="00673C9C"/>
    <w:rsid w:val="00675421"/>
    <w:rsid w:val="0067608C"/>
    <w:rsid w:val="0067667B"/>
    <w:rsid w:val="00677406"/>
    <w:rsid w:val="00677573"/>
    <w:rsid w:val="006776AB"/>
    <w:rsid w:val="00677FD8"/>
    <w:rsid w:val="006803D4"/>
    <w:rsid w:val="00680DEF"/>
    <w:rsid w:val="00680DFA"/>
    <w:rsid w:val="00681277"/>
    <w:rsid w:val="006837FB"/>
    <w:rsid w:val="00683957"/>
    <w:rsid w:val="00683CE3"/>
    <w:rsid w:val="006841DD"/>
    <w:rsid w:val="00684826"/>
    <w:rsid w:val="006860D8"/>
    <w:rsid w:val="0068640A"/>
    <w:rsid w:val="0068649A"/>
    <w:rsid w:val="00687170"/>
    <w:rsid w:val="006911A4"/>
    <w:rsid w:val="00692448"/>
    <w:rsid w:val="00692824"/>
    <w:rsid w:val="00693039"/>
    <w:rsid w:val="00694260"/>
    <w:rsid w:val="006949FD"/>
    <w:rsid w:val="006962A1"/>
    <w:rsid w:val="0069652A"/>
    <w:rsid w:val="0069665C"/>
    <w:rsid w:val="006967CD"/>
    <w:rsid w:val="00696849"/>
    <w:rsid w:val="0069760C"/>
    <w:rsid w:val="00697CD0"/>
    <w:rsid w:val="00697EA1"/>
    <w:rsid w:val="006A0205"/>
    <w:rsid w:val="006A1266"/>
    <w:rsid w:val="006A13EB"/>
    <w:rsid w:val="006A2118"/>
    <w:rsid w:val="006A254C"/>
    <w:rsid w:val="006A34A3"/>
    <w:rsid w:val="006A35E2"/>
    <w:rsid w:val="006A3C6F"/>
    <w:rsid w:val="006A402F"/>
    <w:rsid w:val="006A41B6"/>
    <w:rsid w:val="006A4614"/>
    <w:rsid w:val="006A4BAD"/>
    <w:rsid w:val="006A5CC1"/>
    <w:rsid w:val="006A6CE3"/>
    <w:rsid w:val="006A7AEE"/>
    <w:rsid w:val="006A7B4D"/>
    <w:rsid w:val="006B0670"/>
    <w:rsid w:val="006B078B"/>
    <w:rsid w:val="006B1F10"/>
    <w:rsid w:val="006B1F5B"/>
    <w:rsid w:val="006B21F9"/>
    <w:rsid w:val="006B3222"/>
    <w:rsid w:val="006B3223"/>
    <w:rsid w:val="006B3D73"/>
    <w:rsid w:val="006B3DB4"/>
    <w:rsid w:val="006B4CD1"/>
    <w:rsid w:val="006B5176"/>
    <w:rsid w:val="006B54C3"/>
    <w:rsid w:val="006B5884"/>
    <w:rsid w:val="006B5CFF"/>
    <w:rsid w:val="006B62AE"/>
    <w:rsid w:val="006B6500"/>
    <w:rsid w:val="006B6D87"/>
    <w:rsid w:val="006B7A0A"/>
    <w:rsid w:val="006C0035"/>
    <w:rsid w:val="006C0404"/>
    <w:rsid w:val="006C08DC"/>
    <w:rsid w:val="006C0D55"/>
    <w:rsid w:val="006C1B3D"/>
    <w:rsid w:val="006C1F82"/>
    <w:rsid w:val="006C2726"/>
    <w:rsid w:val="006C2819"/>
    <w:rsid w:val="006C2BDA"/>
    <w:rsid w:val="006C323F"/>
    <w:rsid w:val="006C346D"/>
    <w:rsid w:val="006C3617"/>
    <w:rsid w:val="006C39CA"/>
    <w:rsid w:val="006C4552"/>
    <w:rsid w:val="006C529E"/>
    <w:rsid w:val="006C6621"/>
    <w:rsid w:val="006C6733"/>
    <w:rsid w:val="006C6F85"/>
    <w:rsid w:val="006C71A3"/>
    <w:rsid w:val="006C7AC3"/>
    <w:rsid w:val="006D0C01"/>
    <w:rsid w:val="006D0C8D"/>
    <w:rsid w:val="006D0F11"/>
    <w:rsid w:val="006D136E"/>
    <w:rsid w:val="006D1969"/>
    <w:rsid w:val="006D19FF"/>
    <w:rsid w:val="006D242C"/>
    <w:rsid w:val="006D26C4"/>
    <w:rsid w:val="006D358D"/>
    <w:rsid w:val="006D359F"/>
    <w:rsid w:val="006D3BE0"/>
    <w:rsid w:val="006D3E66"/>
    <w:rsid w:val="006D5090"/>
    <w:rsid w:val="006D542A"/>
    <w:rsid w:val="006D7247"/>
    <w:rsid w:val="006D7869"/>
    <w:rsid w:val="006D7B49"/>
    <w:rsid w:val="006D7C8A"/>
    <w:rsid w:val="006E0440"/>
    <w:rsid w:val="006E0515"/>
    <w:rsid w:val="006E1881"/>
    <w:rsid w:val="006E2630"/>
    <w:rsid w:val="006E289E"/>
    <w:rsid w:val="006E315B"/>
    <w:rsid w:val="006E4743"/>
    <w:rsid w:val="006E4D50"/>
    <w:rsid w:val="006E51A3"/>
    <w:rsid w:val="006E544E"/>
    <w:rsid w:val="006E59FA"/>
    <w:rsid w:val="006E5ECA"/>
    <w:rsid w:val="006E5F30"/>
    <w:rsid w:val="006E5FDC"/>
    <w:rsid w:val="006E613B"/>
    <w:rsid w:val="006E614D"/>
    <w:rsid w:val="006E6E55"/>
    <w:rsid w:val="006E741B"/>
    <w:rsid w:val="006E7420"/>
    <w:rsid w:val="006E7ADA"/>
    <w:rsid w:val="006E7F19"/>
    <w:rsid w:val="006F077E"/>
    <w:rsid w:val="006F0882"/>
    <w:rsid w:val="006F0D97"/>
    <w:rsid w:val="006F2041"/>
    <w:rsid w:val="006F22B9"/>
    <w:rsid w:val="006F263A"/>
    <w:rsid w:val="006F2779"/>
    <w:rsid w:val="006F37AF"/>
    <w:rsid w:val="006F3857"/>
    <w:rsid w:val="006F39B0"/>
    <w:rsid w:val="006F4B4C"/>
    <w:rsid w:val="006F5A9F"/>
    <w:rsid w:val="006F5FA2"/>
    <w:rsid w:val="006F65D0"/>
    <w:rsid w:val="006F6655"/>
    <w:rsid w:val="006F7010"/>
    <w:rsid w:val="006F722D"/>
    <w:rsid w:val="0070340F"/>
    <w:rsid w:val="00703590"/>
    <w:rsid w:val="00704A85"/>
    <w:rsid w:val="00705CDF"/>
    <w:rsid w:val="0070625A"/>
    <w:rsid w:val="0070721D"/>
    <w:rsid w:val="007077B7"/>
    <w:rsid w:val="00707DA8"/>
    <w:rsid w:val="00707E1F"/>
    <w:rsid w:val="00707FF6"/>
    <w:rsid w:val="00710778"/>
    <w:rsid w:val="007111A6"/>
    <w:rsid w:val="007111B7"/>
    <w:rsid w:val="007117FF"/>
    <w:rsid w:val="00711847"/>
    <w:rsid w:val="00711A2E"/>
    <w:rsid w:val="0071250A"/>
    <w:rsid w:val="00712B3C"/>
    <w:rsid w:val="00712C45"/>
    <w:rsid w:val="00714B77"/>
    <w:rsid w:val="007150DE"/>
    <w:rsid w:val="00715251"/>
    <w:rsid w:val="00715AB2"/>
    <w:rsid w:val="007167F8"/>
    <w:rsid w:val="00720D6C"/>
    <w:rsid w:val="0072194F"/>
    <w:rsid w:val="00723DA7"/>
    <w:rsid w:val="00724503"/>
    <w:rsid w:val="00725172"/>
    <w:rsid w:val="00725CDF"/>
    <w:rsid w:val="00726512"/>
    <w:rsid w:val="0072656E"/>
    <w:rsid w:val="00726576"/>
    <w:rsid w:val="00727069"/>
    <w:rsid w:val="0072759B"/>
    <w:rsid w:val="0072789C"/>
    <w:rsid w:val="00727A6C"/>
    <w:rsid w:val="00731AA7"/>
    <w:rsid w:val="00732048"/>
    <w:rsid w:val="00732911"/>
    <w:rsid w:val="00733186"/>
    <w:rsid w:val="007335C4"/>
    <w:rsid w:val="00733AB7"/>
    <w:rsid w:val="00733BBA"/>
    <w:rsid w:val="00734613"/>
    <w:rsid w:val="00734AE4"/>
    <w:rsid w:val="00735BB0"/>
    <w:rsid w:val="00735D2F"/>
    <w:rsid w:val="0073660C"/>
    <w:rsid w:val="00736A03"/>
    <w:rsid w:val="00736FAB"/>
    <w:rsid w:val="0073711D"/>
    <w:rsid w:val="00737702"/>
    <w:rsid w:val="00737C82"/>
    <w:rsid w:val="0074029F"/>
    <w:rsid w:val="00740501"/>
    <w:rsid w:val="00742E40"/>
    <w:rsid w:val="00743161"/>
    <w:rsid w:val="007431A2"/>
    <w:rsid w:val="0074384F"/>
    <w:rsid w:val="007439FB"/>
    <w:rsid w:val="00744410"/>
    <w:rsid w:val="0074446E"/>
    <w:rsid w:val="00744D79"/>
    <w:rsid w:val="00745982"/>
    <w:rsid w:val="00745A09"/>
    <w:rsid w:val="00745B33"/>
    <w:rsid w:val="00747FD0"/>
    <w:rsid w:val="0074B418"/>
    <w:rsid w:val="0075041B"/>
    <w:rsid w:val="00750CCD"/>
    <w:rsid w:val="007515D6"/>
    <w:rsid w:val="00751A7E"/>
    <w:rsid w:val="00751E67"/>
    <w:rsid w:val="007522DF"/>
    <w:rsid w:val="00752A3E"/>
    <w:rsid w:val="0075349A"/>
    <w:rsid w:val="00753D84"/>
    <w:rsid w:val="00755EF7"/>
    <w:rsid w:val="00756798"/>
    <w:rsid w:val="00756927"/>
    <w:rsid w:val="00757455"/>
    <w:rsid w:val="00757B19"/>
    <w:rsid w:val="007602C9"/>
    <w:rsid w:val="007608ED"/>
    <w:rsid w:val="007609E4"/>
    <w:rsid w:val="00760B9D"/>
    <w:rsid w:val="00760FCD"/>
    <w:rsid w:val="0076124C"/>
    <w:rsid w:val="007613C1"/>
    <w:rsid w:val="00761610"/>
    <w:rsid w:val="00761AC1"/>
    <w:rsid w:val="00761B22"/>
    <w:rsid w:val="00763908"/>
    <w:rsid w:val="00763D6C"/>
    <w:rsid w:val="007647B7"/>
    <w:rsid w:val="00765760"/>
    <w:rsid w:val="00765B27"/>
    <w:rsid w:val="00765CC6"/>
    <w:rsid w:val="00766A90"/>
    <w:rsid w:val="00767E55"/>
    <w:rsid w:val="00770870"/>
    <w:rsid w:val="00770D76"/>
    <w:rsid w:val="00772758"/>
    <w:rsid w:val="00772E47"/>
    <w:rsid w:val="00773095"/>
    <w:rsid w:val="00773627"/>
    <w:rsid w:val="00774FC1"/>
    <w:rsid w:val="00777203"/>
    <w:rsid w:val="00777210"/>
    <w:rsid w:val="0077728B"/>
    <w:rsid w:val="00777771"/>
    <w:rsid w:val="007801D0"/>
    <w:rsid w:val="00780AD0"/>
    <w:rsid w:val="007815C9"/>
    <w:rsid w:val="00781A4B"/>
    <w:rsid w:val="00781EB7"/>
    <w:rsid w:val="0078302D"/>
    <w:rsid w:val="00783873"/>
    <w:rsid w:val="007839C8"/>
    <w:rsid w:val="00785C41"/>
    <w:rsid w:val="00785C85"/>
    <w:rsid w:val="00786246"/>
    <w:rsid w:val="007864CE"/>
    <w:rsid w:val="00787D12"/>
    <w:rsid w:val="007900A1"/>
    <w:rsid w:val="0079073F"/>
    <w:rsid w:val="007907D8"/>
    <w:rsid w:val="00790B29"/>
    <w:rsid w:val="00791118"/>
    <w:rsid w:val="00792BE9"/>
    <w:rsid w:val="00792F05"/>
    <w:rsid w:val="00793625"/>
    <w:rsid w:val="007936D2"/>
    <w:rsid w:val="00793FEB"/>
    <w:rsid w:val="007952E8"/>
    <w:rsid w:val="007958B8"/>
    <w:rsid w:val="00795C5F"/>
    <w:rsid w:val="007971E2"/>
    <w:rsid w:val="007979D0"/>
    <w:rsid w:val="007A05E8"/>
    <w:rsid w:val="007A2279"/>
    <w:rsid w:val="007A322B"/>
    <w:rsid w:val="007A3236"/>
    <w:rsid w:val="007A41EA"/>
    <w:rsid w:val="007A5517"/>
    <w:rsid w:val="007A582B"/>
    <w:rsid w:val="007A5C5E"/>
    <w:rsid w:val="007A5D4A"/>
    <w:rsid w:val="007A6F67"/>
    <w:rsid w:val="007A7B05"/>
    <w:rsid w:val="007B03B5"/>
    <w:rsid w:val="007B0B7B"/>
    <w:rsid w:val="007B242A"/>
    <w:rsid w:val="007B27C5"/>
    <w:rsid w:val="007B27C9"/>
    <w:rsid w:val="007B3080"/>
    <w:rsid w:val="007B4907"/>
    <w:rsid w:val="007B53A3"/>
    <w:rsid w:val="007B5DAB"/>
    <w:rsid w:val="007B5E03"/>
    <w:rsid w:val="007B603B"/>
    <w:rsid w:val="007B699A"/>
    <w:rsid w:val="007B6F4D"/>
    <w:rsid w:val="007B764F"/>
    <w:rsid w:val="007C1DED"/>
    <w:rsid w:val="007C270B"/>
    <w:rsid w:val="007C28B3"/>
    <w:rsid w:val="007C3158"/>
    <w:rsid w:val="007C3AF3"/>
    <w:rsid w:val="007C3F4F"/>
    <w:rsid w:val="007C523C"/>
    <w:rsid w:val="007C5317"/>
    <w:rsid w:val="007C69A2"/>
    <w:rsid w:val="007C779B"/>
    <w:rsid w:val="007D08DD"/>
    <w:rsid w:val="007D15C0"/>
    <w:rsid w:val="007D1651"/>
    <w:rsid w:val="007D2238"/>
    <w:rsid w:val="007D2B70"/>
    <w:rsid w:val="007D343D"/>
    <w:rsid w:val="007D3805"/>
    <w:rsid w:val="007D426C"/>
    <w:rsid w:val="007D43E2"/>
    <w:rsid w:val="007D4D7C"/>
    <w:rsid w:val="007D5127"/>
    <w:rsid w:val="007D52F2"/>
    <w:rsid w:val="007D5EF7"/>
    <w:rsid w:val="007D5F20"/>
    <w:rsid w:val="007D721F"/>
    <w:rsid w:val="007D77D4"/>
    <w:rsid w:val="007E0B9C"/>
    <w:rsid w:val="007E0E7E"/>
    <w:rsid w:val="007E1495"/>
    <w:rsid w:val="007E1498"/>
    <w:rsid w:val="007E15EF"/>
    <w:rsid w:val="007E1DD9"/>
    <w:rsid w:val="007E2F59"/>
    <w:rsid w:val="007E4942"/>
    <w:rsid w:val="007E4BA2"/>
    <w:rsid w:val="007E4BE3"/>
    <w:rsid w:val="007E5126"/>
    <w:rsid w:val="007E522F"/>
    <w:rsid w:val="007E582B"/>
    <w:rsid w:val="007E5EBC"/>
    <w:rsid w:val="007E6805"/>
    <w:rsid w:val="007E6B5B"/>
    <w:rsid w:val="007E7149"/>
    <w:rsid w:val="007F0199"/>
    <w:rsid w:val="007F03E9"/>
    <w:rsid w:val="007F0A52"/>
    <w:rsid w:val="007F0EA2"/>
    <w:rsid w:val="007F0F98"/>
    <w:rsid w:val="007F1E6A"/>
    <w:rsid w:val="007F26DF"/>
    <w:rsid w:val="007F2AA6"/>
    <w:rsid w:val="007F2F81"/>
    <w:rsid w:val="007F315B"/>
    <w:rsid w:val="007F3C30"/>
    <w:rsid w:val="007F4A5B"/>
    <w:rsid w:val="007F6BEE"/>
    <w:rsid w:val="007F6DC5"/>
    <w:rsid w:val="007F710F"/>
    <w:rsid w:val="007F771F"/>
    <w:rsid w:val="0080055C"/>
    <w:rsid w:val="00801308"/>
    <w:rsid w:val="0080240A"/>
    <w:rsid w:val="008027A5"/>
    <w:rsid w:val="00802967"/>
    <w:rsid w:val="008029A1"/>
    <w:rsid w:val="00803182"/>
    <w:rsid w:val="008035C0"/>
    <w:rsid w:val="0080635B"/>
    <w:rsid w:val="0080659D"/>
    <w:rsid w:val="008066CA"/>
    <w:rsid w:val="00806773"/>
    <w:rsid w:val="008070F5"/>
    <w:rsid w:val="008072D0"/>
    <w:rsid w:val="00807C23"/>
    <w:rsid w:val="008101DD"/>
    <w:rsid w:val="00811C72"/>
    <w:rsid w:val="00812680"/>
    <w:rsid w:val="00812B2D"/>
    <w:rsid w:val="00812CF3"/>
    <w:rsid w:val="00812E8E"/>
    <w:rsid w:val="0081338A"/>
    <w:rsid w:val="0081344A"/>
    <w:rsid w:val="0081380A"/>
    <w:rsid w:val="00813BA0"/>
    <w:rsid w:val="00814283"/>
    <w:rsid w:val="0081432B"/>
    <w:rsid w:val="008151CD"/>
    <w:rsid w:val="008157C0"/>
    <w:rsid w:val="00816656"/>
    <w:rsid w:val="008167E9"/>
    <w:rsid w:val="008168B1"/>
    <w:rsid w:val="00817008"/>
    <w:rsid w:val="0081714F"/>
    <w:rsid w:val="008175A4"/>
    <w:rsid w:val="00820A2B"/>
    <w:rsid w:val="008212BF"/>
    <w:rsid w:val="008214A4"/>
    <w:rsid w:val="0082274E"/>
    <w:rsid w:val="00823AEF"/>
    <w:rsid w:val="00825C02"/>
    <w:rsid w:val="00826597"/>
    <w:rsid w:val="008269A8"/>
    <w:rsid w:val="00826F57"/>
    <w:rsid w:val="00827944"/>
    <w:rsid w:val="008301A4"/>
    <w:rsid w:val="00830A34"/>
    <w:rsid w:val="00830C1A"/>
    <w:rsid w:val="00831246"/>
    <w:rsid w:val="008328D8"/>
    <w:rsid w:val="00832F3A"/>
    <w:rsid w:val="00832F77"/>
    <w:rsid w:val="008330D0"/>
    <w:rsid w:val="00833425"/>
    <w:rsid w:val="00833DA4"/>
    <w:rsid w:val="008349D7"/>
    <w:rsid w:val="00834FA6"/>
    <w:rsid w:val="00834FC4"/>
    <w:rsid w:val="0083586E"/>
    <w:rsid w:val="008360F4"/>
    <w:rsid w:val="00837E91"/>
    <w:rsid w:val="00840090"/>
    <w:rsid w:val="00840193"/>
    <w:rsid w:val="008412F7"/>
    <w:rsid w:val="0084300B"/>
    <w:rsid w:val="0084303F"/>
    <w:rsid w:val="0084355D"/>
    <w:rsid w:val="008441F4"/>
    <w:rsid w:val="008442EE"/>
    <w:rsid w:val="008447CF"/>
    <w:rsid w:val="00844C93"/>
    <w:rsid w:val="0084569E"/>
    <w:rsid w:val="0084603D"/>
    <w:rsid w:val="00846419"/>
    <w:rsid w:val="00847E9E"/>
    <w:rsid w:val="0085020E"/>
    <w:rsid w:val="00850A69"/>
    <w:rsid w:val="00850FCA"/>
    <w:rsid w:val="008515B7"/>
    <w:rsid w:val="00851673"/>
    <w:rsid w:val="008524CB"/>
    <w:rsid w:val="008529CC"/>
    <w:rsid w:val="00852B27"/>
    <w:rsid w:val="00853AB8"/>
    <w:rsid w:val="00853C37"/>
    <w:rsid w:val="00854155"/>
    <w:rsid w:val="008545FC"/>
    <w:rsid w:val="00854CC1"/>
    <w:rsid w:val="00854E31"/>
    <w:rsid w:val="0085501B"/>
    <w:rsid w:val="0085533A"/>
    <w:rsid w:val="00855B2F"/>
    <w:rsid w:val="00855E83"/>
    <w:rsid w:val="008566E8"/>
    <w:rsid w:val="00857613"/>
    <w:rsid w:val="00857AA6"/>
    <w:rsid w:val="0086049A"/>
    <w:rsid w:val="00860F85"/>
    <w:rsid w:val="00861329"/>
    <w:rsid w:val="008614A5"/>
    <w:rsid w:val="00861981"/>
    <w:rsid w:val="00861CA5"/>
    <w:rsid w:val="00862104"/>
    <w:rsid w:val="0086227B"/>
    <w:rsid w:val="0086372A"/>
    <w:rsid w:val="00863EDD"/>
    <w:rsid w:val="008644F6"/>
    <w:rsid w:val="008655F3"/>
    <w:rsid w:val="00866C9E"/>
    <w:rsid w:val="00867307"/>
    <w:rsid w:val="008679C0"/>
    <w:rsid w:val="008700B8"/>
    <w:rsid w:val="00871E29"/>
    <w:rsid w:val="008724A5"/>
    <w:rsid w:val="008727DA"/>
    <w:rsid w:val="0087301A"/>
    <w:rsid w:val="008730A4"/>
    <w:rsid w:val="0087508C"/>
    <w:rsid w:val="008752FA"/>
    <w:rsid w:val="00875E3D"/>
    <w:rsid w:val="00875F04"/>
    <w:rsid w:val="00876541"/>
    <w:rsid w:val="008773D9"/>
    <w:rsid w:val="0087766C"/>
    <w:rsid w:val="00877D83"/>
    <w:rsid w:val="008801EB"/>
    <w:rsid w:val="00881539"/>
    <w:rsid w:val="00881C5D"/>
    <w:rsid w:val="00882D30"/>
    <w:rsid w:val="0088435B"/>
    <w:rsid w:val="008856EE"/>
    <w:rsid w:val="00885700"/>
    <w:rsid w:val="008862C0"/>
    <w:rsid w:val="008866C3"/>
    <w:rsid w:val="008875F8"/>
    <w:rsid w:val="00887774"/>
    <w:rsid w:val="008879D1"/>
    <w:rsid w:val="00890F0A"/>
    <w:rsid w:val="00892F42"/>
    <w:rsid w:val="00893023"/>
    <w:rsid w:val="00893204"/>
    <w:rsid w:val="008945E4"/>
    <w:rsid w:val="008959E9"/>
    <w:rsid w:val="00895CEC"/>
    <w:rsid w:val="00896021"/>
    <w:rsid w:val="0089618D"/>
    <w:rsid w:val="008968F2"/>
    <w:rsid w:val="00897A00"/>
    <w:rsid w:val="00897F00"/>
    <w:rsid w:val="008A00F6"/>
    <w:rsid w:val="008A0479"/>
    <w:rsid w:val="008A10BE"/>
    <w:rsid w:val="008A1173"/>
    <w:rsid w:val="008A1497"/>
    <w:rsid w:val="008A2657"/>
    <w:rsid w:val="008A27CD"/>
    <w:rsid w:val="008A30D4"/>
    <w:rsid w:val="008A344F"/>
    <w:rsid w:val="008A40C0"/>
    <w:rsid w:val="008A596F"/>
    <w:rsid w:val="008A5B30"/>
    <w:rsid w:val="008A5E45"/>
    <w:rsid w:val="008A647E"/>
    <w:rsid w:val="008A7FD7"/>
    <w:rsid w:val="008B013C"/>
    <w:rsid w:val="008B0460"/>
    <w:rsid w:val="008B1923"/>
    <w:rsid w:val="008B1EDA"/>
    <w:rsid w:val="008B23B5"/>
    <w:rsid w:val="008B299B"/>
    <w:rsid w:val="008B3354"/>
    <w:rsid w:val="008B3370"/>
    <w:rsid w:val="008B33C1"/>
    <w:rsid w:val="008B4475"/>
    <w:rsid w:val="008B4861"/>
    <w:rsid w:val="008B4D90"/>
    <w:rsid w:val="008B5DC0"/>
    <w:rsid w:val="008B6529"/>
    <w:rsid w:val="008B66EE"/>
    <w:rsid w:val="008B67CE"/>
    <w:rsid w:val="008B75C1"/>
    <w:rsid w:val="008C2089"/>
    <w:rsid w:val="008C2235"/>
    <w:rsid w:val="008C3E5D"/>
    <w:rsid w:val="008C41C8"/>
    <w:rsid w:val="008C4C06"/>
    <w:rsid w:val="008C4FB3"/>
    <w:rsid w:val="008C53C0"/>
    <w:rsid w:val="008C5750"/>
    <w:rsid w:val="008C61DB"/>
    <w:rsid w:val="008C6EE0"/>
    <w:rsid w:val="008C707C"/>
    <w:rsid w:val="008D0483"/>
    <w:rsid w:val="008D07C5"/>
    <w:rsid w:val="008D0986"/>
    <w:rsid w:val="008D204D"/>
    <w:rsid w:val="008D35CE"/>
    <w:rsid w:val="008D4186"/>
    <w:rsid w:val="008D41C8"/>
    <w:rsid w:val="008D546A"/>
    <w:rsid w:val="008D55A5"/>
    <w:rsid w:val="008D5D3D"/>
    <w:rsid w:val="008D6DBA"/>
    <w:rsid w:val="008D70FB"/>
    <w:rsid w:val="008D79D4"/>
    <w:rsid w:val="008E0048"/>
    <w:rsid w:val="008E0388"/>
    <w:rsid w:val="008E0A59"/>
    <w:rsid w:val="008E17CD"/>
    <w:rsid w:val="008E2422"/>
    <w:rsid w:val="008E26BF"/>
    <w:rsid w:val="008E288E"/>
    <w:rsid w:val="008E2901"/>
    <w:rsid w:val="008E2941"/>
    <w:rsid w:val="008E38B2"/>
    <w:rsid w:val="008E3F9D"/>
    <w:rsid w:val="008E49EC"/>
    <w:rsid w:val="008E4D17"/>
    <w:rsid w:val="008E5E00"/>
    <w:rsid w:val="008E5F61"/>
    <w:rsid w:val="008E7F28"/>
    <w:rsid w:val="008F1DF1"/>
    <w:rsid w:val="008F310C"/>
    <w:rsid w:val="008F341B"/>
    <w:rsid w:val="008F3ED9"/>
    <w:rsid w:val="008F504F"/>
    <w:rsid w:val="008F5379"/>
    <w:rsid w:val="008F5B92"/>
    <w:rsid w:val="008F5E62"/>
    <w:rsid w:val="008F5F64"/>
    <w:rsid w:val="008F63CD"/>
    <w:rsid w:val="008F74AF"/>
    <w:rsid w:val="008F7760"/>
    <w:rsid w:val="008F784F"/>
    <w:rsid w:val="008F7F31"/>
    <w:rsid w:val="009005C0"/>
    <w:rsid w:val="009007CD"/>
    <w:rsid w:val="00901266"/>
    <w:rsid w:val="00901DDD"/>
    <w:rsid w:val="00903387"/>
    <w:rsid w:val="00903808"/>
    <w:rsid w:val="00903958"/>
    <w:rsid w:val="00905A9C"/>
    <w:rsid w:val="00906DC8"/>
    <w:rsid w:val="0090710B"/>
    <w:rsid w:val="0090792D"/>
    <w:rsid w:val="00911993"/>
    <w:rsid w:val="009139E4"/>
    <w:rsid w:val="009143F9"/>
    <w:rsid w:val="00914B5F"/>
    <w:rsid w:val="00915A7F"/>
    <w:rsid w:val="00915F00"/>
    <w:rsid w:val="0091630B"/>
    <w:rsid w:val="0091672F"/>
    <w:rsid w:val="00916B5A"/>
    <w:rsid w:val="0091734D"/>
    <w:rsid w:val="009177B9"/>
    <w:rsid w:val="00920283"/>
    <w:rsid w:val="00920955"/>
    <w:rsid w:val="00920DC9"/>
    <w:rsid w:val="00921C67"/>
    <w:rsid w:val="0092294F"/>
    <w:rsid w:val="00923463"/>
    <w:rsid w:val="00923B51"/>
    <w:rsid w:val="00924241"/>
    <w:rsid w:val="00924282"/>
    <w:rsid w:val="00926C22"/>
    <w:rsid w:val="00927FC2"/>
    <w:rsid w:val="009303A2"/>
    <w:rsid w:val="0093074A"/>
    <w:rsid w:val="0093112F"/>
    <w:rsid w:val="00932101"/>
    <w:rsid w:val="00932268"/>
    <w:rsid w:val="00932E60"/>
    <w:rsid w:val="00933793"/>
    <w:rsid w:val="00933E5C"/>
    <w:rsid w:val="009348E3"/>
    <w:rsid w:val="00934BE7"/>
    <w:rsid w:val="00934F06"/>
    <w:rsid w:val="00935A42"/>
    <w:rsid w:val="00935FA1"/>
    <w:rsid w:val="009363EF"/>
    <w:rsid w:val="00936953"/>
    <w:rsid w:val="00937DC0"/>
    <w:rsid w:val="009400BC"/>
    <w:rsid w:val="00940911"/>
    <w:rsid w:val="00941217"/>
    <w:rsid w:val="009416CD"/>
    <w:rsid w:val="00941F8D"/>
    <w:rsid w:val="009422D6"/>
    <w:rsid w:val="00942D46"/>
    <w:rsid w:val="00943106"/>
    <w:rsid w:val="0094340A"/>
    <w:rsid w:val="009435C5"/>
    <w:rsid w:val="009435F3"/>
    <w:rsid w:val="00943612"/>
    <w:rsid w:val="00944631"/>
    <w:rsid w:val="00944F49"/>
    <w:rsid w:val="00945897"/>
    <w:rsid w:val="009468E3"/>
    <w:rsid w:val="00946B4C"/>
    <w:rsid w:val="0094731B"/>
    <w:rsid w:val="00947704"/>
    <w:rsid w:val="00950135"/>
    <w:rsid w:val="00950304"/>
    <w:rsid w:val="00950361"/>
    <w:rsid w:val="009503D4"/>
    <w:rsid w:val="00950EF3"/>
    <w:rsid w:val="0095110C"/>
    <w:rsid w:val="0095156B"/>
    <w:rsid w:val="0095174B"/>
    <w:rsid w:val="00952629"/>
    <w:rsid w:val="00952FCA"/>
    <w:rsid w:val="0095316F"/>
    <w:rsid w:val="009534B8"/>
    <w:rsid w:val="00953DC9"/>
    <w:rsid w:val="009541E1"/>
    <w:rsid w:val="00954D28"/>
    <w:rsid w:val="00954F28"/>
    <w:rsid w:val="00955F6E"/>
    <w:rsid w:val="00956691"/>
    <w:rsid w:val="0095706F"/>
    <w:rsid w:val="0095797D"/>
    <w:rsid w:val="00957BFC"/>
    <w:rsid w:val="009617E1"/>
    <w:rsid w:val="00961A87"/>
    <w:rsid w:val="00962055"/>
    <w:rsid w:val="00962A22"/>
    <w:rsid w:val="009632F7"/>
    <w:rsid w:val="0096369B"/>
    <w:rsid w:val="00964033"/>
    <w:rsid w:val="00964302"/>
    <w:rsid w:val="00965BA9"/>
    <w:rsid w:val="00965BE9"/>
    <w:rsid w:val="00965C03"/>
    <w:rsid w:val="00965D70"/>
    <w:rsid w:val="009675DB"/>
    <w:rsid w:val="009678CF"/>
    <w:rsid w:val="00967EA0"/>
    <w:rsid w:val="00967FCB"/>
    <w:rsid w:val="009701CD"/>
    <w:rsid w:val="0097214E"/>
    <w:rsid w:val="00973116"/>
    <w:rsid w:val="00973504"/>
    <w:rsid w:val="00973514"/>
    <w:rsid w:val="00974635"/>
    <w:rsid w:val="00974765"/>
    <w:rsid w:val="00974989"/>
    <w:rsid w:val="00974CF4"/>
    <w:rsid w:val="00976662"/>
    <w:rsid w:val="00976C21"/>
    <w:rsid w:val="00977174"/>
    <w:rsid w:val="00977F2A"/>
    <w:rsid w:val="00980541"/>
    <w:rsid w:val="00980759"/>
    <w:rsid w:val="009807C8"/>
    <w:rsid w:val="00980B6D"/>
    <w:rsid w:val="00980CEB"/>
    <w:rsid w:val="009813CA"/>
    <w:rsid w:val="00981928"/>
    <w:rsid w:val="00981FEC"/>
    <w:rsid w:val="00983AD8"/>
    <w:rsid w:val="00983DC0"/>
    <w:rsid w:val="009847DA"/>
    <w:rsid w:val="00984AC7"/>
    <w:rsid w:val="0098537D"/>
    <w:rsid w:val="009858C9"/>
    <w:rsid w:val="0098598A"/>
    <w:rsid w:val="00985D95"/>
    <w:rsid w:val="009871E1"/>
    <w:rsid w:val="0098739E"/>
    <w:rsid w:val="00987D4B"/>
    <w:rsid w:val="00987FB9"/>
    <w:rsid w:val="00990205"/>
    <w:rsid w:val="0099097E"/>
    <w:rsid w:val="00990D17"/>
    <w:rsid w:val="0099163D"/>
    <w:rsid w:val="00992A93"/>
    <w:rsid w:val="00993023"/>
    <w:rsid w:val="009934EF"/>
    <w:rsid w:val="00994441"/>
    <w:rsid w:val="009945B7"/>
    <w:rsid w:val="00994B71"/>
    <w:rsid w:val="00994C45"/>
    <w:rsid w:val="00995257"/>
    <w:rsid w:val="00995277"/>
    <w:rsid w:val="00996E70"/>
    <w:rsid w:val="00997039"/>
    <w:rsid w:val="009971B2"/>
    <w:rsid w:val="00997C79"/>
    <w:rsid w:val="009A11C8"/>
    <w:rsid w:val="009A1617"/>
    <w:rsid w:val="009A1BCA"/>
    <w:rsid w:val="009A26A4"/>
    <w:rsid w:val="009A2F3A"/>
    <w:rsid w:val="009A30E6"/>
    <w:rsid w:val="009A40D5"/>
    <w:rsid w:val="009A4781"/>
    <w:rsid w:val="009A5580"/>
    <w:rsid w:val="009A560E"/>
    <w:rsid w:val="009A5848"/>
    <w:rsid w:val="009A7932"/>
    <w:rsid w:val="009B04C2"/>
    <w:rsid w:val="009B076D"/>
    <w:rsid w:val="009B23CB"/>
    <w:rsid w:val="009B2B23"/>
    <w:rsid w:val="009B2C46"/>
    <w:rsid w:val="009B342B"/>
    <w:rsid w:val="009B35D0"/>
    <w:rsid w:val="009B3BAE"/>
    <w:rsid w:val="009B4554"/>
    <w:rsid w:val="009B45BE"/>
    <w:rsid w:val="009B4830"/>
    <w:rsid w:val="009B4C7B"/>
    <w:rsid w:val="009B5975"/>
    <w:rsid w:val="009B5B06"/>
    <w:rsid w:val="009B5C1E"/>
    <w:rsid w:val="009B6F2C"/>
    <w:rsid w:val="009C05EA"/>
    <w:rsid w:val="009C1E21"/>
    <w:rsid w:val="009C26E8"/>
    <w:rsid w:val="009C2793"/>
    <w:rsid w:val="009C3279"/>
    <w:rsid w:val="009C4527"/>
    <w:rsid w:val="009C50EB"/>
    <w:rsid w:val="009C5870"/>
    <w:rsid w:val="009C5C15"/>
    <w:rsid w:val="009C7FFD"/>
    <w:rsid w:val="009D06CF"/>
    <w:rsid w:val="009D0898"/>
    <w:rsid w:val="009D0D1A"/>
    <w:rsid w:val="009D1056"/>
    <w:rsid w:val="009D1987"/>
    <w:rsid w:val="009D1AE5"/>
    <w:rsid w:val="009D35A4"/>
    <w:rsid w:val="009D3B00"/>
    <w:rsid w:val="009D514E"/>
    <w:rsid w:val="009D5A83"/>
    <w:rsid w:val="009D5F99"/>
    <w:rsid w:val="009D6D86"/>
    <w:rsid w:val="009D72F6"/>
    <w:rsid w:val="009D7458"/>
    <w:rsid w:val="009D77D3"/>
    <w:rsid w:val="009E0013"/>
    <w:rsid w:val="009E00CF"/>
    <w:rsid w:val="009E0A86"/>
    <w:rsid w:val="009E0C91"/>
    <w:rsid w:val="009E1632"/>
    <w:rsid w:val="009E1FF4"/>
    <w:rsid w:val="009E2065"/>
    <w:rsid w:val="009E2B15"/>
    <w:rsid w:val="009E2BC1"/>
    <w:rsid w:val="009E3A84"/>
    <w:rsid w:val="009E3DC7"/>
    <w:rsid w:val="009E3EEB"/>
    <w:rsid w:val="009E476C"/>
    <w:rsid w:val="009E47D8"/>
    <w:rsid w:val="009E5365"/>
    <w:rsid w:val="009E61B8"/>
    <w:rsid w:val="009E646F"/>
    <w:rsid w:val="009E685B"/>
    <w:rsid w:val="009F01D2"/>
    <w:rsid w:val="009F0664"/>
    <w:rsid w:val="009F09EC"/>
    <w:rsid w:val="009F1221"/>
    <w:rsid w:val="009F1599"/>
    <w:rsid w:val="009F1666"/>
    <w:rsid w:val="009F195E"/>
    <w:rsid w:val="009F27D7"/>
    <w:rsid w:val="009F2F48"/>
    <w:rsid w:val="009F3B34"/>
    <w:rsid w:val="009F46AB"/>
    <w:rsid w:val="009F47E5"/>
    <w:rsid w:val="009F52B6"/>
    <w:rsid w:val="009F6790"/>
    <w:rsid w:val="009F6955"/>
    <w:rsid w:val="009F75D0"/>
    <w:rsid w:val="009F7630"/>
    <w:rsid w:val="009F7656"/>
    <w:rsid w:val="00A0009C"/>
    <w:rsid w:val="00A0082C"/>
    <w:rsid w:val="00A00A11"/>
    <w:rsid w:val="00A00D6E"/>
    <w:rsid w:val="00A011B1"/>
    <w:rsid w:val="00A024E9"/>
    <w:rsid w:val="00A03152"/>
    <w:rsid w:val="00A0380B"/>
    <w:rsid w:val="00A046D9"/>
    <w:rsid w:val="00A05BB2"/>
    <w:rsid w:val="00A05CAF"/>
    <w:rsid w:val="00A06B8D"/>
    <w:rsid w:val="00A06C28"/>
    <w:rsid w:val="00A073CD"/>
    <w:rsid w:val="00A07FB9"/>
    <w:rsid w:val="00A10C6B"/>
    <w:rsid w:val="00A10D56"/>
    <w:rsid w:val="00A115A7"/>
    <w:rsid w:val="00A129F8"/>
    <w:rsid w:val="00A1335B"/>
    <w:rsid w:val="00A13576"/>
    <w:rsid w:val="00A138C5"/>
    <w:rsid w:val="00A13BED"/>
    <w:rsid w:val="00A13F15"/>
    <w:rsid w:val="00A1437A"/>
    <w:rsid w:val="00A14C05"/>
    <w:rsid w:val="00A153FE"/>
    <w:rsid w:val="00A1561E"/>
    <w:rsid w:val="00A16274"/>
    <w:rsid w:val="00A16AF1"/>
    <w:rsid w:val="00A16D2B"/>
    <w:rsid w:val="00A16DFF"/>
    <w:rsid w:val="00A177CD"/>
    <w:rsid w:val="00A1791E"/>
    <w:rsid w:val="00A17F44"/>
    <w:rsid w:val="00A204C4"/>
    <w:rsid w:val="00A20984"/>
    <w:rsid w:val="00A20B9A"/>
    <w:rsid w:val="00A2136D"/>
    <w:rsid w:val="00A217EF"/>
    <w:rsid w:val="00A21A73"/>
    <w:rsid w:val="00A21F83"/>
    <w:rsid w:val="00A21FD3"/>
    <w:rsid w:val="00A2227B"/>
    <w:rsid w:val="00A2273A"/>
    <w:rsid w:val="00A22753"/>
    <w:rsid w:val="00A22A35"/>
    <w:rsid w:val="00A23BC4"/>
    <w:rsid w:val="00A24A7C"/>
    <w:rsid w:val="00A25E78"/>
    <w:rsid w:val="00A25FA3"/>
    <w:rsid w:val="00A276A7"/>
    <w:rsid w:val="00A307F8"/>
    <w:rsid w:val="00A30C51"/>
    <w:rsid w:val="00A30CF1"/>
    <w:rsid w:val="00A31C5A"/>
    <w:rsid w:val="00A31D40"/>
    <w:rsid w:val="00A32149"/>
    <w:rsid w:val="00A32E35"/>
    <w:rsid w:val="00A3356F"/>
    <w:rsid w:val="00A33BB0"/>
    <w:rsid w:val="00A340FC"/>
    <w:rsid w:val="00A3433F"/>
    <w:rsid w:val="00A3456D"/>
    <w:rsid w:val="00A347A8"/>
    <w:rsid w:val="00A34C91"/>
    <w:rsid w:val="00A34E06"/>
    <w:rsid w:val="00A3599E"/>
    <w:rsid w:val="00A363ED"/>
    <w:rsid w:val="00A367AA"/>
    <w:rsid w:val="00A36B25"/>
    <w:rsid w:val="00A37BB1"/>
    <w:rsid w:val="00A37C8C"/>
    <w:rsid w:val="00A41060"/>
    <w:rsid w:val="00A41878"/>
    <w:rsid w:val="00A41970"/>
    <w:rsid w:val="00A41D80"/>
    <w:rsid w:val="00A43B17"/>
    <w:rsid w:val="00A43EF4"/>
    <w:rsid w:val="00A43F3A"/>
    <w:rsid w:val="00A43F66"/>
    <w:rsid w:val="00A43FC4"/>
    <w:rsid w:val="00A445A1"/>
    <w:rsid w:val="00A4492A"/>
    <w:rsid w:val="00A457CA"/>
    <w:rsid w:val="00A45CD4"/>
    <w:rsid w:val="00A45FEA"/>
    <w:rsid w:val="00A4677A"/>
    <w:rsid w:val="00A46979"/>
    <w:rsid w:val="00A472B9"/>
    <w:rsid w:val="00A477E1"/>
    <w:rsid w:val="00A47A79"/>
    <w:rsid w:val="00A5040E"/>
    <w:rsid w:val="00A504F3"/>
    <w:rsid w:val="00A51C1F"/>
    <w:rsid w:val="00A51D99"/>
    <w:rsid w:val="00A51DC2"/>
    <w:rsid w:val="00A53A1C"/>
    <w:rsid w:val="00A540B6"/>
    <w:rsid w:val="00A54DD1"/>
    <w:rsid w:val="00A55A5D"/>
    <w:rsid w:val="00A55B30"/>
    <w:rsid w:val="00A56112"/>
    <w:rsid w:val="00A567F6"/>
    <w:rsid w:val="00A63313"/>
    <w:rsid w:val="00A63428"/>
    <w:rsid w:val="00A63868"/>
    <w:rsid w:val="00A639EE"/>
    <w:rsid w:val="00A64030"/>
    <w:rsid w:val="00A6444F"/>
    <w:rsid w:val="00A648C2"/>
    <w:rsid w:val="00A65604"/>
    <w:rsid w:val="00A65B19"/>
    <w:rsid w:val="00A65D71"/>
    <w:rsid w:val="00A67C25"/>
    <w:rsid w:val="00A70593"/>
    <w:rsid w:val="00A71983"/>
    <w:rsid w:val="00A719E7"/>
    <w:rsid w:val="00A721D6"/>
    <w:rsid w:val="00A73494"/>
    <w:rsid w:val="00A73521"/>
    <w:rsid w:val="00A73ACC"/>
    <w:rsid w:val="00A73FB9"/>
    <w:rsid w:val="00A744F8"/>
    <w:rsid w:val="00A74590"/>
    <w:rsid w:val="00A749F0"/>
    <w:rsid w:val="00A74DAB"/>
    <w:rsid w:val="00A7669B"/>
    <w:rsid w:val="00A769CA"/>
    <w:rsid w:val="00A77557"/>
    <w:rsid w:val="00A80985"/>
    <w:rsid w:val="00A80AB2"/>
    <w:rsid w:val="00A80FC5"/>
    <w:rsid w:val="00A81320"/>
    <w:rsid w:val="00A815FC"/>
    <w:rsid w:val="00A8486D"/>
    <w:rsid w:val="00A84B59"/>
    <w:rsid w:val="00A84D12"/>
    <w:rsid w:val="00A85B96"/>
    <w:rsid w:val="00A874AB"/>
    <w:rsid w:val="00A87FAC"/>
    <w:rsid w:val="00A90734"/>
    <w:rsid w:val="00A90ED8"/>
    <w:rsid w:val="00A9133F"/>
    <w:rsid w:val="00A916A7"/>
    <w:rsid w:val="00A9181A"/>
    <w:rsid w:val="00A91C00"/>
    <w:rsid w:val="00A91C90"/>
    <w:rsid w:val="00A923AC"/>
    <w:rsid w:val="00A92A82"/>
    <w:rsid w:val="00A932A6"/>
    <w:rsid w:val="00A93A4D"/>
    <w:rsid w:val="00A9414A"/>
    <w:rsid w:val="00A94263"/>
    <w:rsid w:val="00A94363"/>
    <w:rsid w:val="00A9481F"/>
    <w:rsid w:val="00A95B89"/>
    <w:rsid w:val="00A974FB"/>
    <w:rsid w:val="00A97515"/>
    <w:rsid w:val="00A97706"/>
    <w:rsid w:val="00AA0731"/>
    <w:rsid w:val="00AA0E49"/>
    <w:rsid w:val="00AA0EE5"/>
    <w:rsid w:val="00AA1B85"/>
    <w:rsid w:val="00AA1D0C"/>
    <w:rsid w:val="00AA24CF"/>
    <w:rsid w:val="00AA2677"/>
    <w:rsid w:val="00AA2C69"/>
    <w:rsid w:val="00AA2F08"/>
    <w:rsid w:val="00AA30FC"/>
    <w:rsid w:val="00AA3C15"/>
    <w:rsid w:val="00AA46BD"/>
    <w:rsid w:val="00AA4D5B"/>
    <w:rsid w:val="00AA4F3B"/>
    <w:rsid w:val="00AA51DC"/>
    <w:rsid w:val="00AA563A"/>
    <w:rsid w:val="00AA6489"/>
    <w:rsid w:val="00AA64AC"/>
    <w:rsid w:val="00AA7F21"/>
    <w:rsid w:val="00AB05F5"/>
    <w:rsid w:val="00AB0B52"/>
    <w:rsid w:val="00AB0D22"/>
    <w:rsid w:val="00AB0D40"/>
    <w:rsid w:val="00AB11B5"/>
    <w:rsid w:val="00AB1BDD"/>
    <w:rsid w:val="00AB208B"/>
    <w:rsid w:val="00AB234A"/>
    <w:rsid w:val="00AB24C3"/>
    <w:rsid w:val="00AB260D"/>
    <w:rsid w:val="00AB2AE8"/>
    <w:rsid w:val="00AB3159"/>
    <w:rsid w:val="00AB4877"/>
    <w:rsid w:val="00AB4B3F"/>
    <w:rsid w:val="00AB52B3"/>
    <w:rsid w:val="00AB56A7"/>
    <w:rsid w:val="00AB59E4"/>
    <w:rsid w:val="00AB5BA6"/>
    <w:rsid w:val="00AB6249"/>
    <w:rsid w:val="00AB6EED"/>
    <w:rsid w:val="00AB7BEB"/>
    <w:rsid w:val="00AB7D3C"/>
    <w:rsid w:val="00AC14F6"/>
    <w:rsid w:val="00AC26F7"/>
    <w:rsid w:val="00AC2F7C"/>
    <w:rsid w:val="00AC4562"/>
    <w:rsid w:val="00AC5289"/>
    <w:rsid w:val="00AC592B"/>
    <w:rsid w:val="00AC6122"/>
    <w:rsid w:val="00AC63E9"/>
    <w:rsid w:val="00AC682F"/>
    <w:rsid w:val="00AC6975"/>
    <w:rsid w:val="00AC74A7"/>
    <w:rsid w:val="00AC79C2"/>
    <w:rsid w:val="00AC79D4"/>
    <w:rsid w:val="00AD0046"/>
    <w:rsid w:val="00AD01FD"/>
    <w:rsid w:val="00AD03C0"/>
    <w:rsid w:val="00AD0A3B"/>
    <w:rsid w:val="00AD0A6E"/>
    <w:rsid w:val="00AD0C79"/>
    <w:rsid w:val="00AD1949"/>
    <w:rsid w:val="00AD207F"/>
    <w:rsid w:val="00AD2D0A"/>
    <w:rsid w:val="00AD3050"/>
    <w:rsid w:val="00AD35B7"/>
    <w:rsid w:val="00AD3EAE"/>
    <w:rsid w:val="00AD52B6"/>
    <w:rsid w:val="00AD6051"/>
    <w:rsid w:val="00AD65FF"/>
    <w:rsid w:val="00AD6929"/>
    <w:rsid w:val="00AD71E2"/>
    <w:rsid w:val="00AE12E3"/>
    <w:rsid w:val="00AE1538"/>
    <w:rsid w:val="00AE263B"/>
    <w:rsid w:val="00AE357E"/>
    <w:rsid w:val="00AE3AA3"/>
    <w:rsid w:val="00AE3ED8"/>
    <w:rsid w:val="00AE4FAB"/>
    <w:rsid w:val="00AE518F"/>
    <w:rsid w:val="00AE5433"/>
    <w:rsid w:val="00AE5A14"/>
    <w:rsid w:val="00AE6005"/>
    <w:rsid w:val="00AE7009"/>
    <w:rsid w:val="00AF0385"/>
    <w:rsid w:val="00AF03A3"/>
    <w:rsid w:val="00AF1475"/>
    <w:rsid w:val="00AF1CEC"/>
    <w:rsid w:val="00AF28BF"/>
    <w:rsid w:val="00AF3530"/>
    <w:rsid w:val="00AF39CF"/>
    <w:rsid w:val="00AF3D87"/>
    <w:rsid w:val="00AF47CC"/>
    <w:rsid w:val="00AF485F"/>
    <w:rsid w:val="00AF4D4F"/>
    <w:rsid w:val="00AF5152"/>
    <w:rsid w:val="00AF5723"/>
    <w:rsid w:val="00AF6A0E"/>
    <w:rsid w:val="00B0060E"/>
    <w:rsid w:val="00B0115E"/>
    <w:rsid w:val="00B013D3"/>
    <w:rsid w:val="00B01599"/>
    <w:rsid w:val="00B01D5E"/>
    <w:rsid w:val="00B032A2"/>
    <w:rsid w:val="00B04147"/>
    <w:rsid w:val="00B04877"/>
    <w:rsid w:val="00B049BF"/>
    <w:rsid w:val="00B05464"/>
    <w:rsid w:val="00B06776"/>
    <w:rsid w:val="00B07C1D"/>
    <w:rsid w:val="00B105C5"/>
    <w:rsid w:val="00B10943"/>
    <w:rsid w:val="00B10C46"/>
    <w:rsid w:val="00B131E2"/>
    <w:rsid w:val="00B13B40"/>
    <w:rsid w:val="00B13FD4"/>
    <w:rsid w:val="00B140B2"/>
    <w:rsid w:val="00B15562"/>
    <w:rsid w:val="00B16359"/>
    <w:rsid w:val="00B16CF9"/>
    <w:rsid w:val="00B176EC"/>
    <w:rsid w:val="00B17C1C"/>
    <w:rsid w:val="00B20B13"/>
    <w:rsid w:val="00B212F8"/>
    <w:rsid w:val="00B21909"/>
    <w:rsid w:val="00B21C49"/>
    <w:rsid w:val="00B21C51"/>
    <w:rsid w:val="00B227F0"/>
    <w:rsid w:val="00B229E1"/>
    <w:rsid w:val="00B22F33"/>
    <w:rsid w:val="00B23C48"/>
    <w:rsid w:val="00B249AD"/>
    <w:rsid w:val="00B25781"/>
    <w:rsid w:val="00B257C3"/>
    <w:rsid w:val="00B26799"/>
    <w:rsid w:val="00B269FC"/>
    <w:rsid w:val="00B26CDC"/>
    <w:rsid w:val="00B27032"/>
    <w:rsid w:val="00B271A7"/>
    <w:rsid w:val="00B277BA"/>
    <w:rsid w:val="00B303CF"/>
    <w:rsid w:val="00B31FC9"/>
    <w:rsid w:val="00B322F8"/>
    <w:rsid w:val="00B32614"/>
    <w:rsid w:val="00B32D22"/>
    <w:rsid w:val="00B35493"/>
    <w:rsid w:val="00B35E4F"/>
    <w:rsid w:val="00B36594"/>
    <w:rsid w:val="00B40599"/>
    <w:rsid w:val="00B423C0"/>
    <w:rsid w:val="00B42E15"/>
    <w:rsid w:val="00B44740"/>
    <w:rsid w:val="00B45517"/>
    <w:rsid w:val="00B46895"/>
    <w:rsid w:val="00B47A2C"/>
    <w:rsid w:val="00B47E90"/>
    <w:rsid w:val="00B501B1"/>
    <w:rsid w:val="00B50BB6"/>
    <w:rsid w:val="00B50E8B"/>
    <w:rsid w:val="00B5133D"/>
    <w:rsid w:val="00B51582"/>
    <w:rsid w:val="00B51F93"/>
    <w:rsid w:val="00B52B65"/>
    <w:rsid w:val="00B52CAC"/>
    <w:rsid w:val="00B52E5B"/>
    <w:rsid w:val="00B52F13"/>
    <w:rsid w:val="00B539A6"/>
    <w:rsid w:val="00B55860"/>
    <w:rsid w:val="00B55F94"/>
    <w:rsid w:val="00B563FA"/>
    <w:rsid w:val="00B56439"/>
    <w:rsid w:val="00B569F2"/>
    <w:rsid w:val="00B56D57"/>
    <w:rsid w:val="00B56D7C"/>
    <w:rsid w:val="00B60280"/>
    <w:rsid w:val="00B604ED"/>
    <w:rsid w:val="00B608AB"/>
    <w:rsid w:val="00B60A4F"/>
    <w:rsid w:val="00B60E86"/>
    <w:rsid w:val="00B60F01"/>
    <w:rsid w:val="00B614EC"/>
    <w:rsid w:val="00B61A01"/>
    <w:rsid w:val="00B61D25"/>
    <w:rsid w:val="00B6264F"/>
    <w:rsid w:val="00B62E69"/>
    <w:rsid w:val="00B64FEE"/>
    <w:rsid w:val="00B653A9"/>
    <w:rsid w:val="00B654BB"/>
    <w:rsid w:val="00B6583D"/>
    <w:rsid w:val="00B65AAC"/>
    <w:rsid w:val="00B6698B"/>
    <w:rsid w:val="00B676DE"/>
    <w:rsid w:val="00B679A8"/>
    <w:rsid w:val="00B67ED9"/>
    <w:rsid w:val="00B70E27"/>
    <w:rsid w:val="00B720C8"/>
    <w:rsid w:val="00B72F48"/>
    <w:rsid w:val="00B75F0B"/>
    <w:rsid w:val="00B764E9"/>
    <w:rsid w:val="00B766C2"/>
    <w:rsid w:val="00B77380"/>
    <w:rsid w:val="00B822A3"/>
    <w:rsid w:val="00B8312F"/>
    <w:rsid w:val="00B8332D"/>
    <w:rsid w:val="00B83B70"/>
    <w:rsid w:val="00B83F61"/>
    <w:rsid w:val="00B841E2"/>
    <w:rsid w:val="00B85002"/>
    <w:rsid w:val="00B85166"/>
    <w:rsid w:val="00B8520D"/>
    <w:rsid w:val="00B90DEE"/>
    <w:rsid w:val="00B931B7"/>
    <w:rsid w:val="00B93387"/>
    <w:rsid w:val="00B93649"/>
    <w:rsid w:val="00B94BBA"/>
    <w:rsid w:val="00B94C99"/>
    <w:rsid w:val="00B94E3C"/>
    <w:rsid w:val="00B960E8"/>
    <w:rsid w:val="00B9616F"/>
    <w:rsid w:val="00B96776"/>
    <w:rsid w:val="00B96D1B"/>
    <w:rsid w:val="00B96D9E"/>
    <w:rsid w:val="00B9769B"/>
    <w:rsid w:val="00B97802"/>
    <w:rsid w:val="00BA0C8D"/>
    <w:rsid w:val="00BA10E4"/>
    <w:rsid w:val="00BA13DA"/>
    <w:rsid w:val="00BA1B92"/>
    <w:rsid w:val="00BA1C48"/>
    <w:rsid w:val="00BA1C6B"/>
    <w:rsid w:val="00BA24DB"/>
    <w:rsid w:val="00BA2BDB"/>
    <w:rsid w:val="00BA30E4"/>
    <w:rsid w:val="00BA35B2"/>
    <w:rsid w:val="00BA35F1"/>
    <w:rsid w:val="00BA405C"/>
    <w:rsid w:val="00BA4451"/>
    <w:rsid w:val="00BA4CCB"/>
    <w:rsid w:val="00BA5DE2"/>
    <w:rsid w:val="00BA713B"/>
    <w:rsid w:val="00BA716B"/>
    <w:rsid w:val="00BA78FE"/>
    <w:rsid w:val="00BA7F30"/>
    <w:rsid w:val="00BB0034"/>
    <w:rsid w:val="00BB097B"/>
    <w:rsid w:val="00BB19FD"/>
    <w:rsid w:val="00BB1A54"/>
    <w:rsid w:val="00BB1A8C"/>
    <w:rsid w:val="00BB1ACE"/>
    <w:rsid w:val="00BB1B39"/>
    <w:rsid w:val="00BB1B56"/>
    <w:rsid w:val="00BB1D05"/>
    <w:rsid w:val="00BB33CB"/>
    <w:rsid w:val="00BB3A05"/>
    <w:rsid w:val="00BB593E"/>
    <w:rsid w:val="00BB7583"/>
    <w:rsid w:val="00BC045B"/>
    <w:rsid w:val="00BC06E9"/>
    <w:rsid w:val="00BC0956"/>
    <w:rsid w:val="00BC1CA0"/>
    <w:rsid w:val="00BC24C5"/>
    <w:rsid w:val="00BC2B58"/>
    <w:rsid w:val="00BC2B59"/>
    <w:rsid w:val="00BC387B"/>
    <w:rsid w:val="00BC3F0B"/>
    <w:rsid w:val="00BC453A"/>
    <w:rsid w:val="00BC48B6"/>
    <w:rsid w:val="00BC4DB5"/>
    <w:rsid w:val="00BC513C"/>
    <w:rsid w:val="00BC5E42"/>
    <w:rsid w:val="00BC5EDE"/>
    <w:rsid w:val="00BC6591"/>
    <w:rsid w:val="00BC6D90"/>
    <w:rsid w:val="00BC7522"/>
    <w:rsid w:val="00BC795E"/>
    <w:rsid w:val="00BC7B49"/>
    <w:rsid w:val="00BD001D"/>
    <w:rsid w:val="00BD0704"/>
    <w:rsid w:val="00BD1EAB"/>
    <w:rsid w:val="00BD215C"/>
    <w:rsid w:val="00BD2499"/>
    <w:rsid w:val="00BD2992"/>
    <w:rsid w:val="00BD3947"/>
    <w:rsid w:val="00BD42A3"/>
    <w:rsid w:val="00BD4CAF"/>
    <w:rsid w:val="00BD503D"/>
    <w:rsid w:val="00BD59B3"/>
    <w:rsid w:val="00BD655D"/>
    <w:rsid w:val="00BD6CE5"/>
    <w:rsid w:val="00BD717A"/>
    <w:rsid w:val="00BE1549"/>
    <w:rsid w:val="00BE27F7"/>
    <w:rsid w:val="00BE3E5A"/>
    <w:rsid w:val="00BE5C8D"/>
    <w:rsid w:val="00BE6580"/>
    <w:rsid w:val="00BE7113"/>
    <w:rsid w:val="00BF0E0D"/>
    <w:rsid w:val="00BF2C50"/>
    <w:rsid w:val="00BF3569"/>
    <w:rsid w:val="00BF39FB"/>
    <w:rsid w:val="00BF43D1"/>
    <w:rsid w:val="00BF4537"/>
    <w:rsid w:val="00BF47C1"/>
    <w:rsid w:val="00BF4D07"/>
    <w:rsid w:val="00BF515D"/>
    <w:rsid w:val="00BF6D1D"/>
    <w:rsid w:val="00C0076C"/>
    <w:rsid w:val="00C0082C"/>
    <w:rsid w:val="00C01210"/>
    <w:rsid w:val="00C02E3C"/>
    <w:rsid w:val="00C02ECD"/>
    <w:rsid w:val="00C036B7"/>
    <w:rsid w:val="00C04549"/>
    <w:rsid w:val="00C05371"/>
    <w:rsid w:val="00C0537B"/>
    <w:rsid w:val="00C05441"/>
    <w:rsid w:val="00C054CC"/>
    <w:rsid w:val="00C103A1"/>
    <w:rsid w:val="00C12486"/>
    <w:rsid w:val="00C12D95"/>
    <w:rsid w:val="00C13114"/>
    <w:rsid w:val="00C13934"/>
    <w:rsid w:val="00C15697"/>
    <w:rsid w:val="00C1606E"/>
    <w:rsid w:val="00C1666E"/>
    <w:rsid w:val="00C177F6"/>
    <w:rsid w:val="00C17B3D"/>
    <w:rsid w:val="00C202FD"/>
    <w:rsid w:val="00C2069B"/>
    <w:rsid w:val="00C20AC0"/>
    <w:rsid w:val="00C2138F"/>
    <w:rsid w:val="00C2166A"/>
    <w:rsid w:val="00C227B6"/>
    <w:rsid w:val="00C22A7A"/>
    <w:rsid w:val="00C22D58"/>
    <w:rsid w:val="00C22E3E"/>
    <w:rsid w:val="00C234B7"/>
    <w:rsid w:val="00C237F5"/>
    <w:rsid w:val="00C23EA4"/>
    <w:rsid w:val="00C24384"/>
    <w:rsid w:val="00C248B7"/>
    <w:rsid w:val="00C2637E"/>
    <w:rsid w:val="00C263D2"/>
    <w:rsid w:val="00C265B1"/>
    <w:rsid w:val="00C272B0"/>
    <w:rsid w:val="00C274AD"/>
    <w:rsid w:val="00C306E7"/>
    <w:rsid w:val="00C306FE"/>
    <w:rsid w:val="00C31388"/>
    <w:rsid w:val="00C31794"/>
    <w:rsid w:val="00C31C3B"/>
    <w:rsid w:val="00C32515"/>
    <w:rsid w:val="00C345AE"/>
    <w:rsid w:val="00C353AF"/>
    <w:rsid w:val="00C353FD"/>
    <w:rsid w:val="00C35A08"/>
    <w:rsid w:val="00C36C21"/>
    <w:rsid w:val="00C36C8C"/>
    <w:rsid w:val="00C36CD3"/>
    <w:rsid w:val="00C37823"/>
    <w:rsid w:val="00C37E0F"/>
    <w:rsid w:val="00C4033D"/>
    <w:rsid w:val="00C40438"/>
    <w:rsid w:val="00C4055C"/>
    <w:rsid w:val="00C40AFA"/>
    <w:rsid w:val="00C41644"/>
    <w:rsid w:val="00C41BA5"/>
    <w:rsid w:val="00C431D6"/>
    <w:rsid w:val="00C436B5"/>
    <w:rsid w:val="00C44B32"/>
    <w:rsid w:val="00C44CB4"/>
    <w:rsid w:val="00C44CEE"/>
    <w:rsid w:val="00C453DE"/>
    <w:rsid w:val="00C465D3"/>
    <w:rsid w:val="00C46930"/>
    <w:rsid w:val="00C51657"/>
    <w:rsid w:val="00C521BC"/>
    <w:rsid w:val="00C528D0"/>
    <w:rsid w:val="00C52AD2"/>
    <w:rsid w:val="00C5359E"/>
    <w:rsid w:val="00C54FDB"/>
    <w:rsid w:val="00C556C0"/>
    <w:rsid w:val="00C557AF"/>
    <w:rsid w:val="00C558B2"/>
    <w:rsid w:val="00C56808"/>
    <w:rsid w:val="00C5694A"/>
    <w:rsid w:val="00C57D2B"/>
    <w:rsid w:val="00C60479"/>
    <w:rsid w:val="00C60B85"/>
    <w:rsid w:val="00C614B7"/>
    <w:rsid w:val="00C6156E"/>
    <w:rsid w:val="00C61796"/>
    <w:rsid w:val="00C61AE9"/>
    <w:rsid w:val="00C628D8"/>
    <w:rsid w:val="00C634E9"/>
    <w:rsid w:val="00C63815"/>
    <w:rsid w:val="00C63DB8"/>
    <w:rsid w:val="00C647C7"/>
    <w:rsid w:val="00C64EA0"/>
    <w:rsid w:val="00C663D9"/>
    <w:rsid w:val="00C66A2B"/>
    <w:rsid w:val="00C7043E"/>
    <w:rsid w:val="00C70ED4"/>
    <w:rsid w:val="00C71DFE"/>
    <w:rsid w:val="00C721A4"/>
    <w:rsid w:val="00C724F5"/>
    <w:rsid w:val="00C72E03"/>
    <w:rsid w:val="00C73AD9"/>
    <w:rsid w:val="00C74192"/>
    <w:rsid w:val="00C745BE"/>
    <w:rsid w:val="00C7512C"/>
    <w:rsid w:val="00C75CD3"/>
    <w:rsid w:val="00C76A78"/>
    <w:rsid w:val="00C778A5"/>
    <w:rsid w:val="00C82FE3"/>
    <w:rsid w:val="00C82FF6"/>
    <w:rsid w:val="00C83935"/>
    <w:rsid w:val="00C84255"/>
    <w:rsid w:val="00C84467"/>
    <w:rsid w:val="00C84483"/>
    <w:rsid w:val="00C84F92"/>
    <w:rsid w:val="00C85523"/>
    <w:rsid w:val="00C85ABE"/>
    <w:rsid w:val="00C86073"/>
    <w:rsid w:val="00C86B31"/>
    <w:rsid w:val="00C86C99"/>
    <w:rsid w:val="00C8712D"/>
    <w:rsid w:val="00C8761A"/>
    <w:rsid w:val="00C877DB"/>
    <w:rsid w:val="00C87876"/>
    <w:rsid w:val="00C87EF2"/>
    <w:rsid w:val="00C901EE"/>
    <w:rsid w:val="00C914CA"/>
    <w:rsid w:val="00C9226E"/>
    <w:rsid w:val="00C92AF1"/>
    <w:rsid w:val="00C93408"/>
    <w:rsid w:val="00C94253"/>
    <w:rsid w:val="00C945B6"/>
    <w:rsid w:val="00C94F75"/>
    <w:rsid w:val="00C95C88"/>
    <w:rsid w:val="00C95D30"/>
    <w:rsid w:val="00C96C90"/>
    <w:rsid w:val="00C96F96"/>
    <w:rsid w:val="00C96FA7"/>
    <w:rsid w:val="00C972C8"/>
    <w:rsid w:val="00C979D3"/>
    <w:rsid w:val="00CA009F"/>
    <w:rsid w:val="00CA0637"/>
    <w:rsid w:val="00CA1B1B"/>
    <w:rsid w:val="00CA340B"/>
    <w:rsid w:val="00CA4489"/>
    <w:rsid w:val="00CA4A5B"/>
    <w:rsid w:val="00CA4E00"/>
    <w:rsid w:val="00CA4EC0"/>
    <w:rsid w:val="00CA5B93"/>
    <w:rsid w:val="00CA6AA4"/>
    <w:rsid w:val="00CA6CAD"/>
    <w:rsid w:val="00CA7DBE"/>
    <w:rsid w:val="00CB05E6"/>
    <w:rsid w:val="00CB05F9"/>
    <w:rsid w:val="00CB0D58"/>
    <w:rsid w:val="00CB17DD"/>
    <w:rsid w:val="00CB196F"/>
    <w:rsid w:val="00CB19B1"/>
    <w:rsid w:val="00CB24B8"/>
    <w:rsid w:val="00CB25DF"/>
    <w:rsid w:val="00CB2AB3"/>
    <w:rsid w:val="00CB378E"/>
    <w:rsid w:val="00CB3A18"/>
    <w:rsid w:val="00CB3E04"/>
    <w:rsid w:val="00CB3F0C"/>
    <w:rsid w:val="00CB568B"/>
    <w:rsid w:val="00CB59DE"/>
    <w:rsid w:val="00CB6504"/>
    <w:rsid w:val="00CB700F"/>
    <w:rsid w:val="00CB71FA"/>
    <w:rsid w:val="00CB7340"/>
    <w:rsid w:val="00CB74B5"/>
    <w:rsid w:val="00CB7D16"/>
    <w:rsid w:val="00CB7E29"/>
    <w:rsid w:val="00CC0CCB"/>
    <w:rsid w:val="00CC195F"/>
    <w:rsid w:val="00CC3160"/>
    <w:rsid w:val="00CC550B"/>
    <w:rsid w:val="00CC5F10"/>
    <w:rsid w:val="00CC69E5"/>
    <w:rsid w:val="00CC7403"/>
    <w:rsid w:val="00CD0708"/>
    <w:rsid w:val="00CD1416"/>
    <w:rsid w:val="00CD144A"/>
    <w:rsid w:val="00CD1B03"/>
    <w:rsid w:val="00CD1F39"/>
    <w:rsid w:val="00CD2304"/>
    <w:rsid w:val="00CD2800"/>
    <w:rsid w:val="00CD2BB8"/>
    <w:rsid w:val="00CD32C4"/>
    <w:rsid w:val="00CD38B2"/>
    <w:rsid w:val="00CD3D76"/>
    <w:rsid w:val="00CD3F4F"/>
    <w:rsid w:val="00CD3FF5"/>
    <w:rsid w:val="00CD4799"/>
    <w:rsid w:val="00CD4F47"/>
    <w:rsid w:val="00CD5069"/>
    <w:rsid w:val="00CD5779"/>
    <w:rsid w:val="00CD6406"/>
    <w:rsid w:val="00CD6800"/>
    <w:rsid w:val="00CD70A5"/>
    <w:rsid w:val="00CD787A"/>
    <w:rsid w:val="00CD7897"/>
    <w:rsid w:val="00CD7E46"/>
    <w:rsid w:val="00CE1AA7"/>
    <w:rsid w:val="00CE2DA3"/>
    <w:rsid w:val="00CE376B"/>
    <w:rsid w:val="00CE3CA2"/>
    <w:rsid w:val="00CE4B43"/>
    <w:rsid w:val="00CE5357"/>
    <w:rsid w:val="00CE53B2"/>
    <w:rsid w:val="00CE69B6"/>
    <w:rsid w:val="00CE7719"/>
    <w:rsid w:val="00CE7F70"/>
    <w:rsid w:val="00CF044C"/>
    <w:rsid w:val="00CF0AD2"/>
    <w:rsid w:val="00CF23E1"/>
    <w:rsid w:val="00CF2C02"/>
    <w:rsid w:val="00CF3AEA"/>
    <w:rsid w:val="00CF3F82"/>
    <w:rsid w:val="00CF4213"/>
    <w:rsid w:val="00CF5060"/>
    <w:rsid w:val="00CF5736"/>
    <w:rsid w:val="00CF670D"/>
    <w:rsid w:val="00CF7042"/>
    <w:rsid w:val="00CF7338"/>
    <w:rsid w:val="00CF7778"/>
    <w:rsid w:val="00CF78FF"/>
    <w:rsid w:val="00CF7B63"/>
    <w:rsid w:val="00CF7E9E"/>
    <w:rsid w:val="00D00107"/>
    <w:rsid w:val="00D00E69"/>
    <w:rsid w:val="00D00F11"/>
    <w:rsid w:val="00D01CC2"/>
    <w:rsid w:val="00D02033"/>
    <w:rsid w:val="00D02212"/>
    <w:rsid w:val="00D026C1"/>
    <w:rsid w:val="00D02BAC"/>
    <w:rsid w:val="00D02DB2"/>
    <w:rsid w:val="00D031FF"/>
    <w:rsid w:val="00D03286"/>
    <w:rsid w:val="00D03811"/>
    <w:rsid w:val="00D03ADB"/>
    <w:rsid w:val="00D03BC7"/>
    <w:rsid w:val="00D043C1"/>
    <w:rsid w:val="00D0466D"/>
    <w:rsid w:val="00D05097"/>
    <w:rsid w:val="00D05C1C"/>
    <w:rsid w:val="00D06167"/>
    <w:rsid w:val="00D06F8A"/>
    <w:rsid w:val="00D07B6D"/>
    <w:rsid w:val="00D07F81"/>
    <w:rsid w:val="00D116CB"/>
    <w:rsid w:val="00D11836"/>
    <w:rsid w:val="00D12438"/>
    <w:rsid w:val="00D12742"/>
    <w:rsid w:val="00D1357C"/>
    <w:rsid w:val="00D13CBB"/>
    <w:rsid w:val="00D13D2A"/>
    <w:rsid w:val="00D14483"/>
    <w:rsid w:val="00D14949"/>
    <w:rsid w:val="00D1498A"/>
    <w:rsid w:val="00D14C9B"/>
    <w:rsid w:val="00D14DD6"/>
    <w:rsid w:val="00D159E1"/>
    <w:rsid w:val="00D16316"/>
    <w:rsid w:val="00D166EC"/>
    <w:rsid w:val="00D16C47"/>
    <w:rsid w:val="00D17841"/>
    <w:rsid w:val="00D208F8"/>
    <w:rsid w:val="00D210A0"/>
    <w:rsid w:val="00D21DDE"/>
    <w:rsid w:val="00D22A69"/>
    <w:rsid w:val="00D22A9E"/>
    <w:rsid w:val="00D2377C"/>
    <w:rsid w:val="00D23B70"/>
    <w:rsid w:val="00D2471A"/>
    <w:rsid w:val="00D2594C"/>
    <w:rsid w:val="00D265A7"/>
    <w:rsid w:val="00D26E14"/>
    <w:rsid w:val="00D27350"/>
    <w:rsid w:val="00D279DE"/>
    <w:rsid w:val="00D30C70"/>
    <w:rsid w:val="00D30D64"/>
    <w:rsid w:val="00D318CE"/>
    <w:rsid w:val="00D31A5D"/>
    <w:rsid w:val="00D31E40"/>
    <w:rsid w:val="00D31E5D"/>
    <w:rsid w:val="00D31FEA"/>
    <w:rsid w:val="00D32F23"/>
    <w:rsid w:val="00D33707"/>
    <w:rsid w:val="00D33737"/>
    <w:rsid w:val="00D337E0"/>
    <w:rsid w:val="00D33A39"/>
    <w:rsid w:val="00D33D74"/>
    <w:rsid w:val="00D3470E"/>
    <w:rsid w:val="00D34BDB"/>
    <w:rsid w:val="00D34D49"/>
    <w:rsid w:val="00D358BE"/>
    <w:rsid w:val="00D3593E"/>
    <w:rsid w:val="00D3677F"/>
    <w:rsid w:val="00D36EC5"/>
    <w:rsid w:val="00D3709B"/>
    <w:rsid w:val="00D37411"/>
    <w:rsid w:val="00D37999"/>
    <w:rsid w:val="00D402C2"/>
    <w:rsid w:val="00D40E7D"/>
    <w:rsid w:val="00D41A40"/>
    <w:rsid w:val="00D42082"/>
    <w:rsid w:val="00D433A1"/>
    <w:rsid w:val="00D45C6A"/>
    <w:rsid w:val="00D47083"/>
    <w:rsid w:val="00D4731A"/>
    <w:rsid w:val="00D477EA"/>
    <w:rsid w:val="00D47C7A"/>
    <w:rsid w:val="00D50C2C"/>
    <w:rsid w:val="00D50C42"/>
    <w:rsid w:val="00D50EAD"/>
    <w:rsid w:val="00D51A7E"/>
    <w:rsid w:val="00D527EC"/>
    <w:rsid w:val="00D529F1"/>
    <w:rsid w:val="00D52BB1"/>
    <w:rsid w:val="00D52C16"/>
    <w:rsid w:val="00D53110"/>
    <w:rsid w:val="00D54652"/>
    <w:rsid w:val="00D5651E"/>
    <w:rsid w:val="00D57270"/>
    <w:rsid w:val="00D57BE5"/>
    <w:rsid w:val="00D60666"/>
    <w:rsid w:val="00D606A3"/>
    <w:rsid w:val="00D60D76"/>
    <w:rsid w:val="00D62DC1"/>
    <w:rsid w:val="00D62F5B"/>
    <w:rsid w:val="00D63A0A"/>
    <w:rsid w:val="00D63B78"/>
    <w:rsid w:val="00D64EE2"/>
    <w:rsid w:val="00D6574E"/>
    <w:rsid w:val="00D65CC3"/>
    <w:rsid w:val="00D6773F"/>
    <w:rsid w:val="00D70CB7"/>
    <w:rsid w:val="00D711F3"/>
    <w:rsid w:val="00D7299F"/>
    <w:rsid w:val="00D72B97"/>
    <w:rsid w:val="00D735AA"/>
    <w:rsid w:val="00D7387F"/>
    <w:rsid w:val="00D73CB8"/>
    <w:rsid w:val="00D74EA1"/>
    <w:rsid w:val="00D752F9"/>
    <w:rsid w:val="00D753F0"/>
    <w:rsid w:val="00D759F3"/>
    <w:rsid w:val="00D75A39"/>
    <w:rsid w:val="00D76604"/>
    <w:rsid w:val="00D803BE"/>
    <w:rsid w:val="00D806AF"/>
    <w:rsid w:val="00D80757"/>
    <w:rsid w:val="00D80CFF"/>
    <w:rsid w:val="00D80D5B"/>
    <w:rsid w:val="00D81ACF"/>
    <w:rsid w:val="00D8214E"/>
    <w:rsid w:val="00D82BB2"/>
    <w:rsid w:val="00D8329F"/>
    <w:rsid w:val="00D83379"/>
    <w:rsid w:val="00D83396"/>
    <w:rsid w:val="00D844DF"/>
    <w:rsid w:val="00D84CB1"/>
    <w:rsid w:val="00D84D77"/>
    <w:rsid w:val="00D84E66"/>
    <w:rsid w:val="00D852AE"/>
    <w:rsid w:val="00D85742"/>
    <w:rsid w:val="00D85886"/>
    <w:rsid w:val="00D86434"/>
    <w:rsid w:val="00D86447"/>
    <w:rsid w:val="00D866E0"/>
    <w:rsid w:val="00D873DA"/>
    <w:rsid w:val="00D874C4"/>
    <w:rsid w:val="00D9062E"/>
    <w:rsid w:val="00D9069A"/>
    <w:rsid w:val="00D912F5"/>
    <w:rsid w:val="00D925C9"/>
    <w:rsid w:val="00D92ED3"/>
    <w:rsid w:val="00D93232"/>
    <w:rsid w:val="00D937C9"/>
    <w:rsid w:val="00D93EE2"/>
    <w:rsid w:val="00D953C8"/>
    <w:rsid w:val="00D956FD"/>
    <w:rsid w:val="00D966B8"/>
    <w:rsid w:val="00D9685D"/>
    <w:rsid w:val="00D9753A"/>
    <w:rsid w:val="00D977B5"/>
    <w:rsid w:val="00DA0886"/>
    <w:rsid w:val="00DA0AF6"/>
    <w:rsid w:val="00DA2003"/>
    <w:rsid w:val="00DA23C7"/>
    <w:rsid w:val="00DA3C63"/>
    <w:rsid w:val="00DA40B2"/>
    <w:rsid w:val="00DA40D1"/>
    <w:rsid w:val="00DA45E2"/>
    <w:rsid w:val="00DA4A8F"/>
    <w:rsid w:val="00DA52E2"/>
    <w:rsid w:val="00DA573C"/>
    <w:rsid w:val="00DA5A52"/>
    <w:rsid w:val="00DA5C5B"/>
    <w:rsid w:val="00DA773F"/>
    <w:rsid w:val="00DA796C"/>
    <w:rsid w:val="00DA7B2B"/>
    <w:rsid w:val="00DB0B94"/>
    <w:rsid w:val="00DB0C86"/>
    <w:rsid w:val="00DB129B"/>
    <w:rsid w:val="00DB2000"/>
    <w:rsid w:val="00DB2130"/>
    <w:rsid w:val="00DB339E"/>
    <w:rsid w:val="00DB3AD7"/>
    <w:rsid w:val="00DB414C"/>
    <w:rsid w:val="00DB637F"/>
    <w:rsid w:val="00DB6531"/>
    <w:rsid w:val="00DB6B18"/>
    <w:rsid w:val="00DB6EDC"/>
    <w:rsid w:val="00DB76D4"/>
    <w:rsid w:val="00DB775E"/>
    <w:rsid w:val="00DB79DD"/>
    <w:rsid w:val="00DB7AB1"/>
    <w:rsid w:val="00DC093C"/>
    <w:rsid w:val="00DC112D"/>
    <w:rsid w:val="00DC173E"/>
    <w:rsid w:val="00DC18B8"/>
    <w:rsid w:val="00DC1C90"/>
    <w:rsid w:val="00DC338C"/>
    <w:rsid w:val="00DC368E"/>
    <w:rsid w:val="00DC3972"/>
    <w:rsid w:val="00DC4524"/>
    <w:rsid w:val="00DC45DF"/>
    <w:rsid w:val="00DC4B46"/>
    <w:rsid w:val="00DC632C"/>
    <w:rsid w:val="00DC6659"/>
    <w:rsid w:val="00DC73CD"/>
    <w:rsid w:val="00DC7AF1"/>
    <w:rsid w:val="00DD00D2"/>
    <w:rsid w:val="00DD0413"/>
    <w:rsid w:val="00DD049A"/>
    <w:rsid w:val="00DD0531"/>
    <w:rsid w:val="00DD11B5"/>
    <w:rsid w:val="00DD2193"/>
    <w:rsid w:val="00DD2299"/>
    <w:rsid w:val="00DD2341"/>
    <w:rsid w:val="00DD2570"/>
    <w:rsid w:val="00DD2653"/>
    <w:rsid w:val="00DD33FC"/>
    <w:rsid w:val="00DD400A"/>
    <w:rsid w:val="00DD412F"/>
    <w:rsid w:val="00DD48E7"/>
    <w:rsid w:val="00DD5310"/>
    <w:rsid w:val="00DD5B38"/>
    <w:rsid w:val="00DD65FF"/>
    <w:rsid w:val="00DE122E"/>
    <w:rsid w:val="00DE182B"/>
    <w:rsid w:val="00DE1C63"/>
    <w:rsid w:val="00DE4619"/>
    <w:rsid w:val="00DE486C"/>
    <w:rsid w:val="00DE4D55"/>
    <w:rsid w:val="00DE5283"/>
    <w:rsid w:val="00DE52C0"/>
    <w:rsid w:val="00DE57E0"/>
    <w:rsid w:val="00DE6659"/>
    <w:rsid w:val="00DE7959"/>
    <w:rsid w:val="00DE7B04"/>
    <w:rsid w:val="00DF0019"/>
    <w:rsid w:val="00DF0CD0"/>
    <w:rsid w:val="00DF1B95"/>
    <w:rsid w:val="00DF304A"/>
    <w:rsid w:val="00DF3171"/>
    <w:rsid w:val="00DF31DC"/>
    <w:rsid w:val="00DF3A09"/>
    <w:rsid w:val="00DF3BAB"/>
    <w:rsid w:val="00DF44C2"/>
    <w:rsid w:val="00DF4F94"/>
    <w:rsid w:val="00DF510E"/>
    <w:rsid w:val="00DF52D1"/>
    <w:rsid w:val="00DF5810"/>
    <w:rsid w:val="00DF70B4"/>
    <w:rsid w:val="00DF753E"/>
    <w:rsid w:val="00DF77ED"/>
    <w:rsid w:val="00DF7DD7"/>
    <w:rsid w:val="00E0096F"/>
    <w:rsid w:val="00E00FBF"/>
    <w:rsid w:val="00E028AC"/>
    <w:rsid w:val="00E02AC6"/>
    <w:rsid w:val="00E02BF5"/>
    <w:rsid w:val="00E03716"/>
    <w:rsid w:val="00E04014"/>
    <w:rsid w:val="00E04708"/>
    <w:rsid w:val="00E05009"/>
    <w:rsid w:val="00E06A40"/>
    <w:rsid w:val="00E06AD5"/>
    <w:rsid w:val="00E06D6E"/>
    <w:rsid w:val="00E100BF"/>
    <w:rsid w:val="00E10236"/>
    <w:rsid w:val="00E11104"/>
    <w:rsid w:val="00E116B1"/>
    <w:rsid w:val="00E12DB8"/>
    <w:rsid w:val="00E13271"/>
    <w:rsid w:val="00E136A9"/>
    <w:rsid w:val="00E1447B"/>
    <w:rsid w:val="00E15460"/>
    <w:rsid w:val="00E158AF"/>
    <w:rsid w:val="00E15D70"/>
    <w:rsid w:val="00E15DDB"/>
    <w:rsid w:val="00E1620D"/>
    <w:rsid w:val="00E16360"/>
    <w:rsid w:val="00E16428"/>
    <w:rsid w:val="00E1654F"/>
    <w:rsid w:val="00E16A58"/>
    <w:rsid w:val="00E16D60"/>
    <w:rsid w:val="00E16DD7"/>
    <w:rsid w:val="00E16FD7"/>
    <w:rsid w:val="00E173CD"/>
    <w:rsid w:val="00E21063"/>
    <w:rsid w:val="00E2114D"/>
    <w:rsid w:val="00E21226"/>
    <w:rsid w:val="00E21AF9"/>
    <w:rsid w:val="00E2216F"/>
    <w:rsid w:val="00E22F57"/>
    <w:rsid w:val="00E231CF"/>
    <w:rsid w:val="00E23B12"/>
    <w:rsid w:val="00E23F13"/>
    <w:rsid w:val="00E24B23"/>
    <w:rsid w:val="00E251DC"/>
    <w:rsid w:val="00E25D2E"/>
    <w:rsid w:val="00E2764F"/>
    <w:rsid w:val="00E27C05"/>
    <w:rsid w:val="00E27D2C"/>
    <w:rsid w:val="00E3071A"/>
    <w:rsid w:val="00E31BFC"/>
    <w:rsid w:val="00E320A3"/>
    <w:rsid w:val="00E321AF"/>
    <w:rsid w:val="00E32682"/>
    <w:rsid w:val="00E32792"/>
    <w:rsid w:val="00E32B80"/>
    <w:rsid w:val="00E32E8A"/>
    <w:rsid w:val="00E3315A"/>
    <w:rsid w:val="00E337CA"/>
    <w:rsid w:val="00E35402"/>
    <w:rsid w:val="00E3651D"/>
    <w:rsid w:val="00E36B99"/>
    <w:rsid w:val="00E37096"/>
    <w:rsid w:val="00E41452"/>
    <w:rsid w:val="00E4146E"/>
    <w:rsid w:val="00E414CB"/>
    <w:rsid w:val="00E4172B"/>
    <w:rsid w:val="00E43720"/>
    <w:rsid w:val="00E44490"/>
    <w:rsid w:val="00E44D8F"/>
    <w:rsid w:val="00E44E68"/>
    <w:rsid w:val="00E45B0D"/>
    <w:rsid w:val="00E46B8E"/>
    <w:rsid w:val="00E471B4"/>
    <w:rsid w:val="00E479CC"/>
    <w:rsid w:val="00E47A73"/>
    <w:rsid w:val="00E5100D"/>
    <w:rsid w:val="00E512FC"/>
    <w:rsid w:val="00E514CD"/>
    <w:rsid w:val="00E523EA"/>
    <w:rsid w:val="00E52812"/>
    <w:rsid w:val="00E52C95"/>
    <w:rsid w:val="00E52D37"/>
    <w:rsid w:val="00E52F12"/>
    <w:rsid w:val="00E53648"/>
    <w:rsid w:val="00E54171"/>
    <w:rsid w:val="00E557AA"/>
    <w:rsid w:val="00E558A5"/>
    <w:rsid w:val="00E56012"/>
    <w:rsid w:val="00E56A93"/>
    <w:rsid w:val="00E56BCB"/>
    <w:rsid w:val="00E60726"/>
    <w:rsid w:val="00E61A14"/>
    <w:rsid w:val="00E63839"/>
    <w:rsid w:val="00E63A0C"/>
    <w:rsid w:val="00E63C18"/>
    <w:rsid w:val="00E64F04"/>
    <w:rsid w:val="00E65088"/>
    <w:rsid w:val="00E65371"/>
    <w:rsid w:val="00E6687A"/>
    <w:rsid w:val="00E675C9"/>
    <w:rsid w:val="00E7036A"/>
    <w:rsid w:val="00E706EC"/>
    <w:rsid w:val="00E7098C"/>
    <w:rsid w:val="00E7230C"/>
    <w:rsid w:val="00E72668"/>
    <w:rsid w:val="00E72EE9"/>
    <w:rsid w:val="00E72F4C"/>
    <w:rsid w:val="00E747F5"/>
    <w:rsid w:val="00E749BC"/>
    <w:rsid w:val="00E75068"/>
    <w:rsid w:val="00E764C2"/>
    <w:rsid w:val="00E769FD"/>
    <w:rsid w:val="00E76EF9"/>
    <w:rsid w:val="00E77115"/>
    <w:rsid w:val="00E77808"/>
    <w:rsid w:val="00E77AC6"/>
    <w:rsid w:val="00E801F8"/>
    <w:rsid w:val="00E80FFB"/>
    <w:rsid w:val="00E824B3"/>
    <w:rsid w:val="00E828D9"/>
    <w:rsid w:val="00E829C8"/>
    <w:rsid w:val="00E83B49"/>
    <w:rsid w:val="00E83E77"/>
    <w:rsid w:val="00E84432"/>
    <w:rsid w:val="00E84482"/>
    <w:rsid w:val="00E855A2"/>
    <w:rsid w:val="00E856BC"/>
    <w:rsid w:val="00E85DFC"/>
    <w:rsid w:val="00E86C1A"/>
    <w:rsid w:val="00E86DA8"/>
    <w:rsid w:val="00E918F1"/>
    <w:rsid w:val="00E91B56"/>
    <w:rsid w:val="00E927FF"/>
    <w:rsid w:val="00E935D9"/>
    <w:rsid w:val="00E936AB"/>
    <w:rsid w:val="00E93B1C"/>
    <w:rsid w:val="00E954EF"/>
    <w:rsid w:val="00E955A6"/>
    <w:rsid w:val="00E95729"/>
    <w:rsid w:val="00E96161"/>
    <w:rsid w:val="00E968CC"/>
    <w:rsid w:val="00E96AB9"/>
    <w:rsid w:val="00E976FC"/>
    <w:rsid w:val="00EA117E"/>
    <w:rsid w:val="00EA142B"/>
    <w:rsid w:val="00EA15F7"/>
    <w:rsid w:val="00EA1B8A"/>
    <w:rsid w:val="00EA1C54"/>
    <w:rsid w:val="00EA1CEC"/>
    <w:rsid w:val="00EA1E0D"/>
    <w:rsid w:val="00EA29A0"/>
    <w:rsid w:val="00EA29F7"/>
    <w:rsid w:val="00EA2C35"/>
    <w:rsid w:val="00EA3A13"/>
    <w:rsid w:val="00EA40B8"/>
    <w:rsid w:val="00EA4813"/>
    <w:rsid w:val="00EA4E41"/>
    <w:rsid w:val="00EA5071"/>
    <w:rsid w:val="00EA5CD0"/>
    <w:rsid w:val="00EA5D86"/>
    <w:rsid w:val="00EA60FD"/>
    <w:rsid w:val="00EA6ADB"/>
    <w:rsid w:val="00EA7091"/>
    <w:rsid w:val="00EA73D2"/>
    <w:rsid w:val="00EA74C9"/>
    <w:rsid w:val="00EB032B"/>
    <w:rsid w:val="00EB14A7"/>
    <w:rsid w:val="00EB2D1B"/>
    <w:rsid w:val="00EB32C5"/>
    <w:rsid w:val="00EB38EB"/>
    <w:rsid w:val="00EB3E9A"/>
    <w:rsid w:val="00EB4277"/>
    <w:rsid w:val="00EB4FCF"/>
    <w:rsid w:val="00EB518E"/>
    <w:rsid w:val="00EB5478"/>
    <w:rsid w:val="00EB57B7"/>
    <w:rsid w:val="00EB67AD"/>
    <w:rsid w:val="00EB7945"/>
    <w:rsid w:val="00EC180F"/>
    <w:rsid w:val="00EC23B8"/>
    <w:rsid w:val="00EC2780"/>
    <w:rsid w:val="00EC280F"/>
    <w:rsid w:val="00EC317B"/>
    <w:rsid w:val="00EC340C"/>
    <w:rsid w:val="00EC43A2"/>
    <w:rsid w:val="00EC49A1"/>
    <w:rsid w:val="00EC52D8"/>
    <w:rsid w:val="00EC5CEC"/>
    <w:rsid w:val="00EC6AF5"/>
    <w:rsid w:val="00EC6F6D"/>
    <w:rsid w:val="00EC7C0E"/>
    <w:rsid w:val="00EC7FE1"/>
    <w:rsid w:val="00ED09BD"/>
    <w:rsid w:val="00ED0A21"/>
    <w:rsid w:val="00ED0B3C"/>
    <w:rsid w:val="00ED16BE"/>
    <w:rsid w:val="00ED22FF"/>
    <w:rsid w:val="00ED232B"/>
    <w:rsid w:val="00ED2853"/>
    <w:rsid w:val="00ED29C7"/>
    <w:rsid w:val="00ED2C42"/>
    <w:rsid w:val="00ED2DB8"/>
    <w:rsid w:val="00ED3755"/>
    <w:rsid w:val="00ED5839"/>
    <w:rsid w:val="00ED690F"/>
    <w:rsid w:val="00ED70FD"/>
    <w:rsid w:val="00EE2C03"/>
    <w:rsid w:val="00EE2C58"/>
    <w:rsid w:val="00EE2DB1"/>
    <w:rsid w:val="00EE3223"/>
    <w:rsid w:val="00EE445F"/>
    <w:rsid w:val="00EE4D92"/>
    <w:rsid w:val="00EE4EEA"/>
    <w:rsid w:val="00EE71CD"/>
    <w:rsid w:val="00EE7231"/>
    <w:rsid w:val="00EE7908"/>
    <w:rsid w:val="00EE7F73"/>
    <w:rsid w:val="00EF02DE"/>
    <w:rsid w:val="00EF0C33"/>
    <w:rsid w:val="00EF1031"/>
    <w:rsid w:val="00EF209E"/>
    <w:rsid w:val="00EF255E"/>
    <w:rsid w:val="00EF27E5"/>
    <w:rsid w:val="00EF2A7E"/>
    <w:rsid w:val="00EF3BF0"/>
    <w:rsid w:val="00EF41F2"/>
    <w:rsid w:val="00EF4914"/>
    <w:rsid w:val="00EF4926"/>
    <w:rsid w:val="00EF61DC"/>
    <w:rsid w:val="00EF700E"/>
    <w:rsid w:val="00EF769B"/>
    <w:rsid w:val="00EF76A1"/>
    <w:rsid w:val="00EF7ED4"/>
    <w:rsid w:val="00F0055C"/>
    <w:rsid w:val="00F00580"/>
    <w:rsid w:val="00F00723"/>
    <w:rsid w:val="00F008AC"/>
    <w:rsid w:val="00F01DD4"/>
    <w:rsid w:val="00F0253C"/>
    <w:rsid w:val="00F0300B"/>
    <w:rsid w:val="00F0397B"/>
    <w:rsid w:val="00F04140"/>
    <w:rsid w:val="00F0606A"/>
    <w:rsid w:val="00F06A5A"/>
    <w:rsid w:val="00F06A86"/>
    <w:rsid w:val="00F06F00"/>
    <w:rsid w:val="00F0726A"/>
    <w:rsid w:val="00F072AD"/>
    <w:rsid w:val="00F0735D"/>
    <w:rsid w:val="00F07698"/>
    <w:rsid w:val="00F07C66"/>
    <w:rsid w:val="00F100BB"/>
    <w:rsid w:val="00F11DE7"/>
    <w:rsid w:val="00F11E07"/>
    <w:rsid w:val="00F126C2"/>
    <w:rsid w:val="00F128B0"/>
    <w:rsid w:val="00F12B26"/>
    <w:rsid w:val="00F1483B"/>
    <w:rsid w:val="00F14B1A"/>
    <w:rsid w:val="00F15147"/>
    <w:rsid w:val="00F1572A"/>
    <w:rsid w:val="00F157E9"/>
    <w:rsid w:val="00F161D2"/>
    <w:rsid w:val="00F16950"/>
    <w:rsid w:val="00F16F05"/>
    <w:rsid w:val="00F17AAC"/>
    <w:rsid w:val="00F203C6"/>
    <w:rsid w:val="00F20E67"/>
    <w:rsid w:val="00F22D94"/>
    <w:rsid w:val="00F23A8D"/>
    <w:rsid w:val="00F247C7"/>
    <w:rsid w:val="00F24A8D"/>
    <w:rsid w:val="00F25D47"/>
    <w:rsid w:val="00F275BE"/>
    <w:rsid w:val="00F275E3"/>
    <w:rsid w:val="00F27F1B"/>
    <w:rsid w:val="00F30738"/>
    <w:rsid w:val="00F309B0"/>
    <w:rsid w:val="00F310F4"/>
    <w:rsid w:val="00F31475"/>
    <w:rsid w:val="00F318EB"/>
    <w:rsid w:val="00F324FF"/>
    <w:rsid w:val="00F32C39"/>
    <w:rsid w:val="00F334FA"/>
    <w:rsid w:val="00F34362"/>
    <w:rsid w:val="00F34D6A"/>
    <w:rsid w:val="00F34F37"/>
    <w:rsid w:val="00F35018"/>
    <w:rsid w:val="00F358BB"/>
    <w:rsid w:val="00F37DE5"/>
    <w:rsid w:val="00F40781"/>
    <w:rsid w:val="00F4110B"/>
    <w:rsid w:val="00F424F7"/>
    <w:rsid w:val="00F42B28"/>
    <w:rsid w:val="00F42D4A"/>
    <w:rsid w:val="00F42EA0"/>
    <w:rsid w:val="00F4338C"/>
    <w:rsid w:val="00F43496"/>
    <w:rsid w:val="00F43C87"/>
    <w:rsid w:val="00F43DEC"/>
    <w:rsid w:val="00F443C1"/>
    <w:rsid w:val="00F44A24"/>
    <w:rsid w:val="00F44C66"/>
    <w:rsid w:val="00F46134"/>
    <w:rsid w:val="00F46A1D"/>
    <w:rsid w:val="00F474F3"/>
    <w:rsid w:val="00F47546"/>
    <w:rsid w:val="00F47B9A"/>
    <w:rsid w:val="00F50559"/>
    <w:rsid w:val="00F51171"/>
    <w:rsid w:val="00F51705"/>
    <w:rsid w:val="00F51CC6"/>
    <w:rsid w:val="00F529CE"/>
    <w:rsid w:val="00F531CE"/>
    <w:rsid w:val="00F53E80"/>
    <w:rsid w:val="00F54B16"/>
    <w:rsid w:val="00F55DF6"/>
    <w:rsid w:val="00F5675B"/>
    <w:rsid w:val="00F56A0B"/>
    <w:rsid w:val="00F56E6C"/>
    <w:rsid w:val="00F619AB"/>
    <w:rsid w:val="00F61D3D"/>
    <w:rsid w:val="00F62375"/>
    <w:rsid w:val="00F6243B"/>
    <w:rsid w:val="00F6385B"/>
    <w:rsid w:val="00F63BCB"/>
    <w:rsid w:val="00F6499C"/>
    <w:rsid w:val="00F649DA"/>
    <w:rsid w:val="00F664FC"/>
    <w:rsid w:val="00F6701F"/>
    <w:rsid w:val="00F70010"/>
    <w:rsid w:val="00F70545"/>
    <w:rsid w:val="00F7092D"/>
    <w:rsid w:val="00F71968"/>
    <w:rsid w:val="00F71986"/>
    <w:rsid w:val="00F73EFF"/>
    <w:rsid w:val="00F73F4B"/>
    <w:rsid w:val="00F74F67"/>
    <w:rsid w:val="00F7539A"/>
    <w:rsid w:val="00F75582"/>
    <w:rsid w:val="00F75951"/>
    <w:rsid w:val="00F760E7"/>
    <w:rsid w:val="00F76158"/>
    <w:rsid w:val="00F763F7"/>
    <w:rsid w:val="00F76780"/>
    <w:rsid w:val="00F76F37"/>
    <w:rsid w:val="00F7714B"/>
    <w:rsid w:val="00F77BF8"/>
    <w:rsid w:val="00F80FD9"/>
    <w:rsid w:val="00F826BE"/>
    <w:rsid w:val="00F8279E"/>
    <w:rsid w:val="00F82C67"/>
    <w:rsid w:val="00F832BB"/>
    <w:rsid w:val="00F837CA"/>
    <w:rsid w:val="00F837E5"/>
    <w:rsid w:val="00F8392F"/>
    <w:rsid w:val="00F842DE"/>
    <w:rsid w:val="00F84853"/>
    <w:rsid w:val="00F85141"/>
    <w:rsid w:val="00F85B50"/>
    <w:rsid w:val="00F864C7"/>
    <w:rsid w:val="00F8659E"/>
    <w:rsid w:val="00F86D89"/>
    <w:rsid w:val="00F87FA8"/>
    <w:rsid w:val="00F9096D"/>
    <w:rsid w:val="00F90D32"/>
    <w:rsid w:val="00F91A60"/>
    <w:rsid w:val="00F92B11"/>
    <w:rsid w:val="00F92F48"/>
    <w:rsid w:val="00F93042"/>
    <w:rsid w:val="00F9309F"/>
    <w:rsid w:val="00F930EA"/>
    <w:rsid w:val="00F93467"/>
    <w:rsid w:val="00F938D3"/>
    <w:rsid w:val="00F941BE"/>
    <w:rsid w:val="00F942A4"/>
    <w:rsid w:val="00F943E7"/>
    <w:rsid w:val="00F94F82"/>
    <w:rsid w:val="00F9511A"/>
    <w:rsid w:val="00F9513C"/>
    <w:rsid w:val="00F95A05"/>
    <w:rsid w:val="00F95ACA"/>
    <w:rsid w:val="00F96096"/>
    <w:rsid w:val="00F9637A"/>
    <w:rsid w:val="00F96EED"/>
    <w:rsid w:val="00F979DA"/>
    <w:rsid w:val="00FA0654"/>
    <w:rsid w:val="00FA13EE"/>
    <w:rsid w:val="00FA1EF4"/>
    <w:rsid w:val="00FA31F1"/>
    <w:rsid w:val="00FA34F6"/>
    <w:rsid w:val="00FA39B2"/>
    <w:rsid w:val="00FA3B33"/>
    <w:rsid w:val="00FA3BD2"/>
    <w:rsid w:val="00FA3E14"/>
    <w:rsid w:val="00FA4386"/>
    <w:rsid w:val="00FA4CD6"/>
    <w:rsid w:val="00FA514D"/>
    <w:rsid w:val="00FA518D"/>
    <w:rsid w:val="00FA68A0"/>
    <w:rsid w:val="00FA71BC"/>
    <w:rsid w:val="00FA72A9"/>
    <w:rsid w:val="00FB05D8"/>
    <w:rsid w:val="00FB0C9E"/>
    <w:rsid w:val="00FB0FAC"/>
    <w:rsid w:val="00FB19D0"/>
    <w:rsid w:val="00FB24E5"/>
    <w:rsid w:val="00FB254C"/>
    <w:rsid w:val="00FB2955"/>
    <w:rsid w:val="00FB30F5"/>
    <w:rsid w:val="00FB3801"/>
    <w:rsid w:val="00FB3A7A"/>
    <w:rsid w:val="00FB4494"/>
    <w:rsid w:val="00FB44CF"/>
    <w:rsid w:val="00FB480B"/>
    <w:rsid w:val="00FB525E"/>
    <w:rsid w:val="00FB5722"/>
    <w:rsid w:val="00FB69C8"/>
    <w:rsid w:val="00FB69D2"/>
    <w:rsid w:val="00FB7CC7"/>
    <w:rsid w:val="00FB7CE8"/>
    <w:rsid w:val="00FC131D"/>
    <w:rsid w:val="00FC2C73"/>
    <w:rsid w:val="00FC2EA4"/>
    <w:rsid w:val="00FC3C33"/>
    <w:rsid w:val="00FC4B60"/>
    <w:rsid w:val="00FC52E3"/>
    <w:rsid w:val="00FC5571"/>
    <w:rsid w:val="00FC573C"/>
    <w:rsid w:val="00FC5A6D"/>
    <w:rsid w:val="00FC6AEE"/>
    <w:rsid w:val="00FC730F"/>
    <w:rsid w:val="00FD07EF"/>
    <w:rsid w:val="00FD08EF"/>
    <w:rsid w:val="00FD0A9A"/>
    <w:rsid w:val="00FD1902"/>
    <w:rsid w:val="00FD1B79"/>
    <w:rsid w:val="00FD2EB1"/>
    <w:rsid w:val="00FD31F3"/>
    <w:rsid w:val="00FD4D3D"/>
    <w:rsid w:val="00FD4D58"/>
    <w:rsid w:val="00FD5621"/>
    <w:rsid w:val="00FD6A36"/>
    <w:rsid w:val="00FD6ED1"/>
    <w:rsid w:val="00FD7D94"/>
    <w:rsid w:val="00FE0BC9"/>
    <w:rsid w:val="00FE1931"/>
    <w:rsid w:val="00FE1ED0"/>
    <w:rsid w:val="00FE3475"/>
    <w:rsid w:val="00FE34E6"/>
    <w:rsid w:val="00FE363C"/>
    <w:rsid w:val="00FE3C6C"/>
    <w:rsid w:val="00FE3DC0"/>
    <w:rsid w:val="00FE3E45"/>
    <w:rsid w:val="00FE4164"/>
    <w:rsid w:val="00FE546B"/>
    <w:rsid w:val="00FE566B"/>
    <w:rsid w:val="00FE62A9"/>
    <w:rsid w:val="00FE6A10"/>
    <w:rsid w:val="00FE7683"/>
    <w:rsid w:val="00FE7725"/>
    <w:rsid w:val="00FE7A17"/>
    <w:rsid w:val="00FE7D5B"/>
    <w:rsid w:val="00FF07C1"/>
    <w:rsid w:val="00FF16EE"/>
    <w:rsid w:val="00FF33B8"/>
    <w:rsid w:val="00FF36CC"/>
    <w:rsid w:val="00FF5AE4"/>
    <w:rsid w:val="00FF5CFE"/>
    <w:rsid w:val="00FF6168"/>
    <w:rsid w:val="00FF6B9A"/>
    <w:rsid w:val="0188F11D"/>
    <w:rsid w:val="0191DB2D"/>
    <w:rsid w:val="0197E07D"/>
    <w:rsid w:val="01CF2320"/>
    <w:rsid w:val="01ED55ED"/>
    <w:rsid w:val="02163F9D"/>
    <w:rsid w:val="0249782C"/>
    <w:rsid w:val="0267B7C5"/>
    <w:rsid w:val="027AFB84"/>
    <w:rsid w:val="02F04902"/>
    <w:rsid w:val="03081F4D"/>
    <w:rsid w:val="0336F155"/>
    <w:rsid w:val="035DB60A"/>
    <w:rsid w:val="0370B47B"/>
    <w:rsid w:val="039CF486"/>
    <w:rsid w:val="03E54101"/>
    <w:rsid w:val="04512847"/>
    <w:rsid w:val="04830FDE"/>
    <w:rsid w:val="04E75197"/>
    <w:rsid w:val="053C1AC9"/>
    <w:rsid w:val="05667E3D"/>
    <w:rsid w:val="0571F7C9"/>
    <w:rsid w:val="059414F8"/>
    <w:rsid w:val="05A7E80F"/>
    <w:rsid w:val="05C4B24E"/>
    <w:rsid w:val="05E41606"/>
    <w:rsid w:val="063730BA"/>
    <w:rsid w:val="06D6FCC4"/>
    <w:rsid w:val="0735D6AB"/>
    <w:rsid w:val="079CB833"/>
    <w:rsid w:val="07A5FE0F"/>
    <w:rsid w:val="08069137"/>
    <w:rsid w:val="08EEEDF8"/>
    <w:rsid w:val="09952ABB"/>
    <w:rsid w:val="09B7CA27"/>
    <w:rsid w:val="0A0AAB1D"/>
    <w:rsid w:val="0A394096"/>
    <w:rsid w:val="0A53D2E1"/>
    <w:rsid w:val="0B1F5CFD"/>
    <w:rsid w:val="0B204211"/>
    <w:rsid w:val="0B5615B5"/>
    <w:rsid w:val="0B7A4E4A"/>
    <w:rsid w:val="0C372195"/>
    <w:rsid w:val="0D75EABA"/>
    <w:rsid w:val="0D8467F7"/>
    <w:rsid w:val="0D9CE666"/>
    <w:rsid w:val="0DA1F5B1"/>
    <w:rsid w:val="0DB071EC"/>
    <w:rsid w:val="0E912DFA"/>
    <w:rsid w:val="0EA24078"/>
    <w:rsid w:val="0ECA3E98"/>
    <w:rsid w:val="0F3D641B"/>
    <w:rsid w:val="0F496915"/>
    <w:rsid w:val="1006F15C"/>
    <w:rsid w:val="1096A60D"/>
    <w:rsid w:val="10975AE2"/>
    <w:rsid w:val="1125A1B0"/>
    <w:rsid w:val="112E0D68"/>
    <w:rsid w:val="116AF19E"/>
    <w:rsid w:val="123A89AD"/>
    <w:rsid w:val="1258E2FD"/>
    <w:rsid w:val="12BD5211"/>
    <w:rsid w:val="12F0254D"/>
    <w:rsid w:val="134BD3C9"/>
    <w:rsid w:val="13A2949C"/>
    <w:rsid w:val="13D6A6FF"/>
    <w:rsid w:val="1417F1FE"/>
    <w:rsid w:val="141A3699"/>
    <w:rsid w:val="14474EDC"/>
    <w:rsid w:val="14775089"/>
    <w:rsid w:val="14BB85DE"/>
    <w:rsid w:val="1555F032"/>
    <w:rsid w:val="1562E4D0"/>
    <w:rsid w:val="1569BF16"/>
    <w:rsid w:val="158650A8"/>
    <w:rsid w:val="15ED21CC"/>
    <w:rsid w:val="1604A88A"/>
    <w:rsid w:val="162DB885"/>
    <w:rsid w:val="1630C2AB"/>
    <w:rsid w:val="16AB77E4"/>
    <w:rsid w:val="16DD8035"/>
    <w:rsid w:val="18131E8E"/>
    <w:rsid w:val="1825C83E"/>
    <w:rsid w:val="18866716"/>
    <w:rsid w:val="189C014D"/>
    <w:rsid w:val="18B0C1CF"/>
    <w:rsid w:val="18B8CAF8"/>
    <w:rsid w:val="19005E0B"/>
    <w:rsid w:val="191DD639"/>
    <w:rsid w:val="19BFC438"/>
    <w:rsid w:val="1A62C1AD"/>
    <w:rsid w:val="1AB6420A"/>
    <w:rsid w:val="1AC8C489"/>
    <w:rsid w:val="1C5CA5E2"/>
    <w:rsid w:val="1C5E777C"/>
    <w:rsid w:val="1CE3AFF0"/>
    <w:rsid w:val="1D0592EE"/>
    <w:rsid w:val="1D115797"/>
    <w:rsid w:val="1DB0FE2F"/>
    <w:rsid w:val="1DC2A9CF"/>
    <w:rsid w:val="1DFAA5C3"/>
    <w:rsid w:val="1DFD90E1"/>
    <w:rsid w:val="1E0C78BA"/>
    <w:rsid w:val="1E1B2C19"/>
    <w:rsid w:val="1E27149F"/>
    <w:rsid w:val="1E5E0340"/>
    <w:rsid w:val="1E8B1DBC"/>
    <w:rsid w:val="1ECE98ED"/>
    <w:rsid w:val="1F00B619"/>
    <w:rsid w:val="1F36B992"/>
    <w:rsid w:val="1FED95A0"/>
    <w:rsid w:val="2030B8B8"/>
    <w:rsid w:val="2044B6F0"/>
    <w:rsid w:val="205C655C"/>
    <w:rsid w:val="23409A09"/>
    <w:rsid w:val="234BA40F"/>
    <w:rsid w:val="237B82F3"/>
    <w:rsid w:val="23FF4A4E"/>
    <w:rsid w:val="24568852"/>
    <w:rsid w:val="268C79B6"/>
    <w:rsid w:val="26946DD1"/>
    <w:rsid w:val="26A40AAF"/>
    <w:rsid w:val="26FEF592"/>
    <w:rsid w:val="27140655"/>
    <w:rsid w:val="279A32CD"/>
    <w:rsid w:val="28FC9C0D"/>
    <w:rsid w:val="299200F0"/>
    <w:rsid w:val="2999CA1E"/>
    <w:rsid w:val="2A08E914"/>
    <w:rsid w:val="2AC505D0"/>
    <w:rsid w:val="2AE0868C"/>
    <w:rsid w:val="2BD37754"/>
    <w:rsid w:val="2BDD4638"/>
    <w:rsid w:val="2C4A4467"/>
    <w:rsid w:val="2C57D824"/>
    <w:rsid w:val="2C791001"/>
    <w:rsid w:val="2D0FE707"/>
    <w:rsid w:val="2DB7C84B"/>
    <w:rsid w:val="2DCA1C57"/>
    <w:rsid w:val="2E280337"/>
    <w:rsid w:val="2EE5194C"/>
    <w:rsid w:val="2EF87994"/>
    <w:rsid w:val="2F0468AB"/>
    <w:rsid w:val="2F2F5146"/>
    <w:rsid w:val="2F30F3AC"/>
    <w:rsid w:val="2FA6E275"/>
    <w:rsid w:val="300419AB"/>
    <w:rsid w:val="300942DF"/>
    <w:rsid w:val="3088C881"/>
    <w:rsid w:val="3088D257"/>
    <w:rsid w:val="30B29DF3"/>
    <w:rsid w:val="31CCB12D"/>
    <w:rsid w:val="32A856F0"/>
    <w:rsid w:val="32C42FD1"/>
    <w:rsid w:val="33D63C83"/>
    <w:rsid w:val="33EB2991"/>
    <w:rsid w:val="34F126B5"/>
    <w:rsid w:val="3722C8A7"/>
    <w:rsid w:val="38440392"/>
    <w:rsid w:val="3890EB12"/>
    <w:rsid w:val="38A0A536"/>
    <w:rsid w:val="38AECEB8"/>
    <w:rsid w:val="39404432"/>
    <w:rsid w:val="397E8B77"/>
    <w:rsid w:val="39AC7630"/>
    <w:rsid w:val="3A083A89"/>
    <w:rsid w:val="3A538D85"/>
    <w:rsid w:val="3A8855E2"/>
    <w:rsid w:val="3AB1BA2A"/>
    <w:rsid w:val="3ADF546B"/>
    <w:rsid w:val="3ADFA1D5"/>
    <w:rsid w:val="3AE6EFEF"/>
    <w:rsid w:val="3AFCAF89"/>
    <w:rsid w:val="3D1982A1"/>
    <w:rsid w:val="3D5987A9"/>
    <w:rsid w:val="3D6F87E4"/>
    <w:rsid w:val="3D7E0956"/>
    <w:rsid w:val="3D82A639"/>
    <w:rsid w:val="3EE86AFD"/>
    <w:rsid w:val="3F932B33"/>
    <w:rsid w:val="3FA653AD"/>
    <w:rsid w:val="3FA7FE80"/>
    <w:rsid w:val="40147C97"/>
    <w:rsid w:val="40C95A1A"/>
    <w:rsid w:val="40DD4851"/>
    <w:rsid w:val="40EB6AD7"/>
    <w:rsid w:val="41A6B95E"/>
    <w:rsid w:val="41AA8A79"/>
    <w:rsid w:val="41F88CAF"/>
    <w:rsid w:val="421431CC"/>
    <w:rsid w:val="42176E11"/>
    <w:rsid w:val="422D5F43"/>
    <w:rsid w:val="42640281"/>
    <w:rsid w:val="42BDED4E"/>
    <w:rsid w:val="4343323D"/>
    <w:rsid w:val="436398AC"/>
    <w:rsid w:val="444FF854"/>
    <w:rsid w:val="44AACEE2"/>
    <w:rsid w:val="44B7D97C"/>
    <w:rsid w:val="44D50950"/>
    <w:rsid w:val="44E7ACA6"/>
    <w:rsid w:val="44F19B74"/>
    <w:rsid w:val="4541430D"/>
    <w:rsid w:val="457D8730"/>
    <w:rsid w:val="45A5C718"/>
    <w:rsid w:val="45CC3679"/>
    <w:rsid w:val="45D4A700"/>
    <w:rsid w:val="45E2AC9E"/>
    <w:rsid w:val="45FE2AF5"/>
    <w:rsid w:val="4664E230"/>
    <w:rsid w:val="46729792"/>
    <w:rsid w:val="46E70722"/>
    <w:rsid w:val="46EB0C93"/>
    <w:rsid w:val="46EE3CDB"/>
    <w:rsid w:val="46FE0CF1"/>
    <w:rsid w:val="471AFC3D"/>
    <w:rsid w:val="4789CD57"/>
    <w:rsid w:val="47B583A2"/>
    <w:rsid w:val="47FF6A28"/>
    <w:rsid w:val="48D1B793"/>
    <w:rsid w:val="4940D9DD"/>
    <w:rsid w:val="4987817B"/>
    <w:rsid w:val="49BB4444"/>
    <w:rsid w:val="49D6DBF8"/>
    <w:rsid w:val="4A4E0653"/>
    <w:rsid w:val="4AAC6CF4"/>
    <w:rsid w:val="4AC783D0"/>
    <w:rsid w:val="4AD6D28F"/>
    <w:rsid w:val="4B42943D"/>
    <w:rsid w:val="4BBAE85C"/>
    <w:rsid w:val="4C8F3D1C"/>
    <w:rsid w:val="4CC0F997"/>
    <w:rsid w:val="4D1C70E4"/>
    <w:rsid w:val="4D2638DC"/>
    <w:rsid w:val="4D9589B1"/>
    <w:rsid w:val="4E34A901"/>
    <w:rsid w:val="4E80C009"/>
    <w:rsid w:val="4ED4A48B"/>
    <w:rsid w:val="4F64C4FC"/>
    <w:rsid w:val="4F93E2E9"/>
    <w:rsid w:val="4FA84581"/>
    <w:rsid w:val="501B468F"/>
    <w:rsid w:val="5028B0CD"/>
    <w:rsid w:val="50799D89"/>
    <w:rsid w:val="5099DBBC"/>
    <w:rsid w:val="514CEC89"/>
    <w:rsid w:val="5186CAC3"/>
    <w:rsid w:val="51B5F6B7"/>
    <w:rsid w:val="52B26238"/>
    <w:rsid w:val="52B3E042"/>
    <w:rsid w:val="52CF465F"/>
    <w:rsid w:val="531744FB"/>
    <w:rsid w:val="537A0542"/>
    <w:rsid w:val="539D0C45"/>
    <w:rsid w:val="53BF51E0"/>
    <w:rsid w:val="54B2AD05"/>
    <w:rsid w:val="54D9A777"/>
    <w:rsid w:val="55134B6A"/>
    <w:rsid w:val="55833FB6"/>
    <w:rsid w:val="55E5CFEA"/>
    <w:rsid w:val="55FF7CF1"/>
    <w:rsid w:val="56E8386A"/>
    <w:rsid w:val="570189F7"/>
    <w:rsid w:val="5707797F"/>
    <w:rsid w:val="57398A2D"/>
    <w:rsid w:val="57721E7B"/>
    <w:rsid w:val="57E92E27"/>
    <w:rsid w:val="588B05F5"/>
    <w:rsid w:val="58FC8F6B"/>
    <w:rsid w:val="5902230C"/>
    <w:rsid w:val="590AF9E4"/>
    <w:rsid w:val="596D53E0"/>
    <w:rsid w:val="59C1FEC5"/>
    <w:rsid w:val="59D84170"/>
    <w:rsid w:val="5A7C9832"/>
    <w:rsid w:val="5B014324"/>
    <w:rsid w:val="5B07B28E"/>
    <w:rsid w:val="5B0E7C38"/>
    <w:rsid w:val="5B1C1C9F"/>
    <w:rsid w:val="5BBEF308"/>
    <w:rsid w:val="5C442D78"/>
    <w:rsid w:val="5C84EF5B"/>
    <w:rsid w:val="5C8FC553"/>
    <w:rsid w:val="5DAF11A4"/>
    <w:rsid w:val="5DDBB2A4"/>
    <w:rsid w:val="5DDC8ADA"/>
    <w:rsid w:val="5DF055D5"/>
    <w:rsid w:val="5E6BD4E8"/>
    <w:rsid w:val="5EBE9D2F"/>
    <w:rsid w:val="5FB471EA"/>
    <w:rsid w:val="601CB9E0"/>
    <w:rsid w:val="60357DBB"/>
    <w:rsid w:val="609558A5"/>
    <w:rsid w:val="609FD9CD"/>
    <w:rsid w:val="6162C609"/>
    <w:rsid w:val="61CDB00F"/>
    <w:rsid w:val="621D21FA"/>
    <w:rsid w:val="6336D992"/>
    <w:rsid w:val="637CA855"/>
    <w:rsid w:val="63861EBE"/>
    <w:rsid w:val="63FC64F5"/>
    <w:rsid w:val="64424753"/>
    <w:rsid w:val="64A6CC62"/>
    <w:rsid w:val="64BC1068"/>
    <w:rsid w:val="64C1B411"/>
    <w:rsid w:val="651745C5"/>
    <w:rsid w:val="65C1B3CB"/>
    <w:rsid w:val="668B69F3"/>
    <w:rsid w:val="66946B88"/>
    <w:rsid w:val="6782B54B"/>
    <w:rsid w:val="678D87E7"/>
    <w:rsid w:val="67A476C9"/>
    <w:rsid w:val="68141F8A"/>
    <w:rsid w:val="6844B40F"/>
    <w:rsid w:val="689FDCA1"/>
    <w:rsid w:val="68BFAF57"/>
    <w:rsid w:val="68C115C7"/>
    <w:rsid w:val="68D21753"/>
    <w:rsid w:val="68E64820"/>
    <w:rsid w:val="693A4EAA"/>
    <w:rsid w:val="6948F1A9"/>
    <w:rsid w:val="69D06518"/>
    <w:rsid w:val="69FA35C9"/>
    <w:rsid w:val="6A6F9DBB"/>
    <w:rsid w:val="6A8F681C"/>
    <w:rsid w:val="6A9E8C9F"/>
    <w:rsid w:val="6AB047F2"/>
    <w:rsid w:val="6AFD46CC"/>
    <w:rsid w:val="6B120C6B"/>
    <w:rsid w:val="6C33BB54"/>
    <w:rsid w:val="6C442A7C"/>
    <w:rsid w:val="6C5510FD"/>
    <w:rsid w:val="6C5BD546"/>
    <w:rsid w:val="6CFC7C1A"/>
    <w:rsid w:val="6D0E4C47"/>
    <w:rsid w:val="6D211CD7"/>
    <w:rsid w:val="6D89FBD8"/>
    <w:rsid w:val="6DC9C2D6"/>
    <w:rsid w:val="6DD5A62A"/>
    <w:rsid w:val="6E6EE33D"/>
    <w:rsid w:val="6EB06022"/>
    <w:rsid w:val="6F84D228"/>
    <w:rsid w:val="6FADC4C3"/>
    <w:rsid w:val="6FC9ED40"/>
    <w:rsid w:val="70367457"/>
    <w:rsid w:val="7091BCCA"/>
    <w:rsid w:val="70F80F3F"/>
    <w:rsid w:val="7168C65B"/>
    <w:rsid w:val="71FE0E12"/>
    <w:rsid w:val="72057D66"/>
    <w:rsid w:val="72110EAD"/>
    <w:rsid w:val="727E458C"/>
    <w:rsid w:val="72A83D68"/>
    <w:rsid w:val="7358ADC3"/>
    <w:rsid w:val="73BC32C7"/>
    <w:rsid w:val="73D91423"/>
    <w:rsid w:val="73FFA902"/>
    <w:rsid w:val="74BB6AE3"/>
    <w:rsid w:val="7540B34C"/>
    <w:rsid w:val="755668BD"/>
    <w:rsid w:val="75780B9D"/>
    <w:rsid w:val="75B0BD4E"/>
    <w:rsid w:val="7694C93A"/>
    <w:rsid w:val="76B7A332"/>
    <w:rsid w:val="76FFA583"/>
    <w:rsid w:val="774515D7"/>
    <w:rsid w:val="77C57FD7"/>
    <w:rsid w:val="786E2EDE"/>
    <w:rsid w:val="787F60DE"/>
    <w:rsid w:val="78DB55B0"/>
    <w:rsid w:val="79243219"/>
    <w:rsid w:val="79815998"/>
    <w:rsid w:val="79C55579"/>
    <w:rsid w:val="79E77F97"/>
    <w:rsid w:val="79F79081"/>
    <w:rsid w:val="7AD5A6EF"/>
    <w:rsid w:val="7AE798F9"/>
    <w:rsid w:val="7B82FC1C"/>
    <w:rsid w:val="7C71603E"/>
    <w:rsid w:val="7D01A38E"/>
    <w:rsid w:val="7D24CB97"/>
    <w:rsid w:val="7D2AA6E2"/>
    <w:rsid w:val="7DCBEDBD"/>
    <w:rsid w:val="7FA71626"/>
  </w:rsids>
  <m:mathPr>
    <m:mathFont m:val="Cambria Math"/>
    <m:brkBin m:val="before"/>
    <m:brkBinSub m:val="--"/>
    <m:smallFrac m:val="0"/>
    <m:dispDef/>
    <m:lMargin m:val="0"/>
    <m:rMargin m:val="0"/>
    <m:defJc m:val="centerGroup"/>
    <m:wrapIndent m:val="1440"/>
    <m:intLim m:val="subSup"/>
    <m:naryLim m:val="undOvr"/>
  </m:mathPr>
  <w:themeFontLang w:val="cs-CZ"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880D1B"/>
  <w15:docId w15:val="{2F0E40A2-714C-4BC0-8BAE-CB4603C4F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zh-TW"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footnote text" w:uiPriority="99"/>
    <w:lsdException w:name="annotation text" w:uiPriority="99"/>
    <w:lsdException w:name="header" w:uiPriority="99"/>
    <w:lsdException w:name="footer" w:uiPriority="99"/>
    <w:lsdException w:name="caption" w:uiPriority="35" w:qFormat="1"/>
    <w:lsdException w:name="footnote reference" w:uiPriority="99" w:qFormat="1"/>
    <w:lsdException w:name="annotation reference" w:uiPriority="99"/>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725CDF"/>
    <w:rPr>
      <w:sz w:val="24"/>
      <w:szCs w:val="24"/>
      <w:lang w:eastAsia="cs-CZ"/>
    </w:rPr>
  </w:style>
  <w:style w:type="paragraph" w:styleId="Nadpis1">
    <w:name w:val="heading 1"/>
    <w:basedOn w:val="Normln"/>
    <w:next w:val="Normln"/>
    <w:link w:val="Nadpis1Char"/>
    <w:uiPriority w:val="9"/>
    <w:qFormat/>
    <w:rsid w:val="00B72F48"/>
    <w:pPr>
      <w:numPr>
        <w:numId w:val="2"/>
      </w:numPr>
      <w:spacing w:before="480" w:after="240"/>
      <w:ind w:left="709" w:hanging="709"/>
      <w:outlineLvl w:val="0"/>
    </w:pPr>
    <w:rPr>
      <w:rFonts w:asciiTheme="majorBidi" w:hAnsiTheme="majorBidi" w:cstheme="majorBidi"/>
      <w:b/>
      <w:sz w:val="28"/>
    </w:rPr>
  </w:style>
  <w:style w:type="paragraph" w:styleId="Nadpis2">
    <w:name w:val="heading 2"/>
    <w:basedOn w:val="Normln"/>
    <w:next w:val="Normln"/>
    <w:link w:val="Nadpis2Char"/>
    <w:uiPriority w:val="9"/>
    <w:qFormat/>
    <w:rsid w:val="00255026"/>
    <w:pPr>
      <w:keepNext/>
      <w:keepLines/>
      <w:numPr>
        <w:ilvl w:val="1"/>
        <w:numId w:val="37"/>
      </w:numPr>
      <w:spacing w:before="120" w:after="120" w:line="276" w:lineRule="auto"/>
      <w:ind w:left="993" w:hanging="633"/>
      <w:outlineLvl w:val="1"/>
    </w:pPr>
    <w:rPr>
      <w:b/>
      <w:sz w:val="26"/>
      <w:szCs w:val="26"/>
    </w:rPr>
  </w:style>
  <w:style w:type="paragraph" w:styleId="Nadpis3">
    <w:name w:val="heading 3"/>
    <w:basedOn w:val="Normln"/>
    <w:next w:val="Normln"/>
    <w:link w:val="Nadpis3Char"/>
    <w:uiPriority w:val="9"/>
    <w:qFormat/>
    <w:rsid w:val="00A6444F"/>
    <w:pPr>
      <w:keepNext/>
      <w:keepLines/>
      <w:numPr>
        <w:ilvl w:val="2"/>
        <w:numId w:val="2"/>
      </w:numPr>
      <w:spacing w:before="240"/>
      <w:ind w:left="1356" w:hanging="505"/>
      <w:outlineLvl w:val="2"/>
    </w:pPr>
    <w:rPr>
      <w:rFonts w:asciiTheme="majorBidi" w:hAnsiTheme="majorBidi" w:cstheme="majorBidi"/>
      <w:b/>
    </w:rPr>
  </w:style>
  <w:style w:type="paragraph" w:styleId="Nadpis4">
    <w:name w:val="heading 4"/>
    <w:basedOn w:val="Nadpis3"/>
    <w:next w:val="Normln"/>
    <w:link w:val="Nadpis4Char"/>
    <w:uiPriority w:val="9"/>
    <w:qFormat/>
    <w:rsid w:val="00361D2D"/>
    <w:pPr>
      <w:numPr>
        <w:ilvl w:val="0"/>
        <w:numId w:val="0"/>
      </w:numPr>
      <w:outlineLvl w:val="3"/>
    </w:pPr>
    <w:rPr>
      <w:bCs/>
      <w:u w:val="single"/>
    </w:rPr>
  </w:style>
  <w:style w:type="paragraph" w:styleId="Nadpis5">
    <w:name w:val="heading 5"/>
    <w:aliases w:val="země"/>
    <w:basedOn w:val="Normln"/>
    <w:next w:val="Normln"/>
    <w:link w:val="Nadpis5Char"/>
    <w:uiPriority w:val="9"/>
    <w:qFormat/>
    <w:rsid w:val="00725CDF"/>
    <w:pPr>
      <w:numPr>
        <w:ilvl w:val="4"/>
        <w:numId w:val="1"/>
      </w:numPr>
      <w:spacing w:before="240" w:after="60" w:line="276" w:lineRule="auto"/>
      <w:outlineLvl w:val="4"/>
    </w:pPr>
    <w:rPr>
      <w:rFonts w:ascii="Calibri" w:eastAsia="MS Mincho" w:hAnsi="Calibri"/>
      <w:b/>
      <w:bCs/>
      <w:i/>
      <w:iCs/>
      <w:sz w:val="26"/>
      <w:szCs w:val="26"/>
      <w:lang w:eastAsia="en-US"/>
    </w:rPr>
  </w:style>
  <w:style w:type="paragraph" w:styleId="Nadpis6">
    <w:name w:val="heading 6"/>
    <w:basedOn w:val="Normln"/>
    <w:next w:val="Normln"/>
    <w:link w:val="Nadpis6Char"/>
    <w:uiPriority w:val="9"/>
    <w:qFormat/>
    <w:rsid w:val="00725CDF"/>
    <w:pPr>
      <w:numPr>
        <w:ilvl w:val="5"/>
        <w:numId w:val="1"/>
      </w:numPr>
      <w:spacing w:before="240" w:after="60" w:line="276" w:lineRule="auto"/>
      <w:outlineLvl w:val="5"/>
    </w:pPr>
    <w:rPr>
      <w:rFonts w:ascii="Calibri" w:eastAsia="MS Mincho" w:hAnsi="Calibri"/>
      <w:b/>
      <w:bCs/>
      <w:sz w:val="22"/>
      <w:szCs w:val="22"/>
      <w:lang w:eastAsia="en-US"/>
    </w:rPr>
  </w:style>
  <w:style w:type="paragraph" w:styleId="Nadpis7">
    <w:name w:val="heading 7"/>
    <w:basedOn w:val="Normln"/>
    <w:next w:val="Normln"/>
    <w:link w:val="Nadpis7Char"/>
    <w:uiPriority w:val="9"/>
    <w:qFormat/>
    <w:rsid w:val="00725CDF"/>
    <w:pPr>
      <w:numPr>
        <w:ilvl w:val="6"/>
        <w:numId w:val="1"/>
      </w:numPr>
      <w:spacing w:before="240" w:after="60" w:line="276" w:lineRule="auto"/>
      <w:outlineLvl w:val="6"/>
    </w:pPr>
    <w:rPr>
      <w:rFonts w:ascii="Calibri" w:eastAsia="MS Mincho" w:hAnsi="Calibri"/>
      <w:lang w:eastAsia="en-US"/>
    </w:rPr>
  </w:style>
  <w:style w:type="paragraph" w:styleId="Nadpis8">
    <w:name w:val="heading 8"/>
    <w:basedOn w:val="Normln"/>
    <w:next w:val="Normln"/>
    <w:link w:val="Nadpis8Char"/>
    <w:uiPriority w:val="9"/>
    <w:qFormat/>
    <w:rsid w:val="00725CDF"/>
    <w:pPr>
      <w:numPr>
        <w:ilvl w:val="7"/>
        <w:numId w:val="1"/>
      </w:numPr>
      <w:spacing w:before="240" w:after="60" w:line="276" w:lineRule="auto"/>
      <w:outlineLvl w:val="7"/>
    </w:pPr>
    <w:rPr>
      <w:rFonts w:ascii="Calibri" w:eastAsia="MS Mincho" w:hAnsi="Calibri"/>
      <w:i/>
      <w:iCs/>
      <w:lang w:eastAsia="en-US"/>
    </w:rPr>
  </w:style>
  <w:style w:type="paragraph" w:styleId="Nadpis9">
    <w:name w:val="heading 9"/>
    <w:basedOn w:val="Normln"/>
    <w:next w:val="Normln"/>
    <w:link w:val="Nadpis9Char"/>
    <w:uiPriority w:val="9"/>
    <w:qFormat/>
    <w:rsid w:val="00725CDF"/>
    <w:pPr>
      <w:numPr>
        <w:ilvl w:val="8"/>
        <w:numId w:val="1"/>
      </w:numPr>
      <w:spacing w:before="240" w:after="60" w:line="276" w:lineRule="auto"/>
      <w:outlineLvl w:val="8"/>
    </w:pPr>
    <w:rPr>
      <w:rFonts w:ascii="Calibri Light" w:eastAsia="MS Gothic" w:hAnsi="Calibri Light"/>
      <w:sz w:val="22"/>
      <w:szCs w:val="22"/>
      <w:lang w:eastAsia="en-US"/>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link w:val="Nadpis3"/>
    <w:uiPriority w:val="9"/>
    <w:rsid w:val="00A6444F"/>
    <w:rPr>
      <w:rFonts w:asciiTheme="majorBidi" w:hAnsiTheme="majorBidi" w:cstheme="majorBidi"/>
      <w:b/>
      <w:sz w:val="24"/>
      <w:szCs w:val="24"/>
      <w:lang w:eastAsia="cs-CZ"/>
    </w:rPr>
  </w:style>
  <w:style w:type="paragraph" w:customStyle="1" w:styleId="big">
    <w:name w:val="big"/>
    <w:basedOn w:val="Normln"/>
    <w:rsid w:val="00725CDF"/>
    <w:pPr>
      <w:ind w:left="225" w:right="225"/>
    </w:pPr>
  </w:style>
  <w:style w:type="character" w:customStyle="1" w:styleId="st">
    <w:name w:val="st"/>
    <w:rsid w:val="00725CDF"/>
  </w:style>
  <w:style w:type="character" w:styleId="Znakapoznpodarou">
    <w:name w:val="footnote reference"/>
    <w:aliases w:val="BVI fnr Char Char Char Char Char Char Char Char,Char1 Char Char Char Char Char Char Char Char,Footnote symbol Char Char Char Char Char Char Char Char,Ref Char Char Char Char Char Char Char Char,Footnote symbol,Times 10 Poin,number"/>
    <w:link w:val="BVIfnrCharCharCharCharCharCharChar"/>
    <w:uiPriority w:val="99"/>
    <w:qFormat/>
    <w:rsid w:val="00725CDF"/>
    <w:rPr>
      <w:vertAlign w:val="superscript"/>
      <w:lang w:bidi="ar-SA"/>
    </w:rPr>
  </w:style>
  <w:style w:type="paragraph" w:customStyle="1" w:styleId="BVIfnrCharCharCharCharCharCharChar">
    <w:name w:val="BVI fnr Char Char Char Char Char Char Char"/>
    <w:aliases w:val="Char1 Char Char Char Char Char Char Char,Footnote symbol Char Char Char Char Char Char Char,Ref Char Char Char Char Char Char Char,de nota al pie Char Char Char Char Char Char Char Char"/>
    <w:basedOn w:val="Normln"/>
    <w:next w:val="Textpoznpodarou"/>
    <w:link w:val="Znakapoznpodarou"/>
    <w:uiPriority w:val="99"/>
    <w:rsid w:val="00725CDF"/>
    <w:pPr>
      <w:spacing w:after="160" w:line="240" w:lineRule="exact"/>
    </w:pPr>
    <w:rPr>
      <w:sz w:val="20"/>
      <w:szCs w:val="20"/>
      <w:vertAlign w:val="superscript"/>
      <w:lang w:val="x-none" w:eastAsia="x-none"/>
    </w:rPr>
  </w:style>
  <w:style w:type="paragraph" w:styleId="Textpoznpodarou">
    <w:name w:val="footnote text"/>
    <w:aliases w:val="Char,Char Char Char1,Char Char1,FSR footnote,Footnote Text Char1,Fußnote,Geneva 9,Plonk,Schriftart: 10 pt,Schriftart: 8 pt,Schriftart: 9 pt,Text pozn. pod čarou Char,Text pozn. pod čarou1,Text pozn. pod čarou_martin_ang,f,fn,lábléc"/>
    <w:basedOn w:val="Normln"/>
    <w:link w:val="TextpoznpodarouChar1"/>
    <w:uiPriority w:val="99"/>
    <w:semiHidden/>
    <w:rsid w:val="00725CDF"/>
    <w:rPr>
      <w:sz w:val="20"/>
      <w:szCs w:val="20"/>
    </w:rPr>
  </w:style>
  <w:style w:type="character" w:customStyle="1" w:styleId="TextpoznpodarouChar1">
    <w:name w:val="Text pozn. pod čarou Char1"/>
    <w:aliases w:val="Char Char,Char Char Char1 Char,Char Char1 Char,FSR footnote Char,Footnote Text Char1 Char,Fußnote Char,Geneva 9 Char,Plonk Char,Schriftart: 10 pt Char,Schriftart: 8 pt Char,Schriftart: 9 pt Char,Text pozn. pod čarou Char Char"/>
    <w:link w:val="Textpoznpodarou"/>
    <w:semiHidden/>
    <w:locked/>
    <w:rsid w:val="00725CDF"/>
    <w:rPr>
      <w:lang w:val="cs-CZ" w:eastAsia="cs-CZ" w:bidi="ar-SA"/>
    </w:rPr>
  </w:style>
  <w:style w:type="paragraph" w:customStyle="1" w:styleId="Nadpis30">
    <w:name w:val="Nadpis3"/>
    <w:basedOn w:val="Nadpis3"/>
    <w:rsid w:val="00725CDF"/>
    <w:pPr>
      <w:numPr>
        <w:ilvl w:val="0"/>
        <w:numId w:val="0"/>
      </w:numPr>
      <w:spacing w:after="200"/>
      <w:jc w:val="center"/>
    </w:pPr>
    <w:rPr>
      <w:rFonts w:ascii="Cambria" w:eastAsia="Calibri" w:hAnsi="Cambria"/>
      <w:sz w:val="22"/>
      <w:szCs w:val="22"/>
    </w:rPr>
  </w:style>
  <w:style w:type="character" w:styleId="Hypertextovodkaz">
    <w:name w:val="Hyperlink"/>
    <w:uiPriority w:val="99"/>
    <w:rsid w:val="00725CDF"/>
    <w:rPr>
      <w:rFonts w:cs="Times New Roman"/>
      <w:color w:val="0000FF"/>
      <w:u w:val="single"/>
    </w:rPr>
  </w:style>
  <w:style w:type="paragraph" w:styleId="Zkladntextodsazen2">
    <w:name w:val="Body Text Indent 2"/>
    <w:basedOn w:val="Normln"/>
    <w:link w:val="Zkladntextodsazen2Char"/>
    <w:unhideWhenUsed/>
    <w:rsid w:val="00725CDF"/>
    <w:pPr>
      <w:spacing w:after="120" w:line="480" w:lineRule="auto"/>
      <w:ind w:left="283"/>
    </w:pPr>
  </w:style>
  <w:style w:type="character" w:customStyle="1" w:styleId="Zkladntextodsazen2Char">
    <w:name w:val="Základní text odsazený 2 Char"/>
    <w:link w:val="Zkladntextodsazen2"/>
    <w:rsid w:val="00725CDF"/>
    <w:rPr>
      <w:sz w:val="24"/>
      <w:szCs w:val="24"/>
      <w:lang w:val="cs-CZ" w:eastAsia="cs-CZ" w:bidi="ar-SA"/>
    </w:rPr>
  </w:style>
  <w:style w:type="paragraph" w:styleId="Normlnweb">
    <w:name w:val="Normal (Web)"/>
    <w:basedOn w:val="Normln"/>
    <w:link w:val="NormlnwebChar"/>
    <w:unhideWhenUsed/>
    <w:rsid w:val="00725CDF"/>
    <w:pPr>
      <w:spacing w:before="100" w:beforeAutospacing="1" w:after="100" w:afterAutospacing="1"/>
    </w:pPr>
  </w:style>
  <w:style w:type="character" w:customStyle="1" w:styleId="NormlnwebChar">
    <w:name w:val="Normální (web) Char"/>
    <w:link w:val="Normlnweb"/>
    <w:uiPriority w:val="99"/>
    <w:locked/>
    <w:rsid w:val="00725CDF"/>
    <w:rPr>
      <w:sz w:val="24"/>
      <w:szCs w:val="24"/>
      <w:lang w:val="cs-CZ" w:eastAsia="cs-CZ" w:bidi="ar-SA"/>
    </w:rPr>
  </w:style>
  <w:style w:type="paragraph" w:styleId="Prosttext">
    <w:name w:val="Plain Text"/>
    <w:basedOn w:val="Normln"/>
    <w:link w:val="ProsttextChar"/>
    <w:semiHidden/>
    <w:rsid w:val="00725CDF"/>
    <w:rPr>
      <w:rFonts w:ascii="Calibri" w:hAnsi="Calibri"/>
      <w:sz w:val="22"/>
      <w:szCs w:val="21"/>
      <w:lang w:eastAsia="en-US"/>
    </w:rPr>
  </w:style>
  <w:style w:type="character" w:customStyle="1" w:styleId="ProsttextChar">
    <w:name w:val="Prostý text Char"/>
    <w:link w:val="Prosttext"/>
    <w:semiHidden/>
    <w:locked/>
    <w:rsid w:val="00725CDF"/>
    <w:rPr>
      <w:rFonts w:ascii="Calibri" w:hAnsi="Calibri"/>
      <w:sz w:val="22"/>
      <w:szCs w:val="21"/>
      <w:lang w:val="cs-CZ" w:eastAsia="en-US" w:bidi="ar-SA"/>
    </w:rPr>
  </w:style>
  <w:style w:type="paragraph" w:styleId="Nzev">
    <w:name w:val="Title"/>
    <w:basedOn w:val="Normln"/>
    <w:link w:val="NzevChar"/>
    <w:uiPriority w:val="10"/>
    <w:qFormat/>
    <w:rsid w:val="00725CDF"/>
    <w:pPr>
      <w:spacing w:before="120" w:after="120" w:line="360" w:lineRule="auto"/>
      <w:jc w:val="center"/>
    </w:pPr>
    <w:rPr>
      <w:rFonts w:ascii="Calibri" w:hAnsi="Calibri"/>
      <w:b/>
      <w:szCs w:val="20"/>
    </w:rPr>
  </w:style>
  <w:style w:type="character" w:customStyle="1" w:styleId="NzevChar">
    <w:name w:val="Název Char"/>
    <w:link w:val="Nzev"/>
    <w:uiPriority w:val="10"/>
    <w:locked/>
    <w:rsid w:val="00725CDF"/>
    <w:rPr>
      <w:rFonts w:ascii="Calibri" w:hAnsi="Calibri"/>
      <w:b/>
      <w:sz w:val="24"/>
      <w:lang w:val="cs-CZ" w:eastAsia="cs-CZ" w:bidi="ar-SA"/>
    </w:rPr>
  </w:style>
  <w:style w:type="paragraph" w:styleId="Zkladntext">
    <w:name w:val="Body Text"/>
    <w:aliases w:val="?????1,Body Text Char Char,Základní text Char1 Char Char,Základní text Char1 Char Char C,Základní text Char1 Char Char Char,Základní text Char1 Char Char Char Char,Základní text Char1 Char Char Char Char Char,b,Číslovaný seznam (i),Текст1"/>
    <w:basedOn w:val="Normln"/>
    <w:link w:val="ZkladntextChar"/>
    <w:rsid w:val="00725CDF"/>
    <w:pPr>
      <w:spacing w:after="120"/>
    </w:pPr>
  </w:style>
  <w:style w:type="character" w:customStyle="1" w:styleId="ZkladntextChar">
    <w:name w:val="Základní text Char"/>
    <w:aliases w:val="?????1 Char,Body Text Char Char Char,Základní text Char1 Char Char Char1,Základní text Char1 Char Char C Char,Základní text Char1 Char Char Char Char1,Základní text Char1 Char Char Char Char Char1,b Char,Číslovaný seznam (i) Char"/>
    <w:link w:val="Zkladntext"/>
    <w:rsid w:val="00725CDF"/>
    <w:rPr>
      <w:sz w:val="24"/>
      <w:szCs w:val="24"/>
      <w:lang w:val="cs-CZ" w:eastAsia="cs-CZ" w:bidi="ar-SA"/>
    </w:rPr>
  </w:style>
  <w:style w:type="paragraph" w:styleId="Zpat">
    <w:name w:val="footer"/>
    <w:basedOn w:val="Normln"/>
    <w:link w:val="ZpatChar"/>
    <w:uiPriority w:val="99"/>
    <w:rsid w:val="00725CDF"/>
    <w:pPr>
      <w:tabs>
        <w:tab w:val="center" w:pos="4536"/>
        <w:tab w:val="right" w:pos="9072"/>
      </w:tabs>
    </w:pPr>
  </w:style>
  <w:style w:type="character" w:styleId="slostrnky">
    <w:name w:val="page number"/>
    <w:basedOn w:val="Standardnpsmoodstavce"/>
    <w:rsid w:val="00725CDF"/>
  </w:style>
  <w:style w:type="paragraph" w:customStyle="1" w:styleId="OdstavecCOPS">
    <w:name w:val="Odstavec COPS"/>
    <w:basedOn w:val="Normln"/>
    <w:rsid w:val="00725CDF"/>
    <w:pPr>
      <w:spacing w:before="80" w:after="160"/>
    </w:pPr>
    <w:rPr>
      <w:bCs/>
    </w:rPr>
  </w:style>
  <w:style w:type="paragraph" w:styleId="Zhlav">
    <w:name w:val="header"/>
    <w:basedOn w:val="Normln"/>
    <w:link w:val="ZhlavChar"/>
    <w:uiPriority w:val="99"/>
    <w:rsid w:val="00725CDF"/>
    <w:pPr>
      <w:tabs>
        <w:tab w:val="center" w:pos="4536"/>
        <w:tab w:val="right" w:pos="9072"/>
      </w:tabs>
      <w:jc w:val="both"/>
    </w:pPr>
    <w:rPr>
      <w:szCs w:val="20"/>
      <w:lang w:val="en-GB"/>
    </w:rPr>
  </w:style>
  <w:style w:type="paragraph" w:customStyle="1" w:styleId="JVS-Normln">
    <w:name w:val="JVS - Normální"/>
    <w:basedOn w:val="Normln"/>
    <w:rsid w:val="00725CDF"/>
    <w:pPr>
      <w:suppressAutoHyphens/>
      <w:spacing w:after="120"/>
      <w:jc w:val="both"/>
    </w:pPr>
    <w:rPr>
      <w:rFonts w:ascii="Georgia" w:hAnsi="Georgia" w:cs="Georgia"/>
      <w:sz w:val="22"/>
      <w:szCs w:val="22"/>
      <w:lang w:eastAsia="ar-SA"/>
    </w:rPr>
  </w:style>
  <w:style w:type="paragraph" w:customStyle="1" w:styleId="Popisky">
    <w:name w:val="Popisky"/>
    <w:rsid w:val="00725CDF"/>
    <w:rPr>
      <w:rFonts w:ascii="Arial" w:hAnsi="Arial"/>
      <w:lang w:eastAsia="cs-CZ"/>
    </w:rPr>
  </w:style>
  <w:style w:type="paragraph" w:styleId="Titulek">
    <w:name w:val="caption"/>
    <w:basedOn w:val="Normln"/>
    <w:next w:val="Normln"/>
    <w:uiPriority w:val="35"/>
    <w:qFormat/>
    <w:rsid w:val="00725CDF"/>
    <w:rPr>
      <w:b/>
      <w:bCs/>
      <w:sz w:val="20"/>
      <w:szCs w:val="20"/>
    </w:rPr>
  </w:style>
  <w:style w:type="paragraph" w:styleId="Nadpisobsahu">
    <w:name w:val="TOC Heading"/>
    <w:basedOn w:val="Nadpis1"/>
    <w:next w:val="Normln"/>
    <w:uiPriority w:val="39"/>
    <w:qFormat/>
    <w:rsid w:val="00725CDF"/>
    <w:pPr>
      <w:keepLines/>
      <w:numPr>
        <w:numId w:val="0"/>
      </w:numPr>
      <w:spacing w:after="0"/>
      <w:outlineLvl w:val="9"/>
    </w:pPr>
    <w:rPr>
      <w:rFonts w:ascii="Cambria" w:hAnsi="Cambria"/>
      <w:color w:val="365F91"/>
      <w:szCs w:val="28"/>
    </w:rPr>
  </w:style>
  <w:style w:type="paragraph" w:styleId="Obsah1">
    <w:name w:val="toc 1"/>
    <w:basedOn w:val="Normln"/>
    <w:next w:val="Normln"/>
    <w:autoRedefine/>
    <w:uiPriority w:val="39"/>
    <w:qFormat/>
    <w:rsid w:val="004433E4"/>
    <w:pPr>
      <w:tabs>
        <w:tab w:val="left" w:pos="480"/>
        <w:tab w:val="right" w:leader="dot" w:pos="9062"/>
      </w:tabs>
    </w:pPr>
    <w:rPr>
      <w:rFonts w:cs="Arial"/>
      <w:b/>
      <w:noProof/>
    </w:rPr>
  </w:style>
  <w:style w:type="paragraph" w:styleId="Obsah2">
    <w:name w:val="toc 2"/>
    <w:basedOn w:val="Normln"/>
    <w:next w:val="Normln"/>
    <w:autoRedefine/>
    <w:uiPriority w:val="39"/>
    <w:qFormat/>
    <w:rsid w:val="002D5199"/>
    <w:pPr>
      <w:tabs>
        <w:tab w:val="left" w:pos="880"/>
        <w:tab w:val="right" w:leader="dot" w:pos="9062"/>
      </w:tabs>
      <w:spacing w:line="276" w:lineRule="auto"/>
      <w:ind w:left="240"/>
    </w:pPr>
    <w:rPr>
      <w:rFonts w:ascii="Arial" w:eastAsia="Calibri" w:hAnsi="Arial" w:cs="Arial"/>
      <w:noProof/>
      <w:sz w:val="22"/>
      <w:szCs w:val="22"/>
      <w:lang w:eastAsia="en-US"/>
    </w:rPr>
  </w:style>
  <w:style w:type="paragraph" w:styleId="Obsah3">
    <w:name w:val="toc 3"/>
    <w:basedOn w:val="Normln"/>
    <w:next w:val="Normln"/>
    <w:autoRedefine/>
    <w:uiPriority w:val="39"/>
    <w:qFormat/>
    <w:rsid w:val="00725CDF"/>
    <w:pPr>
      <w:ind w:left="480"/>
    </w:pPr>
  </w:style>
  <w:style w:type="paragraph" w:customStyle="1" w:styleId="footnotenumberCharChar1CharCharChar1CharCharCharCharCharChar">
    <w:name w:val="footnote number Char Char1 Char Char Char1 Char Char Char Char Char Char"/>
    <w:aliases w:val="BVI fnr Char Char Char1 Char1 Char Char Char Char Char Char,BVI fnr Char1 Char Char Char1 Char Char Char Char Char Char Char"/>
    <w:basedOn w:val="Normln"/>
    <w:next w:val="Textpoznpodarou"/>
    <w:rsid w:val="00725CDF"/>
    <w:pPr>
      <w:spacing w:after="160" w:line="240" w:lineRule="exact"/>
    </w:pPr>
    <w:rPr>
      <w:sz w:val="20"/>
      <w:szCs w:val="20"/>
      <w:vertAlign w:val="superscript"/>
    </w:rPr>
  </w:style>
  <w:style w:type="character" w:customStyle="1" w:styleId="hr-quantity">
    <w:name w:val="hr-quantity"/>
    <w:rsid w:val="00725CDF"/>
    <w:rPr>
      <w:rFonts w:cs="Times New Roman"/>
    </w:rPr>
  </w:style>
  <w:style w:type="paragraph" w:styleId="Bezmezer">
    <w:name w:val="No Spacing"/>
    <w:basedOn w:val="Normln"/>
    <w:next w:val="Normln"/>
    <w:uiPriority w:val="1"/>
    <w:qFormat/>
    <w:rsid w:val="00601ECA"/>
    <w:pPr>
      <w:autoSpaceDE w:val="0"/>
      <w:autoSpaceDN w:val="0"/>
      <w:adjustRightInd w:val="0"/>
      <w:ind w:firstLine="708"/>
      <w:jc w:val="both"/>
    </w:pPr>
    <w:rPr>
      <w:rFonts w:asciiTheme="majorBidi" w:hAnsiTheme="majorBidi" w:cstheme="majorBidi"/>
      <w:color w:val="000000"/>
    </w:rPr>
  </w:style>
  <w:style w:type="paragraph" w:customStyle="1" w:styleId="Default">
    <w:name w:val="Default"/>
    <w:rsid w:val="00725CDF"/>
    <w:pPr>
      <w:autoSpaceDE w:val="0"/>
      <w:autoSpaceDN w:val="0"/>
      <w:adjustRightInd w:val="0"/>
    </w:pPr>
    <w:rPr>
      <w:color w:val="000000"/>
      <w:sz w:val="24"/>
      <w:szCs w:val="24"/>
      <w:lang w:eastAsia="cs-CZ"/>
    </w:rPr>
  </w:style>
  <w:style w:type="paragraph" w:styleId="Textbubliny">
    <w:name w:val="Balloon Text"/>
    <w:basedOn w:val="Normln"/>
    <w:semiHidden/>
    <w:rsid w:val="004C7C9B"/>
    <w:rPr>
      <w:rFonts w:ascii="Tahoma" w:hAnsi="Tahoma" w:cs="Tahoma"/>
      <w:sz w:val="16"/>
      <w:szCs w:val="16"/>
    </w:rPr>
  </w:style>
  <w:style w:type="character" w:styleId="Odkaznakoment">
    <w:name w:val="annotation reference"/>
    <w:uiPriority w:val="99"/>
    <w:rsid w:val="00C23EA4"/>
    <w:rPr>
      <w:sz w:val="16"/>
      <w:szCs w:val="16"/>
    </w:rPr>
  </w:style>
  <w:style w:type="paragraph" w:styleId="Textkomente">
    <w:name w:val="annotation text"/>
    <w:basedOn w:val="Normln"/>
    <w:link w:val="TextkomenteChar"/>
    <w:uiPriority w:val="99"/>
    <w:rsid w:val="00C23EA4"/>
    <w:rPr>
      <w:sz w:val="20"/>
      <w:szCs w:val="20"/>
    </w:rPr>
  </w:style>
  <w:style w:type="character" w:customStyle="1" w:styleId="TextkomenteChar">
    <w:name w:val="Text komentáře Char"/>
    <w:basedOn w:val="Standardnpsmoodstavce"/>
    <w:link w:val="Textkomente"/>
    <w:uiPriority w:val="99"/>
    <w:rsid w:val="00C23EA4"/>
  </w:style>
  <w:style w:type="paragraph" w:styleId="Pedmtkomente">
    <w:name w:val="annotation subject"/>
    <w:basedOn w:val="Textkomente"/>
    <w:next w:val="Textkomente"/>
    <w:link w:val="PedmtkomenteChar"/>
    <w:uiPriority w:val="99"/>
    <w:rsid w:val="00C23EA4"/>
    <w:rPr>
      <w:b/>
      <w:bCs/>
      <w:lang w:val="x-none" w:eastAsia="x-none"/>
    </w:rPr>
  </w:style>
  <w:style w:type="character" w:customStyle="1" w:styleId="PedmtkomenteChar">
    <w:name w:val="Předmět komentáře Char"/>
    <w:link w:val="Pedmtkomente"/>
    <w:uiPriority w:val="99"/>
    <w:rsid w:val="00C23EA4"/>
    <w:rPr>
      <w:b/>
      <w:bCs/>
    </w:rPr>
  </w:style>
  <w:style w:type="paragraph" w:styleId="Odstavecseseznamem">
    <w:name w:val="List Paragraph"/>
    <w:aliases w:val="3,Dot pt,Fiche List Paragraph,Indicator Text,LISTA,List Paragraph Char Char Char,List Paragraph à moi,Listaszerű bekezdés1,Listaszerű bekezdés2,Listaszerű bekezdés3,Numbered Para 1,Odsek zoznamu4,Odstavec se seznamem2"/>
    <w:basedOn w:val="Normln"/>
    <w:link w:val="OdstavecseseznamemChar"/>
    <w:uiPriority w:val="34"/>
    <w:qFormat/>
    <w:rsid w:val="00FE6A10"/>
    <w:pPr>
      <w:ind w:left="708"/>
    </w:pPr>
    <w:rPr>
      <w:lang w:val="x-none" w:eastAsia="x-none"/>
    </w:rPr>
  </w:style>
  <w:style w:type="paragraph" w:customStyle="1" w:styleId="BVIfnrCharCharChar">
    <w:name w:val="BVI fnr Char Char Char"/>
    <w:basedOn w:val="Normln"/>
    <w:next w:val="Textpoznpodarou"/>
    <w:rsid w:val="00CE1AA7"/>
    <w:pPr>
      <w:spacing w:after="160" w:line="240" w:lineRule="exact"/>
    </w:pPr>
    <w:rPr>
      <w:sz w:val="20"/>
      <w:szCs w:val="20"/>
      <w:vertAlign w:val="superscript"/>
      <w:lang w:val="x-none" w:eastAsia="x-none"/>
    </w:rPr>
  </w:style>
  <w:style w:type="paragraph" w:styleId="Zkladntext2">
    <w:name w:val="Body Text 2"/>
    <w:basedOn w:val="Normln"/>
    <w:rsid w:val="00D03811"/>
    <w:pPr>
      <w:spacing w:after="120" w:line="480" w:lineRule="auto"/>
    </w:pPr>
  </w:style>
  <w:style w:type="paragraph" w:customStyle="1" w:styleId="msonormalcxsplast">
    <w:name w:val="msonormalcxsplast"/>
    <w:basedOn w:val="Normln"/>
    <w:rsid w:val="0044219A"/>
    <w:pPr>
      <w:spacing w:before="100" w:beforeAutospacing="1" w:after="100" w:afterAutospacing="1"/>
    </w:pPr>
  </w:style>
  <w:style w:type="paragraph" w:customStyle="1" w:styleId="Odstavecseseznamem1">
    <w:name w:val="Odstavec se seznamem1"/>
    <w:basedOn w:val="Normln"/>
    <w:rsid w:val="00EB032B"/>
    <w:pPr>
      <w:spacing w:after="200" w:line="276" w:lineRule="auto"/>
      <w:ind w:left="720"/>
      <w:contextualSpacing/>
    </w:pPr>
    <w:rPr>
      <w:rFonts w:ascii="Calibri" w:hAnsi="Calibri"/>
      <w:sz w:val="22"/>
      <w:szCs w:val="22"/>
      <w:lang w:eastAsia="en-US"/>
    </w:rPr>
  </w:style>
  <w:style w:type="paragraph" w:customStyle="1" w:styleId="Zaznam">
    <w:name w:val="Zaznam"/>
    <w:basedOn w:val="Zhlav"/>
    <w:rsid w:val="001268A3"/>
    <w:pPr>
      <w:tabs>
        <w:tab w:val="clear" w:pos="4536"/>
        <w:tab w:val="clear" w:pos="9072"/>
      </w:tabs>
      <w:spacing w:before="20" w:after="40"/>
      <w:jc w:val="left"/>
    </w:pPr>
    <w:rPr>
      <w:szCs w:val="24"/>
      <w:lang w:val="cs-CZ"/>
    </w:rPr>
  </w:style>
  <w:style w:type="character" w:customStyle="1" w:styleId="OdstavecseseznamemChar">
    <w:name w:val="Odstavec se seznamem Char"/>
    <w:aliases w:val="3 Char,Dot pt Char,Fiche List Paragraph Char,Indicator Text Char,LISTA Char,List Paragraph Char Char Char Char,List Paragraph à moi Char,Listaszerű bekezdés1 Char,Listaszerű bekezdés2 Char,Listaszerű bekezdés3 Char"/>
    <w:link w:val="Odstavecseseznamem"/>
    <w:uiPriority w:val="34"/>
    <w:qFormat/>
    <w:locked/>
    <w:rsid w:val="00DF44C2"/>
    <w:rPr>
      <w:sz w:val="24"/>
      <w:szCs w:val="24"/>
    </w:rPr>
  </w:style>
  <w:style w:type="character" w:customStyle="1" w:styleId="norm00e1ln00edchar1">
    <w:name w:val="norm_00e1ln_00ed__char1"/>
    <w:rsid w:val="003A7E17"/>
    <w:rPr>
      <w:rFonts w:ascii="Times New Roman" w:hAnsi="Times New Roman" w:cs="Times New Roman" w:hint="default"/>
      <w:sz w:val="24"/>
      <w:szCs w:val="24"/>
    </w:rPr>
  </w:style>
  <w:style w:type="paragraph" w:customStyle="1" w:styleId="Text">
    <w:name w:val="Text"/>
    <w:basedOn w:val="Normln"/>
    <w:rsid w:val="00AB234A"/>
    <w:pPr>
      <w:spacing w:before="80" w:after="80"/>
      <w:ind w:left="454"/>
      <w:jc w:val="both"/>
    </w:pPr>
    <w:rPr>
      <w:color w:val="FF0000"/>
      <w:szCs w:val="20"/>
    </w:rPr>
  </w:style>
  <w:style w:type="paragraph" w:styleId="Revize">
    <w:name w:val="Revision"/>
    <w:hidden/>
    <w:uiPriority w:val="99"/>
    <w:semiHidden/>
    <w:rsid w:val="00AA2C69"/>
    <w:rPr>
      <w:sz w:val="24"/>
      <w:szCs w:val="24"/>
      <w:lang w:eastAsia="cs-CZ"/>
    </w:rPr>
  </w:style>
  <w:style w:type="paragraph" w:customStyle="1" w:styleId="Styl1-Nzevmaterilu">
    <w:name w:val="Styl1 - Název materiálu"/>
    <w:basedOn w:val="Normln"/>
    <w:link w:val="Styl1-NzevmateriluChar"/>
    <w:qFormat/>
    <w:rsid w:val="007F0199"/>
    <w:pPr>
      <w:overflowPunct w:val="0"/>
      <w:autoSpaceDE w:val="0"/>
      <w:autoSpaceDN w:val="0"/>
      <w:adjustRightInd w:val="0"/>
      <w:jc w:val="center"/>
      <w:textAlignment w:val="baseline"/>
    </w:pPr>
    <w:rPr>
      <w:rFonts w:ascii="Arial" w:hAnsi="Arial" w:cs="Arial"/>
      <w:b/>
      <w:noProof/>
      <w:sz w:val="22"/>
    </w:rPr>
  </w:style>
  <w:style w:type="character" w:customStyle="1" w:styleId="Styl1-NzevmateriluChar">
    <w:name w:val="Styl1 - Název materiálu Char"/>
    <w:link w:val="Styl1-Nzevmaterilu"/>
    <w:rsid w:val="007F0199"/>
    <w:rPr>
      <w:rFonts w:ascii="Arial" w:hAnsi="Arial" w:cs="Arial"/>
      <w:b/>
      <w:noProof/>
      <w:sz w:val="22"/>
      <w:szCs w:val="24"/>
    </w:rPr>
  </w:style>
  <w:style w:type="character" w:customStyle="1" w:styleId="normaltextrun">
    <w:name w:val="normaltextrun"/>
    <w:rsid w:val="002F23E1"/>
  </w:style>
  <w:style w:type="character" w:customStyle="1" w:styleId="eop">
    <w:name w:val="eop"/>
    <w:rsid w:val="002F23E1"/>
  </w:style>
  <w:style w:type="table" w:styleId="Mkatabulky">
    <w:name w:val="Table Grid"/>
    <w:basedOn w:val="Normlntabulka"/>
    <w:uiPriority w:val="39"/>
    <w:rsid w:val="002F23E1"/>
    <w:rPr>
      <w:rFonts w:ascii="Calibri" w:eastAsia="Calibri" w:hAnsi="Calibri"/>
      <w:sz w:val="24"/>
      <w:szCs w:val="24"/>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Normln"/>
    <w:rsid w:val="00DD48E7"/>
    <w:pPr>
      <w:spacing w:before="100" w:beforeAutospacing="1" w:after="100" w:afterAutospacing="1"/>
    </w:pPr>
  </w:style>
  <w:style w:type="character" w:customStyle="1" w:styleId="spellingerror">
    <w:name w:val="spellingerror"/>
    <w:rsid w:val="00DD48E7"/>
  </w:style>
  <w:style w:type="table" w:customStyle="1" w:styleId="Mkatabulky1">
    <w:name w:val="Mřížka tabulky1"/>
    <w:basedOn w:val="Normlntabulka"/>
    <w:next w:val="Mkatabulky"/>
    <w:uiPriority w:val="59"/>
    <w:rsid w:val="0042427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4Char">
    <w:name w:val="Nadpis 4 Char"/>
    <w:link w:val="Nadpis4"/>
    <w:uiPriority w:val="9"/>
    <w:rsid w:val="00361D2D"/>
    <w:rPr>
      <w:rFonts w:asciiTheme="majorBidi" w:hAnsiTheme="majorBidi" w:cstheme="majorBidi"/>
      <w:b/>
      <w:bCs/>
      <w:sz w:val="24"/>
      <w:szCs w:val="24"/>
      <w:u w:val="single"/>
      <w:lang w:eastAsia="cs-CZ"/>
    </w:rPr>
  </w:style>
  <w:style w:type="character" w:customStyle="1" w:styleId="rynqvb">
    <w:name w:val="rynqvb"/>
    <w:basedOn w:val="Standardnpsmoodstavce"/>
    <w:rsid w:val="005672A5"/>
  </w:style>
  <w:style w:type="character" w:customStyle="1" w:styleId="Nevyeenzmnka1">
    <w:name w:val="Nevyřešená zmínka1"/>
    <w:uiPriority w:val="99"/>
    <w:semiHidden/>
    <w:unhideWhenUsed/>
    <w:rsid w:val="001507F3"/>
    <w:rPr>
      <w:color w:val="605E5C"/>
      <w:shd w:val="clear" w:color="auto" w:fill="E1DFDD"/>
    </w:rPr>
  </w:style>
  <w:style w:type="character" w:customStyle="1" w:styleId="ZpatChar">
    <w:name w:val="Zápatí Char"/>
    <w:link w:val="Zpat"/>
    <w:uiPriority w:val="99"/>
    <w:rsid w:val="00413B75"/>
    <w:rPr>
      <w:sz w:val="24"/>
      <w:szCs w:val="24"/>
    </w:rPr>
  </w:style>
  <w:style w:type="numbering" w:customStyle="1" w:styleId="Bezseznamu1">
    <w:name w:val="Bez seznamu1"/>
    <w:next w:val="Bezseznamu"/>
    <w:uiPriority w:val="99"/>
    <w:semiHidden/>
    <w:unhideWhenUsed/>
    <w:rsid w:val="004A49DC"/>
  </w:style>
  <w:style w:type="character" w:customStyle="1" w:styleId="Nadpis1Char">
    <w:name w:val="Nadpis 1 Char"/>
    <w:basedOn w:val="Standardnpsmoodstavce"/>
    <w:link w:val="Nadpis1"/>
    <w:uiPriority w:val="9"/>
    <w:rsid w:val="00B72F48"/>
    <w:rPr>
      <w:rFonts w:asciiTheme="majorBidi" w:hAnsiTheme="majorBidi" w:cstheme="majorBidi"/>
      <w:b/>
      <w:sz w:val="28"/>
      <w:szCs w:val="24"/>
      <w:lang w:eastAsia="cs-CZ"/>
    </w:rPr>
  </w:style>
  <w:style w:type="character" w:customStyle="1" w:styleId="Nadpis2Char">
    <w:name w:val="Nadpis 2 Char"/>
    <w:basedOn w:val="Standardnpsmoodstavce"/>
    <w:link w:val="Nadpis2"/>
    <w:uiPriority w:val="9"/>
    <w:rsid w:val="00255026"/>
    <w:rPr>
      <w:b/>
      <w:sz w:val="26"/>
      <w:szCs w:val="26"/>
      <w:lang w:eastAsia="cs-CZ"/>
    </w:rPr>
  </w:style>
  <w:style w:type="character" w:customStyle="1" w:styleId="Nadpis5Char">
    <w:name w:val="Nadpis 5 Char"/>
    <w:aliases w:val="země Char"/>
    <w:basedOn w:val="Standardnpsmoodstavce"/>
    <w:link w:val="Nadpis5"/>
    <w:uiPriority w:val="9"/>
    <w:rsid w:val="004A49DC"/>
    <w:rPr>
      <w:rFonts w:ascii="Calibri" w:eastAsia="MS Mincho" w:hAnsi="Calibri"/>
      <w:b/>
      <w:bCs/>
      <w:i/>
      <w:iCs/>
      <w:sz w:val="26"/>
      <w:szCs w:val="26"/>
      <w:lang w:eastAsia="en-US"/>
    </w:rPr>
  </w:style>
  <w:style w:type="character" w:customStyle="1" w:styleId="Nadpis6Char">
    <w:name w:val="Nadpis 6 Char"/>
    <w:basedOn w:val="Standardnpsmoodstavce"/>
    <w:link w:val="Nadpis6"/>
    <w:uiPriority w:val="9"/>
    <w:rsid w:val="004A49DC"/>
    <w:rPr>
      <w:rFonts w:ascii="Calibri" w:eastAsia="MS Mincho" w:hAnsi="Calibri"/>
      <w:b/>
      <w:bCs/>
      <w:sz w:val="22"/>
      <w:szCs w:val="22"/>
      <w:lang w:eastAsia="en-US"/>
    </w:rPr>
  </w:style>
  <w:style w:type="character" w:customStyle="1" w:styleId="Nadpis7Char">
    <w:name w:val="Nadpis 7 Char"/>
    <w:basedOn w:val="Standardnpsmoodstavce"/>
    <w:link w:val="Nadpis7"/>
    <w:uiPriority w:val="9"/>
    <w:rsid w:val="004A49DC"/>
    <w:rPr>
      <w:rFonts w:ascii="Calibri" w:eastAsia="MS Mincho" w:hAnsi="Calibri"/>
      <w:sz w:val="24"/>
      <w:szCs w:val="24"/>
      <w:lang w:eastAsia="en-US"/>
    </w:rPr>
  </w:style>
  <w:style w:type="character" w:customStyle="1" w:styleId="Nadpis8Char">
    <w:name w:val="Nadpis 8 Char"/>
    <w:basedOn w:val="Standardnpsmoodstavce"/>
    <w:link w:val="Nadpis8"/>
    <w:uiPriority w:val="9"/>
    <w:rsid w:val="004A49DC"/>
    <w:rPr>
      <w:rFonts w:ascii="Calibri" w:eastAsia="MS Mincho" w:hAnsi="Calibri"/>
      <w:i/>
      <w:iCs/>
      <w:sz w:val="24"/>
      <w:szCs w:val="24"/>
      <w:lang w:eastAsia="en-US"/>
    </w:rPr>
  </w:style>
  <w:style w:type="character" w:customStyle="1" w:styleId="Nadpis9Char">
    <w:name w:val="Nadpis 9 Char"/>
    <w:basedOn w:val="Standardnpsmoodstavce"/>
    <w:link w:val="Nadpis9"/>
    <w:uiPriority w:val="9"/>
    <w:rsid w:val="004A49DC"/>
    <w:rPr>
      <w:rFonts w:ascii="Calibri Light" w:eastAsia="MS Gothic" w:hAnsi="Calibri Light"/>
      <w:sz w:val="22"/>
      <w:szCs w:val="22"/>
      <w:lang w:eastAsia="en-US"/>
    </w:rPr>
  </w:style>
  <w:style w:type="paragraph" w:customStyle="1" w:styleId="Podnadpis1">
    <w:name w:val="Podnadpis1"/>
    <w:basedOn w:val="Normln"/>
    <w:next w:val="Normln"/>
    <w:uiPriority w:val="11"/>
    <w:qFormat/>
    <w:rsid w:val="004A49DC"/>
    <w:pPr>
      <w:numPr>
        <w:ilvl w:val="1"/>
      </w:numPr>
      <w:spacing w:line="276" w:lineRule="auto"/>
      <w:jc w:val="both"/>
    </w:pPr>
    <w:rPr>
      <w:rFonts w:ascii="Georgia" w:eastAsia="DengXian Light" w:hAnsi="Georgia"/>
      <w:color w:val="595959"/>
      <w:spacing w:val="15"/>
      <w:sz w:val="28"/>
      <w:szCs w:val="28"/>
    </w:rPr>
  </w:style>
  <w:style w:type="character" w:customStyle="1" w:styleId="PodnadpisChar">
    <w:name w:val="Podnadpis Char"/>
    <w:basedOn w:val="Standardnpsmoodstavce"/>
    <w:link w:val="Podnadpis"/>
    <w:uiPriority w:val="11"/>
    <w:rsid w:val="004A49DC"/>
    <w:rPr>
      <w:rFonts w:eastAsia="DengXian Light" w:cs="Times New Roman"/>
      <w:color w:val="595959"/>
      <w:spacing w:val="15"/>
      <w:sz w:val="28"/>
      <w:szCs w:val="28"/>
    </w:rPr>
  </w:style>
  <w:style w:type="paragraph" w:customStyle="1" w:styleId="Citt1">
    <w:name w:val="Citát1"/>
    <w:basedOn w:val="Normln"/>
    <w:next w:val="Normln"/>
    <w:uiPriority w:val="29"/>
    <w:qFormat/>
    <w:rsid w:val="004A49DC"/>
    <w:pPr>
      <w:spacing w:before="160" w:line="276" w:lineRule="auto"/>
      <w:jc w:val="center"/>
    </w:pPr>
    <w:rPr>
      <w:rFonts w:ascii="Georgia" w:hAnsi="Georgia"/>
      <w:i/>
      <w:iCs/>
      <w:color w:val="404040"/>
      <w:sz w:val="22"/>
    </w:rPr>
  </w:style>
  <w:style w:type="character" w:customStyle="1" w:styleId="CittChar">
    <w:name w:val="Citát Char"/>
    <w:basedOn w:val="Standardnpsmoodstavce"/>
    <w:link w:val="Citt"/>
    <w:uiPriority w:val="29"/>
    <w:rsid w:val="004A49DC"/>
    <w:rPr>
      <w:i/>
      <w:iCs/>
      <w:color w:val="404040"/>
    </w:rPr>
  </w:style>
  <w:style w:type="character" w:customStyle="1" w:styleId="Zdraznnintenzivn1">
    <w:name w:val="Zdůraznění – intenzivní1"/>
    <w:basedOn w:val="Standardnpsmoodstavce"/>
    <w:uiPriority w:val="21"/>
    <w:qFormat/>
    <w:rsid w:val="004A49DC"/>
    <w:rPr>
      <w:i/>
      <w:iCs/>
      <w:color w:val="0F4761"/>
    </w:rPr>
  </w:style>
  <w:style w:type="paragraph" w:customStyle="1" w:styleId="Vrazncitt1">
    <w:name w:val="Výrazný citát1"/>
    <w:basedOn w:val="Normln"/>
    <w:next w:val="Normln"/>
    <w:uiPriority w:val="30"/>
    <w:qFormat/>
    <w:rsid w:val="004A49DC"/>
    <w:pPr>
      <w:pBdr>
        <w:top w:val="single" w:sz="4" w:space="10" w:color="0F4761"/>
        <w:bottom w:val="single" w:sz="4" w:space="10" w:color="0F4761"/>
      </w:pBdr>
      <w:spacing w:before="360" w:after="360" w:line="276" w:lineRule="auto"/>
      <w:ind w:left="864" w:right="864"/>
      <w:jc w:val="center"/>
    </w:pPr>
    <w:rPr>
      <w:rFonts w:ascii="Georgia" w:hAnsi="Georgia"/>
      <w:i/>
      <w:iCs/>
      <w:color w:val="0F4761"/>
      <w:sz w:val="22"/>
    </w:rPr>
  </w:style>
  <w:style w:type="character" w:customStyle="1" w:styleId="VrazncittChar">
    <w:name w:val="Výrazný citát Char"/>
    <w:basedOn w:val="Standardnpsmoodstavce"/>
    <w:link w:val="Vrazncitt"/>
    <w:uiPriority w:val="30"/>
    <w:rsid w:val="004A49DC"/>
    <w:rPr>
      <w:i/>
      <w:iCs/>
      <w:color w:val="0F4761"/>
    </w:rPr>
  </w:style>
  <w:style w:type="character" w:customStyle="1" w:styleId="Odkazintenzivn1">
    <w:name w:val="Odkaz – intenzivní1"/>
    <w:basedOn w:val="Standardnpsmoodstavce"/>
    <w:uiPriority w:val="32"/>
    <w:qFormat/>
    <w:rsid w:val="004A49DC"/>
    <w:rPr>
      <w:b/>
      <w:bCs/>
      <w:smallCaps/>
      <w:color w:val="0F4761"/>
      <w:spacing w:val="5"/>
    </w:rPr>
  </w:style>
  <w:style w:type="character" w:customStyle="1" w:styleId="ZhlavChar">
    <w:name w:val="Záhlaví Char"/>
    <w:basedOn w:val="Standardnpsmoodstavce"/>
    <w:link w:val="Zhlav"/>
    <w:uiPriority w:val="99"/>
    <w:rsid w:val="004A49DC"/>
    <w:rPr>
      <w:sz w:val="24"/>
      <w:lang w:val="en-GB" w:eastAsia="cs-CZ"/>
    </w:rPr>
  </w:style>
  <w:style w:type="paragraph" w:customStyle="1" w:styleId="wnd-align-justify">
    <w:name w:val="wnd-align-justify"/>
    <w:basedOn w:val="Normln"/>
    <w:rsid w:val="004A49DC"/>
    <w:pPr>
      <w:spacing w:before="100" w:beforeAutospacing="1" w:after="100" w:afterAutospacing="1"/>
    </w:pPr>
    <w:rPr>
      <w:lang w:eastAsia="zh-CN"/>
    </w:rPr>
  </w:style>
  <w:style w:type="character" w:customStyle="1" w:styleId="relative">
    <w:name w:val="relative"/>
    <w:basedOn w:val="Standardnpsmoodstavce"/>
    <w:rsid w:val="004A49DC"/>
  </w:style>
  <w:style w:type="character" w:customStyle="1" w:styleId="apple-converted-space">
    <w:name w:val="apple-converted-space"/>
    <w:basedOn w:val="Standardnpsmoodstavce"/>
    <w:rsid w:val="004A49DC"/>
  </w:style>
  <w:style w:type="paragraph" w:styleId="Podnadpis">
    <w:name w:val="Subtitle"/>
    <w:basedOn w:val="Normln"/>
    <w:next w:val="Normln"/>
    <w:link w:val="PodnadpisChar"/>
    <w:uiPriority w:val="11"/>
    <w:qFormat/>
    <w:rsid w:val="004A49DC"/>
    <w:pPr>
      <w:numPr>
        <w:ilvl w:val="1"/>
      </w:numPr>
      <w:spacing w:after="160"/>
    </w:pPr>
    <w:rPr>
      <w:rFonts w:eastAsia="DengXian Light"/>
      <w:color w:val="595959"/>
      <w:spacing w:val="15"/>
      <w:sz w:val="28"/>
      <w:szCs w:val="28"/>
      <w:lang w:eastAsia="zh-TW"/>
    </w:rPr>
  </w:style>
  <w:style w:type="character" w:customStyle="1" w:styleId="PodnadpisChar1">
    <w:name w:val="Podnadpis Char1"/>
    <w:basedOn w:val="Standardnpsmoodstavce"/>
    <w:rsid w:val="004A49DC"/>
    <w:rPr>
      <w:rFonts w:asciiTheme="minorHAnsi" w:eastAsiaTheme="minorEastAsia" w:hAnsiTheme="minorHAnsi" w:cstheme="minorBidi"/>
      <w:color w:val="5A5A5A" w:themeColor="text1" w:themeTint="A5"/>
      <w:spacing w:val="15"/>
      <w:sz w:val="22"/>
      <w:szCs w:val="22"/>
      <w:lang w:eastAsia="cs-CZ"/>
    </w:rPr>
  </w:style>
  <w:style w:type="paragraph" w:styleId="Citt">
    <w:name w:val="Quote"/>
    <w:basedOn w:val="Normln"/>
    <w:next w:val="Normln"/>
    <w:link w:val="CittChar"/>
    <w:uiPriority w:val="29"/>
    <w:qFormat/>
    <w:rsid w:val="004A49DC"/>
    <w:pPr>
      <w:spacing w:before="200" w:after="160"/>
      <w:ind w:left="864" w:right="864"/>
      <w:jc w:val="center"/>
    </w:pPr>
    <w:rPr>
      <w:i/>
      <w:iCs/>
      <w:color w:val="404040"/>
      <w:sz w:val="20"/>
      <w:szCs w:val="20"/>
      <w:lang w:eastAsia="zh-TW"/>
    </w:rPr>
  </w:style>
  <w:style w:type="character" w:customStyle="1" w:styleId="CittChar1">
    <w:name w:val="Citát Char1"/>
    <w:basedOn w:val="Standardnpsmoodstavce"/>
    <w:uiPriority w:val="29"/>
    <w:rsid w:val="004A49DC"/>
    <w:rPr>
      <w:i/>
      <w:iCs/>
      <w:color w:val="404040" w:themeColor="text1" w:themeTint="BF"/>
      <w:sz w:val="24"/>
      <w:szCs w:val="24"/>
      <w:lang w:eastAsia="cs-CZ"/>
    </w:rPr>
  </w:style>
  <w:style w:type="character" w:styleId="Zdraznnintenzivn">
    <w:name w:val="Intense Emphasis"/>
    <w:basedOn w:val="Standardnpsmoodstavce"/>
    <w:uiPriority w:val="21"/>
    <w:qFormat/>
    <w:rsid w:val="004A49DC"/>
    <w:rPr>
      <w:i/>
      <w:iCs/>
      <w:color w:val="156082" w:themeColor="accent1"/>
    </w:rPr>
  </w:style>
  <w:style w:type="paragraph" w:styleId="Vrazncitt">
    <w:name w:val="Intense Quote"/>
    <w:basedOn w:val="Normln"/>
    <w:next w:val="Normln"/>
    <w:link w:val="VrazncittChar"/>
    <w:uiPriority w:val="30"/>
    <w:qFormat/>
    <w:rsid w:val="004A49DC"/>
    <w:pPr>
      <w:pBdr>
        <w:top w:val="single" w:sz="4" w:space="10" w:color="156082" w:themeColor="accent1"/>
        <w:bottom w:val="single" w:sz="4" w:space="10" w:color="156082" w:themeColor="accent1"/>
      </w:pBdr>
      <w:spacing w:before="360" w:after="360"/>
      <w:ind w:left="864" w:right="864"/>
      <w:jc w:val="center"/>
    </w:pPr>
    <w:rPr>
      <w:i/>
      <w:iCs/>
      <w:color w:val="0F4761"/>
      <w:sz w:val="20"/>
      <w:szCs w:val="20"/>
      <w:lang w:eastAsia="zh-TW"/>
    </w:rPr>
  </w:style>
  <w:style w:type="character" w:customStyle="1" w:styleId="VrazncittChar1">
    <w:name w:val="Výrazný citát Char1"/>
    <w:basedOn w:val="Standardnpsmoodstavce"/>
    <w:uiPriority w:val="30"/>
    <w:rsid w:val="004A49DC"/>
    <w:rPr>
      <w:i/>
      <w:iCs/>
      <w:color w:val="156082" w:themeColor="accent1"/>
      <w:sz w:val="24"/>
      <w:szCs w:val="24"/>
      <w:lang w:eastAsia="cs-CZ"/>
    </w:rPr>
  </w:style>
  <w:style w:type="character" w:styleId="Odkazintenzivn">
    <w:name w:val="Intense Reference"/>
    <w:basedOn w:val="Standardnpsmoodstavce"/>
    <w:uiPriority w:val="32"/>
    <w:qFormat/>
    <w:rsid w:val="004A49DC"/>
    <w:rPr>
      <w:b/>
      <w:bCs/>
      <w:smallCaps/>
      <w:color w:val="156082" w:themeColor="accent1"/>
      <w:spacing w:val="5"/>
    </w:rPr>
  </w:style>
  <w:style w:type="character" w:styleId="Sledovanodkaz">
    <w:name w:val="FollowedHyperlink"/>
    <w:basedOn w:val="Standardnpsmoodstavce"/>
    <w:rsid w:val="0014592A"/>
    <w:rPr>
      <w:color w:val="96607D" w:themeColor="followedHyperlink"/>
      <w:u w:val="single"/>
    </w:rPr>
  </w:style>
  <w:style w:type="paragraph" w:styleId="Zkladntextodsazen">
    <w:name w:val="Body Text Indent"/>
    <w:basedOn w:val="Normln"/>
    <w:link w:val="ZkladntextodsazenChar"/>
    <w:rsid w:val="00311499"/>
    <w:pPr>
      <w:spacing w:after="120"/>
      <w:ind w:left="283"/>
    </w:pPr>
  </w:style>
  <w:style w:type="character" w:customStyle="1" w:styleId="ZkladntextodsazenChar">
    <w:name w:val="Základní text odsazený Char"/>
    <w:basedOn w:val="Standardnpsmoodstavce"/>
    <w:link w:val="Zkladntextodsazen"/>
    <w:rsid w:val="00311499"/>
    <w:rPr>
      <w:sz w:val="24"/>
      <w:szCs w:val="24"/>
      <w:lang w:eastAsia="cs-CZ"/>
    </w:rPr>
  </w:style>
  <w:style w:type="character" w:styleId="Siln">
    <w:name w:val="Strong"/>
    <w:qFormat/>
    <w:rsid w:val="00B94C99"/>
    <w:rPr>
      <w:b/>
      <w:bCs/>
    </w:rPr>
  </w:style>
  <w:style w:type="character" w:customStyle="1" w:styleId="y2iqfc">
    <w:name w:val="y2iqfc"/>
    <w:rsid w:val="005501D4"/>
  </w:style>
  <w:style w:type="character" w:styleId="Zmnka">
    <w:name w:val="Mention"/>
    <w:basedOn w:val="Standardnpsmoodstavce"/>
    <w:uiPriority w:val="99"/>
    <w:unhideWhenUsed/>
    <w:rsid w:val="003341B0"/>
    <w:rPr>
      <w:color w:val="2B579A"/>
      <w:shd w:val="clear" w:color="auto" w:fill="E1DFDD"/>
    </w:rPr>
  </w:style>
  <w:style w:type="character" w:styleId="Nevyeenzmnka">
    <w:name w:val="Unresolved Mention"/>
    <w:basedOn w:val="Standardnpsmoodstavce"/>
    <w:uiPriority w:val="99"/>
    <w:semiHidden/>
    <w:unhideWhenUsed/>
    <w:rsid w:val="009746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53051">
      <w:bodyDiv w:val="1"/>
      <w:marLeft w:val="0"/>
      <w:marRight w:val="0"/>
      <w:marTop w:val="0"/>
      <w:marBottom w:val="0"/>
      <w:divBdr>
        <w:top w:val="none" w:sz="0" w:space="0" w:color="auto"/>
        <w:left w:val="none" w:sz="0" w:space="0" w:color="auto"/>
        <w:bottom w:val="none" w:sz="0" w:space="0" w:color="auto"/>
        <w:right w:val="none" w:sz="0" w:space="0" w:color="auto"/>
      </w:divBdr>
    </w:div>
    <w:div w:id="63644904">
      <w:bodyDiv w:val="1"/>
      <w:marLeft w:val="0"/>
      <w:marRight w:val="0"/>
      <w:marTop w:val="0"/>
      <w:marBottom w:val="0"/>
      <w:divBdr>
        <w:top w:val="none" w:sz="0" w:space="0" w:color="auto"/>
        <w:left w:val="none" w:sz="0" w:space="0" w:color="auto"/>
        <w:bottom w:val="none" w:sz="0" w:space="0" w:color="auto"/>
        <w:right w:val="none" w:sz="0" w:space="0" w:color="auto"/>
      </w:divBdr>
    </w:div>
    <w:div w:id="202452270">
      <w:bodyDiv w:val="1"/>
      <w:marLeft w:val="0"/>
      <w:marRight w:val="0"/>
      <w:marTop w:val="0"/>
      <w:marBottom w:val="0"/>
      <w:divBdr>
        <w:top w:val="none" w:sz="0" w:space="0" w:color="auto"/>
        <w:left w:val="none" w:sz="0" w:space="0" w:color="auto"/>
        <w:bottom w:val="none" w:sz="0" w:space="0" w:color="auto"/>
        <w:right w:val="none" w:sz="0" w:space="0" w:color="auto"/>
      </w:divBdr>
    </w:div>
    <w:div w:id="302584925">
      <w:bodyDiv w:val="1"/>
      <w:marLeft w:val="0"/>
      <w:marRight w:val="0"/>
      <w:marTop w:val="0"/>
      <w:marBottom w:val="0"/>
      <w:divBdr>
        <w:top w:val="none" w:sz="0" w:space="0" w:color="auto"/>
        <w:left w:val="none" w:sz="0" w:space="0" w:color="auto"/>
        <w:bottom w:val="none" w:sz="0" w:space="0" w:color="auto"/>
        <w:right w:val="none" w:sz="0" w:space="0" w:color="auto"/>
      </w:divBdr>
    </w:div>
    <w:div w:id="310911585">
      <w:bodyDiv w:val="1"/>
      <w:marLeft w:val="0"/>
      <w:marRight w:val="0"/>
      <w:marTop w:val="0"/>
      <w:marBottom w:val="0"/>
      <w:divBdr>
        <w:top w:val="none" w:sz="0" w:space="0" w:color="auto"/>
        <w:left w:val="none" w:sz="0" w:space="0" w:color="auto"/>
        <w:bottom w:val="none" w:sz="0" w:space="0" w:color="auto"/>
        <w:right w:val="none" w:sz="0" w:space="0" w:color="auto"/>
      </w:divBdr>
    </w:div>
    <w:div w:id="359472145">
      <w:bodyDiv w:val="1"/>
      <w:marLeft w:val="0"/>
      <w:marRight w:val="0"/>
      <w:marTop w:val="0"/>
      <w:marBottom w:val="0"/>
      <w:divBdr>
        <w:top w:val="none" w:sz="0" w:space="0" w:color="auto"/>
        <w:left w:val="none" w:sz="0" w:space="0" w:color="auto"/>
        <w:bottom w:val="none" w:sz="0" w:space="0" w:color="auto"/>
        <w:right w:val="none" w:sz="0" w:space="0" w:color="auto"/>
      </w:divBdr>
    </w:div>
    <w:div w:id="390547174">
      <w:bodyDiv w:val="1"/>
      <w:marLeft w:val="0"/>
      <w:marRight w:val="0"/>
      <w:marTop w:val="0"/>
      <w:marBottom w:val="0"/>
      <w:divBdr>
        <w:top w:val="none" w:sz="0" w:space="0" w:color="auto"/>
        <w:left w:val="none" w:sz="0" w:space="0" w:color="auto"/>
        <w:bottom w:val="none" w:sz="0" w:space="0" w:color="auto"/>
        <w:right w:val="none" w:sz="0" w:space="0" w:color="auto"/>
      </w:divBdr>
    </w:div>
    <w:div w:id="406079218">
      <w:bodyDiv w:val="1"/>
      <w:marLeft w:val="0"/>
      <w:marRight w:val="0"/>
      <w:marTop w:val="0"/>
      <w:marBottom w:val="0"/>
      <w:divBdr>
        <w:top w:val="none" w:sz="0" w:space="0" w:color="auto"/>
        <w:left w:val="none" w:sz="0" w:space="0" w:color="auto"/>
        <w:bottom w:val="none" w:sz="0" w:space="0" w:color="auto"/>
        <w:right w:val="none" w:sz="0" w:space="0" w:color="auto"/>
      </w:divBdr>
    </w:div>
    <w:div w:id="412051042">
      <w:bodyDiv w:val="1"/>
      <w:marLeft w:val="0"/>
      <w:marRight w:val="0"/>
      <w:marTop w:val="0"/>
      <w:marBottom w:val="0"/>
      <w:divBdr>
        <w:top w:val="none" w:sz="0" w:space="0" w:color="auto"/>
        <w:left w:val="none" w:sz="0" w:space="0" w:color="auto"/>
        <w:bottom w:val="none" w:sz="0" w:space="0" w:color="auto"/>
        <w:right w:val="none" w:sz="0" w:space="0" w:color="auto"/>
      </w:divBdr>
    </w:div>
    <w:div w:id="465783071">
      <w:bodyDiv w:val="1"/>
      <w:marLeft w:val="0"/>
      <w:marRight w:val="0"/>
      <w:marTop w:val="0"/>
      <w:marBottom w:val="0"/>
      <w:divBdr>
        <w:top w:val="none" w:sz="0" w:space="0" w:color="auto"/>
        <w:left w:val="none" w:sz="0" w:space="0" w:color="auto"/>
        <w:bottom w:val="none" w:sz="0" w:space="0" w:color="auto"/>
        <w:right w:val="none" w:sz="0" w:space="0" w:color="auto"/>
      </w:divBdr>
    </w:div>
    <w:div w:id="481233223">
      <w:bodyDiv w:val="1"/>
      <w:marLeft w:val="0"/>
      <w:marRight w:val="0"/>
      <w:marTop w:val="0"/>
      <w:marBottom w:val="0"/>
      <w:divBdr>
        <w:top w:val="none" w:sz="0" w:space="0" w:color="auto"/>
        <w:left w:val="none" w:sz="0" w:space="0" w:color="auto"/>
        <w:bottom w:val="none" w:sz="0" w:space="0" w:color="auto"/>
        <w:right w:val="none" w:sz="0" w:space="0" w:color="auto"/>
      </w:divBdr>
    </w:div>
    <w:div w:id="661589423">
      <w:bodyDiv w:val="1"/>
      <w:marLeft w:val="0"/>
      <w:marRight w:val="0"/>
      <w:marTop w:val="0"/>
      <w:marBottom w:val="0"/>
      <w:divBdr>
        <w:top w:val="none" w:sz="0" w:space="0" w:color="auto"/>
        <w:left w:val="none" w:sz="0" w:space="0" w:color="auto"/>
        <w:bottom w:val="none" w:sz="0" w:space="0" w:color="auto"/>
        <w:right w:val="none" w:sz="0" w:space="0" w:color="auto"/>
      </w:divBdr>
    </w:div>
    <w:div w:id="709695010">
      <w:bodyDiv w:val="1"/>
      <w:marLeft w:val="0"/>
      <w:marRight w:val="0"/>
      <w:marTop w:val="0"/>
      <w:marBottom w:val="0"/>
      <w:divBdr>
        <w:top w:val="none" w:sz="0" w:space="0" w:color="auto"/>
        <w:left w:val="none" w:sz="0" w:space="0" w:color="auto"/>
        <w:bottom w:val="none" w:sz="0" w:space="0" w:color="auto"/>
        <w:right w:val="none" w:sz="0" w:space="0" w:color="auto"/>
      </w:divBdr>
    </w:div>
    <w:div w:id="766073669">
      <w:bodyDiv w:val="1"/>
      <w:marLeft w:val="0"/>
      <w:marRight w:val="0"/>
      <w:marTop w:val="0"/>
      <w:marBottom w:val="0"/>
      <w:divBdr>
        <w:top w:val="none" w:sz="0" w:space="0" w:color="auto"/>
        <w:left w:val="none" w:sz="0" w:space="0" w:color="auto"/>
        <w:bottom w:val="none" w:sz="0" w:space="0" w:color="auto"/>
        <w:right w:val="none" w:sz="0" w:space="0" w:color="auto"/>
      </w:divBdr>
    </w:div>
    <w:div w:id="771239609">
      <w:bodyDiv w:val="1"/>
      <w:marLeft w:val="0"/>
      <w:marRight w:val="0"/>
      <w:marTop w:val="0"/>
      <w:marBottom w:val="0"/>
      <w:divBdr>
        <w:top w:val="none" w:sz="0" w:space="0" w:color="auto"/>
        <w:left w:val="none" w:sz="0" w:space="0" w:color="auto"/>
        <w:bottom w:val="none" w:sz="0" w:space="0" w:color="auto"/>
        <w:right w:val="none" w:sz="0" w:space="0" w:color="auto"/>
      </w:divBdr>
    </w:div>
    <w:div w:id="847210046">
      <w:bodyDiv w:val="1"/>
      <w:marLeft w:val="0"/>
      <w:marRight w:val="0"/>
      <w:marTop w:val="0"/>
      <w:marBottom w:val="0"/>
      <w:divBdr>
        <w:top w:val="none" w:sz="0" w:space="0" w:color="auto"/>
        <w:left w:val="none" w:sz="0" w:space="0" w:color="auto"/>
        <w:bottom w:val="none" w:sz="0" w:space="0" w:color="auto"/>
        <w:right w:val="none" w:sz="0" w:space="0" w:color="auto"/>
      </w:divBdr>
    </w:div>
    <w:div w:id="881333679">
      <w:bodyDiv w:val="1"/>
      <w:marLeft w:val="0"/>
      <w:marRight w:val="0"/>
      <w:marTop w:val="0"/>
      <w:marBottom w:val="0"/>
      <w:divBdr>
        <w:top w:val="none" w:sz="0" w:space="0" w:color="auto"/>
        <w:left w:val="none" w:sz="0" w:space="0" w:color="auto"/>
        <w:bottom w:val="none" w:sz="0" w:space="0" w:color="auto"/>
        <w:right w:val="none" w:sz="0" w:space="0" w:color="auto"/>
      </w:divBdr>
    </w:div>
    <w:div w:id="947390632">
      <w:bodyDiv w:val="1"/>
      <w:marLeft w:val="0"/>
      <w:marRight w:val="0"/>
      <w:marTop w:val="0"/>
      <w:marBottom w:val="0"/>
      <w:divBdr>
        <w:top w:val="none" w:sz="0" w:space="0" w:color="auto"/>
        <w:left w:val="none" w:sz="0" w:space="0" w:color="auto"/>
        <w:bottom w:val="none" w:sz="0" w:space="0" w:color="auto"/>
        <w:right w:val="none" w:sz="0" w:space="0" w:color="auto"/>
      </w:divBdr>
    </w:div>
    <w:div w:id="952631686">
      <w:bodyDiv w:val="1"/>
      <w:marLeft w:val="0"/>
      <w:marRight w:val="0"/>
      <w:marTop w:val="0"/>
      <w:marBottom w:val="0"/>
      <w:divBdr>
        <w:top w:val="none" w:sz="0" w:space="0" w:color="auto"/>
        <w:left w:val="none" w:sz="0" w:space="0" w:color="auto"/>
        <w:bottom w:val="none" w:sz="0" w:space="0" w:color="auto"/>
        <w:right w:val="none" w:sz="0" w:space="0" w:color="auto"/>
      </w:divBdr>
    </w:div>
    <w:div w:id="959649048">
      <w:bodyDiv w:val="1"/>
      <w:marLeft w:val="0"/>
      <w:marRight w:val="0"/>
      <w:marTop w:val="0"/>
      <w:marBottom w:val="0"/>
      <w:divBdr>
        <w:top w:val="none" w:sz="0" w:space="0" w:color="auto"/>
        <w:left w:val="none" w:sz="0" w:space="0" w:color="auto"/>
        <w:bottom w:val="none" w:sz="0" w:space="0" w:color="auto"/>
        <w:right w:val="none" w:sz="0" w:space="0" w:color="auto"/>
      </w:divBdr>
    </w:div>
    <w:div w:id="1000890100">
      <w:bodyDiv w:val="1"/>
      <w:marLeft w:val="0"/>
      <w:marRight w:val="0"/>
      <w:marTop w:val="0"/>
      <w:marBottom w:val="0"/>
      <w:divBdr>
        <w:top w:val="none" w:sz="0" w:space="0" w:color="auto"/>
        <w:left w:val="none" w:sz="0" w:space="0" w:color="auto"/>
        <w:bottom w:val="none" w:sz="0" w:space="0" w:color="auto"/>
        <w:right w:val="none" w:sz="0" w:space="0" w:color="auto"/>
      </w:divBdr>
    </w:div>
    <w:div w:id="1014385100">
      <w:bodyDiv w:val="1"/>
      <w:marLeft w:val="0"/>
      <w:marRight w:val="0"/>
      <w:marTop w:val="0"/>
      <w:marBottom w:val="0"/>
      <w:divBdr>
        <w:top w:val="none" w:sz="0" w:space="0" w:color="auto"/>
        <w:left w:val="none" w:sz="0" w:space="0" w:color="auto"/>
        <w:bottom w:val="none" w:sz="0" w:space="0" w:color="auto"/>
        <w:right w:val="none" w:sz="0" w:space="0" w:color="auto"/>
      </w:divBdr>
    </w:div>
    <w:div w:id="1049379858">
      <w:bodyDiv w:val="1"/>
      <w:marLeft w:val="0"/>
      <w:marRight w:val="0"/>
      <w:marTop w:val="0"/>
      <w:marBottom w:val="0"/>
      <w:divBdr>
        <w:top w:val="none" w:sz="0" w:space="0" w:color="auto"/>
        <w:left w:val="none" w:sz="0" w:space="0" w:color="auto"/>
        <w:bottom w:val="none" w:sz="0" w:space="0" w:color="auto"/>
        <w:right w:val="none" w:sz="0" w:space="0" w:color="auto"/>
      </w:divBdr>
    </w:div>
    <w:div w:id="1095631014">
      <w:bodyDiv w:val="1"/>
      <w:marLeft w:val="0"/>
      <w:marRight w:val="0"/>
      <w:marTop w:val="0"/>
      <w:marBottom w:val="0"/>
      <w:divBdr>
        <w:top w:val="none" w:sz="0" w:space="0" w:color="auto"/>
        <w:left w:val="none" w:sz="0" w:space="0" w:color="auto"/>
        <w:bottom w:val="none" w:sz="0" w:space="0" w:color="auto"/>
        <w:right w:val="none" w:sz="0" w:space="0" w:color="auto"/>
      </w:divBdr>
    </w:div>
    <w:div w:id="1287421699">
      <w:bodyDiv w:val="1"/>
      <w:marLeft w:val="0"/>
      <w:marRight w:val="0"/>
      <w:marTop w:val="0"/>
      <w:marBottom w:val="0"/>
      <w:divBdr>
        <w:top w:val="none" w:sz="0" w:space="0" w:color="auto"/>
        <w:left w:val="none" w:sz="0" w:space="0" w:color="auto"/>
        <w:bottom w:val="none" w:sz="0" w:space="0" w:color="auto"/>
        <w:right w:val="none" w:sz="0" w:space="0" w:color="auto"/>
      </w:divBdr>
    </w:div>
    <w:div w:id="1370180896">
      <w:bodyDiv w:val="1"/>
      <w:marLeft w:val="0"/>
      <w:marRight w:val="0"/>
      <w:marTop w:val="0"/>
      <w:marBottom w:val="0"/>
      <w:divBdr>
        <w:top w:val="none" w:sz="0" w:space="0" w:color="auto"/>
        <w:left w:val="none" w:sz="0" w:space="0" w:color="auto"/>
        <w:bottom w:val="none" w:sz="0" w:space="0" w:color="auto"/>
        <w:right w:val="none" w:sz="0" w:space="0" w:color="auto"/>
      </w:divBdr>
    </w:div>
    <w:div w:id="1371420503">
      <w:bodyDiv w:val="1"/>
      <w:marLeft w:val="0"/>
      <w:marRight w:val="0"/>
      <w:marTop w:val="0"/>
      <w:marBottom w:val="0"/>
      <w:divBdr>
        <w:top w:val="none" w:sz="0" w:space="0" w:color="auto"/>
        <w:left w:val="none" w:sz="0" w:space="0" w:color="auto"/>
        <w:bottom w:val="none" w:sz="0" w:space="0" w:color="auto"/>
        <w:right w:val="none" w:sz="0" w:space="0" w:color="auto"/>
      </w:divBdr>
    </w:div>
    <w:div w:id="1476683264">
      <w:bodyDiv w:val="1"/>
      <w:marLeft w:val="0"/>
      <w:marRight w:val="0"/>
      <w:marTop w:val="0"/>
      <w:marBottom w:val="0"/>
      <w:divBdr>
        <w:top w:val="none" w:sz="0" w:space="0" w:color="auto"/>
        <w:left w:val="none" w:sz="0" w:space="0" w:color="auto"/>
        <w:bottom w:val="none" w:sz="0" w:space="0" w:color="auto"/>
        <w:right w:val="none" w:sz="0" w:space="0" w:color="auto"/>
      </w:divBdr>
    </w:div>
    <w:div w:id="1487816187">
      <w:bodyDiv w:val="1"/>
      <w:marLeft w:val="0"/>
      <w:marRight w:val="0"/>
      <w:marTop w:val="0"/>
      <w:marBottom w:val="0"/>
      <w:divBdr>
        <w:top w:val="none" w:sz="0" w:space="0" w:color="auto"/>
        <w:left w:val="none" w:sz="0" w:space="0" w:color="auto"/>
        <w:bottom w:val="none" w:sz="0" w:space="0" w:color="auto"/>
        <w:right w:val="none" w:sz="0" w:space="0" w:color="auto"/>
      </w:divBdr>
    </w:div>
    <w:div w:id="1553929665">
      <w:bodyDiv w:val="1"/>
      <w:marLeft w:val="0"/>
      <w:marRight w:val="0"/>
      <w:marTop w:val="0"/>
      <w:marBottom w:val="0"/>
      <w:divBdr>
        <w:top w:val="none" w:sz="0" w:space="0" w:color="auto"/>
        <w:left w:val="none" w:sz="0" w:space="0" w:color="auto"/>
        <w:bottom w:val="none" w:sz="0" w:space="0" w:color="auto"/>
        <w:right w:val="none" w:sz="0" w:space="0" w:color="auto"/>
      </w:divBdr>
    </w:div>
    <w:div w:id="1591620440">
      <w:bodyDiv w:val="1"/>
      <w:marLeft w:val="0"/>
      <w:marRight w:val="0"/>
      <w:marTop w:val="0"/>
      <w:marBottom w:val="0"/>
      <w:divBdr>
        <w:top w:val="none" w:sz="0" w:space="0" w:color="auto"/>
        <w:left w:val="none" w:sz="0" w:space="0" w:color="auto"/>
        <w:bottom w:val="none" w:sz="0" w:space="0" w:color="auto"/>
        <w:right w:val="none" w:sz="0" w:space="0" w:color="auto"/>
      </w:divBdr>
    </w:div>
    <w:div w:id="1599218442">
      <w:bodyDiv w:val="1"/>
      <w:marLeft w:val="0"/>
      <w:marRight w:val="0"/>
      <w:marTop w:val="0"/>
      <w:marBottom w:val="0"/>
      <w:divBdr>
        <w:top w:val="none" w:sz="0" w:space="0" w:color="auto"/>
        <w:left w:val="none" w:sz="0" w:space="0" w:color="auto"/>
        <w:bottom w:val="none" w:sz="0" w:space="0" w:color="auto"/>
        <w:right w:val="none" w:sz="0" w:space="0" w:color="auto"/>
      </w:divBdr>
    </w:div>
    <w:div w:id="1601645147">
      <w:bodyDiv w:val="1"/>
      <w:marLeft w:val="0"/>
      <w:marRight w:val="0"/>
      <w:marTop w:val="0"/>
      <w:marBottom w:val="0"/>
      <w:divBdr>
        <w:top w:val="none" w:sz="0" w:space="0" w:color="auto"/>
        <w:left w:val="none" w:sz="0" w:space="0" w:color="auto"/>
        <w:bottom w:val="none" w:sz="0" w:space="0" w:color="auto"/>
        <w:right w:val="none" w:sz="0" w:space="0" w:color="auto"/>
      </w:divBdr>
    </w:div>
    <w:div w:id="1678801884">
      <w:bodyDiv w:val="1"/>
      <w:marLeft w:val="0"/>
      <w:marRight w:val="0"/>
      <w:marTop w:val="0"/>
      <w:marBottom w:val="0"/>
      <w:divBdr>
        <w:top w:val="none" w:sz="0" w:space="0" w:color="auto"/>
        <w:left w:val="none" w:sz="0" w:space="0" w:color="auto"/>
        <w:bottom w:val="none" w:sz="0" w:space="0" w:color="auto"/>
        <w:right w:val="none" w:sz="0" w:space="0" w:color="auto"/>
      </w:divBdr>
    </w:div>
    <w:div w:id="1703287336">
      <w:bodyDiv w:val="1"/>
      <w:marLeft w:val="0"/>
      <w:marRight w:val="0"/>
      <w:marTop w:val="0"/>
      <w:marBottom w:val="0"/>
      <w:divBdr>
        <w:top w:val="none" w:sz="0" w:space="0" w:color="auto"/>
        <w:left w:val="none" w:sz="0" w:space="0" w:color="auto"/>
        <w:bottom w:val="none" w:sz="0" w:space="0" w:color="auto"/>
        <w:right w:val="none" w:sz="0" w:space="0" w:color="auto"/>
      </w:divBdr>
    </w:div>
    <w:div w:id="1764763681">
      <w:bodyDiv w:val="1"/>
      <w:marLeft w:val="0"/>
      <w:marRight w:val="0"/>
      <w:marTop w:val="0"/>
      <w:marBottom w:val="0"/>
      <w:divBdr>
        <w:top w:val="none" w:sz="0" w:space="0" w:color="auto"/>
        <w:left w:val="none" w:sz="0" w:space="0" w:color="auto"/>
        <w:bottom w:val="none" w:sz="0" w:space="0" w:color="auto"/>
        <w:right w:val="none" w:sz="0" w:space="0" w:color="auto"/>
      </w:divBdr>
    </w:div>
    <w:div w:id="1791707921">
      <w:bodyDiv w:val="1"/>
      <w:marLeft w:val="0"/>
      <w:marRight w:val="0"/>
      <w:marTop w:val="0"/>
      <w:marBottom w:val="0"/>
      <w:divBdr>
        <w:top w:val="none" w:sz="0" w:space="0" w:color="auto"/>
        <w:left w:val="none" w:sz="0" w:space="0" w:color="auto"/>
        <w:bottom w:val="none" w:sz="0" w:space="0" w:color="auto"/>
        <w:right w:val="none" w:sz="0" w:space="0" w:color="auto"/>
      </w:divBdr>
    </w:div>
    <w:div w:id="1820532632">
      <w:bodyDiv w:val="1"/>
      <w:marLeft w:val="0"/>
      <w:marRight w:val="0"/>
      <w:marTop w:val="0"/>
      <w:marBottom w:val="0"/>
      <w:divBdr>
        <w:top w:val="none" w:sz="0" w:space="0" w:color="auto"/>
        <w:left w:val="none" w:sz="0" w:space="0" w:color="auto"/>
        <w:bottom w:val="none" w:sz="0" w:space="0" w:color="auto"/>
        <w:right w:val="none" w:sz="0" w:space="0" w:color="auto"/>
      </w:divBdr>
    </w:div>
    <w:div w:id="1831631934">
      <w:bodyDiv w:val="1"/>
      <w:marLeft w:val="0"/>
      <w:marRight w:val="0"/>
      <w:marTop w:val="0"/>
      <w:marBottom w:val="0"/>
      <w:divBdr>
        <w:top w:val="none" w:sz="0" w:space="0" w:color="auto"/>
        <w:left w:val="none" w:sz="0" w:space="0" w:color="auto"/>
        <w:bottom w:val="none" w:sz="0" w:space="0" w:color="auto"/>
        <w:right w:val="none" w:sz="0" w:space="0" w:color="auto"/>
      </w:divBdr>
    </w:div>
    <w:div w:id="1861317718">
      <w:bodyDiv w:val="1"/>
      <w:marLeft w:val="0"/>
      <w:marRight w:val="0"/>
      <w:marTop w:val="0"/>
      <w:marBottom w:val="0"/>
      <w:divBdr>
        <w:top w:val="none" w:sz="0" w:space="0" w:color="auto"/>
        <w:left w:val="none" w:sz="0" w:space="0" w:color="auto"/>
        <w:bottom w:val="none" w:sz="0" w:space="0" w:color="auto"/>
        <w:right w:val="none" w:sz="0" w:space="0" w:color="auto"/>
      </w:divBdr>
    </w:div>
    <w:div w:id="1903519171">
      <w:bodyDiv w:val="1"/>
      <w:marLeft w:val="0"/>
      <w:marRight w:val="0"/>
      <w:marTop w:val="0"/>
      <w:marBottom w:val="0"/>
      <w:divBdr>
        <w:top w:val="none" w:sz="0" w:space="0" w:color="auto"/>
        <w:left w:val="none" w:sz="0" w:space="0" w:color="auto"/>
        <w:bottom w:val="none" w:sz="0" w:space="0" w:color="auto"/>
        <w:right w:val="none" w:sz="0" w:space="0" w:color="auto"/>
      </w:divBdr>
    </w:div>
    <w:div w:id="1949504056">
      <w:bodyDiv w:val="1"/>
      <w:marLeft w:val="0"/>
      <w:marRight w:val="0"/>
      <w:marTop w:val="0"/>
      <w:marBottom w:val="0"/>
      <w:divBdr>
        <w:top w:val="none" w:sz="0" w:space="0" w:color="auto"/>
        <w:left w:val="none" w:sz="0" w:space="0" w:color="auto"/>
        <w:bottom w:val="none" w:sz="0" w:space="0" w:color="auto"/>
        <w:right w:val="none" w:sz="0" w:space="0" w:color="auto"/>
      </w:divBdr>
    </w:div>
    <w:div w:id="1965429857">
      <w:bodyDiv w:val="1"/>
      <w:marLeft w:val="0"/>
      <w:marRight w:val="0"/>
      <w:marTop w:val="0"/>
      <w:marBottom w:val="0"/>
      <w:divBdr>
        <w:top w:val="none" w:sz="0" w:space="0" w:color="auto"/>
        <w:left w:val="none" w:sz="0" w:space="0" w:color="auto"/>
        <w:bottom w:val="none" w:sz="0" w:space="0" w:color="auto"/>
        <w:right w:val="none" w:sz="0" w:space="0" w:color="auto"/>
      </w:divBdr>
    </w:div>
    <w:div w:id="2042440776">
      <w:bodyDiv w:val="1"/>
      <w:marLeft w:val="0"/>
      <w:marRight w:val="0"/>
      <w:marTop w:val="0"/>
      <w:marBottom w:val="0"/>
      <w:divBdr>
        <w:top w:val="none" w:sz="0" w:space="0" w:color="auto"/>
        <w:left w:val="none" w:sz="0" w:space="0" w:color="auto"/>
        <w:bottom w:val="none" w:sz="0" w:space="0" w:color="auto"/>
        <w:right w:val="none" w:sz="0" w:space="0" w:color="auto"/>
      </w:divBdr>
    </w:div>
    <w:div w:id="2048556217">
      <w:bodyDiv w:val="1"/>
      <w:marLeft w:val="0"/>
      <w:marRight w:val="0"/>
      <w:marTop w:val="0"/>
      <w:marBottom w:val="0"/>
      <w:divBdr>
        <w:top w:val="none" w:sz="0" w:space="0" w:color="auto"/>
        <w:left w:val="none" w:sz="0" w:space="0" w:color="auto"/>
        <w:bottom w:val="none" w:sz="0" w:space="0" w:color="auto"/>
        <w:right w:val="none" w:sz="0" w:space="0" w:color="auto"/>
      </w:divBdr>
    </w:div>
    <w:div w:id="2069573294">
      <w:bodyDiv w:val="1"/>
      <w:marLeft w:val="0"/>
      <w:marRight w:val="0"/>
      <w:marTop w:val="0"/>
      <w:marBottom w:val="0"/>
      <w:divBdr>
        <w:top w:val="none" w:sz="0" w:space="0" w:color="auto"/>
        <w:left w:val="none" w:sz="0" w:space="0" w:color="auto"/>
        <w:bottom w:val="none" w:sz="0" w:space="0" w:color="auto"/>
        <w:right w:val="none" w:sz="0" w:space="0" w:color="auto"/>
      </w:divBdr>
    </w:div>
    <w:div w:id="2076388151">
      <w:bodyDiv w:val="1"/>
      <w:marLeft w:val="0"/>
      <w:marRight w:val="0"/>
      <w:marTop w:val="0"/>
      <w:marBottom w:val="0"/>
      <w:divBdr>
        <w:top w:val="none" w:sz="0" w:space="0" w:color="auto"/>
        <w:left w:val="none" w:sz="0" w:space="0" w:color="auto"/>
        <w:bottom w:val="none" w:sz="0" w:space="0" w:color="auto"/>
        <w:right w:val="none" w:sz="0" w:space="0" w:color="auto"/>
      </w:divBdr>
    </w:div>
    <w:div w:id="2112818211">
      <w:bodyDiv w:val="1"/>
      <w:marLeft w:val="0"/>
      <w:marRight w:val="0"/>
      <w:marTop w:val="0"/>
      <w:marBottom w:val="0"/>
      <w:divBdr>
        <w:top w:val="none" w:sz="0" w:space="0" w:color="auto"/>
        <w:left w:val="none" w:sz="0" w:space="0" w:color="auto"/>
        <w:bottom w:val="none" w:sz="0" w:space="0" w:color="auto"/>
        <w:right w:val="none" w:sz="0" w:space="0" w:color="auto"/>
      </w:divBdr>
    </w:div>
    <w:div w:id="21199881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EN/TXT/?uri=uriserv%3AOJ.L_.2020.278.01.0001.01.ENG&amp;toc=OJ%3AL%3A2020%3A278%3ATOC" TargetMode="External"/><Relationship Id="rId1" Type="http://schemas.openxmlformats.org/officeDocument/2006/relationships/hyperlink" Target="https://eur-lex.europa.eu/legal-content/EN/TXT/?toc=OJ:L:2018:328:TOC&amp;uri=uriserv:OJ.L_.2018.328.01.0001.01.ENG"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oleObject" Target="file:///C:\Users\bohacova\Downloads\SDG_procenta_bez_skrytych_radku.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a:t>
            </a:r>
            <a:r>
              <a:rPr lang="cs-CZ"/>
              <a:t>očet</a:t>
            </a:r>
            <a:r>
              <a:rPr lang="cs-CZ" baseline="0"/>
              <a:t> projektů dle sektorového zaměření</a:t>
            </a:r>
            <a:endParaRPr lang="en-US"/>
          </a:p>
        </c:rich>
      </c:tx>
      <c:overlay val="0"/>
      <c:spPr>
        <a:noFill/>
        <a:ln>
          <a:noFill/>
        </a:ln>
        <a:effectLst/>
      </c:spPr>
    </c:title>
    <c:autoTitleDeleted val="0"/>
    <c:plotArea>
      <c:layout>
        <c:manualLayout>
          <c:layoutTarget val="inner"/>
          <c:xMode val="edge"/>
          <c:yMode val="edge"/>
          <c:x val="7.3641550014581517E-2"/>
          <c:y val="0.172798400199975"/>
          <c:w val="0.42447634149897928"/>
          <c:h val="0.72767372828396448"/>
        </c:manualLayout>
      </c:layout>
      <c:pieChart>
        <c:varyColors val="1"/>
        <c:ser>
          <c:idx val="0"/>
          <c:order val="0"/>
          <c:tx>
            <c:strRef>
              <c:f>List1!$B$1</c:f>
              <c:strCache>
                <c:ptCount val="1"/>
                <c:pt idx="0">
                  <c:v>Prodej</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51A-47FE-BCF4-184E6184647A}"/>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51A-47FE-BCF4-184E6184647A}"/>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A51A-47FE-BCF4-184E6184647A}"/>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A51A-47FE-BCF4-184E6184647A}"/>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A51A-47FE-BCF4-184E6184647A}"/>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A51A-47FE-BCF4-184E6184647A}"/>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A51A-47FE-BCF4-184E6184647A}"/>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A51A-47FE-BCF4-184E6184647A}"/>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A51A-47FE-BCF4-184E6184647A}"/>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A51A-47FE-BCF4-184E6184647A}"/>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15-A51A-47FE-BCF4-184E6184647A}"/>
              </c:ext>
            </c:extLst>
          </c:dPt>
          <c:dPt>
            <c:idx val="11"/>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17-A51A-47FE-BCF4-184E6184647A}"/>
              </c:ext>
            </c:extLst>
          </c:dPt>
          <c:dPt>
            <c:idx val="12"/>
            <c:bubble3D val="0"/>
            <c:spPr>
              <a:solidFill>
                <a:schemeClr val="accent1">
                  <a:lumMod val="80000"/>
                  <a:lumOff val="20000"/>
                </a:schemeClr>
              </a:solidFill>
              <a:ln w="19050">
                <a:solidFill>
                  <a:schemeClr val="lt1"/>
                </a:solidFill>
              </a:ln>
              <a:effectLst/>
            </c:spPr>
            <c:extLst>
              <c:ext xmlns:c16="http://schemas.microsoft.com/office/drawing/2014/chart" uri="{C3380CC4-5D6E-409C-BE32-E72D297353CC}">
                <c16:uniqueId val="{00000019-A51A-47FE-BCF4-184E6184647A}"/>
              </c:ext>
            </c:extLst>
          </c:dPt>
          <c:dLbls>
            <c:dLbl>
              <c:idx val="9"/>
              <c:layout>
                <c:manualLayout>
                  <c:x val="2.1525590551181101E-2"/>
                  <c:y val="5.9463192100987376E-2"/>
                </c:manualLayout>
              </c:layout>
              <c:tx>
                <c:rich>
                  <a:bodyPr/>
                  <a:lstStyle/>
                  <a:p>
                    <a:fld id="{B1C5BA04-2EC4-4388-ABEE-013348FC45E8}" type="VALUE">
                      <a:rPr lang="en-US">
                        <a:solidFill>
                          <a:schemeClr val="bg1"/>
                        </a:solidFill>
                      </a:rPr>
                      <a:pPr/>
                      <a:t>[HODNOTA]</a:t>
                    </a:fld>
                    <a:endParaRPr lang="en-US"/>
                  </a:p>
                </c:rich>
              </c:tx>
              <c:dLblPos val="bestFit"/>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3-A51A-47FE-BCF4-184E6184647A}"/>
                </c:ext>
              </c:extLst>
            </c:dLbl>
            <c:dLbl>
              <c:idx val="10"/>
              <c:delete val="1"/>
              <c:extLst>
                <c:ext xmlns:c15="http://schemas.microsoft.com/office/drawing/2012/chart" uri="{CE6537A1-D6FC-4f65-9D91-7224C49458BB}"/>
                <c:ext xmlns:c16="http://schemas.microsoft.com/office/drawing/2014/chart" uri="{C3380CC4-5D6E-409C-BE32-E72D297353CC}">
                  <c16:uniqueId val="{00000015-A51A-47FE-BCF4-184E6184647A}"/>
                </c:ext>
              </c:extLst>
            </c:dLbl>
            <c:dLbl>
              <c:idx val="12"/>
              <c:delete val="1"/>
              <c:extLst>
                <c:ext xmlns:c15="http://schemas.microsoft.com/office/drawing/2012/chart" uri="{CE6537A1-D6FC-4f65-9D91-7224C49458BB}"/>
                <c:ext xmlns:c16="http://schemas.microsoft.com/office/drawing/2014/chart" uri="{C3380CC4-5D6E-409C-BE32-E72D297353CC}">
                  <c16:uniqueId val="{00000019-A51A-47FE-BCF4-184E6184647A}"/>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cs-CZ"/>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List1!$A$2:$A$14</c:f>
              <c:strCache>
                <c:ptCount val="13"/>
                <c:pt idx="0">
                  <c:v>zemědělství a lesnictví</c:v>
                </c:pt>
                <c:pt idx="1">
                  <c:v>voda a sanitace</c:v>
                </c:pt>
                <c:pt idx="2">
                  <c:v>zdravotnictví</c:v>
                </c:pt>
                <c:pt idx="3">
                  <c:v>ostatní sociální infrastruktura a služby </c:v>
                </c:pt>
                <c:pt idx="4">
                  <c:v>veřejná správa a občanská společnost</c:v>
                </c:pt>
                <c:pt idx="5">
                  <c:v>osvětové aktivity</c:v>
                </c:pt>
                <c:pt idx="6">
                  <c:v>vzdělávání</c:v>
                </c:pt>
                <c:pt idx="7">
                  <c:v>Kapacity NNO</c:v>
                </c:pt>
                <c:pt idx="8">
                  <c:v>B2B</c:v>
                </c:pt>
                <c:pt idx="9">
                  <c:v>Výroba a dodávky energie</c:v>
                </c:pt>
                <c:pt idx="10">
                  <c:v>ostatní (RO na MZV)</c:v>
                </c:pt>
                <c:pt idx="11">
                  <c:v>Program DS</c:v>
                </c:pt>
                <c:pt idx="12">
                  <c:v>program DS  - spoluúčast ČRA</c:v>
                </c:pt>
              </c:strCache>
            </c:strRef>
          </c:cat>
          <c:val>
            <c:numRef>
              <c:f>List1!$B$2:$B$14</c:f>
              <c:numCache>
                <c:formatCode>General</c:formatCode>
                <c:ptCount val="13"/>
                <c:pt idx="0">
                  <c:v>23</c:v>
                </c:pt>
                <c:pt idx="1">
                  <c:v>13</c:v>
                </c:pt>
                <c:pt idx="2">
                  <c:v>6</c:v>
                </c:pt>
                <c:pt idx="3">
                  <c:v>5</c:v>
                </c:pt>
                <c:pt idx="4">
                  <c:v>18</c:v>
                </c:pt>
                <c:pt idx="5">
                  <c:v>10</c:v>
                </c:pt>
                <c:pt idx="6">
                  <c:v>8</c:v>
                </c:pt>
                <c:pt idx="7">
                  <c:v>7</c:v>
                </c:pt>
                <c:pt idx="8">
                  <c:v>8</c:v>
                </c:pt>
                <c:pt idx="9">
                  <c:v>1</c:v>
                </c:pt>
                <c:pt idx="10">
                  <c:v>0</c:v>
                </c:pt>
                <c:pt idx="11">
                  <c:v>6</c:v>
                </c:pt>
                <c:pt idx="12">
                  <c:v>0</c:v>
                </c:pt>
              </c:numCache>
            </c:numRef>
          </c:val>
          <c:extLst>
            <c:ext xmlns:c16="http://schemas.microsoft.com/office/drawing/2014/chart" uri="{C3380CC4-5D6E-409C-BE32-E72D297353CC}">
              <c16:uniqueId val="{0000001A-A51A-47FE-BCF4-184E6184647A}"/>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egendEntry>
        <c:idx val="10"/>
        <c:delete val="1"/>
      </c:legendEntry>
      <c:legendEntry>
        <c:idx val="12"/>
        <c:delete val="1"/>
      </c:legendEntry>
      <c:layout>
        <c:manualLayout>
          <c:xMode val="edge"/>
          <c:yMode val="edge"/>
          <c:x val="0.58993766404199477"/>
          <c:y val="0.13243719535058118"/>
          <c:w val="0.38030985710119564"/>
          <c:h val="0.8318485189351331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1" i="0" u="none" strike="noStrike" kern="1200" spc="0" baseline="0">
                <a:solidFill>
                  <a:sysClr val="windowText" lastClr="000000"/>
                </a:solidFill>
                <a:latin typeface="Times New Roman" panose="02020603050405020304" pitchFamily="18" charset="0"/>
                <a:cs typeface="Times New Roman" panose="02020603050405020304" pitchFamily="18" charset="0"/>
              </a:rPr>
              <a:t>Počet projektů</a:t>
            </a:r>
            <a:r>
              <a:rPr lang="cs-CZ" sz="1400" b="1" i="0" u="none" strike="noStrike" kern="1200" spc="0" baseline="0">
                <a:solidFill>
                  <a:sysClr val="windowText" lastClr="000000"/>
                </a:solidFill>
                <a:latin typeface="Times New Roman" panose="02020603050405020304" pitchFamily="18" charset="0"/>
                <a:cs typeface="Times New Roman" panose="02020603050405020304" pitchFamily="18" charset="0"/>
              </a:rPr>
              <a:t> se zaměřením na daný SDG</a:t>
            </a:r>
            <a:endParaRPr lang="en-US" sz="1400" b="1" i="0" u="none" strike="noStrike" kern="1200" spc="0" baseline="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pieChart>
        <c:varyColors val="1"/>
        <c:ser>
          <c:idx val="1"/>
          <c:order val="1"/>
          <c:tx>
            <c:strRef>
              <c:f>SDG_bez_skrytych!$C$1</c:f>
              <c:strCache>
                <c:ptCount val="1"/>
                <c:pt idx="0">
                  <c:v>Podíl (%)</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9832-4FC1-AFB3-DC1678B58FA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9832-4FC1-AFB3-DC1678B58FAE}"/>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9832-4FC1-AFB3-DC1678B58FAE}"/>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9832-4FC1-AFB3-DC1678B58FAE}"/>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9832-4FC1-AFB3-DC1678B58FAE}"/>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9832-4FC1-AFB3-DC1678B58FAE}"/>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9832-4FC1-AFB3-DC1678B58FAE}"/>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9832-4FC1-AFB3-DC1678B58FAE}"/>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9832-4FC1-AFB3-DC1678B58FAE}"/>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9832-4FC1-AFB3-DC1678B58FAE}"/>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15-9832-4FC1-AFB3-DC1678B58FAE}"/>
              </c:ext>
            </c:extLst>
          </c:dPt>
          <c:dPt>
            <c:idx val="11"/>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17-9832-4FC1-AFB3-DC1678B58FAE}"/>
              </c:ext>
            </c:extLst>
          </c:dPt>
          <c:dPt>
            <c:idx val="12"/>
            <c:bubble3D val="0"/>
            <c:spPr>
              <a:solidFill>
                <a:schemeClr val="accent1">
                  <a:lumMod val="80000"/>
                  <a:lumOff val="20000"/>
                </a:schemeClr>
              </a:solidFill>
              <a:ln w="19050">
                <a:solidFill>
                  <a:schemeClr val="lt1"/>
                </a:solidFill>
              </a:ln>
              <a:effectLst/>
            </c:spPr>
            <c:extLst>
              <c:ext xmlns:c16="http://schemas.microsoft.com/office/drawing/2014/chart" uri="{C3380CC4-5D6E-409C-BE32-E72D297353CC}">
                <c16:uniqueId val="{00000019-9832-4FC1-AFB3-DC1678B58FAE}"/>
              </c:ext>
            </c:extLst>
          </c:dPt>
          <c:dPt>
            <c:idx val="13"/>
            <c:bubble3D val="0"/>
            <c:spPr>
              <a:solidFill>
                <a:schemeClr val="accent2">
                  <a:lumMod val="80000"/>
                  <a:lumOff val="20000"/>
                </a:schemeClr>
              </a:solidFill>
              <a:ln w="19050">
                <a:solidFill>
                  <a:schemeClr val="lt1"/>
                </a:solidFill>
              </a:ln>
              <a:effectLst/>
            </c:spPr>
            <c:extLst>
              <c:ext xmlns:c16="http://schemas.microsoft.com/office/drawing/2014/chart" uri="{C3380CC4-5D6E-409C-BE32-E72D297353CC}">
                <c16:uniqueId val="{0000001B-9832-4FC1-AFB3-DC1678B58FAE}"/>
              </c:ext>
            </c:extLst>
          </c:dPt>
          <c:dPt>
            <c:idx val="14"/>
            <c:bubble3D val="0"/>
            <c:spPr>
              <a:solidFill>
                <a:schemeClr val="accent3">
                  <a:lumMod val="80000"/>
                  <a:lumOff val="20000"/>
                </a:schemeClr>
              </a:solidFill>
              <a:ln w="19050">
                <a:solidFill>
                  <a:schemeClr val="lt1"/>
                </a:solidFill>
              </a:ln>
              <a:effectLst/>
            </c:spPr>
            <c:extLst>
              <c:ext xmlns:c16="http://schemas.microsoft.com/office/drawing/2014/chart" uri="{C3380CC4-5D6E-409C-BE32-E72D297353CC}">
                <c16:uniqueId val="{0000001D-9832-4FC1-AFB3-DC1678B58FAE}"/>
              </c:ext>
            </c:extLst>
          </c:dPt>
          <c:dPt>
            <c:idx val="15"/>
            <c:bubble3D val="0"/>
            <c:spPr>
              <a:solidFill>
                <a:schemeClr val="accent4">
                  <a:lumMod val="80000"/>
                  <a:lumOff val="20000"/>
                </a:schemeClr>
              </a:solidFill>
              <a:ln w="19050">
                <a:solidFill>
                  <a:schemeClr val="lt1"/>
                </a:solidFill>
              </a:ln>
              <a:effectLst/>
            </c:spPr>
            <c:extLst>
              <c:ext xmlns:c16="http://schemas.microsoft.com/office/drawing/2014/chart" uri="{C3380CC4-5D6E-409C-BE32-E72D297353CC}">
                <c16:uniqueId val="{0000001F-9832-4FC1-AFB3-DC1678B58FAE}"/>
              </c:ext>
            </c:extLst>
          </c:dPt>
          <c:dPt>
            <c:idx val="16"/>
            <c:bubble3D val="0"/>
            <c:spPr>
              <a:solidFill>
                <a:schemeClr val="accent5">
                  <a:lumMod val="80000"/>
                  <a:lumOff val="20000"/>
                </a:schemeClr>
              </a:solidFill>
              <a:ln w="19050">
                <a:solidFill>
                  <a:schemeClr val="lt1"/>
                </a:solidFill>
              </a:ln>
              <a:effectLst/>
            </c:spPr>
            <c:extLst>
              <c:ext xmlns:c16="http://schemas.microsoft.com/office/drawing/2014/chart" uri="{C3380CC4-5D6E-409C-BE32-E72D297353CC}">
                <c16:uniqueId val="{00000021-9832-4FC1-AFB3-DC1678B58FAE}"/>
              </c:ext>
            </c:extLst>
          </c:dPt>
          <c:dPt>
            <c:idx val="17"/>
            <c:bubble3D val="0"/>
            <c:spPr>
              <a:solidFill>
                <a:schemeClr val="accent6">
                  <a:lumMod val="80000"/>
                  <a:lumOff val="20000"/>
                </a:schemeClr>
              </a:solidFill>
              <a:ln w="19050">
                <a:solidFill>
                  <a:schemeClr val="lt1"/>
                </a:solidFill>
              </a:ln>
              <a:effectLst/>
            </c:spPr>
            <c:extLst>
              <c:ext xmlns:c16="http://schemas.microsoft.com/office/drawing/2014/chart" uri="{C3380CC4-5D6E-409C-BE32-E72D297353CC}">
                <c16:uniqueId val="{00000023-9832-4FC1-AFB3-DC1678B58FAE}"/>
              </c:ext>
            </c:extLst>
          </c:dPt>
          <c:dLbls>
            <c:dLbl>
              <c:idx val="11"/>
              <c:layout>
                <c:manualLayout>
                  <c:x val="-2.0236087689713321E-2"/>
                  <c:y val="0"/>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7-9832-4FC1-AFB3-DC1678B58FAE}"/>
                </c:ext>
              </c:extLst>
            </c:dLbl>
            <c:dLbl>
              <c:idx val="12"/>
              <c:layout>
                <c:manualLayout>
                  <c:x val="-4.7217537942664416E-2"/>
                  <c:y val="-2.5820730357801549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9-9832-4FC1-AFB3-DC1678B58FAE}"/>
                </c:ext>
              </c:extLst>
            </c:dLbl>
            <c:dLbl>
              <c:idx val="13"/>
              <c:layout>
                <c:manualLayout>
                  <c:x val="-2.2484541877459659E-3"/>
                  <c:y val="-2.2132054592401321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B-9832-4FC1-AFB3-DC1678B58FAE}"/>
                </c:ext>
              </c:extLst>
            </c:dLbl>
            <c:dLbl>
              <c:idx val="14"/>
              <c:layout>
                <c:manualLayout>
                  <c:x val="3.5975267003934712E-2"/>
                  <c:y val="-7.3773515308004425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1D-9832-4FC1-AFB3-DC1678B58FAE}"/>
                </c:ext>
              </c:extLst>
            </c:dLbl>
            <c:dLbl>
              <c:idx val="15"/>
              <c:delete val="1"/>
              <c:extLst>
                <c:ext xmlns:c15="http://schemas.microsoft.com/office/drawing/2012/chart" uri="{CE6537A1-D6FC-4f65-9D91-7224C49458BB}"/>
                <c:ext xmlns:c16="http://schemas.microsoft.com/office/drawing/2014/chart" uri="{C3380CC4-5D6E-409C-BE32-E72D297353CC}">
                  <c16:uniqueId val="{0000001F-9832-4FC1-AFB3-DC1678B58FAE}"/>
                </c:ext>
              </c:extLst>
            </c:dLbl>
            <c:dLbl>
              <c:idx val="16"/>
              <c:delete val="1"/>
              <c:extLst>
                <c:ext xmlns:c15="http://schemas.microsoft.com/office/drawing/2012/chart" uri="{CE6537A1-D6FC-4f65-9D91-7224C49458BB}"/>
                <c:ext xmlns:c16="http://schemas.microsoft.com/office/drawing/2014/chart" uri="{C3380CC4-5D6E-409C-BE32-E72D297353CC}">
                  <c16:uniqueId val="{00000021-9832-4FC1-AFB3-DC1678B58FAE}"/>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cs-CZ"/>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c15:spPr>
              </c:ext>
            </c:extLst>
          </c:dLbls>
          <c:cat>
            <c:strRef>
              <c:f>SDG_bez_skrytych!$A$2:$A$19</c:f>
              <c:strCache>
                <c:ptCount val="17"/>
                <c:pt idx="0">
                  <c:v>SDG 6</c:v>
                </c:pt>
                <c:pt idx="1">
                  <c:v>SDG 2</c:v>
                </c:pt>
                <c:pt idx="2">
                  <c:v>SDG 13</c:v>
                </c:pt>
                <c:pt idx="3">
                  <c:v>SDG 15</c:v>
                </c:pt>
                <c:pt idx="4">
                  <c:v>SDG 12</c:v>
                </c:pt>
                <c:pt idx="5">
                  <c:v>SDG 1</c:v>
                </c:pt>
                <c:pt idx="6">
                  <c:v>SDG 8</c:v>
                </c:pt>
                <c:pt idx="7">
                  <c:v>SDG 3</c:v>
                </c:pt>
                <c:pt idx="8">
                  <c:v>SDG 4</c:v>
                </c:pt>
                <c:pt idx="9">
                  <c:v>SDG 5</c:v>
                </c:pt>
                <c:pt idx="10">
                  <c:v>SDG 16</c:v>
                </c:pt>
                <c:pt idx="11">
                  <c:v>SDG 17</c:v>
                </c:pt>
                <c:pt idx="12">
                  <c:v>SDG 10</c:v>
                </c:pt>
                <c:pt idx="13">
                  <c:v>SDG 9</c:v>
                </c:pt>
                <c:pt idx="14">
                  <c:v>SDG 11</c:v>
                </c:pt>
                <c:pt idx="15">
                  <c:v>SDG 7</c:v>
                </c:pt>
                <c:pt idx="16">
                  <c:v>SDG 14</c:v>
                </c:pt>
              </c:strCache>
            </c:strRef>
          </c:cat>
          <c:val>
            <c:numRef>
              <c:f>SDG_bez_skrytych!$C$2:$C$19</c:f>
              <c:numCache>
                <c:formatCode>0.00%</c:formatCode>
                <c:ptCount val="18"/>
                <c:pt idx="0">
                  <c:v>9.686609686609686E-2</c:v>
                </c:pt>
                <c:pt idx="1">
                  <c:v>9.4017094017094016E-2</c:v>
                </c:pt>
                <c:pt idx="2">
                  <c:v>8.8319088319088315E-2</c:v>
                </c:pt>
                <c:pt idx="3">
                  <c:v>8.5470085470085472E-2</c:v>
                </c:pt>
                <c:pt idx="4">
                  <c:v>7.6923076923076927E-2</c:v>
                </c:pt>
                <c:pt idx="5">
                  <c:v>7.407407407407407E-2</c:v>
                </c:pt>
                <c:pt idx="6">
                  <c:v>7.1225071225071226E-2</c:v>
                </c:pt>
                <c:pt idx="7">
                  <c:v>6.5527065527065526E-2</c:v>
                </c:pt>
                <c:pt idx="8">
                  <c:v>6.5527065527065526E-2</c:v>
                </c:pt>
                <c:pt idx="9">
                  <c:v>6.5527065527065526E-2</c:v>
                </c:pt>
                <c:pt idx="10">
                  <c:v>5.9829059829059832E-2</c:v>
                </c:pt>
                <c:pt idx="11">
                  <c:v>5.4131054131054131E-2</c:v>
                </c:pt>
                <c:pt idx="12">
                  <c:v>3.4188034188034191E-2</c:v>
                </c:pt>
                <c:pt idx="13">
                  <c:v>3.1339031339031341E-2</c:v>
                </c:pt>
                <c:pt idx="14">
                  <c:v>1.9943019943019939E-2</c:v>
                </c:pt>
                <c:pt idx="15">
                  <c:v>1.424501424501425E-2</c:v>
                </c:pt>
                <c:pt idx="16">
                  <c:v>2.8490028490028491E-3</c:v>
                </c:pt>
              </c:numCache>
            </c:numRef>
          </c:val>
          <c:extLst>
            <c:ext xmlns:c16="http://schemas.microsoft.com/office/drawing/2014/chart" uri="{C3380CC4-5D6E-409C-BE32-E72D297353CC}">
              <c16:uniqueId val="{00000024-9832-4FC1-AFB3-DC1678B58FAE}"/>
            </c:ext>
          </c:extLst>
        </c:ser>
        <c:dLbls>
          <c:showLegendKey val="0"/>
          <c:showVal val="0"/>
          <c:showCatName val="0"/>
          <c:showSerName val="0"/>
          <c:showPercent val="0"/>
          <c:showBubbleSize val="0"/>
          <c:showLeaderLines val="0"/>
        </c:dLbls>
        <c:firstSliceAng val="0"/>
        <c:extLst>
          <c:ext xmlns:c15="http://schemas.microsoft.com/office/drawing/2012/chart" uri="{02D57815-91ED-43cb-92C2-25804820EDAC}">
            <c15:filteredPieSeries>
              <c15:ser>
                <c:idx val="0"/>
                <c:order val="0"/>
                <c:tx>
                  <c:strRef>
                    <c:extLst>
                      <c:ext uri="{02D57815-91ED-43cb-92C2-25804820EDAC}">
                        <c15:formulaRef>
                          <c15:sqref>SDG_bez_skrytych!$B$1</c15:sqref>
                        </c15:formulaRef>
                      </c:ext>
                    </c:extLst>
                    <c:strCache>
                      <c:ptCount val="1"/>
                      <c:pt idx="0">
                        <c:v>Počet výskytů</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26-9832-4FC1-AFB3-DC1678B58FA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28-9832-4FC1-AFB3-DC1678B58FAE}"/>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2A-9832-4FC1-AFB3-DC1678B58FAE}"/>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2C-9832-4FC1-AFB3-DC1678B58FAE}"/>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2E-9832-4FC1-AFB3-DC1678B58FAE}"/>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30-9832-4FC1-AFB3-DC1678B58FAE}"/>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32-9832-4FC1-AFB3-DC1678B58FAE}"/>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34-9832-4FC1-AFB3-DC1678B58FAE}"/>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36-9832-4FC1-AFB3-DC1678B58FAE}"/>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38-9832-4FC1-AFB3-DC1678B58FAE}"/>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3A-9832-4FC1-AFB3-DC1678B58FAE}"/>
                    </c:ext>
                  </c:extLst>
                </c:dPt>
                <c:dPt>
                  <c:idx val="11"/>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3C-9832-4FC1-AFB3-DC1678B58FAE}"/>
                    </c:ext>
                  </c:extLst>
                </c:dPt>
                <c:dPt>
                  <c:idx val="12"/>
                  <c:bubble3D val="0"/>
                  <c:spPr>
                    <a:solidFill>
                      <a:schemeClr val="accent1">
                        <a:lumMod val="80000"/>
                        <a:lumOff val="20000"/>
                      </a:schemeClr>
                    </a:solidFill>
                    <a:ln w="19050">
                      <a:solidFill>
                        <a:schemeClr val="lt1"/>
                      </a:solidFill>
                    </a:ln>
                    <a:effectLst/>
                  </c:spPr>
                  <c:extLst>
                    <c:ext xmlns:c16="http://schemas.microsoft.com/office/drawing/2014/chart" uri="{C3380CC4-5D6E-409C-BE32-E72D297353CC}">
                      <c16:uniqueId val="{0000003E-9832-4FC1-AFB3-DC1678B58FAE}"/>
                    </c:ext>
                  </c:extLst>
                </c:dPt>
                <c:dPt>
                  <c:idx val="13"/>
                  <c:bubble3D val="0"/>
                  <c:spPr>
                    <a:solidFill>
                      <a:schemeClr val="accent2">
                        <a:lumMod val="80000"/>
                        <a:lumOff val="20000"/>
                      </a:schemeClr>
                    </a:solidFill>
                    <a:ln w="19050">
                      <a:solidFill>
                        <a:schemeClr val="lt1"/>
                      </a:solidFill>
                    </a:ln>
                    <a:effectLst/>
                  </c:spPr>
                  <c:extLst>
                    <c:ext xmlns:c16="http://schemas.microsoft.com/office/drawing/2014/chart" uri="{C3380CC4-5D6E-409C-BE32-E72D297353CC}">
                      <c16:uniqueId val="{00000040-9832-4FC1-AFB3-DC1678B58FAE}"/>
                    </c:ext>
                  </c:extLst>
                </c:dPt>
                <c:dPt>
                  <c:idx val="14"/>
                  <c:bubble3D val="0"/>
                  <c:spPr>
                    <a:solidFill>
                      <a:schemeClr val="accent3">
                        <a:lumMod val="80000"/>
                        <a:lumOff val="20000"/>
                      </a:schemeClr>
                    </a:solidFill>
                    <a:ln w="19050">
                      <a:solidFill>
                        <a:schemeClr val="lt1"/>
                      </a:solidFill>
                    </a:ln>
                    <a:effectLst/>
                  </c:spPr>
                  <c:extLst>
                    <c:ext xmlns:c16="http://schemas.microsoft.com/office/drawing/2014/chart" uri="{C3380CC4-5D6E-409C-BE32-E72D297353CC}">
                      <c16:uniqueId val="{00000042-9832-4FC1-AFB3-DC1678B58FAE}"/>
                    </c:ext>
                  </c:extLst>
                </c:dPt>
                <c:dPt>
                  <c:idx val="15"/>
                  <c:bubble3D val="0"/>
                  <c:spPr>
                    <a:solidFill>
                      <a:schemeClr val="accent4">
                        <a:lumMod val="80000"/>
                        <a:lumOff val="20000"/>
                      </a:schemeClr>
                    </a:solidFill>
                    <a:ln w="19050">
                      <a:solidFill>
                        <a:schemeClr val="lt1"/>
                      </a:solidFill>
                    </a:ln>
                    <a:effectLst/>
                  </c:spPr>
                  <c:extLst>
                    <c:ext xmlns:c16="http://schemas.microsoft.com/office/drawing/2014/chart" uri="{C3380CC4-5D6E-409C-BE32-E72D297353CC}">
                      <c16:uniqueId val="{00000044-9832-4FC1-AFB3-DC1678B58FAE}"/>
                    </c:ext>
                  </c:extLst>
                </c:dPt>
                <c:dPt>
                  <c:idx val="16"/>
                  <c:bubble3D val="0"/>
                  <c:spPr>
                    <a:solidFill>
                      <a:schemeClr val="accent5">
                        <a:lumMod val="80000"/>
                        <a:lumOff val="20000"/>
                      </a:schemeClr>
                    </a:solidFill>
                    <a:ln w="19050">
                      <a:solidFill>
                        <a:schemeClr val="lt1"/>
                      </a:solidFill>
                    </a:ln>
                    <a:effectLst/>
                  </c:spPr>
                  <c:extLst>
                    <c:ext xmlns:c16="http://schemas.microsoft.com/office/drawing/2014/chart" uri="{C3380CC4-5D6E-409C-BE32-E72D297353CC}">
                      <c16:uniqueId val="{00000046-9832-4FC1-AFB3-DC1678B58FAE}"/>
                    </c:ext>
                  </c:extLst>
                </c:dPt>
                <c:dPt>
                  <c:idx val="17"/>
                  <c:bubble3D val="0"/>
                  <c:spPr>
                    <a:solidFill>
                      <a:schemeClr val="accent6">
                        <a:lumMod val="80000"/>
                        <a:lumOff val="20000"/>
                      </a:schemeClr>
                    </a:solidFill>
                    <a:ln w="19050">
                      <a:solidFill>
                        <a:schemeClr val="lt1"/>
                      </a:solidFill>
                    </a:ln>
                    <a:effectLst/>
                  </c:spPr>
                  <c:extLst>
                    <c:ext xmlns:c16="http://schemas.microsoft.com/office/drawing/2014/chart" uri="{C3380CC4-5D6E-409C-BE32-E72D297353CC}">
                      <c16:uniqueId val="{00000048-9832-4FC1-AFB3-DC1678B58FA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uri="{CE6537A1-D6FC-4f65-9D91-7224C49458BB}"/>
                  </c:extLst>
                </c:dLbls>
                <c:cat>
                  <c:strRef>
                    <c:extLst>
                      <c:ext uri="{02D57815-91ED-43cb-92C2-25804820EDAC}">
                        <c15:formulaRef>
                          <c15:sqref>SDG_bez_skrytych!$A$2:$A$19</c15:sqref>
                        </c15:formulaRef>
                      </c:ext>
                    </c:extLst>
                    <c:strCache>
                      <c:ptCount val="17"/>
                      <c:pt idx="0">
                        <c:v>SDG 6</c:v>
                      </c:pt>
                      <c:pt idx="1">
                        <c:v>SDG 2</c:v>
                      </c:pt>
                      <c:pt idx="2">
                        <c:v>SDG 13</c:v>
                      </c:pt>
                      <c:pt idx="3">
                        <c:v>SDG 15</c:v>
                      </c:pt>
                      <c:pt idx="4">
                        <c:v>SDG 12</c:v>
                      </c:pt>
                      <c:pt idx="5">
                        <c:v>SDG 1</c:v>
                      </c:pt>
                      <c:pt idx="6">
                        <c:v>SDG 8</c:v>
                      </c:pt>
                      <c:pt idx="7">
                        <c:v>SDG 3</c:v>
                      </c:pt>
                      <c:pt idx="8">
                        <c:v>SDG 4</c:v>
                      </c:pt>
                      <c:pt idx="9">
                        <c:v>SDG 5</c:v>
                      </c:pt>
                      <c:pt idx="10">
                        <c:v>SDG 16</c:v>
                      </c:pt>
                      <c:pt idx="11">
                        <c:v>SDG 17</c:v>
                      </c:pt>
                      <c:pt idx="12">
                        <c:v>SDG 10</c:v>
                      </c:pt>
                      <c:pt idx="13">
                        <c:v>SDG 9</c:v>
                      </c:pt>
                      <c:pt idx="14">
                        <c:v>SDG 11</c:v>
                      </c:pt>
                      <c:pt idx="15">
                        <c:v>SDG 7</c:v>
                      </c:pt>
                      <c:pt idx="16">
                        <c:v>SDG 14</c:v>
                      </c:pt>
                    </c:strCache>
                  </c:strRef>
                </c:cat>
                <c:val>
                  <c:numRef>
                    <c:extLst>
                      <c:ext uri="{02D57815-91ED-43cb-92C2-25804820EDAC}">
                        <c15:formulaRef>
                          <c15:sqref>SDG_bez_skrytych!$B$2:$B$19</c15:sqref>
                        </c15:formulaRef>
                      </c:ext>
                    </c:extLst>
                    <c:numCache>
                      <c:formatCode>General</c:formatCode>
                      <c:ptCount val="18"/>
                      <c:pt idx="0">
                        <c:v>34</c:v>
                      </c:pt>
                      <c:pt idx="1">
                        <c:v>33</c:v>
                      </c:pt>
                      <c:pt idx="2">
                        <c:v>31</c:v>
                      </c:pt>
                      <c:pt idx="3">
                        <c:v>30</c:v>
                      </c:pt>
                      <c:pt idx="4">
                        <c:v>27</c:v>
                      </c:pt>
                      <c:pt idx="5">
                        <c:v>26</c:v>
                      </c:pt>
                      <c:pt idx="6">
                        <c:v>25</c:v>
                      </c:pt>
                      <c:pt idx="7">
                        <c:v>23</c:v>
                      </c:pt>
                      <c:pt idx="8">
                        <c:v>23</c:v>
                      </c:pt>
                      <c:pt idx="9">
                        <c:v>23</c:v>
                      </c:pt>
                      <c:pt idx="10">
                        <c:v>21</c:v>
                      </c:pt>
                      <c:pt idx="11">
                        <c:v>19</c:v>
                      </c:pt>
                      <c:pt idx="12">
                        <c:v>12</c:v>
                      </c:pt>
                      <c:pt idx="13">
                        <c:v>11</c:v>
                      </c:pt>
                      <c:pt idx="14">
                        <c:v>7</c:v>
                      </c:pt>
                      <c:pt idx="15">
                        <c:v>5</c:v>
                      </c:pt>
                      <c:pt idx="16">
                        <c:v>1</c:v>
                      </c:pt>
                    </c:numCache>
                  </c:numRef>
                </c:val>
                <c:extLst>
                  <c:ext xmlns:c16="http://schemas.microsoft.com/office/drawing/2014/chart" uri="{C3380CC4-5D6E-409C-BE32-E72D297353CC}">
                    <c16:uniqueId val="{00000049-9832-4FC1-AFB3-DC1678B58FAE}"/>
                  </c:ext>
                </c:extLst>
              </c15:ser>
            </c15:filteredPieSeries>
          </c:ext>
        </c:extLst>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1">
    <c:autoUpdate val="0"/>
  </c:externalData>
</c:chartSpace>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46</Pages>
  <Words>15644</Words>
  <Characters>93239</Characters>
  <Application>Microsoft Office Word</Application>
  <DocSecurity>0</DocSecurity>
  <Lines>1695</Lines>
  <Paragraphs>640</Paragraphs>
  <ScaleCrop>false</ScaleCrop>
  <HeadingPairs>
    <vt:vector size="2" baseType="variant">
      <vt:variant>
        <vt:lpstr>Název</vt:lpstr>
      </vt:variant>
      <vt:variant>
        <vt:i4>1</vt:i4>
      </vt:variant>
    </vt:vector>
  </HeadingPairs>
  <TitlesOfParts>
    <vt:vector size="1" baseType="lpstr">
      <vt:lpstr>II</vt:lpstr>
    </vt:vector>
  </TitlesOfParts>
  <Company>MZV</Company>
  <LinksUpToDate>false</LinksUpToDate>
  <CharactersWithSpaces>108243</CharactersWithSpaces>
  <SharedDoc>false</SharedDoc>
  <HLinks>
    <vt:vector size="264" baseType="variant">
      <vt:variant>
        <vt:i4>589903</vt:i4>
      </vt:variant>
      <vt:variant>
        <vt:i4>249</vt:i4>
      </vt:variant>
      <vt:variant>
        <vt:i4>0</vt:i4>
      </vt:variant>
      <vt:variant>
        <vt:i4>5</vt:i4>
      </vt:variant>
      <vt:variant>
        <vt:lpwstr>https://czechaid.mapotic.com/</vt:lpwstr>
      </vt:variant>
      <vt:variant>
        <vt:lpwstr/>
      </vt:variant>
      <vt:variant>
        <vt:i4>262175</vt:i4>
      </vt:variant>
      <vt:variant>
        <vt:i4>246</vt:i4>
      </vt:variant>
      <vt:variant>
        <vt:i4>0</vt:i4>
      </vt:variant>
      <vt:variant>
        <vt:i4>5</vt:i4>
      </vt:variant>
      <vt:variant>
        <vt:lpwstr>https://mzv.gov.cz/jnp/cz/zahranicni_vztahy/rozvojova_spoluprace/evaluace/plan_evaluaci_zrs_cr_na_rok_2025.html</vt:lpwstr>
      </vt:variant>
      <vt:variant>
        <vt:lpwstr/>
      </vt:variant>
      <vt:variant>
        <vt:i4>7864367</vt:i4>
      </vt:variant>
      <vt:variant>
        <vt:i4>237</vt:i4>
      </vt:variant>
      <vt:variant>
        <vt:i4>0</vt:i4>
      </vt:variant>
      <vt:variant>
        <vt:i4>5</vt:i4>
      </vt:variant>
      <vt:variant>
        <vt:lpwstr>http://www.czechaid.cz/</vt:lpwstr>
      </vt:variant>
      <vt:variant>
        <vt:lpwstr/>
      </vt:variant>
      <vt:variant>
        <vt:i4>1376309</vt:i4>
      </vt:variant>
      <vt:variant>
        <vt:i4>230</vt:i4>
      </vt:variant>
      <vt:variant>
        <vt:i4>0</vt:i4>
      </vt:variant>
      <vt:variant>
        <vt:i4>5</vt:i4>
      </vt:variant>
      <vt:variant>
        <vt:lpwstr/>
      </vt:variant>
      <vt:variant>
        <vt:lpwstr>_Toc228190618</vt:lpwstr>
      </vt:variant>
      <vt:variant>
        <vt:i4>1376309</vt:i4>
      </vt:variant>
      <vt:variant>
        <vt:i4>224</vt:i4>
      </vt:variant>
      <vt:variant>
        <vt:i4>0</vt:i4>
      </vt:variant>
      <vt:variant>
        <vt:i4>5</vt:i4>
      </vt:variant>
      <vt:variant>
        <vt:lpwstr/>
      </vt:variant>
      <vt:variant>
        <vt:lpwstr>_Toc228190617</vt:lpwstr>
      </vt:variant>
      <vt:variant>
        <vt:i4>1376309</vt:i4>
      </vt:variant>
      <vt:variant>
        <vt:i4>218</vt:i4>
      </vt:variant>
      <vt:variant>
        <vt:i4>0</vt:i4>
      </vt:variant>
      <vt:variant>
        <vt:i4>5</vt:i4>
      </vt:variant>
      <vt:variant>
        <vt:lpwstr/>
      </vt:variant>
      <vt:variant>
        <vt:lpwstr>_Toc228190616</vt:lpwstr>
      </vt:variant>
      <vt:variant>
        <vt:i4>1376309</vt:i4>
      </vt:variant>
      <vt:variant>
        <vt:i4>212</vt:i4>
      </vt:variant>
      <vt:variant>
        <vt:i4>0</vt:i4>
      </vt:variant>
      <vt:variant>
        <vt:i4>5</vt:i4>
      </vt:variant>
      <vt:variant>
        <vt:lpwstr/>
      </vt:variant>
      <vt:variant>
        <vt:lpwstr>_Toc228190615</vt:lpwstr>
      </vt:variant>
      <vt:variant>
        <vt:i4>1376309</vt:i4>
      </vt:variant>
      <vt:variant>
        <vt:i4>206</vt:i4>
      </vt:variant>
      <vt:variant>
        <vt:i4>0</vt:i4>
      </vt:variant>
      <vt:variant>
        <vt:i4>5</vt:i4>
      </vt:variant>
      <vt:variant>
        <vt:lpwstr/>
      </vt:variant>
      <vt:variant>
        <vt:lpwstr>_Toc228190614</vt:lpwstr>
      </vt:variant>
      <vt:variant>
        <vt:i4>1376309</vt:i4>
      </vt:variant>
      <vt:variant>
        <vt:i4>200</vt:i4>
      </vt:variant>
      <vt:variant>
        <vt:i4>0</vt:i4>
      </vt:variant>
      <vt:variant>
        <vt:i4>5</vt:i4>
      </vt:variant>
      <vt:variant>
        <vt:lpwstr/>
      </vt:variant>
      <vt:variant>
        <vt:lpwstr>_Toc228190613</vt:lpwstr>
      </vt:variant>
      <vt:variant>
        <vt:i4>1376309</vt:i4>
      </vt:variant>
      <vt:variant>
        <vt:i4>194</vt:i4>
      </vt:variant>
      <vt:variant>
        <vt:i4>0</vt:i4>
      </vt:variant>
      <vt:variant>
        <vt:i4>5</vt:i4>
      </vt:variant>
      <vt:variant>
        <vt:lpwstr/>
      </vt:variant>
      <vt:variant>
        <vt:lpwstr>_Toc228190612</vt:lpwstr>
      </vt:variant>
      <vt:variant>
        <vt:i4>1376309</vt:i4>
      </vt:variant>
      <vt:variant>
        <vt:i4>188</vt:i4>
      </vt:variant>
      <vt:variant>
        <vt:i4>0</vt:i4>
      </vt:variant>
      <vt:variant>
        <vt:i4>5</vt:i4>
      </vt:variant>
      <vt:variant>
        <vt:lpwstr/>
      </vt:variant>
      <vt:variant>
        <vt:lpwstr>_Toc228190611</vt:lpwstr>
      </vt:variant>
      <vt:variant>
        <vt:i4>1376309</vt:i4>
      </vt:variant>
      <vt:variant>
        <vt:i4>182</vt:i4>
      </vt:variant>
      <vt:variant>
        <vt:i4>0</vt:i4>
      </vt:variant>
      <vt:variant>
        <vt:i4>5</vt:i4>
      </vt:variant>
      <vt:variant>
        <vt:lpwstr/>
      </vt:variant>
      <vt:variant>
        <vt:lpwstr>_Toc228190610</vt:lpwstr>
      </vt:variant>
      <vt:variant>
        <vt:i4>1310773</vt:i4>
      </vt:variant>
      <vt:variant>
        <vt:i4>176</vt:i4>
      </vt:variant>
      <vt:variant>
        <vt:i4>0</vt:i4>
      </vt:variant>
      <vt:variant>
        <vt:i4>5</vt:i4>
      </vt:variant>
      <vt:variant>
        <vt:lpwstr/>
      </vt:variant>
      <vt:variant>
        <vt:lpwstr>_Toc228190609</vt:lpwstr>
      </vt:variant>
      <vt:variant>
        <vt:i4>1310773</vt:i4>
      </vt:variant>
      <vt:variant>
        <vt:i4>170</vt:i4>
      </vt:variant>
      <vt:variant>
        <vt:i4>0</vt:i4>
      </vt:variant>
      <vt:variant>
        <vt:i4>5</vt:i4>
      </vt:variant>
      <vt:variant>
        <vt:lpwstr/>
      </vt:variant>
      <vt:variant>
        <vt:lpwstr>_Toc228190608</vt:lpwstr>
      </vt:variant>
      <vt:variant>
        <vt:i4>1310773</vt:i4>
      </vt:variant>
      <vt:variant>
        <vt:i4>164</vt:i4>
      </vt:variant>
      <vt:variant>
        <vt:i4>0</vt:i4>
      </vt:variant>
      <vt:variant>
        <vt:i4>5</vt:i4>
      </vt:variant>
      <vt:variant>
        <vt:lpwstr/>
      </vt:variant>
      <vt:variant>
        <vt:lpwstr>_Toc228190607</vt:lpwstr>
      </vt:variant>
      <vt:variant>
        <vt:i4>1310773</vt:i4>
      </vt:variant>
      <vt:variant>
        <vt:i4>158</vt:i4>
      </vt:variant>
      <vt:variant>
        <vt:i4>0</vt:i4>
      </vt:variant>
      <vt:variant>
        <vt:i4>5</vt:i4>
      </vt:variant>
      <vt:variant>
        <vt:lpwstr/>
      </vt:variant>
      <vt:variant>
        <vt:lpwstr>_Toc228190606</vt:lpwstr>
      </vt:variant>
      <vt:variant>
        <vt:i4>1310773</vt:i4>
      </vt:variant>
      <vt:variant>
        <vt:i4>152</vt:i4>
      </vt:variant>
      <vt:variant>
        <vt:i4>0</vt:i4>
      </vt:variant>
      <vt:variant>
        <vt:i4>5</vt:i4>
      </vt:variant>
      <vt:variant>
        <vt:lpwstr/>
      </vt:variant>
      <vt:variant>
        <vt:lpwstr>_Toc228190605</vt:lpwstr>
      </vt:variant>
      <vt:variant>
        <vt:i4>1310773</vt:i4>
      </vt:variant>
      <vt:variant>
        <vt:i4>146</vt:i4>
      </vt:variant>
      <vt:variant>
        <vt:i4>0</vt:i4>
      </vt:variant>
      <vt:variant>
        <vt:i4>5</vt:i4>
      </vt:variant>
      <vt:variant>
        <vt:lpwstr/>
      </vt:variant>
      <vt:variant>
        <vt:lpwstr>_Toc228190604</vt:lpwstr>
      </vt:variant>
      <vt:variant>
        <vt:i4>1310773</vt:i4>
      </vt:variant>
      <vt:variant>
        <vt:i4>140</vt:i4>
      </vt:variant>
      <vt:variant>
        <vt:i4>0</vt:i4>
      </vt:variant>
      <vt:variant>
        <vt:i4>5</vt:i4>
      </vt:variant>
      <vt:variant>
        <vt:lpwstr/>
      </vt:variant>
      <vt:variant>
        <vt:lpwstr>_Toc228190603</vt:lpwstr>
      </vt:variant>
      <vt:variant>
        <vt:i4>1310773</vt:i4>
      </vt:variant>
      <vt:variant>
        <vt:i4>134</vt:i4>
      </vt:variant>
      <vt:variant>
        <vt:i4>0</vt:i4>
      </vt:variant>
      <vt:variant>
        <vt:i4>5</vt:i4>
      </vt:variant>
      <vt:variant>
        <vt:lpwstr/>
      </vt:variant>
      <vt:variant>
        <vt:lpwstr>_Toc228190602</vt:lpwstr>
      </vt:variant>
      <vt:variant>
        <vt:i4>1310773</vt:i4>
      </vt:variant>
      <vt:variant>
        <vt:i4>128</vt:i4>
      </vt:variant>
      <vt:variant>
        <vt:i4>0</vt:i4>
      </vt:variant>
      <vt:variant>
        <vt:i4>5</vt:i4>
      </vt:variant>
      <vt:variant>
        <vt:lpwstr/>
      </vt:variant>
      <vt:variant>
        <vt:lpwstr>_Toc228190601</vt:lpwstr>
      </vt:variant>
      <vt:variant>
        <vt:i4>1310773</vt:i4>
      </vt:variant>
      <vt:variant>
        <vt:i4>122</vt:i4>
      </vt:variant>
      <vt:variant>
        <vt:i4>0</vt:i4>
      </vt:variant>
      <vt:variant>
        <vt:i4>5</vt:i4>
      </vt:variant>
      <vt:variant>
        <vt:lpwstr/>
      </vt:variant>
      <vt:variant>
        <vt:lpwstr>_Toc228190600</vt:lpwstr>
      </vt:variant>
      <vt:variant>
        <vt:i4>1900598</vt:i4>
      </vt:variant>
      <vt:variant>
        <vt:i4>116</vt:i4>
      </vt:variant>
      <vt:variant>
        <vt:i4>0</vt:i4>
      </vt:variant>
      <vt:variant>
        <vt:i4>5</vt:i4>
      </vt:variant>
      <vt:variant>
        <vt:lpwstr/>
      </vt:variant>
      <vt:variant>
        <vt:lpwstr>_Toc228190599</vt:lpwstr>
      </vt:variant>
      <vt:variant>
        <vt:i4>1900598</vt:i4>
      </vt:variant>
      <vt:variant>
        <vt:i4>110</vt:i4>
      </vt:variant>
      <vt:variant>
        <vt:i4>0</vt:i4>
      </vt:variant>
      <vt:variant>
        <vt:i4>5</vt:i4>
      </vt:variant>
      <vt:variant>
        <vt:lpwstr/>
      </vt:variant>
      <vt:variant>
        <vt:lpwstr>_Toc228190598</vt:lpwstr>
      </vt:variant>
      <vt:variant>
        <vt:i4>1900598</vt:i4>
      </vt:variant>
      <vt:variant>
        <vt:i4>104</vt:i4>
      </vt:variant>
      <vt:variant>
        <vt:i4>0</vt:i4>
      </vt:variant>
      <vt:variant>
        <vt:i4>5</vt:i4>
      </vt:variant>
      <vt:variant>
        <vt:lpwstr/>
      </vt:variant>
      <vt:variant>
        <vt:lpwstr>_Toc228190597</vt:lpwstr>
      </vt:variant>
      <vt:variant>
        <vt:i4>1900598</vt:i4>
      </vt:variant>
      <vt:variant>
        <vt:i4>98</vt:i4>
      </vt:variant>
      <vt:variant>
        <vt:i4>0</vt:i4>
      </vt:variant>
      <vt:variant>
        <vt:i4>5</vt:i4>
      </vt:variant>
      <vt:variant>
        <vt:lpwstr/>
      </vt:variant>
      <vt:variant>
        <vt:lpwstr>_Toc228190596</vt:lpwstr>
      </vt:variant>
      <vt:variant>
        <vt:i4>1900598</vt:i4>
      </vt:variant>
      <vt:variant>
        <vt:i4>92</vt:i4>
      </vt:variant>
      <vt:variant>
        <vt:i4>0</vt:i4>
      </vt:variant>
      <vt:variant>
        <vt:i4>5</vt:i4>
      </vt:variant>
      <vt:variant>
        <vt:lpwstr/>
      </vt:variant>
      <vt:variant>
        <vt:lpwstr>_Toc228190595</vt:lpwstr>
      </vt:variant>
      <vt:variant>
        <vt:i4>1900598</vt:i4>
      </vt:variant>
      <vt:variant>
        <vt:i4>86</vt:i4>
      </vt:variant>
      <vt:variant>
        <vt:i4>0</vt:i4>
      </vt:variant>
      <vt:variant>
        <vt:i4>5</vt:i4>
      </vt:variant>
      <vt:variant>
        <vt:lpwstr/>
      </vt:variant>
      <vt:variant>
        <vt:lpwstr>_Toc228190594</vt:lpwstr>
      </vt:variant>
      <vt:variant>
        <vt:i4>1900598</vt:i4>
      </vt:variant>
      <vt:variant>
        <vt:i4>80</vt:i4>
      </vt:variant>
      <vt:variant>
        <vt:i4>0</vt:i4>
      </vt:variant>
      <vt:variant>
        <vt:i4>5</vt:i4>
      </vt:variant>
      <vt:variant>
        <vt:lpwstr/>
      </vt:variant>
      <vt:variant>
        <vt:lpwstr>_Toc228190593</vt:lpwstr>
      </vt:variant>
      <vt:variant>
        <vt:i4>1900598</vt:i4>
      </vt:variant>
      <vt:variant>
        <vt:i4>74</vt:i4>
      </vt:variant>
      <vt:variant>
        <vt:i4>0</vt:i4>
      </vt:variant>
      <vt:variant>
        <vt:i4>5</vt:i4>
      </vt:variant>
      <vt:variant>
        <vt:lpwstr/>
      </vt:variant>
      <vt:variant>
        <vt:lpwstr>_Toc228190592</vt:lpwstr>
      </vt:variant>
      <vt:variant>
        <vt:i4>1900598</vt:i4>
      </vt:variant>
      <vt:variant>
        <vt:i4>68</vt:i4>
      </vt:variant>
      <vt:variant>
        <vt:i4>0</vt:i4>
      </vt:variant>
      <vt:variant>
        <vt:i4>5</vt:i4>
      </vt:variant>
      <vt:variant>
        <vt:lpwstr/>
      </vt:variant>
      <vt:variant>
        <vt:lpwstr>_Toc228190591</vt:lpwstr>
      </vt:variant>
      <vt:variant>
        <vt:i4>1900598</vt:i4>
      </vt:variant>
      <vt:variant>
        <vt:i4>62</vt:i4>
      </vt:variant>
      <vt:variant>
        <vt:i4>0</vt:i4>
      </vt:variant>
      <vt:variant>
        <vt:i4>5</vt:i4>
      </vt:variant>
      <vt:variant>
        <vt:lpwstr/>
      </vt:variant>
      <vt:variant>
        <vt:lpwstr>_Toc228190590</vt:lpwstr>
      </vt:variant>
      <vt:variant>
        <vt:i4>1835062</vt:i4>
      </vt:variant>
      <vt:variant>
        <vt:i4>56</vt:i4>
      </vt:variant>
      <vt:variant>
        <vt:i4>0</vt:i4>
      </vt:variant>
      <vt:variant>
        <vt:i4>5</vt:i4>
      </vt:variant>
      <vt:variant>
        <vt:lpwstr/>
      </vt:variant>
      <vt:variant>
        <vt:lpwstr>_Toc228190589</vt:lpwstr>
      </vt:variant>
      <vt:variant>
        <vt:i4>1835062</vt:i4>
      </vt:variant>
      <vt:variant>
        <vt:i4>50</vt:i4>
      </vt:variant>
      <vt:variant>
        <vt:i4>0</vt:i4>
      </vt:variant>
      <vt:variant>
        <vt:i4>5</vt:i4>
      </vt:variant>
      <vt:variant>
        <vt:lpwstr/>
      </vt:variant>
      <vt:variant>
        <vt:lpwstr>_Toc228190588</vt:lpwstr>
      </vt:variant>
      <vt:variant>
        <vt:i4>1835062</vt:i4>
      </vt:variant>
      <vt:variant>
        <vt:i4>44</vt:i4>
      </vt:variant>
      <vt:variant>
        <vt:i4>0</vt:i4>
      </vt:variant>
      <vt:variant>
        <vt:i4>5</vt:i4>
      </vt:variant>
      <vt:variant>
        <vt:lpwstr/>
      </vt:variant>
      <vt:variant>
        <vt:lpwstr>_Toc228190587</vt:lpwstr>
      </vt:variant>
      <vt:variant>
        <vt:i4>1835062</vt:i4>
      </vt:variant>
      <vt:variant>
        <vt:i4>38</vt:i4>
      </vt:variant>
      <vt:variant>
        <vt:i4>0</vt:i4>
      </vt:variant>
      <vt:variant>
        <vt:i4>5</vt:i4>
      </vt:variant>
      <vt:variant>
        <vt:lpwstr/>
      </vt:variant>
      <vt:variant>
        <vt:lpwstr>_Toc228190586</vt:lpwstr>
      </vt:variant>
      <vt:variant>
        <vt:i4>1835062</vt:i4>
      </vt:variant>
      <vt:variant>
        <vt:i4>32</vt:i4>
      </vt:variant>
      <vt:variant>
        <vt:i4>0</vt:i4>
      </vt:variant>
      <vt:variant>
        <vt:i4>5</vt:i4>
      </vt:variant>
      <vt:variant>
        <vt:lpwstr/>
      </vt:variant>
      <vt:variant>
        <vt:lpwstr>_Toc228190585</vt:lpwstr>
      </vt:variant>
      <vt:variant>
        <vt:i4>1835062</vt:i4>
      </vt:variant>
      <vt:variant>
        <vt:i4>26</vt:i4>
      </vt:variant>
      <vt:variant>
        <vt:i4>0</vt:i4>
      </vt:variant>
      <vt:variant>
        <vt:i4>5</vt:i4>
      </vt:variant>
      <vt:variant>
        <vt:lpwstr/>
      </vt:variant>
      <vt:variant>
        <vt:lpwstr>_Toc228190584</vt:lpwstr>
      </vt:variant>
      <vt:variant>
        <vt:i4>1835062</vt:i4>
      </vt:variant>
      <vt:variant>
        <vt:i4>20</vt:i4>
      </vt:variant>
      <vt:variant>
        <vt:i4>0</vt:i4>
      </vt:variant>
      <vt:variant>
        <vt:i4>5</vt:i4>
      </vt:variant>
      <vt:variant>
        <vt:lpwstr/>
      </vt:variant>
      <vt:variant>
        <vt:lpwstr>_Toc228190583</vt:lpwstr>
      </vt:variant>
      <vt:variant>
        <vt:i4>1835062</vt:i4>
      </vt:variant>
      <vt:variant>
        <vt:i4>14</vt:i4>
      </vt:variant>
      <vt:variant>
        <vt:i4>0</vt:i4>
      </vt:variant>
      <vt:variant>
        <vt:i4>5</vt:i4>
      </vt:variant>
      <vt:variant>
        <vt:lpwstr/>
      </vt:variant>
      <vt:variant>
        <vt:lpwstr>_Toc228190582</vt:lpwstr>
      </vt:variant>
      <vt:variant>
        <vt:i4>1835062</vt:i4>
      </vt:variant>
      <vt:variant>
        <vt:i4>8</vt:i4>
      </vt:variant>
      <vt:variant>
        <vt:i4>0</vt:i4>
      </vt:variant>
      <vt:variant>
        <vt:i4>5</vt:i4>
      </vt:variant>
      <vt:variant>
        <vt:lpwstr/>
      </vt:variant>
      <vt:variant>
        <vt:lpwstr>_Toc228190581</vt:lpwstr>
      </vt:variant>
      <vt:variant>
        <vt:i4>1835062</vt:i4>
      </vt:variant>
      <vt:variant>
        <vt:i4>2</vt:i4>
      </vt:variant>
      <vt:variant>
        <vt:i4>0</vt:i4>
      </vt:variant>
      <vt:variant>
        <vt:i4>5</vt:i4>
      </vt:variant>
      <vt:variant>
        <vt:lpwstr/>
      </vt:variant>
      <vt:variant>
        <vt:lpwstr>_Toc228190580</vt:lpwstr>
      </vt:variant>
      <vt:variant>
        <vt:i4>917562</vt:i4>
      </vt:variant>
      <vt:variant>
        <vt:i4>3</vt:i4>
      </vt:variant>
      <vt:variant>
        <vt:i4>0</vt:i4>
      </vt:variant>
      <vt:variant>
        <vt:i4>5</vt:i4>
      </vt:variant>
      <vt:variant>
        <vt:lpwstr>https://eur-lex.europa.eu/legal-content/EN/TXT/?uri=uriserv%3AOJ.L_.2020.278.01.0001.01.ENG&amp;toc=OJ%3AL%3A2020%3A278%3ATOC</vt:lpwstr>
      </vt:variant>
      <vt:variant>
        <vt:lpwstr/>
      </vt:variant>
      <vt:variant>
        <vt:i4>8323074</vt:i4>
      </vt:variant>
      <vt:variant>
        <vt:i4>0</vt:i4>
      </vt:variant>
      <vt:variant>
        <vt:i4>0</vt:i4>
      </vt:variant>
      <vt:variant>
        <vt:i4>5</vt:i4>
      </vt:variant>
      <vt:variant>
        <vt:lpwstr>https://eur-lex.europa.eu/legal-content/EN/TXT/?toc=OJ:L:2018:328:TOC&amp;uri=uriserv:OJ.L_.2018.328.01.0001.01.ENG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dc:title>
  <dc:subject/>
  <dc:creator>PCHAD58P</dc:creator>
  <cp:keywords/>
  <cp:lastModifiedBy>Lukáš SVATEK</cp:lastModifiedBy>
  <cp:revision>19</cp:revision>
  <cp:lastPrinted>2026-05-19T09:02:00Z</cp:lastPrinted>
  <dcterms:created xsi:type="dcterms:W3CDTF">2026-08-12T13:57:00Z</dcterms:created>
  <dcterms:modified xsi:type="dcterms:W3CDTF">2026-08-17T08:49:00Z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3564849-fbfc-4795-ad59-055bb350645f_Enabled">
    <vt:lpwstr>true</vt:lpwstr>
  </property>
  <property fmtid="{D5CDD505-2E9C-101B-9397-08002B2CF9AE}" pid="3" name="MSIP_Label_b3564849-fbfc-4795-ad59-055bb350645f_SetDate">
    <vt:lpwstr>2025-06-05T11:32:57Z</vt:lpwstr>
  </property>
  <property fmtid="{D5CDD505-2E9C-101B-9397-08002B2CF9AE}" pid="4" name="MSIP_Label_b3564849-fbfc-4795-ad59-055bb350645f_Method">
    <vt:lpwstr>Standard</vt:lpwstr>
  </property>
  <property fmtid="{D5CDD505-2E9C-101B-9397-08002B2CF9AE}" pid="5" name="MSIP_Label_b3564849-fbfc-4795-ad59-055bb350645f_Name">
    <vt:lpwstr>M102S01</vt:lpwstr>
  </property>
  <property fmtid="{D5CDD505-2E9C-101B-9397-08002B2CF9AE}" pid="6" name="MSIP_Label_b3564849-fbfc-4795-ad59-055bb350645f_SiteId">
    <vt:lpwstr>65154e19-ce31-44e2-97af-2480f4c17f95</vt:lpwstr>
  </property>
  <property fmtid="{D5CDD505-2E9C-101B-9397-08002B2CF9AE}" pid="7" name="MSIP_Label_b3564849-fbfc-4795-ad59-055bb350645f_ActionId">
    <vt:lpwstr>6667d293-3099-4d88-9407-a46028e0bf30</vt:lpwstr>
  </property>
  <property fmtid="{D5CDD505-2E9C-101B-9397-08002B2CF9AE}" pid="8" name="MSIP_Label_b3564849-fbfc-4795-ad59-055bb350645f_ContentBits">
    <vt:lpwstr>0</vt:lpwstr>
  </property>
</Properties>
</file>