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AD908" w14:textId="73A25CB6" w:rsidR="004F5452" w:rsidRPr="00FF330E" w:rsidRDefault="00314F14" w:rsidP="004F5452">
      <w:pPr>
        <w:jc w:val="center"/>
        <w:rPr>
          <w:rFonts w:ascii="Arial" w:hAnsi="Arial" w:cs="Arial"/>
          <w:b/>
          <w:color w:val="0070C0"/>
          <w:sz w:val="24"/>
          <w:szCs w:val="24"/>
          <w:lang w:val="en-US"/>
        </w:rPr>
      </w:pPr>
      <w:r w:rsidRPr="00FF330E">
        <w:rPr>
          <w:rFonts w:ascii="Arial" w:hAnsi="Arial" w:cs="Arial"/>
          <w:b/>
          <w:color w:val="0070C0"/>
          <w:sz w:val="24"/>
          <w:szCs w:val="24"/>
          <w:lang w:val="en-US"/>
        </w:rPr>
        <w:t>I</w:t>
      </w:r>
      <w:r w:rsidR="004F5452" w:rsidRPr="00FF330E">
        <w:rPr>
          <w:rFonts w:ascii="Arial" w:hAnsi="Arial" w:cs="Arial"/>
          <w:b/>
          <w:color w:val="0070C0"/>
          <w:sz w:val="24"/>
          <w:szCs w:val="24"/>
          <w:lang w:val="en-US"/>
        </w:rPr>
        <w:t xml:space="preserve">nternship Call </w:t>
      </w:r>
      <w:r w:rsidRPr="00FF330E">
        <w:rPr>
          <w:rFonts w:ascii="Arial" w:hAnsi="Arial" w:cs="Arial"/>
          <w:b/>
          <w:color w:val="0070C0"/>
          <w:sz w:val="24"/>
          <w:szCs w:val="24"/>
          <w:lang w:val="en-US"/>
        </w:rPr>
        <w:t>– NATO Human Resources</w:t>
      </w:r>
    </w:p>
    <w:p w14:paraId="53F794E6" w14:textId="05F33EB8" w:rsidR="00EC7FC3" w:rsidRDefault="00EC7FC3" w:rsidP="00EC7FC3">
      <w:pPr>
        <w:spacing w:after="120"/>
        <w:jc w:val="both"/>
        <w:rPr>
          <w:rFonts w:ascii="Arial" w:eastAsia="Times New Roman" w:hAnsi="Arial" w:cs="Arial"/>
          <w:color w:val="000000" w:themeColor="text1"/>
          <w:sz w:val="24"/>
          <w:szCs w:val="24"/>
          <w:lang w:eastAsia="en-GB"/>
        </w:rPr>
      </w:pPr>
      <w:r w:rsidRPr="00075660">
        <w:rPr>
          <w:rFonts w:ascii="Arial" w:eastAsia="Times New Roman" w:hAnsi="Arial" w:cs="Arial"/>
          <w:color w:val="000000" w:themeColor="text1"/>
          <w:sz w:val="24"/>
          <w:szCs w:val="24"/>
          <w:lang w:eastAsia="en-GB"/>
        </w:rPr>
        <w:t xml:space="preserve">Within NATO’s International Staff (IS), the NATO Human Resources (NHR) Office is comprised of </w:t>
      </w:r>
      <w:r w:rsidR="00314F14">
        <w:rPr>
          <w:rFonts w:ascii="Arial" w:eastAsia="Times New Roman" w:hAnsi="Arial" w:cs="Arial"/>
          <w:color w:val="000000" w:themeColor="text1"/>
          <w:sz w:val="24"/>
          <w:szCs w:val="24"/>
          <w:lang w:eastAsia="en-GB"/>
        </w:rPr>
        <w:t>five</w:t>
      </w:r>
      <w:r w:rsidRPr="00075660">
        <w:rPr>
          <w:rFonts w:ascii="Arial" w:eastAsia="Times New Roman" w:hAnsi="Arial" w:cs="Arial"/>
          <w:color w:val="000000" w:themeColor="text1"/>
          <w:sz w:val="24"/>
          <w:szCs w:val="24"/>
          <w:lang w:eastAsia="en-GB"/>
        </w:rPr>
        <w:t xml:space="preserve"> pillars: Talent Management and HR Integration (TMHRI); Staff Services (Pay and Allowances, Pensions and Insurances); HR Policy and Strategy Coordination (IS and NATO-wide HR policy); Organisational Design and Development;</w:t>
      </w:r>
      <w:r w:rsidR="00314F14">
        <w:rPr>
          <w:rFonts w:ascii="Arial" w:eastAsia="Times New Roman" w:hAnsi="Arial" w:cs="Arial"/>
          <w:color w:val="000000" w:themeColor="text1"/>
          <w:sz w:val="24"/>
          <w:szCs w:val="24"/>
          <w:lang w:eastAsia="en-GB"/>
        </w:rPr>
        <w:t xml:space="preserve"> and</w:t>
      </w:r>
      <w:r w:rsidRPr="00075660">
        <w:rPr>
          <w:rFonts w:ascii="Arial" w:eastAsia="Times New Roman" w:hAnsi="Arial" w:cs="Arial"/>
          <w:color w:val="000000" w:themeColor="text1"/>
          <w:sz w:val="24"/>
          <w:szCs w:val="24"/>
          <w:lang w:eastAsia="en-GB"/>
        </w:rPr>
        <w:t xml:space="preserve"> the Data Analytics section</w:t>
      </w:r>
      <w:r w:rsidR="00314F14">
        <w:rPr>
          <w:rFonts w:ascii="Arial" w:eastAsia="Times New Roman" w:hAnsi="Arial" w:cs="Arial"/>
          <w:color w:val="000000" w:themeColor="text1"/>
          <w:sz w:val="24"/>
          <w:szCs w:val="24"/>
          <w:lang w:eastAsia="en-GB"/>
        </w:rPr>
        <w:t>.</w:t>
      </w:r>
    </w:p>
    <w:p w14:paraId="74ACA54C" w14:textId="77777777" w:rsidR="00314F14" w:rsidRDefault="00314F14" w:rsidP="00EC7FC3">
      <w:pPr>
        <w:spacing w:after="120"/>
        <w:jc w:val="both"/>
        <w:rPr>
          <w:rFonts w:ascii="Arial" w:eastAsia="Times New Roman" w:hAnsi="Arial" w:cs="Arial"/>
          <w:color w:val="000000" w:themeColor="text1"/>
          <w:sz w:val="24"/>
          <w:szCs w:val="24"/>
          <w:lang w:eastAsia="en-GB"/>
        </w:rPr>
      </w:pPr>
    </w:p>
    <w:p w14:paraId="16F38207" w14:textId="77777777" w:rsidR="00314F14" w:rsidRPr="00314F14" w:rsidRDefault="00314F14" w:rsidP="00314F14">
      <w:pPr>
        <w:pStyle w:val="Odstavecseseznamem"/>
        <w:numPr>
          <w:ilvl w:val="0"/>
          <w:numId w:val="42"/>
        </w:numPr>
        <w:spacing w:line="278" w:lineRule="auto"/>
        <w:jc w:val="both"/>
        <w:rPr>
          <w:rFonts w:ascii="Arial" w:hAnsi="Arial" w:cs="Arial"/>
        </w:rPr>
      </w:pPr>
      <w:r w:rsidRPr="00314F14">
        <w:rPr>
          <w:rFonts w:ascii="Arial" w:hAnsi="Arial" w:cs="Arial"/>
          <w:b/>
          <w:bCs/>
        </w:rPr>
        <w:t xml:space="preserve">Talent Management </w:t>
      </w:r>
    </w:p>
    <w:p w14:paraId="16D013CC" w14:textId="77777777" w:rsidR="00314F14" w:rsidRPr="00314F14" w:rsidRDefault="00314F14" w:rsidP="00314F14">
      <w:pPr>
        <w:ind w:left="360"/>
        <w:jc w:val="both"/>
        <w:rPr>
          <w:rFonts w:ascii="Arial" w:hAnsi="Arial" w:cs="Arial"/>
        </w:rPr>
      </w:pPr>
      <w:r w:rsidRPr="00314F14">
        <w:rPr>
          <w:rFonts w:ascii="Arial" w:hAnsi="Arial" w:cs="Arial"/>
        </w:rPr>
        <w:t xml:space="preserve">The Talent Management Section oversees </w:t>
      </w:r>
      <w:r w:rsidRPr="00314F14">
        <w:rPr>
          <w:rFonts w:ascii="Arial" w:hAnsi="Arial" w:cs="Arial"/>
          <w:lang w:val="en-US"/>
        </w:rPr>
        <w:t>all areas of talent management offered to the NATO International Staff by Human Resources. As such, the Section is responsible for the creation, expansion and implementation of Talent Acquisition, Talent Development policies and practices as well as HR Business Partner services.</w:t>
      </w:r>
    </w:p>
    <w:p w14:paraId="47943700" w14:textId="77777777" w:rsidR="00314F14" w:rsidRPr="00314F14" w:rsidRDefault="00314F14" w:rsidP="00314F14">
      <w:pPr>
        <w:pStyle w:val="Odstavecseseznamem"/>
        <w:numPr>
          <w:ilvl w:val="0"/>
          <w:numId w:val="42"/>
        </w:numPr>
        <w:spacing w:line="278" w:lineRule="auto"/>
        <w:jc w:val="both"/>
        <w:rPr>
          <w:rFonts w:ascii="Arial" w:hAnsi="Arial" w:cs="Arial"/>
          <w:b/>
          <w:bCs/>
        </w:rPr>
      </w:pPr>
      <w:r w:rsidRPr="00314F14">
        <w:rPr>
          <w:rFonts w:ascii="Arial" w:hAnsi="Arial" w:cs="Arial"/>
          <w:b/>
          <w:bCs/>
        </w:rPr>
        <w:t xml:space="preserve">Staff Services </w:t>
      </w:r>
    </w:p>
    <w:p w14:paraId="1C0ED631" w14:textId="77777777" w:rsidR="00314F14" w:rsidRPr="00314F14" w:rsidRDefault="00314F14" w:rsidP="00314F14">
      <w:pPr>
        <w:ind w:left="360"/>
        <w:jc w:val="both"/>
        <w:rPr>
          <w:rFonts w:ascii="Arial" w:hAnsi="Arial" w:cs="Arial"/>
          <w:lang w:val="en-US"/>
        </w:rPr>
      </w:pPr>
      <w:r w:rsidRPr="00314F14">
        <w:rPr>
          <w:rFonts w:ascii="Arial" w:hAnsi="Arial" w:cs="Arial"/>
          <w:lang w:val="en-US"/>
        </w:rPr>
        <w:t>Staff Services manages and provides the operational excellence of the following services: Pay and Allowances, Pensions, Social Securities and Insurances, Contracts, Case Management, Privileges and Immunities, Compensation and Benefits. The Section also provides administrative support to the NATO Satellite Offices.</w:t>
      </w:r>
    </w:p>
    <w:p w14:paraId="003BCB74" w14:textId="77777777" w:rsidR="00314F14" w:rsidRPr="00314F14" w:rsidRDefault="00314F14" w:rsidP="00314F14">
      <w:pPr>
        <w:pStyle w:val="Odstavecseseznamem"/>
        <w:numPr>
          <w:ilvl w:val="0"/>
          <w:numId w:val="42"/>
        </w:numPr>
        <w:spacing w:line="278" w:lineRule="auto"/>
        <w:jc w:val="both"/>
        <w:rPr>
          <w:rFonts w:ascii="Arial" w:hAnsi="Arial" w:cs="Arial"/>
          <w:b/>
          <w:bCs/>
        </w:rPr>
      </w:pPr>
      <w:r w:rsidRPr="00314F14">
        <w:rPr>
          <w:rFonts w:ascii="Arial" w:hAnsi="Arial" w:cs="Arial"/>
          <w:b/>
          <w:bCs/>
        </w:rPr>
        <w:t xml:space="preserve">NATO-Wide HR Policy and Strategy Coordination Section </w:t>
      </w:r>
    </w:p>
    <w:p w14:paraId="10F8D6B8" w14:textId="77777777" w:rsidR="00314F14" w:rsidRPr="00314F14" w:rsidRDefault="00314F14" w:rsidP="00314F14">
      <w:pPr>
        <w:pStyle w:val="Odstavecseseznamem"/>
        <w:ind w:left="360"/>
        <w:jc w:val="both"/>
        <w:rPr>
          <w:rFonts w:ascii="Arial" w:hAnsi="Arial" w:cs="Arial"/>
          <w:lang w:val="en-US"/>
        </w:rPr>
      </w:pPr>
    </w:p>
    <w:p w14:paraId="3551FF74" w14:textId="77777777" w:rsidR="00314F14" w:rsidRPr="00314F14" w:rsidRDefault="00314F14" w:rsidP="00314F14">
      <w:pPr>
        <w:pStyle w:val="Odstavecseseznamem"/>
        <w:ind w:left="360"/>
        <w:jc w:val="both"/>
      </w:pPr>
      <w:r w:rsidRPr="00314F14">
        <w:rPr>
          <w:rFonts w:ascii="Arial" w:hAnsi="Arial" w:cs="Arial"/>
          <w:lang w:val="en-US"/>
        </w:rPr>
        <w:t>The HR Policy and Strategy Coordination (PSC) Section is responsible for developing HR Policies and HR Strategy applicable for the employment of staff in NATO. The Section coordinates with HR Managers in all NATO bodies as well as with HR experts to develop and improve upon the employment framework for all NATO international civilian staff.</w:t>
      </w:r>
      <w:r w:rsidRPr="00314F14">
        <w:t xml:space="preserve"> </w:t>
      </w:r>
    </w:p>
    <w:p w14:paraId="25C1C63D" w14:textId="77777777" w:rsidR="00314F14" w:rsidRPr="00314F14" w:rsidRDefault="00314F14" w:rsidP="00314F14">
      <w:pPr>
        <w:pStyle w:val="Odstavecseseznamem"/>
        <w:ind w:left="360"/>
        <w:jc w:val="both"/>
      </w:pPr>
    </w:p>
    <w:p w14:paraId="15DEC796" w14:textId="77777777" w:rsidR="00314F14" w:rsidRPr="00314F14" w:rsidRDefault="00314F14" w:rsidP="00314F14">
      <w:pPr>
        <w:pStyle w:val="Odstavecseseznamem"/>
        <w:numPr>
          <w:ilvl w:val="0"/>
          <w:numId w:val="42"/>
        </w:numPr>
        <w:spacing w:line="278" w:lineRule="auto"/>
        <w:jc w:val="both"/>
        <w:rPr>
          <w:rFonts w:ascii="Arial" w:hAnsi="Arial" w:cs="Arial"/>
          <w:b/>
          <w:bCs/>
        </w:rPr>
      </w:pPr>
      <w:r w:rsidRPr="00314F14">
        <w:rPr>
          <w:rFonts w:ascii="Arial" w:hAnsi="Arial" w:cs="Arial"/>
          <w:b/>
          <w:bCs/>
        </w:rPr>
        <w:t>Organisational Design and Development (ODD)</w:t>
      </w:r>
    </w:p>
    <w:p w14:paraId="1E9B8C87" w14:textId="77777777" w:rsidR="00314F14" w:rsidRPr="00314F14" w:rsidRDefault="00314F14" w:rsidP="00314F14">
      <w:pPr>
        <w:ind w:left="360"/>
        <w:jc w:val="both"/>
        <w:rPr>
          <w:rFonts w:ascii="Arial" w:hAnsi="Arial" w:cs="Arial"/>
          <w:lang w:val="en-US"/>
        </w:rPr>
      </w:pPr>
      <w:r w:rsidRPr="00314F14">
        <w:rPr>
          <w:rFonts w:ascii="Arial" w:hAnsi="Arial" w:cs="Arial"/>
          <w:lang w:val="en-US"/>
        </w:rPr>
        <w:t xml:space="preserve">The ODD Section provides expertise and consultancy in the areas of organizational design, </w:t>
      </w:r>
      <w:proofErr w:type="spellStart"/>
      <w:r w:rsidRPr="00314F14">
        <w:rPr>
          <w:rFonts w:ascii="Arial" w:hAnsi="Arial" w:cs="Arial"/>
          <w:lang w:val="en-US"/>
        </w:rPr>
        <w:t>organisational</w:t>
      </w:r>
      <w:proofErr w:type="spellEnd"/>
      <w:r w:rsidRPr="00314F14">
        <w:rPr>
          <w:rFonts w:ascii="Arial" w:hAnsi="Arial" w:cs="Arial"/>
          <w:lang w:val="en-US"/>
        </w:rPr>
        <w:t xml:space="preserve"> development and workforce planning to enable efficient </w:t>
      </w:r>
      <w:proofErr w:type="spellStart"/>
      <w:r w:rsidRPr="00314F14">
        <w:rPr>
          <w:rFonts w:ascii="Arial" w:hAnsi="Arial" w:cs="Arial"/>
          <w:lang w:val="en-US"/>
        </w:rPr>
        <w:t>organisational</w:t>
      </w:r>
      <w:proofErr w:type="spellEnd"/>
      <w:r w:rsidRPr="00314F14">
        <w:rPr>
          <w:rFonts w:ascii="Arial" w:hAnsi="Arial" w:cs="Arial"/>
          <w:lang w:val="en-US"/>
        </w:rPr>
        <w:t xml:space="preserve"> structures and processes.</w:t>
      </w:r>
    </w:p>
    <w:p w14:paraId="506AD203" w14:textId="77777777" w:rsidR="00314F14" w:rsidRPr="00314F14" w:rsidRDefault="00314F14" w:rsidP="00314F14">
      <w:pPr>
        <w:pStyle w:val="Odstavecseseznamem"/>
        <w:numPr>
          <w:ilvl w:val="0"/>
          <w:numId w:val="42"/>
        </w:numPr>
        <w:spacing w:line="278" w:lineRule="auto"/>
        <w:jc w:val="both"/>
        <w:rPr>
          <w:rFonts w:ascii="Arial" w:hAnsi="Arial" w:cs="Arial"/>
          <w:b/>
          <w:bCs/>
        </w:rPr>
      </w:pPr>
      <w:r w:rsidRPr="00314F14">
        <w:rPr>
          <w:rFonts w:ascii="Arial" w:hAnsi="Arial" w:cs="Arial"/>
          <w:b/>
          <w:bCs/>
        </w:rPr>
        <w:t>HR Digital Services</w:t>
      </w:r>
    </w:p>
    <w:p w14:paraId="2D07950F" w14:textId="77777777" w:rsidR="00314F14" w:rsidRDefault="00314F14" w:rsidP="00314F14">
      <w:pPr>
        <w:ind w:left="360"/>
        <w:jc w:val="both"/>
        <w:rPr>
          <w:rFonts w:ascii="Arial" w:hAnsi="Arial" w:cs="Arial"/>
          <w:lang w:val="en-US"/>
        </w:rPr>
      </w:pPr>
      <w:r w:rsidRPr="00314F14">
        <w:rPr>
          <w:rFonts w:ascii="Arial" w:hAnsi="Arial" w:cs="Arial"/>
        </w:rPr>
        <w:t>The HR Digital Services Section provides data analytics expertise, maintains the NATO-Wide (NW) Personnel Management Information System (PMIS) and provides administrative support in the area of absence management and leave records. T</w:t>
      </w:r>
      <w:r w:rsidRPr="00314F14">
        <w:rPr>
          <w:rFonts w:ascii="Arial" w:hAnsi="Arial" w:cs="Arial"/>
          <w:lang w:val="en-US"/>
        </w:rPr>
        <w:t>he section is also responsible for the analysis, design, development and maintenance of the software used by the NW-PMIS application.</w:t>
      </w:r>
    </w:p>
    <w:p w14:paraId="364084AD" w14:textId="77777777" w:rsidR="00314F14" w:rsidRPr="00B16082" w:rsidRDefault="00314F14" w:rsidP="00314F14">
      <w:pPr>
        <w:ind w:left="360"/>
        <w:jc w:val="both"/>
        <w:rPr>
          <w:rFonts w:ascii="Arial" w:hAnsi="Arial" w:cs="Arial"/>
          <w:lang w:val="en-US"/>
        </w:rPr>
      </w:pPr>
    </w:p>
    <w:p w14:paraId="0590C32F" w14:textId="77777777" w:rsidR="00A257DC" w:rsidRPr="00434BF6" w:rsidRDefault="0088722C" w:rsidP="00A257DC">
      <w:pPr>
        <w:rPr>
          <w:rFonts w:ascii="Arial" w:hAnsi="Arial" w:cs="Arial"/>
          <w:b/>
          <w:color w:val="000000" w:themeColor="text1"/>
          <w:sz w:val="24"/>
          <w:szCs w:val="24"/>
          <w:lang w:val="en-US"/>
        </w:rPr>
      </w:pPr>
      <w:r w:rsidRPr="00434BF6">
        <w:rPr>
          <w:rFonts w:ascii="Arial" w:hAnsi="Arial" w:cs="Arial"/>
          <w:b/>
          <w:color w:val="000000" w:themeColor="text1"/>
          <w:sz w:val="24"/>
          <w:szCs w:val="24"/>
          <w:lang w:val="en-US"/>
        </w:rPr>
        <w:t>Competencies required:</w:t>
      </w:r>
    </w:p>
    <w:p w14:paraId="1D9C9F11" w14:textId="1A361D31" w:rsidR="00A257DC" w:rsidRPr="00434BF6" w:rsidRDefault="00672E74" w:rsidP="00A257DC">
      <w:pPr>
        <w:rPr>
          <w:rFonts w:ascii="Arial" w:hAnsi="Arial" w:cs="Arial"/>
          <w:color w:val="000000" w:themeColor="text1"/>
          <w:sz w:val="24"/>
          <w:szCs w:val="24"/>
          <w:lang w:val="en-US"/>
        </w:rPr>
      </w:pPr>
      <w:r w:rsidRPr="00434BF6">
        <w:rPr>
          <w:rFonts w:ascii="Arial" w:hAnsi="Arial" w:cs="Arial"/>
          <w:color w:val="000000" w:themeColor="text1"/>
          <w:sz w:val="24"/>
          <w:szCs w:val="24"/>
          <w:lang w:val="en-US"/>
        </w:rPr>
        <w:t xml:space="preserve">The candidate must demonstrate the following competencies: </w:t>
      </w:r>
    </w:p>
    <w:p w14:paraId="1C8F2379" w14:textId="77777777" w:rsidR="002C1FB4" w:rsidRPr="00434BF6" w:rsidRDefault="0088722C" w:rsidP="00672E7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Achievement</w:t>
      </w:r>
      <w:r w:rsidRPr="00434BF6">
        <w:rPr>
          <w:rFonts w:ascii="Arial" w:hAnsi="Arial" w:cs="Arial"/>
          <w:color w:val="000000" w:themeColor="text1"/>
          <w:sz w:val="24"/>
          <w:szCs w:val="24"/>
          <w:lang w:val="en-US"/>
        </w:rPr>
        <w:t>: Works to meet standards.</w:t>
      </w:r>
    </w:p>
    <w:p w14:paraId="3A5099B2" w14:textId="77777777" w:rsidR="002C1FB4" w:rsidRPr="00434BF6" w:rsidRDefault="0088722C" w:rsidP="00672E7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Analytical thinking</w:t>
      </w:r>
      <w:r w:rsidRPr="00434BF6">
        <w:rPr>
          <w:rFonts w:ascii="Arial" w:hAnsi="Arial" w:cs="Arial"/>
          <w:color w:val="000000" w:themeColor="text1"/>
          <w:sz w:val="24"/>
          <w:szCs w:val="24"/>
          <w:lang w:val="en-US"/>
        </w:rPr>
        <w:t>: Breaks down problems and see basic relationships.</w:t>
      </w:r>
    </w:p>
    <w:p w14:paraId="4125191B" w14:textId="77777777" w:rsidR="002C1FB4" w:rsidRPr="00434BF6" w:rsidRDefault="0088722C" w:rsidP="00672E7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Clarity and accuracy</w:t>
      </w:r>
      <w:r w:rsidRPr="00434BF6">
        <w:rPr>
          <w:rFonts w:ascii="Arial" w:hAnsi="Arial" w:cs="Arial"/>
          <w:color w:val="000000" w:themeColor="text1"/>
          <w:sz w:val="24"/>
          <w:szCs w:val="24"/>
          <w:lang w:val="en-US"/>
        </w:rPr>
        <w:t>: Shows general concern for order and clarity, and checks own work.</w:t>
      </w:r>
    </w:p>
    <w:p w14:paraId="4740F9AC" w14:textId="77777777" w:rsidR="002C1FB4" w:rsidRPr="00434BF6" w:rsidRDefault="0088722C" w:rsidP="00672E7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lastRenderedPageBreak/>
        <w:t>Customer service orientation</w:t>
      </w:r>
      <w:r w:rsidRPr="00434BF6">
        <w:rPr>
          <w:rFonts w:ascii="Arial" w:hAnsi="Arial" w:cs="Arial"/>
          <w:color w:val="000000" w:themeColor="text1"/>
          <w:sz w:val="24"/>
          <w:szCs w:val="24"/>
          <w:lang w:val="en-US"/>
        </w:rPr>
        <w:t>: Responds appropriately, maintains clear communication.</w:t>
      </w:r>
    </w:p>
    <w:p w14:paraId="22B725A9" w14:textId="77777777" w:rsidR="002C1FB4" w:rsidRPr="00434BF6" w:rsidRDefault="0088722C" w:rsidP="00672E7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Empathy</w:t>
      </w:r>
      <w:r w:rsidRPr="00434BF6">
        <w:rPr>
          <w:rFonts w:ascii="Arial" w:hAnsi="Arial" w:cs="Arial"/>
          <w:color w:val="000000" w:themeColor="text1"/>
          <w:sz w:val="24"/>
          <w:szCs w:val="24"/>
          <w:lang w:val="en-US"/>
        </w:rPr>
        <w:t>: Listens actively.</w:t>
      </w:r>
    </w:p>
    <w:p w14:paraId="672C86A1" w14:textId="77777777" w:rsidR="0088722C" w:rsidRPr="00434BF6" w:rsidRDefault="0088722C" w:rsidP="00672E7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Flexibility</w:t>
      </w:r>
      <w:r w:rsidRPr="00434BF6">
        <w:rPr>
          <w:rFonts w:ascii="Arial" w:hAnsi="Arial" w:cs="Arial"/>
          <w:color w:val="000000" w:themeColor="text1"/>
          <w:sz w:val="24"/>
          <w:szCs w:val="24"/>
          <w:lang w:val="en-US"/>
        </w:rPr>
        <w:t>: Acts with flexibility.</w:t>
      </w:r>
    </w:p>
    <w:p w14:paraId="577053E6" w14:textId="4BFB82A7" w:rsidR="006D2494" w:rsidRPr="00434BF6" w:rsidRDefault="006D2494" w:rsidP="006D249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Initiative</w:t>
      </w:r>
      <w:r w:rsidRPr="00434BF6">
        <w:rPr>
          <w:rFonts w:ascii="Arial" w:hAnsi="Arial" w:cs="Arial"/>
          <w:color w:val="000000" w:themeColor="text1"/>
          <w:sz w:val="24"/>
          <w:szCs w:val="24"/>
        </w:rPr>
        <w:t>: Reacts to short-term opportunities or problems.</w:t>
      </w:r>
    </w:p>
    <w:p w14:paraId="5BBD6BD3" w14:textId="77777777" w:rsidR="006D2494" w:rsidRPr="00434BF6" w:rsidRDefault="006D2494" w:rsidP="006D249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Organizational awareness</w:t>
      </w:r>
      <w:r w:rsidRPr="00434BF6">
        <w:rPr>
          <w:rFonts w:ascii="Arial" w:hAnsi="Arial" w:cs="Arial"/>
          <w:color w:val="000000" w:themeColor="text1"/>
          <w:sz w:val="24"/>
          <w:szCs w:val="24"/>
        </w:rPr>
        <w:t>: Understands the Organization’s structure.</w:t>
      </w:r>
      <w:r w:rsidRPr="00434BF6">
        <w:rPr>
          <w:rFonts w:ascii="Arial" w:hAnsi="Arial" w:cs="Arial"/>
          <w:b/>
          <w:color w:val="000000" w:themeColor="text1"/>
          <w:sz w:val="24"/>
          <w:szCs w:val="24"/>
          <w:lang w:val="en-US"/>
        </w:rPr>
        <w:t xml:space="preserve"> </w:t>
      </w:r>
    </w:p>
    <w:p w14:paraId="7B77D13A" w14:textId="55D97874" w:rsidR="006D2494" w:rsidRPr="00434BF6" w:rsidRDefault="006D2494" w:rsidP="006D2494">
      <w:pPr>
        <w:pStyle w:val="Odstavecseseznamem"/>
        <w:numPr>
          <w:ilvl w:val="0"/>
          <w:numId w:val="24"/>
        </w:numPr>
        <w:rPr>
          <w:rFonts w:ascii="Arial" w:hAnsi="Arial" w:cs="Arial"/>
          <w:color w:val="000000" w:themeColor="text1"/>
          <w:sz w:val="24"/>
          <w:szCs w:val="24"/>
        </w:rPr>
      </w:pPr>
      <w:r w:rsidRPr="00434BF6">
        <w:rPr>
          <w:rFonts w:ascii="Arial" w:hAnsi="Arial" w:cs="Arial"/>
          <w:b/>
          <w:color w:val="000000" w:themeColor="text1"/>
          <w:sz w:val="24"/>
          <w:szCs w:val="24"/>
          <w:lang w:val="en-US"/>
        </w:rPr>
        <w:t>Teamwork</w:t>
      </w:r>
      <w:r w:rsidRPr="00434BF6">
        <w:rPr>
          <w:rFonts w:ascii="Arial" w:hAnsi="Arial" w:cs="Arial"/>
          <w:color w:val="000000" w:themeColor="text1"/>
          <w:sz w:val="24"/>
          <w:szCs w:val="24"/>
          <w:lang w:val="en-US"/>
        </w:rPr>
        <w:t>: Cooperates, shares information and knowledge freely, offering support and cooperation.</w:t>
      </w:r>
    </w:p>
    <w:p w14:paraId="51B7EA9D" w14:textId="249ADE38" w:rsidR="00794B39" w:rsidRPr="00314F14" w:rsidRDefault="00794B39" w:rsidP="00314F14">
      <w:pPr>
        <w:rPr>
          <w:rFonts w:ascii="Arial" w:hAnsi="Arial" w:cs="Arial"/>
          <w:color w:val="000000" w:themeColor="text1"/>
          <w:sz w:val="24"/>
          <w:szCs w:val="24"/>
        </w:rPr>
      </w:pPr>
    </w:p>
    <w:sectPr w:rsidR="00794B39" w:rsidRPr="00314F14" w:rsidSect="00BD1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37DA"/>
    <w:multiLevelType w:val="hybridMultilevel"/>
    <w:tmpl w:val="A6A209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C665E"/>
    <w:multiLevelType w:val="hybridMultilevel"/>
    <w:tmpl w:val="FB74161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06F3046"/>
    <w:multiLevelType w:val="hybridMultilevel"/>
    <w:tmpl w:val="350C7D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CA4493"/>
    <w:multiLevelType w:val="hybridMultilevel"/>
    <w:tmpl w:val="030667E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1A4BED"/>
    <w:multiLevelType w:val="hybridMultilevel"/>
    <w:tmpl w:val="20A0EAA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1C5779BF"/>
    <w:multiLevelType w:val="hybridMultilevel"/>
    <w:tmpl w:val="52C6027A"/>
    <w:lvl w:ilvl="0" w:tplc="63B47FAA">
      <w:start w:val="11"/>
      <w:numFmt w:val="bullet"/>
      <w:lvlText w:val="•"/>
      <w:lvlJc w:val="left"/>
      <w:pPr>
        <w:ind w:left="1080" w:hanging="720"/>
      </w:pPr>
      <w:rPr>
        <w:rFonts w:ascii="Calibri" w:eastAsiaTheme="minorHAnsi" w:hAnsi="Calibri" w:cs="Calibri" w:hint="default"/>
      </w:rPr>
    </w:lvl>
    <w:lvl w:ilvl="1" w:tplc="70329B80">
      <w:start w:val="11"/>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D7E01"/>
    <w:multiLevelType w:val="hybridMultilevel"/>
    <w:tmpl w:val="8B5EF9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B4FA5"/>
    <w:multiLevelType w:val="hybridMultilevel"/>
    <w:tmpl w:val="6B72744A"/>
    <w:lvl w:ilvl="0" w:tplc="B2469C76">
      <w:start w:val="1"/>
      <w:numFmt w:val="decimal"/>
      <w:lvlText w:val="%1."/>
      <w:lvlJc w:val="left"/>
      <w:pPr>
        <w:tabs>
          <w:tab w:val="num" w:pos="720"/>
        </w:tabs>
        <w:ind w:left="720" w:hanging="360"/>
      </w:pPr>
    </w:lvl>
    <w:lvl w:ilvl="1" w:tplc="D842E7C0">
      <w:start w:val="1"/>
      <w:numFmt w:val="decimal"/>
      <w:lvlText w:val="%2."/>
      <w:lvlJc w:val="left"/>
      <w:pPr>
        <w:tabs>
          <w:tab w:val="num" w:pos="1440"/>
        </w:tabs>
        <w:ind w:left="1440" w:hanging="360"/>
      </w:pPr>
    </w:lvl>
    <w:lvl w:ilvl="2" w:tplc="61D837BC" w:tentative="1">
      <w:start w:val="1"/>
      <w:numFmt w:val="decimal"/>
      <w:lvlText w:val="%3."/>
      <w:lvlJc w:val="left"/>
      <w:pPr>
        <w:tabs>
          <w:tab w:val="num" w:pos="2160"/>
        </w:tabs>
        <w:ind w:left="2160" w:hanging="360"/>
      </w:pPr>
    </w:lvl>
    <w:lvl w:ilvl="3" w:tplc="6E52CD72" w:tentative="1">
      <w:start w:val="1"/>
      <w:numFmt w:val="decimal"/>
      <w:lvlText w:val="%4."/>
      <w:lvlJc w:val="left"/>
      <w:pPr>
        <w:tabs>
          <w:tab w:val="num" w:pos="2880"/>
        </w:tabs>
        <w:ind w:left="2880" w:hanging="360"/>
      </w:pPr>
    </w:lvl>
    <w:lvl w:ilvl="4" w:tplc="388A5134" w:tentative="1">
      <w:start w:val="1"/>
      <w:numFmt w:val="decimal"/>
      <w:lvlText w:val="%5."/>
      <w:lvlJc w:val="left"/>
      <w:pPr>
        <w:tabs>
          <w:tab w:val="num" w:pos="3600"/>
        </w:tabs>
        <w:ind w:left="3600" w:hanging="360"/>
      </w:pPr>
    </w:lvl>
    <w:lvl w:ilvl="5" w:tplc="95160F6A" w:tentative="1">
      <w:start w:val="1"/>
      <w:numFmt w:val="decimal"/>
      <w:lvlText w:val="%6."/>
      <w:lvlJc w:val="left"/>
      <w:pPr>
        <w:tabs>
          <w:tab w:val="num" w:pos="4320"/>
        </w:tabs>
        <w:ind w:left="4320" w:hanging="360"/>
      </w:pPr>
    </w:lvl>
    <w:lvl w:ilvl="6" w:tplc="98B038F2" w:tentative="1">
      <w:start w:val="1"/>
      <w:numFmt w:val="decimal"/>
      <w:lvlText w:val="%7."/>
      <w:lvlJc w:val="left"/>
      <w:pPr>
        <w:tabs>
          <w:tab w:val="num" w:pos="5040"/>
        </w:tabs>
        <w:ind w:left="5040" w:hanging="360"/>
      </w:pPr>
    </w:lvl>
    <w:lvl w:ilvl="7" w:tplc="F9A6211A" w:tentative="1">
      <w:start w:val="1"/>
      <w:numFmt w:val="decimal"/>
      <w:lvlText w:val="%8."/>
      <w:lvlJc w:val="left"/>
      <w:pPr>
        <w:tabs>
          <w:tab w:val="num" w:pos="5760"/>
        </w:tabs>
        <w:ind w:left="5760" w:hanging="360"/>
      </w:pPr>
    </w:lvl>
    <w:lvl w:ilvl="8" w:tplc="4A1CA67A" w:tentative="1">
      <w:start w:val="1"/>
      <w:numFmt w:val="decimal"/>
      <w:lvlText w:val="%9."/>
      <w:lvlJc w:val="left"/>
      <w:pPr>
        <w:tabs>
          <w:tab w:val="num" w:pos="6480"/>
        </w:tabs>
        <w:ind w:left="6480" w:hanging="360"/>
      </w:pPr>
    </w:lvl>
  </w:abstractNum>
  <w:abstractNum w:abstractNumId="8" w15:restartNumberingAfterBreak="0">
    <w:nsid w:val="247F4993"/>
    <w:multiLevelType w:val="hybridMultilevel"/>
    <w:tmpl w:val="B9ACB414"/>
    <w:lvl w:ilvl="0" w:tplc="08090017">
      <w:start w:val="1"/>
      <w:numFmt w:val="lowerLetter"/>
      <w:lvlText w:val="%1)"/>
      <w:lvlJc w:val="left"/>
      <w:pPr>
        <w:ind w:left="1800" w:hanging="360"/>
      </w:pPr>
    </w:lvl>
    <w:lvl w:ilvl="1" w:tplc="08090019">
      <w:start w:val="1"/>
      <w:numFmt w:val="lowerLetter"/>
      <w:lvlText w:val="%2."/>
      <w:lvlJc w:val="left"/>
      <w:pPr>
        <w:ind w:left="2520" w:hanging="360"/>
      </w:pPr>
    </w:lvl>
    <w:lvl w:ilvl="2" w:tplc="6FF6BDAC">
      <w:start w:val="11"/>
      <w:numFmt w:val="bullet"/>
      <w:lvlText w:val="•"/>
      <w:lvlJc w:val="left"/>
      <w:pPr>
        <w:ind w:left="3780" w:hanging="720"/>
      </w:pPr>
      <w:rPr>
        <w:rFonts w:ascii="Calibri" w:eastAsiaTheme="minorHAnsi" w:hAnsi="Calibri" w:cs="Calibri" w:hint="default"/>
      </w:r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7790BB0"/>
    <w:multiLevelType w:val="hybridMultilevel"/>
    <w:tmpl w:val="0DB078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0A1842"/>
    <w:multiLevelType w:val="hybridMultilevel"/>
    <w:tmpl w:val="E1062DE0"/>
    <w:lvl w:ilvl="0" w:tplc="0405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86689F"/>
    <w:multiLevelType w:val="hybridMultilevel"/>
    <w:tmpl w:val="F128353E"/>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2DE853A4"/>
    <w:multiLevelType w:val="hybridMultilevel"/>
    <w:tmpl w:val="ED94D7F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12F62"/>
    <w:multiLevelType w:val="hybridMultilevel"/>
    <w:tmpl w:val="37AC1AD6"/>
    <w:lvl w:ilvl="0" w:tplc="63B47FAA">
      <w:start w:val="11"/>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1024D7"/>
    <w:multiLevelType w:val="hybridMultilevel"/>
    <w:tmpl w:val="F8BE54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83B79"/>
    <w:multiLevelType w:val="hybridMultilevel"/>
    <w:tmpl w:val="BBFC4D20"/>
    <w:lvl w:ilvl="0" w:tplc="A1C210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E32B1D"/>
    <w:multiLevelType w:val="hybridMultilevel"/>
    <w:tmpl w:val="5CB283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574AD0"/>
    <w:multiLevelType w:val="hybridMultilevel"/>
    <w:tmpl w:val="601C9DD2"/>
    <w:lvl w:ilvl="0" w:tplc="08090017">
      <w:start w:val="1"/>
      <w:numFmt w:val="lowerLetter"/>
      <w:lvlText w:val="%1)"/>
      <w:lvlJc w:val="left"/>
      <w:pPr>
        <w:ind w:left="1440" w:hanging="360"/>
      </w:pPr>
    </w:lvl>
    <w:lvl w:ilvl="1" w:tplc="FD6CA5B0">
      <w:numFmt w:val="bullet"/>
      <w:lvlText w:val="·"/>
      <w:lvlJc w:val="left"/>
      <w:pPr>
        <w:ind w:left="2240" w:hanging="440"/>
      </w:pPr>
      <w:rPr>
        <w:rFonts w:ascii="Calibri" w:eastAsiaTheme="minorHAnsi" w:hAnsi="Calibri" w:cs="Calibri"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4467A9D"/>
    <w:multiLevelType w:val="hybridMultilevel"/>
    <w:tmpl w:val="8F3C5986"/>
    <w:lvl w:ilvl="0" w:tplc="08090001">
      <w:start w:val="1"/>
      <w:numFmt w:val="bullet"/>
      <w:lvlText w:val=""/>
      <w:lvlJc w:val="left"/>
      <w:pPr>
        <w:ind w:left="720" w:hanging="360"/>
      </w:pPr>
      <w:rPr>
        <w:rFonts w:ascii="Symbol" w:hAnsi="Symbol" w:hint="default"/>
      </w:rPr>
    </w:lvl>
    <w:lvl w:ilvl="1" w:tplc="C8785F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092E98"/>
    <w:multiLevelType w:val="hybridMultilevel"/>
    <w:tmpl w:val="DC7AEE16"/>
    <w:lvl w:ilvl="0" w:tplc="08090017">
      <w:start w:val="1"/>
      <w:numFmt w:val="lowerLetter"/>
      <w:lvlText w:val="%1)"/>
      <w:lvlJc w:val="left"/>
      <w:pPr>
        <w:ind w:left="720" w:hanging="360"/>
      </w:pPr>
    </w:lvl>
    <w:lvl w:ilvl="1" w:tplc="6D280986">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5F7B6B"/>
    <w:multiLevelType w:val="hybridMultilevel"/>
    <w:tmpl w:val="976A5466"/>
    <w:lvl w:ilvl="0" w:tplc="0809000B">
      <w:start w:val="1"/>
      <w:numFmt w:val="bullet"/>
      <w:lvlText w:val=""/>
      <w:lvlJc w:val="left"/>
      <w:pPr>
        <w:ind w:left="720" w:hanging="360"/>
      </w:pPr>
      <w:rPr>
        <w:rFonts w:ascii="Wingdings" w:hAnsi="Wingdings" w:hint="default"/>
      </w:rPr>
    </w:lvl>
    <w:lvl w:ilvl="1" w:tplc="C26E6950">
      <w:start w:val="1"/>
      <w:numFmt w:val="lowerLetter"/>
      <w:lvlText w:val="%2)"/>
      <w:lvlJc w:val="left"/>
      <w:pPr>
        <w:ind w:left="1440" w:hanging="360"/>
      </w:pPr>
      <w:rPr>
        <w:rFonts w:hint="default"/>
      </w:rPr>
    </w:lvl>
    <w:lvl w:ilvl="2" w:tplc="6F663AC8">
      <w:start w:val="7"/>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648F1"/>
    <w:multiLevelType w:val="hybridMultilevel"/>
    <w:tmpl w:val="47A871C6"/>
    <w:lvl w:ilvl="0" w:tplc="A1C210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B2F05"/>
    <w:multiLevelType w:val="hybridMultilevel"/>
    <w:tmpl w:val="23E8EF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500F63"/>
    <w:multiLevelType w:val="hybridMultilevel"/>
    <w:tmpl w:val="D5CA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464B4E"/>
    <w:multiLevelType w:val="hybridMultilevel"/>
    <w:tmpl w:val="6DFA9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F1B98"/>
    <w:multiLevelType w:val="hybridMultilevel"/>
    <w:tmpl w:val="02BC53DC"/>
    <w:lvl w:ilvl="0" w:tplc="07E080DC">
      <w:start w:val="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2B6244"/>
    <w:multiLevelType w:val="hybridMultilevel"/>
    <w:tmpl w:val="3FA2A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7E5A77"/>
    <w:multiLevelType w:val="hybridMultilevel"/>
    <w:tmpl w:val="BCD274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0E7536"/>
    <w:multiLevelType w:val="hybridMultilevel"/>
    <w:tmpl w:val="DC58C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3D6596"/>
    <w:multiLevelType w:val="hybridMultilevel"/>
    <w:tmpl w:val="D804B33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CC52B1B"/>
    <w:multiLevelType w:val="hybridMultilevel"/>
    <w:tmpl w:val="A594B5BA"/>
    <w:lvl w:ilvl="0" w:tplc="08090017">
      <w:start w:val="1"/>
      <w:numFmt w:val="lowerLetter"/>
      <w:lvlText w:val="%1)"/>
      <w:lvlJc w:val="lef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15:restartNumberingAfterBreak="0">
    <w:nsid w:val="5E65221E"/>
    <w:multiLevelType w:val="hybridMultilevel"/>
    <w:tmpl w:val="07E2A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08A4DFE"/>
    <w:multiLevelType w:val="hybridMultilevel"/>
    <w:tmpl w:val="BD62F3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024774"/>
    <w:multiLevelType w:val="hybridMultilevel"/>
    <w:tmpl w:val="314238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4" w15:restartNumberingAfterBreak="0">
    <w:nsid w:val="629E1583"/>
    <w:multiLevelType w:val="hybridMultilevel"/>
    <w:tmpl w:val="E7821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3274D5"/>
    <w:multiLevelType w:val="hybridMultilevel"/>
    <w:tmpl w:val="0FCC71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470405"/>
    <w:multiLevelType w:val="hybridMultilevel"/>
    <w:tmpl w:val="BF222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910CC"/>
    <w:multiLevelType w:val="hybridMultilevel"/>
    <w:tmpl w:val="C19647AE"/>
    <w:lvl w:ilvl="0" w:tplc="0809000F">
      <w:start w:val="1"/>
      <w:numFmt w:val="decimal"/>
      <w:lvlText w:val="%1."/>
      <w:lvlJc w:val="left"/>
      <w:pPr>
        <w:ind w:left="36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B41BCA"/>
    <w:multiLevelType w:val="hybridMultilevel"/>
    <w:tmpl w:val="1DD4A9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C96E1E"/>
    <w:multiLevelType w:val="multilevel"/>
    <w:tmpl w:val="6F8A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541ABE"/>
    <w:multiLevelType w:val="hybridMultilevel"/>
    <w:tmpl w:val="26A4D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593D90"/>
    <w:multiLevelType w:val="hybridMultilevel"/>
    <w:tmpl w:val="DB78309E"/>
    <w:lvl w:ilvl="0" w:tplc="A1C210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2654882">
    <w:abstractNumId w:val="34"/>
  </w:num>
  <w:num w:numId="2" w16cid:durableId="221062103">
    <w:abstractNumId w:val="18"/>
  </w:num>
  <w:num w:numId="3" w16cid:durableId="1390376127">
    <w:abstractNumId w:val="24"/>
  </w:num>
  <w:num w:numId="4" w16cid:durableId="1181159127">
    <w:abstractNumId w:val="36"/>
  </w:num>
  <w:num w:numId="5" w16cid:durableId="1833136524">
    <w:abstractNumId w:val="21"/>
  </w:num>
  <w:num w:numId="6" w16cid:durableId="329529349">
    <w:abstractNumId w:val="6"/>
  </w:num>
  <w:num w:numId="7" w16cid:durableId="264652396">
    <w:abstractNumId w:val="12"/>
  </w:num>
  <w:num w:numId="8" w16cid:durableId="856507560">
    <w:abstractNumId w:val="41"/>
  </w:num>
  <w:num w:numId="9" w16cid:durableId="2136874189">
    <w:abstractNumId w:val="37"/>
  </w:num>
  <w:num w:numId="10" w16cid:durableId="1893690670">
    <w:abstractNumId w:val="31"/>
  </w:num>
  <w:num w:numId="11" w16cid:durableId="1026565787">
    <w:abstractNumId w:val="35"/>
  </w:num>
  <w:num w:numId="12" w16cid:durableId="1001011475">
    <w:abstractNumId w:val="15"/>
  </w:num>
  <w:num w:numId="13" w16cid:durableId="761296831">
    <w:abstractNumId w:val="13"/>
  </w:num>
  <w:num w:numId="14" w16cid:durableId="1280262010">
    <w:abstractNumId w:val="22"/>
  </w:num>
  <w:num w:numId="15" w16cid:durableId="1237781025">
    <w:abstractNumId w:val="28"/>
  </w:num>
  <w:num w:numId="16" w16cid:durableId="1744988282">
    <w:abstractNumId w:val="7"/>
  </w:num>
  <w:num w:numId="17" w16cid:durableId="756173032">
    <w:abstractNumId w:val="16"/>
  </w:num>
  <w:num w:numId="18" w16cid:durableId="911309962">
    <w:abstractNumId w:val="0"/>
  </w:num>
  <w:num w:numId="19" w16cid:durableId="245579149">
    <w:abstractNumId w:val="3"/>
  </w:num>
  <w:num w:numId="20" w16cid:durableId="1853374573">
    <w:abstractNumId w:val="17"/>
  </w:num>
  <w:num w:numId="21" w16cid:durableId="389769692">
    <w:abstractNumId w:val="26"/>
  </w:num>
  <w:num w:numId="22" w16cid:durableId="1548686260">
    <w:abstractNumId w:val="40"/>
  </w:num>
  <w:num w:numId="23" w16cid:durableId="2049447481">
    <w:abstractNumId w:val="25"/>
  </w:num>
  <w:num w:numId="24" w16cid:durableId="1290435526">
    <w:abstractNumId w:val="10"/>
  </w:num>
  <w:num w:numId="25" w16cid:durableId="1425952214">
    <w:abstractNumId w:val="39"/>
  </w:num>
  <w:num w:numId="26" w16cid:durableId="267003345">
    <w:abstractNumId w:val="1"/>
  </w:num>
  <w:num w:numId="27" w16cid:durableId="263804934">
    <w:abstractNumId w:val="27"/>
  </w:num>
  <w:num w:numId="28" w16cid:durableId="559370367">
    <w:abstractNumId w:val="20"/>
  </w:num>
  <w:num w:numId="29" w16cid:durableId="1547334025">
    <w:abstractNumId w:val="14"/>
  </w:num>
  <w:num w:numId="30" w16cid:durableId="999307074">
    <w:abstractNumId w:val="29"/>
  </w:num>
  <w:num w:numId="31" w16cid:durableId="1215778988">
    <w:abstractNumId w:val="9"/>
  </w:num>
  <w:num w:numId="32" w16cid:durableId="890731788">
    <w:abstractNumId w:val="5"/>
  </w:num>
  <w:num w:numId="33" w16cid:durableId="718822202">
    <w:abstractNumId w:val="11"/>
  </w:num>
  <w:num w:numId="34" w16cid:durableId="1030493847">
    <w:abstractNumId w:val="32"/>
  </w:num>
  <w:num w:numId="35" w16cid:durableId="723143396">
    <w:abstractNumId w:val="19"/>
  </w:num>
  <w:num w:numId="36" w16cid:durableId="116686140">
    <w:abstractNumId w:val="8"/>
  </w:num>
  <w:num w:numId="37" w16cid:durableId="1419598946">
    <w:abstractNumId w:val="30"/>
  </w:num>
  <w:num w:numId="38" w16cid:durableId="527714853">
    <w:abstractNumId w:val="2"/>
  </w:num>
  <w:num w:numId="39" w16cid:durableId="2090619084">
    <w:abstractNumId w:val="23"/>
  </w:num>
  <w:num w:numId="40" w16cid:durableId="1231237573">
    <w:abstractNumId w:val="38"/>
  </w:num>
  <w:num w:numId="41" w16cid:durableId="1949386859">
    <w:abstractNumId w:val="33"/>
  </w:num>
  <w:num w:numId="42" w16cid:durableId="1601600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14"/>
    <w:rsid w:val="0000244A"/>
    <w:rsid w:val="00013351"/>
    <w:rsid w:val="000172A9"/>
    <w:rsid w:val="00020B06"/>
    <w:rsid w:val="0004061C"/>
    <w:rsid w:val="00050CEF"/>
    <w:rsid w:val="00066130"/>
    <w:rsid w:val="0007174F"/>
    <w:rsid w:val="00071DDF"/>
    <w:rsid w:val="00076C68"/>
    <w:rsid w:val="000802BD"/>
    <w:rsid w:val="0009242C"/>
    <w:rsid w:val="000A42E3"/>
    <w:rsid w:val="000D558E"/>
    <w:rsid w:val="000D6D56"/>
    <w:rsid w:val="000E1355"/>
    <w:rsid w:val="000F0DA5"/>
    <w:rsid w:val="000F5622"/>
    <w:rsid w:val="0010537B"/>
    <w:rsid w:val="00105E53"/>
    <w:rsid w:val="00120CF6"/>
    <w:rsid w:val="00132EFD"/>
    <w:rsid w:val="00146F86"/>
    <w:rsid w:val="0015309B"/>
    <w:rsid w:val="001616B9"/>
    <w:rsid w:val="00162C79"/>
    <w:rsid w:val="00164943"/>
    <w:rsid w:val="00175824"/>
    <w:rsid w:val="001828CF"/>
    <w:rsid w:val="001840B1"/>
    <w:rsid w:val="00195202"/>
    <w:rsid w:val="001A234D"/>
    <w:rsid w:val="001A45E6"/>
    <w:rsid w:val="001B2747"/>
    <w:rsid w:val="001B7D07"/>
    <w:rsid w:val="001D48F7"/>
    <w:rsid w:val="001D6FA3"/>
    <w:rsid w:val="001F1976"/>
    <w:rsid w:val="00200726"/>
    <w:rsid w:val="002019D3"/>
    <w:rsid w:val="00203B96"/>
    <w:rsid w:val="00206D9F"/>
    <w:rsid w:val="00213115"/>
    <w:rsid w:val="00213287"/>
    <w:rsid w:val="00213ECE"/>
    <w:rsid w:val="002229DE"/>
    <w:rsid w:val="00230EE7"/>
    <w:rsid w:val="00233ED7"/>
    <w:rsid w:val="00236952"/>
    <w:rsid w:val="00241549"/>
    <w:rsid w:val="00253EC9"/>
    <w:rsid w:val="00257656"/>
    <w:rsid w:val="00265B39"/>
    <w:rsid w:val="002826B7"/>
    <w:rsid w:val="00286ED9"/>
    <w:rsid w:val="002925F8"/>
    <w:rsid w:val="00293439"/>
    <w:rsid w:val="002B45B7"/>
    <w:rsid w:val="002B6F24"/>
    <w:rsid w:val="002C1FB4"/>
    <w:rsid w:val="002E0010"/>
    <w:rsid w:val="002F103D"/>
    <w:rsid w:val="002F43D2"/>
    <w:rsid w:val="002F6882"/>
    <w:rsid w:val="0030088F"/>
    <w:rsid w:val="00305596"/>
    <w:rsid w:val="00314843"/>
    <w:rsid w:val="00314F14"/>
    <w:rsid w:val="00340618"/>
    <w:rsid w:val="00346332"/>
    <w:rsid w:val="00355E95"/>
    <w:rsid w:val="00357FBE"/>
    <w:rsid w:val="00361A0E"/>
    <w:rsid w:val="00365813"/>
    <w:rsid w:val="00367CC9"/>
    <w:rsid w:val="003741A4"/>
    <w:rsid w:val="003757C3"/>
    <w:rsid w:val="00381EB4"/>
    <w:rsid w:val="00383703"/>
    <w:rsid w:val="00387CC4"/>
    <w:rsid w:val="003A24CA"/>
    <w:rsid w:val="003A4FF9"/>
    <w:rsid w:val="003B088C"/>
    <w:rsid w:val="003B0A19"/>
    <w:rsid w:val="003B55D4"/>
    <w:rsid w:val="003C1AA4"/>
    <w:rsid w:val="003D38D2"/>
    <w:rsid w:val="003E2FB7"/>
    <w:rsid w:val="003E34AA"/>
    <w:rsid w:val="003F2DCD"/>
    <w:rsid w:val="00401CD9"/>
    <w:rsid w:val="00407FE9"/>
    <w:rsid w:val="004136A1"/>
    <w:rsid w:val="0041416D"/>
    <w:rsid w:val="00420D5C"/>
    <w:rsid w:val="00424FAB"/>
    <w:rsid w:val="004253F3"/>
    <w:rsid w:val="00434BF6"/>
    <w:rsid w:val="00434F32"/>
    <w:rsid w:val="00442EE2"/>
    <w:rsid w:val="00442F44"/>
    <w:rsid w:val="00445C1E"/>
    <w:rsid w:val="0044735C"/>
    <w:rsid w:val="00453F92"/>
    <w:rsid w:val="0046430C"/>
    <w:rsid w:val="00467374"/>
    <w:rsid w:val="00472B32"/>
    <w:rsid w:val="0047441E"/>
    <w:rsid w:val="0047681D"/>
    <w:rsid w:val="004805C7"/>
    <w:rsid w:val="00483705"/>
    <w:rsid w:val="00486C9A"/>
    <w:rsid w:val="004B18BF"/>
    <w:rsid w:val="004B3D88"/>
    <w:rsid w:val="004B686A"/>
    <w:rsid w:val="004E37D7"/>
    <w:rsid w:val="004F2A39"/>
    <w:rsid w:val="004F3BEA"/>
    <w:rsid w:val="004F5452"/>
    <w:rsid w:val="004F60D9"/>
    <w:rsid w:val="0050295A"/>
    <w:rsid w:val="005045FE"/>
    <w:rsid w:val="00505A95"/>
    <w:rsid w:val="00505D62"/>
    <w:rsid w:val="00505FA8"/>
    <w:rsid w:val="0050792A"/>
    <w:rsid w:val="00517B69"/>
    <w:rsid w:val="00520002"/>
    <w:rsid w:val="00532F0B"/>
    <w:rsid w:val="00533619"/>
    <w:rsid w:val="00541216"/>
    <w:rsid w:val="00547EB9"/>
    <w:rsid w:val="00554538"/>
    <w:rsid w:val="00563B6E"/>
    <w:rsid w:val="00571C40"/>
    <w:rsid w:val="00574D02"/>
    <w:rsid w:val="005A06D0"/>
    <w:rsid w:val="005A1CC5"/>
    <w:rsid w:val="005B6A1E"/>
    <w:rsid w:val="005C2389"/>
    <w:rsid w:val="005C703A"/>
    <w:rsid w:val="005E0A67"/>
    <w:rsid w:val="005F7601"/>
    <w:rsid w:val="00601A8B"/>
    <w:rsid w:val="00601BF0"/>
    <w:rsid w:val="0061269B"/>
    <w:rsid w:val="00615618"/>
    <w:rsid w:val="006717FF"/>
    <w:rsid w:val="00672E74"/>
    <w:rsid w:val="00673AAF"/>
    <w:rsid w:val="00673F43"/>
    <w:rsid w:val="00674D14"/>
    <w:rsid w:val="00682BDD"/>
    <w:rsid w:val="006857D4"/>
    <w:rsid w:val="0068655A"/>
    <w:rsid w:val="0068684D"/>
    <w:rsid w:val="006A4A61"/>
    <w:rsid w:val="006A7DE3"/>
    <w:rsid w:val="006B0D7E"/>
    <w:rsid w:val="006B24C8"/>
    <w:rsid w:val="006C401C"/>
    <w:rsid w:val="006D1138"/>
    <w:rsid w:val="006D2494"/>
    <w:rsid w:val="006D3F4E"/>
    <w:rsid w:val="006E1656"/>
    <w:rsid w:val="006E1C49"/>
    <w:rsid w:val="006F21E4"/>
    <w:rsid w:val="007025D4"/>
    <w:rsid w:val="00707176"/>
    <w:rsid w:val="007123BF"/>
    <w:rsid w:val="0072406E"/>
    <w:rsid w:val="0072737E"/>
    <w:rsid w:val="0073294E"/>
    <w:rsid w:val="007446F2"/>
    <w:rsid w:val="007840D0"/>
    <w:rsid w:val="00794B39"/>
    <w:rsid w:val="007B2E16"/>
    <w:rsid w:val="007C5BA5"/>
    <w:rsid w:val="007C6009"/>
    <w:rsid w:val="007D0693"/>
    <w:rsid w:val="007E039F"/>
    <w:rsid w:val="007E04F3"/>
    <w:rsid w:val="007E079E"/>
    <w:rsid w:val="007E40AB"/>
    <w:rsid w:val="007F3A7F"/>
    <w:rsid w:val="007F5007"/>
    <w:rsid w:val="007F6F35"/>
    <w:rsid w:val="008047E8"/>
    <w:rsid w:val="00804C65"/>
    <w:rsid w:val="00812206"/>
    <w:rsid w:val="0081535A"/>
    <w:rsid w:val="008362F1"/>
    <w:rsid w:val="00847411"/>
    <w:rsid w:val="00865C5C"/>
    <w:rsid w:val="00871105"/>
    <w:rsid w:val="00871201"/>
    <w:rsid w:val="0088722C"/>
    <w:rsid w:val="008A1848"/>
    <w:rsid w:val="008A1E85"/>
    <w:rsid w:val="008B1509"/>
    <w:rsid w:val="008B21F5"/>
    <w:rsid w:val="008B2CA1"/>
    <w:rsid w:val="008C0D47"/>
    <w:rsid w:val="008C583F"/>
    <w:rsid w:val="008D326C"/>
    <w:rsid w:val="008E0306"/>
    <w:rsid w:val="008E3C0C"/>
    <w:rsid w:val="008E3FF2"/>
    <w:rsid w:val="008E5CB2"/>
    <w:rsid w:val="008F7763"/>
    <w:rsid w:val="00901561"/>
    <w:rsid w:val="0090732D"/>
    <w:rsid w:val="00911850"/>
    <w:rsid w:val="009218B5"/>
    <w:rsid w:val="0092213A"/>
    <w:rsid w:val="00926C01"/>
    <w:rsid w:val="009313F8"/>
    <w:rsid w:val="00940B6D"/>
    <w:rsid w:val="00942A46"/>
    <w:rsid w:val="0095208A"/>
    <w:rsid w:val="00960628"/>
    <w:rsid w:val="0096225C"/>
    <w:rsid w:val="00965F42"/>
    <w:rsid w:val="00974172"/>
    <w:rsid w:val="009773C2"/>
    <w:rsid w:val="00994B90"/>
    <w:rsid w:val="009A4490"/>
    <w:rsid w:val="009C19E6"/>
    <w:rsid w:val="009D7C89"/>
    <w:rsid w:val="009F04B9"/>
    <w:rsid w:val="00A1206C"/>
    <w:rsid w:val="00A139FB"/>
    <w:rsid w:val="00A24BE4"/>
    <w:rsid w:val="00A25797"/>
    <w:rsid w:val="00A257DC"/>
    <w:rsid w:val="00A42724"/>
    <w:rsid w:val="00A4335C"/>
    <w:rsid w:val="00A45CFA"/>
    <w:rsid w:val="00A537C2"/>
    <w:rsid w:val="00A81E03"/>
    <w:rsid w:val="00AA30BF"/>
    <w:rsid w:val="00AB1E54"/>
    <w:rsid w:val="00AB6BE1"/>
    <w:rsid w:val="00AC1F8E"/>
    <w:rsid w:val="00AD16AA"/>
    <w:rsid w:val="00B054EC"/>
    <w:rsid w:val="00B21A15"/>
    <w:rsid w:val="00B2694E"/>
    <w:rsid w:val="00B30846"/>
    <w:rsid w:val="00B32CEC"/>
    <w:rsid w:val="00B60CFC"/>
    <w:rsid w:val="00B66AF1"/>
    <w:rsid w:val="00B677BB"/>
    <w:rsid w:val="00B72146"/>
    <w:rsid w:val="00B80B54"/>
    <w:rsid w:val="00B85ADB"/>
    <w:rsid w:val="00BA0085"/>
    <w:rsid w:val="00BC46F1"/>
    <w:rsid w:val="00BC5525"/>
    <w:rsid w:val="00BC660F"/>
    <w:rsid w:val="00BD143F"/>
    <w:rsid w:val="00BD2153"/>
    <w:rsid w:val="00BD286A"/>
    <w:rsid w:val="00BF7BA5"/>
    <w:rsid w:val="00C00C97"/>
    <w:rsid w:val="00C01767"/>
    <w:rsid w:val="00C0420A"/>
    <w:rsid w:val="00C21DB1"/>
    <w:rsid w:val="00C24FE3"/>
    <w:rsid w:val="00C34054"/>
    <w:rsid w:val="00C406B0"/>
    <w:rsid w:val="00C4300D"/>
    <w:rsid w:val="00C47D32"/>
    <w:rsid w:val="00C5734E"/>
    <w:rsid w:val="00C627C1"/>
    <w:rsid w:val="00CA66F6"/>
    <w:rsid w:val="00CA7168"/>
    <w:rsid w:val="00CB298A"/>
    <w:rsid w:val="00CB4383"/>
    <w:rsid w:val="00CC540B"/>
    <w:rsid w:val="00CD2971"/>
    <w:rsid w:val="00CD2F2B"/>
    <w:rsid w:val="00CD3ABC"/>
    <w:rsid w:val="00CE5DC4"/>
    <w:rsid w:val="00CE693F"/>
    <w:rsid w:val="00CE7E0A"/>
    <w:rsid w:val="00D0185C"/>
    <w:rsid w:val="00D021FD"/>
    <w:rsid w:val="00D03E6C"/>
    <w:rsid w:val="00D21140"/>
    <w:rsid w:val="00D2317D"/>
    <w:rsid w:val="00D24CA6"/>
    <w:rsid w:val="00D35DBF"/>
    <w:rsid w:val="00D613D2"/>
    <w:rsid w:val="00D66544"/>
    <w:rsid w:val="00D66AED"/>
    <w:rsid w:val="00D73156"/>
    <w:rsid w:val="00D731B2"/>
    <w:rsid w:val="00D76A8D"/>
    <w:rsid w:val="00D96458"/>
    <w:rsid w:val="00DB03A3"/>
    <w:rsid w:val="00DB7EE9"/>
    <w:rsid w:val="00DC21CF"/>
    <w:rsid w:val="00DC5B1B"/>
    <w:rsid w:val="00DC6901"/>
    <w:rsid w:val="00DC7FC5"/>
    <w:rsid w:val="00DD1227"/>
    <w:rsid w:val="00DD49E0"/>
    <w:rsid w:val="00DE0C2A"/>
    <w:rsid w:val="00DE1F8E"/>
    <w:rsid w:val="00DE2F05"/>
    <w:rsid w:val="00DF0BC6"/>
    <w:rsid w:val="00E12E6C"/>
    <w:rsid w:val="00E16CCA"/>
    <w:rsid w:val="00E20862"/>
    <w:rsid w:val="00E22225"/>
    <w:rsid w:val="00E25024"/>
    <w:rsid w:val="00E275C6"/>
    <w:rsid w:val="00E3293F"/>
    <w:rsid w:val="00E345D7"/>
    <w:rsid w:val="00E549BD"/>
    <w:rsid w:val="00E55927"/>
    <w:rsid w:val="00E61F01"/>
    <w:rsid w:val="00E77142"/>
    <w:rsid w:val="00E90887"/>
    <w:rsid w:val="00EA48DD"/>
    <w:rsid w:val="00EA767A"/>
    <w:rsid w:val="00EB1814"/>
    <w:rsid w:val="00EB7C3D"/>
    <w:rsid w:val="00EC1191"/>
    <w:rsid w:val="00EC3156"/>
    <w:rsid w:val="00EC7FC3"/>
    <w:rsid w:val="00EF2F11"/>
    <w:rsid w:val="00F013CB"/>
    <w:rsid w:val="00F045B9"/>
    <w:rsid w:val="00F10CBB"/>
    <w:rsid w:val="00F1151C"/>
    <w:rsid w:val="00F167A3"/>
    <w:rsid w:val="00F200DA"/>
    <w:rsid w:val="00F4365F"/>
    <w:rsid w:val="00F46B9F"/>
    <w:rsid w:val="00F63D2C"/>
    <w:rsid w:val="00F67C89"/>
    <w:rsid w:val="00F74958"/>
    <w:rsid w:val="00F86FF6"/>
    <w:rsid w:val="00F95560"/>
    <w:rsid w:val="00FA3BE4"/>
    <w:rsid w:val="00FB14C8"/>
    <w:rsid w:val="00FB61D5"/>
    <w:rsid w:val="00FC00F6"/>
    <w:rsid w:val="00FC0D02"/>
    <w:rsid w:val="00FD0760"/>
    <w:rsid w:val="00FD3C5F"/>
    <w:rsid w:val="00FD5FF4"/>
    <w:rsid w:val="00FF3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5360A"/>
  <w15:chartTrackingRefBased/>
  <w15:docId w15:val="{A4C15DF6-72FB-4426-A115-47B30F30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74D14"/>
    <w:pPr>
      <w:ind w:left="720"/>
      <w:contextualSpacing/>
    </w:pPr>
  </w:style>
  <w:style w:type="paragraph" w:styleId="Normlnweb">
    <w:name w:val="Normal (Web)"/>
    <w:basedOn w:val="Normln"/>
    <w:uiPriority w:val="99"/>
    <w:unhideWhenUsed/>
    <w:rsid w:val="00FB14C8"/>
    <w:pPr>
      <w:spacing w:after="0" w:line="240" w:lineRule="auto"/>
    </w:pPr>
    <w:rPr>
      <w:rFonts w:ascii="Times New Roman" w:eastAsia="Times New Roman" w:hAnsi="Times New Roman" w:cs="Times New Roman"/>
      <w:sz w:val="24"/>
      <w:szCs w:val="24"/>
      <w:lang w:eastAsia="en-GB"/>
    </w:rPr>
  </w:style>
  <w:style w:type="character" w:styleId="Odkaznakoment">
    <w:name w:val="annotation reference"/>
    <w:basedOn w:val="Standardnpsmoodstavce"/>
    <w:uiPriority w:val="99"/>
    <w:semiHidden/>
    <w:unhideWhenUsed/>
    <w:rsid w:val="0088722C"/>
    <w:rPr>
      <w:sz w:val="16"/>
      <w:szCs w:val="16"/>
    </w:rPr>
  </w:style>
  <w:style w:type="paragraph" w:styleId="Textkomente">
    <w:name w:val="annotation text"/>
    <w:basedOn w:val="Normln"/>
    <w:link w:val="TextkomenteChar"/>
    <w:uiPriority w:val="99"/>
    <w:semiHidden/>
    <w:unhideWhenUsed/>
    <w:rsid w:val="0088722C"/>
    <w:pPr>
      <w:spacing w:line="240" w:lineRule="auto"/>
    </w:pPr>
    <w:rPr>
      <w:sz w:val="20"/>
      <w:szCs w:val="20"/>
    </w:rPr>
  </w:style>
  <w:style w:type="character" w:customStyle="1" w:styleId="TextkomenteChar">
    <w:name w:val="Text komentáře Char"/>
    <w:basedOn w:val="Standardnpsmoodstavce"/>
    <w:link w:val="Textkomente"/>
    <w:uiPriority w:val="99"/>
    <w:semiHidden/>
    <w:rsid w:val="0088722C"/>
    <w:rPr>
      <w:sz w:val="20"/>
      <w:szCs w:val="20"/>
    </w:rPr>
  </w:style>
  <w:style w:type="paragraph" w:styleId="Pedmtkomente">
    <w:name w:val="annotation subject"/>
    <w:basedOn w:val="Textkomente"/>
    <w:next w:val="Textkomente"/>
    <w:link w:val="PedmtkomenteChar"/>
    <w:uiPriority w:val="99"/>
    <w:semiHidden/>
    <w:unhideWhenUsed/>
    <w:rsid w:val="0088722C"/>
    <w:rPr>
      <w:b/>
      <w:bCs/>
    </w:rPr>
  </w:style>
  <w:style w:type="character" w:customStyle="1" w:styleId="PedmtkomenteChar">
    <w:name w:val="Předmět komentáře Char"/>
    <w:basedOn w:val="TextkomenteChar"/>
    <w:link w:val="Pedmtkomente"/>
    <w:uiPriority w:val="99"/>
    <w:semiHidden/>
    <w:rsid w:val="0088722C"/>
    <w:rPr>
      <w:b/>
      <w:bCs/>
      <w:sz w:val="20"/>
      <w:szCs w:val="20"/>
    </w:rPr>
  </w:style>
  <w:style w:type="paragraph" w:styleId="Textbubliny">
    <w:name w:val="Balloon Text"/>
    <w:basedOn w:val="Normln"/>
    <w:link w:val="TextbublinyChar"/>
    <w:uiPriority w:val="99"/>
    <w:semiHidden/>
    <w:unhideWhenUsed/>
    <w:rsid w:val="0088722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722C"/>
    <w:rPr>
      <w:rFonts w:ascii="Segoe UI" w:hAnsi="Segoe UI" w:cs="Segoe UI"/>
      <w:sz w:val="18"/>
      <w:szCs w:val="18"/>
    </w:rPr>
  </w:style>
  <w:style w:type="character" w:styleId="Hypertextovodkaz">
    <w:name w:val="Hyperlink"/>
    <w:basedOn w:val="Standardnpsmoodstavce"/>
    <w:uiPriority w:val="99"/>
    <w:unhideWhenUsed/>
    <w:rsid w:val="00B21A15"/>
    <w:rPr>
      <w:color w:val="0563C1" w:themeColor="hyperlink"/>
      <w:u w:val="single"/>
    </w:rPr>
  </w:style>
  <w:style w:type="table" w:styleId="Mkatabulky">
    <w:name w:val="Table Grid"/>
    <w:basedOn w:val="Normlntabulka"/>
    <w:uiPriority w:val="39"/>
    <w:rsid w:val="00BD1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707176"/>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ZhlavChar">
    <w:name w:val="Záhlaví Char"/>
    <w:basedOn w:val="Standardnpsmoodstavce"/>
    <w:link w:val="Zhlav"/>
    <w:rsid w:val="00707176"/>
    <w:rPr>
      <w:rFonts w:ascii="Times New Roman" w:eastAsia="Times New Roman" w:hAnsi="Times New Roman" w:cs="Times New Roman"/>
      <w:sz w:val="20"/>
      <w:szCs w:val="20"/>
      <w:lang w:eastAsia="de-DE"/>
    </w:rPr>
  </w:style>
  <w:style w:type="paragraph" w:customStyle="1" w:styleId="m-5340237641206527528natonormal">
    <w:name w:val="m_-5340237641206527528natonormal"/>
    <w:basedOn w:val="Normln"/>
    <w:uiPriority w:val="99"/>
    <w:rsid w:val="00707176"/>
    <w:pPr>
      <w:spacing w:before="100" w:beforeAutospacing="1" w:after="100" w:afterAutospacing="1" w:line="240" w:lineRule="auto"/>
    </w:pPr>
    <w:rPr>
      <w:rFonts w:ascii="Times New Roman" w:hAnsi="Times New Roman" w:cs="Times New Roman"/>
      <w:sz w:val="24"/>
      <w:szCs w:val="24"/>
      <w:lang w:eastAsia="en-GB"/>
    </w:rPr>
  </w:style>
  <w:style w:type="paragraph" w:customStyle="1" w:styleId="Default">
    <w:name w:val="Default"/>
    <w:rsid w:val="000802BD"/>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601B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8094">
      <w:bodyDiv w:val="1"/>
      <w:marLeft w:val="0"/>
      <w:marRight w:val="0"/>
      <w:marTop w:val="0"/>
      <w:marBottom w:val="0"/>
      <w:divBdr>
        <w:top w:val="none" w:sz="0" w:space="0" w:color="auto"/>
        <w:left w:val="none" w:sz="0" w:space="0" w:color="auto"/>
        <w:bottom w:val="none" w:sz="0" w:space="0" w:color="auto"/>
        <w:right w:val="none" w:sz="0" w:space="0" w:color="auto"/>
      </w:divBdr>
    </w:div>
    <w:div w:id="726683632">
      <w:bodyDiv w:val="1"/>
      <w:marLeft w:val="0"/>
      <w:marRight w:val="0"/>
      <w:marTop w:val="0"/>
      <w:marBottom w:val="0"/>
      <w:divBdr>
        <w:top w:val="none" w:sz="0" w:space="0" w:color="auto"/>
        <w:left w:val="none" w:sz="0" w:space="0" w:color="auto"/>
        <w:bottom w:val="none" w:sz="0" w:space="0" w:color="auto"/>
        <w:right w:val="none" w:sz="0" w:space="0" w:color="auto"/>
      </w:divBdr>
    </w:div>
    <w:div w:id="727728727">
      <w:bodyDiv w:val="1"/>
      <w:marLeft w:val="0"/>
      <w:marRight w:val="0"/>
      <w:marTop w:val="0"/>
      <w:marBottom w:val="0"/>
      <w:divBdr>
        <w:top w:val="none" w:sz="0" w:space="0" w:color="auto"/>
        <w:left w:val="none" w:sz="0" w:space="0" w:color="auto"/>
        <w:bottom w:val="none" w:sz="0" w:space="0" w:color="auto"/>
        <w:right w:val="none" w:sz="0" w:space="0" w:color="auto"/>
      </w:divBdr>
    </w:div>
    <w:div w:id="1128428891">
      <w:bodyDiv w:val="1"/>
      <w:marLeft w:val="0"/>
      <w:marRight w:val="0"/>
      <w:marTop w:val="0"/>
      <w:marBottom w:val="0"/>
      <w:divBdr>
        <w:top w:val="none" w:sz="0" w:space="0" w:color="auto"/>
        <w:left w:val="none" w:sz="0" w:space="0" w:color="auto"/>
        <w:bottom w:val="none" w:sz="0" w:space="0" w:color="auto"/>
        <w:right w:val="none" w:sz="0" w:space="0" w:color="auto"/>
      </w:divBdr>
      <w:divsChild>
        <w:div w:id="1391539920">
          <w:marLeft w:val="734"/>
          <w:marRight w:val="0"/>
          <w:marTop w:val="0"/>
          <w:marBottom w:val="0"/>
          <w:divBdr>
            <w:top w:val="none" w:sz="0" w:space="0" w:color="auto"/>
            <w:left w:val="none" w:sz="0" w:space="0" w:color="auto"/>
            <w:bottom w:val="none" w:sz="0" w:space="0" w:color="auto"/>
            <w:right w:val="none" w:sz="0" w:space="0" w:color="auto"/>
          </w:divBdr>
        </w:div>
        <w:div w:id="404645166">
          <w:marLeft w:val="734"/>
          <w:marRight w:val="0"/>
          <w:marTop w:val="0"/>
          <w:marBottom w:val="0"/>
          <w:divBdr>
            <w:top w:val="none" w:sz="0" w:space="0" w:color="auto"/>
            <w:left w:val="none" w:sz="0" w:space="0" w:color="auto"/>
            <w:bottom w:val="none" w:sz="0" w:space="0" w:color="auto"/>
            <w:right w:val="none" w:sz="0" w:space="0" w:color="auto"/>
          </w:divBdr>
        </w:div>
        <w:div w:id="146626882">
          <w:marLeft w:val="734"/>
          <w:marRight w:val="0"/>
          <w:marTop w:val="0"/>
          <w:marBottom w:val="0"/>
          <w:divBdr>
            <w:top w:val="none" w:sz="0" w:space="0" w:color="auto"/>
            <w:left w:val="none" w:sz="0" w:space="0" w:color="auto"/>
            <w:bottom w:val="none" w:sz="0" w:space="0" w:color="auto"/>
            <w:right w:val="none" w:sz="0" w:space="0" w:color="auto"/>
          </w:divBdr>
        </w:div>
        <w:div w:id="1473866590">
          <w:marLeft w:val="734"/>
          <w:marRight w:val="0"/>
          <w:marTop w:val="0"/>
          <w:marBottom w:val="0"/>
          <w:divBdr>
            <w:top w:val="none" w:sz="0" w:space="0" w:color="auto"/>
            <w:left w:val="none" w:sz="0" w:space="0" w:color="auto"/>
            <w:bottom w:val="none" w:sz="0" w:space="0" w:color="auto"/>
            <w:right w:val="none" w:sz="0" w:space="0" w:color="auto"/>
          </w:divBdr>
        </w:div>
        <w:div w:id="1344818615">
          <w:marLeft w:val="734"/>
          <w:marRight w:val="0"/>
          <w:marTop w:val="0"/>
          <w:marBottom w:val="0"/>
          <w:divBdr>
            <w:top w:val="none" w:sz="0" w:space="0" w:color="auto"/>
            <w:left w:val="none" w:sz="0" w:space="0" w:color="auto"/>
            <w:bottom w:val="none" w:sz="0" w:space="0" w:color="auto"/>
            <w:right w:val="none" w:sz="0" w:space="0" w:color="auto"/>
          </w:divBdr>
        </w:div>
        <w:div w:id="904995674">
          <w:marLeft w:val="734"/>
          <w:marRight w:val="0"/>
          <w:marTop w:val="0"/>
          <w:marBottom w:val="0"/>
          <w:divBdr>
            <w:top w:val="none" w:sz="0" w:space="0" w:color="auto"/>
            <w:left w:val="none" w:sz="0" w:space="0" w:color="auto"/>
            <w:bottom w:val="none" w:sz="0" w:space="0" w:color="auto"/>
            <w:right w:val="none" w:sz="0" w:space="0" w:color="auto"/>
          </w:divBdr>
        </w:div>
      </w:divsChild>
    </w:div>
    <w:div w:id="1472749728">
      <w:bodyDiv w:val="1"/>
      <w:marLeft w:val="0"/>
      <w:marRight w:val="0"/>
      <w:marTop w:val="0"/>
      <w:marBottom w:val="0"/>
      <w:divBdr>
        <w:top w:val="none" w:sz="0" w:space="0" w:color="auto"/>
        <w:left w:val="none" w:sz="0" w:space="0" w:color="auto"/>
        <w:bottom w:val="none" w:sz="0" w:space="0" w:color="auto"/>
        <w:right w:val="none" w:sz="0" w:space="0" w:color="auto"/>
      </w:divBdr>
    </w:div>
    <w:div w:id="2045860248">
      <w:bodyDiv w:val="1"/>
      <w:marLeft w:val="0"/>
      <w:marRight w:val="0"/>
      <w:marTop w:val="0"/>
      <w:marBottom w:val="0"/>
      <w:divBdr>
        <w:top w:val="none" w:sz="0" w:space="0" w:color="auto"/>
        <w:left w:val="none" w:sz="0" w:space="0" w:color="auto"/>
        <w:bottom w:val="none" w:sz="0" w:space="0" w:color="auto"/>
        <w:right w:val="none" w:sz="0" w:space="0" w:color="auto"/>
      </w:divBdr>
    </w:div>
    <w:div w:id="208117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Completed_NHR_Internship Call 2026-2027.docx</vt:lpstr>
    </vt:vector>
  </TitlesOfParts>
  <Company>NATO</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Completed_NHR_Internship Call 2026-2027.docx</dc:title>
  <dc:subject/>
  <dc:creator>Kalavros Panagiotis</dc:creator>
  <cp:keywords/>
  <dc:description/>
  <cp:lastModifiedBy>Barbora HODKOVÁ</cp:lastModifiedBy>
  <cp:revision>3</cp:revision>
  <cp:lastPrinted>2026-01-28T13:21:00Z</cp:lastPrinted>
  <dcterms:created xsi:type="dcterms:W3CDTF">2026-06-01T10:15:00Z</dcterms:created>
  <dcterms:modified xsi:type="dcterms:W3CDTF">2026-06-03T09:20:00Z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ship">
    <vt:lpwstr>NATO</vt:lpwstr>
  </property>
  <property fmtid="{D5CDD505-2E9C-101B-9397-08002B2CF9AE}" pid="3" name="Classification">
    <vt:lpwstr>UNCLASSIFIED</vt:lpwstr>
  </property>
  <property fmtid="{D5CDD505-2E9C-101B-9397-08002B2CF9AE}" pid="4" name="Limited">
    <vt:lpwstr>No</vt:lpwstr>
  </property>
  <property fmtid="{D5CDD505-2E9C-101B-9397-08002B2CF9AE}" pid="5" name="AdministrativeMarkings">
    <vt:lpwstr>None</vt:lpwstr>
  </property>
  <property fmtid="{D5CDD505-2E9C-101B-9397-08002B2CF9AE}" pid="6" name="TitusGUID">
    <vt:lpwstr>a8594849-e7fb-4424-bd1b-5b3f9c951cb7</vt:lpwstr>
  </property>
  <property fmtid="{D5CDD505-2E9C-101B-9397-08002B2CF9AE}" pid="7" name="TitusOriginalClassifier">
    <vt:lpwstr>gilmour.joanna</vt:lpwstr>
  </property>
  <property fmtid="{D5CDD505-2E9C-101B-9397-08002B2CF9AE}" pid="8" name="ContentTypeId">
    <vt:lpwstr>0x01010041356DF4D546402894C567FD8688B5FD009C07DF7EEF1592459B72881EBD618EB6</vt:lpwstr>
  </property>
  <property fmtid="{D5CDD505-2E9C-101B-9397-08002B2CF9AE}" pid="9" name="_dlc_DocIdItemGuid">
    <vt:lpwstr>64b56414-9db2-4417-b8be-f32697ae23f5</vt:lpwstr>
  </property>
  <property fmtid="{D5CDD505-2E9C-101B-9397-08002B2CF9AE}" pid="10" name="_dlc_policyId">
    <vt:lpwstr>0x010100A2DCA0D3C4C79F48B523F67D83AF8B5B|147999950</vt:lpwstr>
  </property>
  <property fmtid="{D5CDD505-2E9C-101B-9397-08002B2CF9AE}" pid="11" name="ItemRetentionFormula">
    <vt:lpwstr>&lt;formula id="Microsoft.Office.RecordsManagement.PolicyFeatures.Expiration.Formula.BuiltIn"&gt;&lt;number&gt;0&lt;/number&gt;&lt;property&gt;_vti_ItemDeclaredRecord&lt;/property&gt;&lt;propertyId&gt;f9a44731-84eb-43a4-9973-cd2953ad8646&lt;/propertyId&gt;&lt;period&gt;days&lt;/period&gt;&lt;/formula&gt;</vt:lpwstr>
  </property>
  <property fmtid="{D5CDD505-2E9C-101B-9397-08002B2CF9AE}" pid="12" name="Releasability">
    <vt:lpwstr/>
  </property>
  <property fmtid="{D5CDD505-2E9C-101B-9397-08002B2CF9AE}" pid="13" name="Only">
    <vt:lpwstr/>
  </property>
</Properties>
</file>