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A600A" w14:textId="1E038502" w:rsidR="00F1500C" w:rsidRPr="006769D7" w:rsidRDefault="00816803" w:rsidP="00CD5DAC">
      <w:pPr>
        <w:pStyle w:val="Normal-box"/>
        <w:pBdr>
          <w:top w:val="none" w:sz="0" w:space="0" w:color="auto"/>
          <w:left w:val="none" w:sz="0" w:space="0" w:color="auto"/>
          <w:bottom w:val="none" w:sz="0" w:space="0" w:color="auto"/>
          <w:right w:val="none" w:sz="0" w:space="0" w:color="auto"/>
        </w:pBdr>
        <w:jc w:val="center"/>
        <w:rPr>
          <w:noProof/>
          <w:lang w:val="en-IE" w:eastAsia="fr-FR"/>
        </w:rPr>
      </w:pPr>
      <w:r>
        <w:rPr>
          <w:noProof/>
          <w:lang w:eastAsia="en-GB"/>
        </w:rPr>
        <w:drawing>
          <wp:inline distT="0" distB="0" distL="0" distR="0" wp14:anchorId="2C399DC5" wp14:editId="75D596B5">
            <wp:extent cx="1318260" cy="6781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8260" cy="678180"/>
                    </a:xfrm>
                    <a:prstGeom prst="rect">
                      <a:avLst/>
                    </a:prstGeom>
                    <a:noFill/>
                    <a:ln>
                      <a:noFill/>
                    </a:ln>
                  </pic:spPr>
                </pic:pic>
              </a:graphicData>
            </a:graphic>
          </wp:inline>
        </w:drawing>
      </w:r>
    </w:p>
    <w:p w14:paraId="4B932384" w14:textId="77777777" w:rsidR="00F1500C" w:rsidRPr="00807DAF" w:rsidRDefault="00F1500C" w:rsidP="00F1500C">
      <w:pPr>
        <w:spacing w:before="960"/>
        <w:jc w:val="center"/>
        <w:rPr>
          <w:b/>
          <w:sz w:val="32"/>
        </w:rPr>
      </w:pPr>
      <w:r w:rsidRPr="00807DAF">
        <w:rPr>
          <w:b/>
          <w:sz w:val="32"/>
        </w:rPr>
        <w:t>Contracting Authority</w:t>
      </w:r>
      <w:r w:rsidRPr="00807DAF">
        <w:rPr>
          <w:sz w:val="32"/>
        </w:rPr>
        <w:t xml:space="preserve">: </w:t>
      </w:r>
      <w:r>
        <w:rPr>
          <w:sz w:val="32"/>
        </w:rPr>
        <w:t>European Commission</w:t>
      </w:r>
    </w:p>
    <w:p w14:paraId="66C66E85" w14:textId="77777777" w:rsidR="00E739DA" w:rsidRPr="001A28CD" w:rsidRDefault="00E739DA" w:rsidP="00E739DA">
      <w:pPr>
        <w:pStyle w:val="Nzev"/>
        <w:spacing w:before="1320"/>
        <w:outlineLvl w:val="0"/>
        <w:rPr>
          <w:b w:val="0"/>
          <w:sz w:val="32"/>
          <w:szCs w:val="32"/>
        </w:rPr>
      </w:pPr>
      <w:bookmarkStart w:id="0" w:name="_Toc215212926"/>
      <w:bookmarkStart w:id="1" w:name="_Toc215213026"/>
      <w:bookmarkStart w:id="2" w:name="_Toc215213156"/>
      <w:r w:rsidRPr="001A28CD">
        <w:rPr>
          <w:b w:val="0"/>
          <w:sz w:val="32"/>
          <w:szCs w:val="32"/>
        </w:rPr>
        <w:t>Neighbourhood, Development and International Cooperation Instrument (NDICI-Global Europe)</w:t>
      </w:r>
      <w:bookmarkEnd w:id="0"/>
      <w:bookmarkEnd w:id="1"/>
      <w:bookmarkEnd w:id="2"/>
    </w:p>
    <w:p w14:paraId="658ACFE9" w14:textId="77777777" w:rsidR="00F1500C" w:rsidRPr="00807DAF" w:rsidRDefault="00C603F5" w:rsidP="00C603F5">
      <w:pPr>
        <w:pStyle w:val="Nzev"/>
        <w:spacing w:before="600"/>
        <w:outlineLvl w:val="0"/>
        <w:rPr>
          <w:b w:val="0"/>
          <w:sz w:val="32"/>
          <w:szCs w:val="32"/>
        </w:rPr>
      </w:pPr>
      <w:r>
        <w:rPr>
          <w:b w:val="0"/>
          <w:sz w:val="32"/>
          <w:szCs w:val="32"/>
        </w:rPr>
        <w:t>Global Gateway Early-Stage Investment Mechanism</w:t>
      </w:r>
    </w:p>
    <w:p w14:paraId="1957178E" w14:textId="77777777" w:rsidR="00F1500C" w:rsidRPr="00032495" w:rsidRDefault="00F1500C" w:rsidP="00F1500C">
      <w:pPr>
        <w:pStyle w:val="SubTitle1"/>
        <w:spacing w:before="480"/>
        <w:rPr>
          <w:sz w:val="32"/>
          <w:szCs w:val="32"/>
        </w:rPr>
      </w:pPr>
      <w:r w:rsidRPr="00032495">
        <w:rPr>
          <w:sz w:val="32"/>
          <w:szCs w:val="32"/>
        </w:rPr>
        <w:t>Guidelines for grant applicants</w:t>
      </w:r>
    </w:p>
    <w:p w14:paraId="3D2F6A5E" w14:textId="77777777" w:rsidR="00F1500C" w:rsidRPr="00B965AB" w:rsidRDefault="00F1500C" w:rsidP="00E739DA">
      <w:pPr>
        <w:pStyle w:val="SubTitle1"/>
        <w:spacing w:before="480"/>
        <w:rPr>
          <w:sz w:val="32"/>
          <w:szCs w:val="32"/>
        </w:rPr>
      </w:pPr>
      <w:r w:rsidRPr="00674275">
        <w:rPr>
          <w:b w:val="0"/>
          <w:sz w:val="32"/>
          <w:szCs w:val="32"/>
        </w:rPr>
        <w:t>Budget line(s):</w:t>
      </w:r>
      <w:r w:rsidR="00E739DA" w:rsidRPr="00E739DA">
        <w:rPr>
          <w:b w:val="0"/>
          <w:sz w:val="32"/>
          <w:szCs w:val="32"/>
          <w:lang w:val="en-US"/>
        </w:rPr>
        <w:t xml:space="preserve"> </w:t>
      </w:r>
      <w:r w:rsidR="00E739DA" w:rsidRPr="007369AB">
        <w:rPr>
          <w:b w:val="0"/>
          <w:sz w:val="32"/>
          <w:szCs w:val="32"/>
          <w:lang w:val="en-US"/>
        </w:rPr>
        <w:t>14</w:t>
      </w:r>
      <w:r w:rsidR="00E739DA">
        <w:rPr>
          <w:b w:val="0"/>
          <w:sz w:val="32"/>
          <w:szCs w:val="32"/>
          <w:lang w:val="en-US"/>
        </w:rPr>
        <w:t>.</w:t>
      </w:r>
      <w:r w:rsidR="00E739DA" w:rsidRPr="007369AB">
        <w:rPr>
          <w:b w:val="0"/>
          <w:sz w:val="32"/>
          <w:szCs w:val="32"/>
          <w:lang w:val="en-US"/>
        </w:rPr>
        <w:t>02024</w:t>
      </w:r>
      <w:r w:rsidR="001A1A55">
        <w:rPr>
          <w:b w:val="0"/>
          <w:sz w:val="32"/>
          <w:szCs w:val="32"/>
          <w:lang w:val="en-US"/>
        </w:rPr>
        <w:t>0</w:t>
      </w:r>
      <w:r w:rsidR="00E739DA">
        <w:rPr>
          <w:b w:val="0"/>
          <w:sz w:val="32"/>
          <w:szCs w:val="32"/>
          <w:lang w:val="en-US"/>
        </w:rPr>
        <w:t xml:space="preserve">, </w:t>
      </w:r>
      <w:r w:rsidR="00E739DA" w:rsidRPr="007369AB">
        <w:rPr>
          <w:b w:val="0"/>
          <w:sz w:val="32"/>
          <w:szCs w:val="32"/>
          <w:lang w:val="en-US"/>
        </w:rPr>
        <w:t>14</w:t>
      </w:r>
      <w:r w:rsidR="00E739DA">
        <w:rPr>
          <w:b w:val="0"/>
          <w:sz w:val="32"/>
          <w:szCs w:val="32"/>
          <w:lang w:val="en-US"/>
        </w:rPr>
        <w:t>.</w:t>
      </w:r>
      <w:r w:rsidR="00E739DA" w:rsidRPr="007369AB">
        <w:rPr>
          <w:b w:val="0"/>
          <w:sz w:val="32"/>
          <w:szCs w:val="32"/>
          <w:lang w:val="en-US"/>
        </w:rPr>
        <w:t>020241</w:t>
      </w:r>
      <w:r w:rsidR="00E739DA">
        <w:rPr>
          <w:b w:val="0"/>
          <w:sz w:val="32"/>
          <w:szCs w:val="32"/>
          <w:lang w:val="en-US"/>
        </w:rPr>
        <w:t xml:space="preserve">, </w:t>
      </w:r>
      <w:r w:rsidR="00E739DA" w:rsidRPr="007369AB">
        <w:rPr>
          <w:b w:val="0"/>
          <w:sz w:val="32"/>
          <w:szCs w:val="32"/>
          <w:lang w:val="en-US"/>
        </w:rPr>
        <w:t>14</w:t>
      </w:r>
      <w:r w:rsidR="00E739DA">
        <w:rPr>
          <w:b w:val="0"/>
          <w:sz w:val="32"/>
          <w:szCs w:val="32"/>
          <w:lang w:val="en-US"/>
        </w:rPr>
        <w:t>.</w:t>
      </w:r>
      <w:r w:rsidR="00E739DA" w:rsidRPr="007369AB">
        <w:rPr>
          <w:b w:val="0"/>
          <w:sz w:val="32"/>
          <w:szCs w:val="32"/>
          <w:lang w:val="en-US"/>
        </w:rPr>
        <w:t>02014</w:t>
      </w:r>
      <w:r w:rsidR="001A1A55">
        <w:rPr>
          <w:b w:val="0"/>
          <w:sz w:val="32"/>
          <w:szCs w:val="32"/>
          <w:lang w:val="en-US"/>
        </w:rPr>
        <w:t>2</w:t>
      </w:r>
    </w:p>
    <w:p w14:paraId="5F10726F" w14:textId="77777777" w:rsidR="00F1500C" w:rsidRPr="00587099" w:rsidRDefault="00F1500C" w:rsidP="00F1500C">
      <w:pPr>
        <w:pStyle w:val="SubTitle2"/>
        <w:rPr>
          <w:b w:val="0"/>
          <w:szCs w:val="32"/>
        </w:rPr>
      </w:pPr>
      <w:r w:rsidRPr="00587099">
        <w:rPr>
          <w:b w:val="0"/>
          <w:szCs w:val="32"/>
        </w:rPr>
        <w:t>Reference:</w:t>
      </w:r>
      <w:r w:rsidRPr="00587099">
        <w:rPr>
          <w:b w:val="0"/>
          <w:szCs w:val="32"/>
        </w:rPr>
        <w:br/>
      </w:r>
      <w:r w:rsidR="007F3DD8" w:rsidRPr="00587099">
        <w:rPr>
          <w:b w:val="0"/>
          <w:szCs w:val="32"/>
        </w:rPr>
        <w:t>EuropeAid/</w:t>
      </w:r>
      <w:r w:rsidR="007F3DD8" w:rsidRPr="00587099">
        <w:rPr>
          <w:b w:val="0"/>
          <w:noProof/>
          <w:szCs w:val="32"/>
        </w:rPr>
        <w:t>184659</w:t>
      </w:r>
      <w:r w:rsidR="007F3DD8" w:rsidRPr="00587099">
        <w:rPr>
          <w:b w:val="0"/>
          <w:szCs w:val="32"/>
        </w:rPr>
        <w:t>/</w:t>
      </w:r>
      <w:r w:rsidR="007F3DD8" w:rsidRPr="00587099">
        <w:rPr>
          <w:b w:val="0"/>
          <w:noProof/>
          <w:szCs w:val="32"/>
        </w:rPr>
        <w:t>DH/ACT/Multi</w:t>
      </w:r>
    </w:p>
    <w:p w14:paraId="150307CF" w14:textId="77777777" w:rsidR="00F1500C" w:rsidRPr="00587099" w:rsidRDefault="00F1500C" w:rsidP="00F1500C">
      <w:pPr>
        <w:pStyle w:val="SubTitle2"/>
        <w:spacing w:after="120"/>
        <w:rPr>
          <w:b w:val="0"/>
          <w:szCs w:val="32"/>
        </w:rPr>
      </w:pPr>
      <w:r w:rsidRPr="00587099">
        <w:rPr>
          <w:b w:val="0"/>
          <w:szCs w:val="32"/>
        </w:rPr>
        <w:t>Deadline for submission</w:t>
      </w:r>
      <w:r w:rsidRPr="00587099">
        <w:rPr>
          <w:rStyle w:val="Znakapoznpodarou"/>
          <w:b w:val="0"/>
          <w:szCs w:val="32"/>
        </w:rPr>
        <w:footnoteReference w:id="2"/>
      </w:r>
      <w:r w:rsidRPr="00587099">
        <w:rPr>
          <w:b w:val="0"/>
          <w:szCs w:val="32"/>
        </w:rPr>
        <w:t xml:space="preserve"> of </w:t>
      </w:r>
      <w:r>
        <w:rPr>
          <w:b w:val="0"/>
          <w:szCs w:val="32"/>
        </w:rPr>
        <w:t>f</w:t>
      </w:r>
      <w:r w:rsidRPr="00587099">
        <w:rPr>
          <w:b w:val="0"/>
          <w:szCs w:val="32"/>
        </w:rPr>
        <w:t xml:space="preserve">ull </w:t>
      </w:r>
      <w:r>
        <w:rPr>
          <w:b w:val="0"/>
          <w:szCs w:val="32"/>
        </w:rPr>
        <w:t>a</w:t>
      </w:r>
      <w:r w:rsidRPr="00587099">
        <w:rPr>
          <w:b w:val="0"/>
          <w:szCs w:val="32"/>
        </w:rPr>
        <w:t>pplication:</w:t>
      </w:r>
    </w:p>
    <w:p w14:paraId="304F50DD" w14:textId="77777777" w:rsidR="00270E41" w:rsidRPr="00011648" w:rsidRDefault="00270E41" w:rsidP="00270E41">
      <w:pPr>
        <w:pStyle w:val="SubTitle2"/>
        <w:rPr>
          <w:szCs w:val="32"/>
        </w:rPr>
      </w:pPr>
      <w:r w:rsidRPr="00011648">
        <w:rPr>
          <w:noProof/>
          <w:szCs w:val="32"/>
        </w:rPr>
        <w:t>16/03/2026</w:t>
      </w:r>
      <w:r w:rsidRPr="00011648">
        <w:rPr>
          <w:szCs w:val="32"/>
        </w:rPr>
        <w:t xml:space="preserve"> at </w:t>
      </w:r>
      <w:r>
        <w:rPr>
          <w:noProof/>
          <w:szCs w:val="32"/>
        </w:rPr>
        <w:t>12:00</w:t>
      </w:r>
      <w:r w:rsidRPr="00011648">
        <w:rPr>
          <w:szCs w:val="32"/>
        </w:rPr>
        <w:t xml:space="preserve"> (Brussels date and time)</w:t>
      </w:r>
    </w:p>
    <w:p w14:paraId="6DDDFEC1" w14:textId="77777777" w:rsidR="00F1500C" w:rsidRPr="00DC42B3" w:rsidRDefault="00270E41" w:rsidP="00270E41">
      <w:pPr>
        <w:pStyle w:val="SubTitle2"/>
        <w:rPr>
          <w:sz w:val="24"/>
          <w:szCs w:val="24"/>
        </w:rPr>
      </w:pPr>
      <w:r w:rsidRPr="00DC42B3">
        <w:rPr>
          <w:sz w:val="24"/>
          <w:szCs w:val="24"/>
        </w:rPr>
        <w:t xml:space="preserve"> </w:t>
      </w:r>
      <w:r w:rsidR="00F1500C" w:rsidRPr="00DC42B3">
        <w:rPr>
          <w:sz w:val="24"/>
          <w:szCs w:val="24"/>
        </w:rPr>
        <w:t>(</w:t>
      </w:r>
      <w:r w:rsidR="00F1500C" w:rsidRPr="00DC42B3">
        <w:rPr>
          <w:b w:val="0"/>
          <w:sz w:val="24"/>
          <w:szCs w:val="24"/>
        </w:rPr>
        <w:t xml:space="preserve">in order to convert to local time click </w:t>
      </w:r>
      <w:hyperlink r:id="rId13" w:history="1">
        <w:r w:rsidR="00F1500C" w:rsidRPr="00DC42B3">
          <w:rPr>
            <w:rStyle w:val="Hypertextovodkaz"/>
            <w:sz w:val="24"/>
            <w:szCs w:val="24"/>
          </w:rPr>
          <w:t>here</w:t>
        </w:r>
      </w:hyperlink>
      <w:r w:rsidR="00F1500C" w:rsidRPr="00DC42B3">
        <w:rPr>
          <w:rStyle w:val="Znakapoznpodarou"/>
          <w:szCs w:val="24"/>
        </w:rPr>
        <w:footnoteReference w:id="3"/>
      </w:r>
      <w:r w:rsidR="00F1500C" w:rsidRPr="00DC42B3">
        <w:rPr>
          <w:sz w:val="24"/>
          <w:szCs w:val="24"/>
        </w:rPr>
        <w:t>)</w:t>
      </w:r>
    </w:p>
    <w:p w14:paraId="78833576" w14:textId="77777777" w:rsidR="0007408E" w:rsidRPr="00807DAF" w:rsidRDefault="007857D2" w:rsidP="00F00789">
      <w:pPr>
        <w:pStyle w:val="SubTitle1"/>
        <w:rPr>
          <w:sz w:val="32"/>
          <w:szCs w:val="32"/>
        </w:rPr>
      </w:pPr>
      <w:r w:rsidRPr="00807DAF">
        <w:br w:type="page"/>
      </w:r>
      <w:r w:rsidRPr="00807DAF">
        <w:rPr>
          <w:sz w:val="32"/>
          <w:szCs w:val="32"/>
        </w:rPr>
        <w:lastRenderedPageBreak/>
        <w:t>NOTICE</w:t>
      </w:r>
    </w:p>
    <w:p w14:paraId="5CA6D9BD" w14:textId="77777777" w:rsidR="00E739DA" w:rsidRDefault="00E739DA" w:rsidP="00E739DA">
      <w:pPr>
        <w:spacing w:before="120" w:after="240"/>
        <w:rPr>
          <w:snapToGrid w:val="0"/>
        </w:rPr>
      </w:pPr>
      <w:bookmarkStart w:id="3" w:name="_Hlk163665571"/>
      <w:r w:rsidRPr="00662251">
        <w:rPr>
          <w:snapToGrid w:val="0"/>
        </w:rPr>
        <w:t>This is an open call for proposals, where all documents are submitted together (concept note and full application). In the first instance, only the concept notes will be evaluated. Thereafter, for the lead applicants who have been pre-selected, the full applications will be evaluated. After the evaluation of the full applications, an eligibility check will be performed for those which have been provisionally selected (including those placed on the reserve list). Eligibility will be checked on the basis of the supporting documents requested by the contracting authority and the signed ‘declaration by the lead applicant’ sent together with the full application.</w:t>
      </w:r>
    </w:p>
    <w:bookmarkEnd w:id="3"/>
    <w:p w14:paraId="07FC1AD4" w14:textId="77777777" w:rsidR="00E739DA" w:rsidRPr="00BE543A" w:rsidRDefault="00E739DA" w:rsidP="00E739DA">
      <w:pPr>
        <w:pStyle w:val="Default"/>
        <w:pBdr>
          <w:top w:val="single" w:sz="4" w:space="1" w:color="auto"/>
          <w:left w:val="single" w:sz="4" w:space="4" w:color="auto"/>
          <w:bottom w:val="single" w:sz="4" w:space="1" w:color="auto"/>
          <w:right w:val="single" w:sz="4" w:space="4" w:color="auto"/>
        </w:pBdr>
        <w:spacing w:before="120" w:after="120"/>
        <w:jc w:val="both"/>
        <w:rPr>
          <w:snapToGrid w:val="0"/>
          <w:color w:val="auto"/>
          <w:sz w:val="22"/>
          <w:szCs w:val="20"/>
          <w:lang w:eastAsia="en-US"/>
        </w:rPr>
      </w:pPr>
      <w:r>
        <w:rPr>
          <w:b/>
          <w:snapToGrid w:val="0"/>
          <w:color w:val="auto"/>
          <w:sz w:val="22"/>
          <w:szCs w:val="20"/>
          <w:lang w:eastAsia="en-US"/>
        </w:rPr>
        <w:t>To apply to t</w:t>
      </w:r>
      <w:r w:rsidRPr="00BE543A">
        <w:rPr>
          <w:b/>
          <w:snapToGrid w:val="0"/>
          <w:color w:val="auto"/>
          <w:sz w:val="22"/>
          <w:szCs w:val="20"/>
          <w:lang w:eastAsia="en-US"/>
        </w:rPr>
        <w:t xml:space="preserve">his </w:t>
      </w:r>
      <w:r>
        <w:rPr>
          <w:b/>
          <w:snapToGrid w:val="0"/>
          <w:color w:val="auto"/>
          <w:sz w:val="22"/>
          <w:szCs w:val="20"/>
          <w:lang w:eastAsia="en-US"/>
        </w:rPr>
        <w:t>c</w:t>
      </w:r>
      <w:r w:rsidRPr="00BE543A">
        <w:rPr>
          <w:b/>
          <w:snapToGrid w:val="0"/>
          <w:color w:val="auto"/>
          <w:sz w:val="22"/>
          <w:szCs w:val="20"/>
          <w:lang w:eastAsia="en-US"/>
        </w:rPr>
        <w:t>all</w:t>
      </w:r>
      <w:r>
        <w:rPr>
          <w:b/>
          <w:snapToGrid w:val="0"/>
          <w:color w:val="auto"/>
          <w:sz w:val="22"/>
          <w:szCs w:val="20"/>
          <w:lang w:eastAsia="en-US"/>
        </w:rPr>
        <w:t xml:space="preserve"> for proposals organisations must register in PADOR and submit their application in PROSPECT </w:t>
      </w:r>
      <w:r w:rsidRPr="00BE543A">
        <w:rPr>
          <w:b/>
          <w:snapToGrid w:val="0"/>
          <w:color w:val="auto"/>
          <w:sz w:val="22"/>
          <w:szCs w:val="20"/>
          <w:lang w:eastAsia="en-US"/>
        </w:rPr>
        <w:t>(</w:t>
      </w:r>
      <w:r>
        <w:rPr>
          <w:b/>
          <w:snapToGrid w:val="0"/>
          <w:color w:val="auto"/>
          <w:sz w:val="22"/>
          <w:szCs w:val="20"/>
          <w:lang w:eastAsia="en-US"/>
        </w:rPr>
        <w:t xml:space="preserve">see section 2.2.2 of the guidelines). </w:t>
      </w:r>
      <w:r>
        <w:rPr>
          <w:snapToGrid w:val="0"/>
          <w:color w:val="auto"/>
          <w:sz w:val="22"/>
          <w:szCs w:val="20"/>
          <w:lang w:eastAsia="en-US"/>
        </w:rPr>
        <w:t>The aim of PROSPECT is to ensure</w:t>
      </w:r>
      <w:r w:rsidRPr="00BE543A">
        <w:rPr>
          <w:snapToGrid w:val="0"/>
          <w:color w:val="auto"/>
          <w:sz w:val="22"/>
          <w:szCs w:val="20"/>
          <w:lang w:eastAsia="en-US"/>
        </w:rPr>
        <w:t xml:space="preserve"> efficiency of the management of the </w:t>
      </w:r>
      <w:r>
        <w:rPr>
          <w:snapToGrid w:val="0"/>
          <w:color w:val="auto"/>
          <w:sz w:val="22"/>
          <w:szCs w:val="20"/>
          <w:lang w:eastAsia="en-US"/>
        </w:rPr>
        <w:t>c</w:t>
      </w:r>
      <w:r w:rsidRPr="00BE543A">
        <w:rPr>
          <w:snapToGrid w:val="0"/>
          <w:color w:val="auto"/>
          <w:sz w:val="22"/>
          <w:szCs w:val="20"/>
          <w:lang w:eastAsia="en-US"/>
        </w:rPr>
        <w:t xml:space="preserve">all for </w:t>
      </w:r>
      <w:r>
        <w:rPr>
          <w:snapToGrid w:val="0"/>
          <w:color w:val="auto"/>
          <w:sz w:val="22"/>
          <w:szCs w:val="20"/>
          <w:lang w:eastAsia="en-US"/>
        </w:rPr>
        <w:t>p</w:t>
      </w:r>
      <w:r w:rsidRPr="00BE543A">
        <w:rPr>
          <w:snapToGrid w:val="0"/>
          <w:color w:val="auto"/>
          <w:sz w:val="22"/>
          <w:szCs w:val="20"/>
          <w:lang w:eastAsia="en-US"/>
        </w:rPr>
        <w:t xml:space="preserve">roposals and to offer a </w:t>
      </w:r>
      <w:r>
        <w:rPr>
          <w:snapToGrid w:val="0"/>
          <w:color w:val="auto"/>
          <w:sz w:val="22"/>
          <w:szCs w:val="20"/>
          <w:lang w:eastAsia="en-US"/>
        </w:rPr>
        <w:t>good</w:t>
      </w:r>
      <w:r w:rsidRPr="00BE543A">
        <w:rPr>
          <w:snapToGrid w:val="0"/>
          <w:color w:val="auto"/>
          <w:sz w:val="22"/>
          <w:szCs w:val="20"/>
          <w:lang w:eastAsia="en-US"/>
        </w:rPr>
        <w:t xml:space="preserve"> service to civil </w:t>
      </w:r>
      <w:r>
        <w:rPr>
          <w:snapToGrid w:val="0"/>
          <w:color w:val="auto"/>
          <w:sz w:val="22"/>
          <w:szCs w:val="20"/>
          <w:lang w:eastAsia="en-US"/>
        </w:rPr>
        <w:t xml:space="preserve">society organisations through </w:t>
      </w:r>
      <w:r w:rsidRPr="00BE543A">
        <w:rPr>
          <w:snapToGrid w:val="0"/>
          <w:color w:val="auto"/>
          <w:sz w:val="22"/>
          <w:szCs w:val="20"/>
          <w:lang w:eastAsia="en-US"/>
        </w:rPr>
        <w:t>functionalit</w:t>
      </w:r>
      <w:r>
        <w:rPr>
          <w:snapToGrid w:val="0"/>
          <w:color w:val="auto"/>
          <w:sz w:val="22"/>
          <w:szCs w:val="20"/>
          <w:lang w:eastAsia="en-US"/>
        </w:rPr>
        <w:t>ies such as the on-line submission and</w:t>
      </w:r>
      <w:r w:rsidRPr="00BE543A">
        <w:rPr>
          <w:snapToGrid w:val="0"/>
          <w:color w:val="auto"/>
          <w:sz w:val="22"/>
          <w:szCs w:val="20"/>
          <w:lang w:eastAsia="en-US"/>
        </w:rPr>
        <w:t xml:space="preserve"> the possibility to follow up online </w:t>
      </w:r>
      <w:r>
        <w:rPr>
          <w:snapToGrid w:val="0"/>
          <w:color w:val="auto"/>
          <w:sz w:val="22"/>
          <w:szCs w:val="20"/>
          <w:lang w:eastAsia="en-US"/>
        </w:rPr>
        <w:t>the status of their application.</w:t>
      </w:r>
    </w:p>
    <w:p w14:paraId="6D9DF175" w14:textId="77777777" w:rsidR="00E739DA" w:rsidRDefault="00E739DA" w:rsidP="00E739DA">
      <w:pPr>
        <w:pStyle w:val="Default"/>
        <w:pBdr>
          <w:top w:val="single" w:sz="4" w:space="1" w:color="auto"/>
          <w:left w:val="single" w:sz="4" w:space="4" w:color="auto"/>
          <w:bottom w:val="single" w:sz="4" w:space="1" w:color="auto"/>
          <w:right w:val="single" w:sz="4" w:space="4" w:color="auto"/>
        </w:pBdr>
        <w:spacing w:before="120" w:after="120"/>
        <w:jc w:val="both"/>
        <w:rPr>
          <w:snapToGrid w:val="0"/>
          <w:color w:val="auto"/>
          <w:sz w:val="22"/>
          <w:szCs w:val="20"/>
          <w:lang w:eastAsia="en-US"/>
        </w:rPr>
      </w:pPr>
      <w:r w:rsidRPr="00214F25">
        <w:rPr>
          <w:b/>
          <w:snapToGrid w:val="0"/>
          <w:color w:val="auto"/>
          <w:sz w:val="22"/>
          <w:szCs w:val="20"/>
          <w:lang w:eastAsia="en-US"/>
        </w:rPr>
        <w:t>Preparation</w:t>
      </w:r>
      <w:r w:rsidRPr="00214F25">
        <w:rPr>
          <w:b/>
          <w:bCs/>
          <w:snapToGrid w:val="0"/>
          <w:color w:val="auto"/>
          <w:sz w:val="22"/>
          <w:szCs w:val="20"/>
          <w:lang w:eastAsia="en-US"/>
        </w:rPr>
        <w:t>:</w:t>
      </w:r>
      <w:r w:rsidRPr="00214F25">
        <w:rPr>
          <w:snapToGrid w:val="0"/>
          <w:color w:val="auto"/>
          <w:sz w:val="22"/>
          <w:szCs w:val="20"/>
          <w:lang w:eastAsia="en-US"/>
        </w:rPr>
        <w:t xml:space="preserve"> </w:t>
      </w:r>
      <w:r>
        <w:rPr>
          <w:snapToGrid w:val="0"/>
          <w:color w:val="auto"/>
          <w:sz w:val="22"/>
          <w:szCs w:val="20"/>
          <w:lang w:eastAsia="en-US"/>
        </w:rPr>
        <w:t xml:space="preserve">Online </w:t>
      </w:r>
      <w:r w:rsidRPr="00214F25">
        <w:rPr>
          <w:snapToGrid w:val="0"/>
          <w:color w:val="auto"/>
          <w:sz w:val="22"/>
          <w:szCs w:val="20"/>
          <w:lang w:eastAsia="en-US"/>
        </w:rPr>
        <w:t>Information session</w:t>
      </w:r>
      <w:r>
        <w:rPr>
          <w:snapToGrid w:val="0"/>
          <w:color w:val="auto"/>
          <w:sz w:val="22"/>
          <w:szCs w:val="20"/>
          <w:lang w:eastAsia="en-US"/>
        </w:rPr>
        <w:t>s</w:t>
      </w:r>
      <w:r w:rsidRPr="00214F25">
        <w:rPr>
          <w:snapToGrid w:val="0"/>
          <w:color w:val="auto"/>
          <w:sz w:val="22"/>
          <w:szCs w:val="20"/>
          <w:lang w:eastAsia="en-US"/>
        </w:rPr>
        <w:t xml:space="preserve"> and user manuals</w:t>
      </w:r>
      <w:r>
        <w:rPr>
          <w:snapToGrid w:val="0"/>
          <w:color w:val="auto"/>
          <w:sz w:val="22"/>
          <w:szCs w:val="20"/>
          <w:lang w:eastAsia="en-US"/>
        </w:rPr>
        <w:t>.</w:t>
      </w:r>
      <w:r w:rsidRPr="00214F25">
        <w:rPr>
          <w:snapToGrid w:val="0"/>
          <w:color w:val="auto"/>
          <w:sz w:val="22"/>
          <w:szCs w:val="20"/>
          <w:lang w:eastAsia="en-US"/>
        </w:rPr>
        <w:t xml:space="preserve"> </w:t>
      </w:r>
    </w:p>
    <w:p w14:paraId="5F45096B" w14:textId="77777777" w:rsidR="00E739DA" w:rsidRPr="004453BE" w:rsidRDefault="00E739DA" w:rsidP="00E739DA">
      <w:pPr>
        <w:pStyle w:val="Default"/>
        <w:pBdr>
          <w:top w:val="single" w:sz="4" w:space="1" w:color="auto"/>
          <w:left w:val="single" w:sz="4" w:space="4" w:color="auto"/>
          <w:bottom w:val="single" w:sz="4" w:space="1" w:color="auto"/>
          <w:right w:val="single" w:sz="4" w:space="4" w:color="auto"/>
        </w:pBdr>
        <w:spacing w:before="120" w:after="120"/>
        <w:jc w:val="both"/>
        <w:rPr>
          <w:snapToGrid w:val="0"/>
          <w:color w:val="auto"/>
          <w:sz w:val="22"/>
          <w:szCs w:val="20"/>
          <w:lang w:eastAsia="en-US"/>
        </w:rPr>
      </w:pPr>
      <w:r w:rsidRPr="004453BE">
        <w:rPr>
          <w:snapToGrid w:val="0"/>
          <w:color w:val="auto"/>
          <w:sz w:val="22"/>
          <w:szCs w:val="20"/>
          <w:lang w:eastAsia="en-US"/>
        </w:rPr>
        <w:t xml:space="preserve">To help applicants familiarize themselves with this call before the online submission, </w:t>
      </w:r>
      <w:r w:rsidRPr="004453BE">
        <w:rPr>
          <w:b/>
          <w:bCs/>
          <w:snapToGrid w:val="0"/>
          <w:color w:val="auto"/>
          <w:sz w:val="22"/>
          <w:szCs w:val="20"/>
          <w:lang w:eastAsia="en-US"/>
        </w:rPr>
        <w:t xml:space="preserve">a virtual information session </w:t>
      </w:r>
      <w:r w:rsidRPr="004453BE">
        <w:rPr>
          <w:snapToGrid w:val="0"/>
          <w:color w:val="auto"/>
          <w:sz w:val="22"/>
          <w:szCs w:val="20"/>
          <w:lang w:eastAsia="en-US"/>
        </w:rPr>
        <w:t>will be organised on 20/01/2026 from 11:00 to 13:00 Brussels time.</w:t>
      </w:r>
    </w:p>
    <w:p w14:paraId="768727B5" w14:textId="77777777" w:rsidR="00E739DA" w:rsidRDefault="00E739DA" w:rsidP="00E739DA">
      <w:pPr>
        <w:pStyle w:val="Default"/>
        <w:pBdr>
          <w:top w:val="single" w:sz="4" w:space="1" w:color="auto"/>
          <w:left w:val="single" w:sz="4" w:space="4" w:color="auto"/>
          <w:bottom w:val="single" w:sz="4" w:space="1" w:color="auto"/>
          <w:right w:val="single" w:sz="4" w:space="4" w:color="auto"/>
        </w:pBdr>
        <w:spacing w:before="120" w:after="120"/>
        <w:jc w:val="both"/>
        <w:rPr>
          <w:snapToGrid w:val="0"/>
          <w:color w:val="auto"/>
          <w:sz w:val="22"/>
          <w:szCs w:val="20"/>
          <w:lang w:eastAsia="en-US"/>
        </w:rPr>
      </w:pPr>
      <w:r w:rsidRPr="004453BE">
        <w:rPr>
          <w:snapToGrid w:val="0"/>
          <w:color w:val="auto"/>
          <w:sz w:val="22"/>
          <w:szCs w:val="20"/>
          <w:lang w:eastAsia="en-US"/>
        </w:rPr>
        <w:t>Should you be interested in this session, please register by 16/01/2026</w:t>
      </w:r>
      <w:r>
        <w:rPr>
          <w:snapToGrid w:val="0"/>
          <w:color w:val="auto"/>
          <w:sz w:val="22"/>
          <w:szCs w:val="20"/>
          <w:lang w:eastAsia="en-US"/>
        </w:rPr>
        <w:t xml:space="preserve"> until 12:00 Brussels time in</w:t>
      </w:r>
      <w:r w:rsidRPr="004453BE">
        <w:rPr>
          <w:snapToGrid w:val="0"/>
          <w:color w:val="auto"/>
          <w:sz w:val="22"/>
          <w:szCs w:val="20"/>
          <w:lang w:eastAsia="en-US"/>
        </w:rPr>
        <w:t xml:space="preserve"> </w:t>
      </w:r>
      <w:hyperlink r:id="rId14" w:history="1">
        <w:r w:rsidRPr="004453BE">
          <w:rPr>
            <w:rStyle w:val="Hypertextovodkaz"/>
            <w:b/>
            <w:bCs/>
            <w:snapToGrid w:val="0"/>
            <w:sz w:val="22"/>
            <w:szCs w:val="20"/>
            <w:lang w:val="en-US" w:eastAsia="en-US"/>
          </w:rPr>
          <w:t>this link</w:t>
        </w:r>
      </w:hyperlink>
      <w:r w:rsidRPr="004453BE">
        <w:rPr>
          <w:snapToGrid w:val="0"/>
          <w:color w:val="auto"/>
          <w:sz w:val="22"/>
          <w:szCs w:val="20"/>
          <w:lang w:eastAsia="en-US"/>
        </w:rPr>
        <w:t xml:space="preserve"> (max. two participants per organisation).</w:t>
      </w:r>
    </w:p>
    <w:p w14:paraId="3A0B42CA" w14:textId="77777777" w:rsidR="00E739DA" w:rsidRPr="00BE543A" w:rsidRDefault="00E739DA" w:rsidP="00E739DA">
      <w:pPr>
        <w:pStyle w:val="Default"/>
        <w:pBdr>
          <w:top w:val="single" w:sz="4" w:space="1" w:color="auto"/>
          <w:left w:val="single" w:sz="4" w:space="4" w:color="auto"/>
          <w:bottom w:val="single" w:sz="4" w:space="1" w:color="auto"/>
          <w:right w:val="single" w:sz="4" w:space="4" w:color="auto"/>
        </w:pBdr>
        <w:spacing w:before="120" w:after="120"/>
        <w:jc w:val="both"/>
        <w:rPr>
          <w:snapToGrid w:val="0"/>
          <w:color w:val="auto"/>
          <w:sz w:val="22"/>
          <w:szCs w:val="20"/>
          <w:lang w:eastAsia="en-US"/>
        </w:rPr>
      </w:pPr>
      <w:r w:rsidRPr="004453BE">
        <w:rPr>
          <w:sz w:val="22"/>
          <w:szCs w:val="22"/>
          <w:lang w:val="en-US"/>
        </w:rPr>
        <w:t>No costs incurred by the applicants for attending this information session are reimbursable.</w:t>
      </w:r>
      <w:r w:rsidRPr="0044675C" w:rsidDel="0044675C">
        <w:rPr>
          <w:b/>
          <w:sz w:val="22"/>
          <w:szCs w:val="22"/>
          <w:lang w:val="en-US"/>
        </w:rPr>
        <w:t xml:space="preserve"> </w:t>
      </w:r>
    </w:p>
    <w:p w14:paraId="5D0E18EC" w14:textId="77777777" w:rsidR="00F1500C" w:rsidRDefault="00F1500C" w:rsidP="00F1500C">
      <w:pPr>
        <w:pStyle w:val="Podnadpis"/>
        <w:spacing w:after="240"/>
        <w:jc w:val="both"/>
        <w:rPr>
          <w:rFonts w:ascii="Times New Roman" w:hAnsi="Times New Roman"/>
          <w:b w:val="0"/>
          <w:sz w:val="22"/>
          <w:szCs w:val="22"/>
          <w:lang w:val="en-GB"/>
        </w:rPr>
      </w:pPr>
    </w:p>
    <w:p w14:paraId="00DEF1E6" w14:textId="77777777" w:rsidR="00E739DA" w:rsidRPr="008E3F06" w:rsidRDefault="00E739DA" w:rsidP="00E739DA">
      <w:pPr>
        <w:rPr>
          <w:lang w:val="en-IE"/>
        </w:rPr>
      </w:pPr>
      <w:r w:rsidRPr="00531B73">
        <w:t xml:space="preserve">All organisations may find more information regarding PROSPECT in the users' manual </w:t>
      </w:r>
      <w:hyperlink r:id="rId15" w:history="1">
        <w:r w:rsidRPr="00531B73">
          <w:rPr>
            <w:rStyle w:val="Hypertextovodkaz"/>
          </w:rPr>
          <w:t>Manual for Applicants e-Calls PROSPECT</w:t>
        </w:r>
      </w:hyperlink>
      <w:r w:rsidRPr="00531B73">
        <w:t xml:space="preserve"> and in the e-learning videos</w:t>
      </w:r>
      <w:r w:rsidRPr="00531B73">
        <w:rPr>
          <w:b/>
        </w:rPr>
        <w:t xml:space="preserve"> </w:t>
      </w:r>
      <w:hyperlink r:id="rId16" w:history="1">
        <w:r w:rsidRPr="00531B73">
          <w:rPr>
            <w:rStyle w:val="Hypertextovodkaz"/>
            <w:lang w:val="en-IE"/>
          </w:rPr>
          <w:t>e-Learning Videos - e-Calls PROPECT - EXACT External Wiki - EN - EC Public Wiki (europa.eu)</w:t>
        </w:r>
      </w:hyperlink>
      <w:r w:rsidRPr="00531B73">
        <w:t>. You may also contact our technical support team via the online support form in PROSPECT</w:t>
      </w:r>
      <w:r w:rsidRPr="00963F81">
        <w:rPr>
          <w:rStyle w:val="Znakapoznpodarou"/>
        </w:rPr>
        <w:footnoteReference w:id="4"/>
      </w:r>
      <w:r>
        <w:t>.</w:t>
      </w:r>
    </w:p>
    <w:p w14:paraId="03F2C812" w14:textId="77777777" w:rsidR="00E739DA" w:rsidRPr="00E739DA" w:rsidRDefault="00E739DA" w:rsidP="00F1500C">
      <w:pPr>
        <w:pStyle w:val="Podnadpis"/>
        <w:spacing w:after="240"/>
        <w:jc w:val="both"/>
        <w:rPr>
          <w:rFonts w:ascii="Times New Roman" w:hAnsi="Times New Roman"/>
          <w:b w:val="0"/>
          <w:sz w:val="22"/>
          <w:szCs w:val="22"/>
          <w:lang w:val="en-IE"/>
        </w:rPr>
        <w:sectPr w:rsidR="00E739DA" w:rsidRPr="00E739DA" w:rsidSect="00467FB7">
          <w:headerReference w:type="even" r:id="rId17"/>
          <w:headerReference w:type="default" r:id="rId18"/>
          <w:footerReference w:type="even" r:id="rId19"/>
          <w:footerReference w:type="default" r:id="rId20"/>
          <w:headerReference w:type="first" r:id="rId21"/>
          <w:footerReference w:type="first" r:id="rId22"/>
          <w:pgSz w:w="11906" w:h="16838" w:code="9"/>
          <w:pgMar w:top="907" w:right="1134" w:bottom="1134" w:left="1418" w:header="567" w:footer="544" w:gutter="0"/>
          <w:pgNumType w:start="1"/>
          <w:cols w:space="708"/>
          <w:titlePg/>
        </w:sectPr>
      </w:pPr>
    </w:p>
    <w:p w14:paraId="13F200E8" w14:textId="77777777" w:rsidR="0007408E" w:rsidRPr="00807DAF" w:rsidRDefault="0007408E" w:rsidP="00EF1DCD">
      <w:pPr>
        <w:pageBreakBefore/>
        <w:spacing w:after="600"/>
        <w:jc w:val="center"/>
        <w:rPr>
          <w:sz w:val="32"/>
        </w:rPr>
      </w:pPr>
      <w:r w:rsidRPr="00807DAF">
        <w:rPr>
          <w:sz w:val="32"/>
        </w:rPr>
        <w:lastRenderedPageBreak/>
        <w:t>Table of contents</w:t>
      </w:r>
    </w:p>
    <w:p w14:paraId="46198341" w14:textId="77777777" w:rsidR="001A1A55" w:rsidRDefault="00057A92">
      <w:pPr>
        <w:pStyle w:val="Obsah1"/>
        <w:rPr>
          <w:rFonts w:asciiTheme="minorHAnsi" w:eastAsiaTheme="minorEastAsia" w:hAnsiTheme="minorHAnsi"/>
          <w:b w:val="0"/>
          <w:caps w:val="0"/>
          <w:noProof/>
          <w:kern w:val="2"/>
          <w:sz w:val="24"/>
          <w:szCs w:val="24"/>
          <w:lang w:val="en-IE" w:eastAsia="en-IE"/>
        </w:rPr>
      </w:pPr>
      <w:r>
        <w:rPr>
          <w:b w:val="0"/>
          <w:caps w:val="0"/>
          <w:sz w:val="28"/>
          <w:szCs w:val="28"/>
        </w:rPr>
        <w:fldChar w:fldCharType="begin"/>
      </w:r>
      <w:r>
        <w:rPr>
          <w:b w:val="0"/>
          <w:caps w:val="0"/>
          <w:sz w:val="28"/>
          <w:szCs w:val="28"/>
        </w:rPr>
        <w:instrText xml:space="preserve"> TOC \h \z \t "Guidelines 1;1;Guidelines 2;2;Guidelines 3;3" </w:instrText>
      </w:r>
      <w:r>
        <w:rPr>
          <w:b w:val="0"/>
          <w:caps w:val="0"/>
          <w:sz w:val="28"/>
          <w:szCs w:val="28"/>
        </w:rPr>
        <w:fldChar w:fldCharType="separate"/>
      </w:r>
      <w:hyperlink w:anchor="_Toc216688219" w:history="1">
        <w:r w:rsidR="001A1A55" w:rsidRPr="00C846B7">
          <w:rPr>
            <w:rStyle w:val="Hypertextovodkaz"/>
            <w:noProof/>
          </w:rPr>
          <w:t>1.</w:t>
        </w:r>
        <w:r w:rsidR="001A1A55">
          <w:rPr>
            <w:rFonts w:asciiTheme="minorHAnsi" w:eastAsiaTheme="minorEastAsia" w:hAnsiTheme="minorHAnsi"/>
            <w:b w:val="0"/>
            <w:caps w:val="0"/>
            <w:noProof/>
            <w:kern w:val="2"/>
            <w:sz w:val="24"/>
            <w:szCs w:val="24"/>
            <w:lang w:val="en-IE" w:eastAsia="en-IE"/>
          </w:rPr>
          <w:tab/>
        </w:r>
        <w:r w:rsidR="001A1A55" w:rsidRPr="00C846B7">
          <w:rPr>
            <w:rStyle w:val="Hypertextovodkaz"/>
            <w:noProof/>
          </w:rPr>
          <w:t>Global Gateway Early-Stage Investment Mechanism</w:t>
        </w:r>
        <w:r w:rsidR="001A1A55">
          <w:rPr>
            <w:noProof/>
            <w:webHidden/>
          </w:rPr>
          <w:tab/>
        </w:r>
        <w:r w:rsidR="001A1A55">
          <w:rPr>
            <w:noProof/>
            <w:webHidden/>
          </w:rPr>
          <w:fldChar w:fldCharType="begin"/>
        </w:r>
        <w:r w:rsidR="001A1A55">
          <w:rPr>
            <w:noProof/>
            <w:webHidden/>
          </w:rPr>
          <w:instrText xml:space="preserve"> PAGEREF _Toc216688219 \h </w:instrText>
        </w:r>
        <w:r w:rsidR="001A1A55">
          <w:rPr>
            <w:noProof/>
            <w:webHidden/>
          </w:rPr>
        </w:r>
        <w:r w:rsidR="001A1A55">
          <w:rPr>
            <w:noProof/>
            <w:webHidden/>
          </w:rPr>
          <w:fldChar w:fldCharType="separate"/>
        </w:r>
        <w:r w:rsidR="001A1A55">
          <w:rPr>
            <w:noProof/>
            <w:webHidden/>
          </w:rPr>
          <w:t>4</w:t>
        </w:r>
        <w:r w:rsidR="001A1A55">
          <w:rPr>
            <w:noProof/>
            <w:webHidden/>
          </w:rPr>
          <w:fldChar w:fldCharType="end"/>
        </w:r>
      </w:hyperlink>
    </w:p>
    <w:p w14:paraId="5BCD2D4F" w14:textId="77777777" w:rsidR="001A1A55" w:rsidRDefault="001A1A55">
      <w:pPr>
        <w:pStyle w:val="Obsah2"/>
        <w:rPr>
          <w:rFonts w:asciiTheme="minorHAnsi" w:eastAsiaTheme="minorEastAsia" w:hAnsiTheme="minorHAnsi"/>
          <w:noProof/>
          <w:kern w:val="2"/>
          <w:sz w:val="24"/>
          <w:szCs w:val="24"/>
          <w:lang w:val="en-IE" w:eastAsia="en-IE"/>
        </w:rPr>
      </w:pPr>
      <w:hyperlink w:anchor="_Toc216688220" w:history="1">
        <w:r w:rsidRPr="00C846B7">
          <w:rPr>
            <w:rStyle w:val="Hypertextovodkaz"/>
            <w:noProof/>
          </w:rPr>
          <w:t>1.1.</w:t>
        </w:r>
        <w:r>
          <w:rPr>
            <w:rFonts w:asciiTheme="minorHAnsi" w:eastAsiaTheme="minorEastAsia" w:hAnsiTheme="minorHAnsi"/>
            <w:noProof/>
            <w:kern w:val="2"/>
            <w:sz w:val="24"/>
            <w:szCs w:val="24"/>
            <w:lang w:val="en-IE" w:eastAsia="en-IE"/>
          </w:rPr>
          <w:tab/>
        </w:r>
        <w:r w:rsidRPr="00C846B7">
          <w:rPr>
            <w:rStyle w:val="Hypertextovodkaz"/>
            <w:noProof/>
          </w:rPr>
          <w:t>Background</w:t>
        </w:r>
        <w:r>
          <w:rPr>
            <w:noProof/>
            <w:webHidden/>
          </w:rPr>
          <w:tab/>
        </w:r>
        <w:r>
          <w:rPr>
            <w:noProof/>
            <w:webHidden/>
          </w:rPr>
          <w:fldChar w:fldCharType="begin"/>
        </w:r>
        <w:r>
          <w:rPr>
            <w:noProof/>
            <w:webHidden/>
          </w:rPr>
          <w:instrText xml:space="preserve"> PAGEREF _Toc216688220 \h </w:instrText>
        </w:r>
        <w:r>
          <w:rPr>
            <w:noProof/>
            <w:webHidden/>
          </w:rPr>
        </w:r>
        <w:r>
          <w:rPr>
            <w:noProof/>
            <w:webHidden/>
          </w:rPr>
          <w:fldChar w:fldCharType="separate"/>
        </w:r>
        <w:r>
          <w:rPr>
            <w:noProof/>
            <w:webHidden/>
          </w:rPr>
          <w:t>4</w:t>
        </w:r>
        <w:r>
          <w:rPr>
            <w:noProof/>
            <w:webHidden/>
          </w:rPr>
          <w:fldChar w:fldCharType="end"/>
        </w:r>
      </w:hyperlink>
    </w:p>
    <w:p w14:paraId="695013CD" w14:textId="77777777" w:rsidR="001A1A55" w:rsidRDefault="001A1A55">
      <w:pPr>
        <w:pStyle w:val="Obsah2"/>
        <w:rPr>
          <w:rFonts w:asciiTheme="minorHAnsi" w:eastAsiaTheme="minorEastAsia" w:hAnsiTheme="minorHAnsi"/>
          <w:noProof/>
          <w:kern w:val="2"/>
          <w:sz w:val="24"/>
          <w:szCs w:val="24"/>
          <w:lang w:val="en-IE" w:eastAsia="en-IE"/>
        </w:rPr>
      </w:pPr>
      <w:hyperlink w:anchor="_Toc216688221" w:history="1">
        <w:r w:rsidRPr="00C846B7">
          <w:rPr>
            <w:rStyle w:val="Hypertextovodkaz"/>
            <w:noProof/>
          </w:rPr>
          <w:t>1.2.</w:t>
        </w:r>
        <w:r>
          <w:rPr>
            <w:rFonts w:asciiTheme="minorHAnsi" w:eastAsiaTheme="minorEastAsia" w:hAnsiTheme="minorHAnsi"/>
            <w:noProof/>
            <w:kern w:val="2"/>
            <w:sz w:val="24"/>
            <w:szCs w:val="24"/>
            <w:lang w:val="en-IE" w:eastAsia="en-IE"/>
          </w:rPr>
          <w:tab/>
        </w:r>
        <w:r w:rsidRPr="00C846B7">
          <w:rPr>
            <w:rStyle w:val="Hypertextovodkaz"/>
            <w:noProof/>
          </w:rPr>
          <w:t>Objectives of the programme and priority issues</w:t>
        </w:r>
        <w:r>
          <w:rPr>
            <w:noProof/>
            <w:webHidden/>
          </w:rPr>
          <w:tab/>
        </w:r>
        <w:r>
          <w:rPr>
            <w:noProof/>
            <w:webHidden/>
          </w:rPr>
          <w:fldChar w:fldCharType="begin"/>
        </w:r>
        <w:r>
          <w:rPr>
            <w:noProof/>
            <w:webHidden/>
          </w:rPr>
          <w:instrText xml:space="preserve"> PAGEREF _Toc216688221 \h </w:instrText>
        </w:r>
        <w:r>
          <w:rPr>
            <w:noProof/>
            <w:webHidden/>
          </w:rPr>
        </w:r>
        <w:r>
          <w:rPr>
            <w:noProof/>
            <w:webHidden/>
          </w:rPr>
          <w:fldChar w:fldCharType="separate"/>
        </w:r>
        <w:r>
          <w:rPr>
            <w:noProof/>
            <w:webHidden/>
          </w:rPr>
          <w:t>4</w:t>
        </w:r>
        <w:r>
          <w:rPr>
            <w:noProof/>
            <w:webHidden/>
          </w:rPr>
          <w:fldChar w:fldCharType="end"/>
        </w:r>
      </w:hyperlink>
    </w:p>
    <w:p w14:paraId="40149316" w14:textId="77777777" w:rsidR="001A1A55" w:rsidRDefault="001A1A55">
      <w:pPr>
        <w:pStyle w:val="Obsah2"/>
        <w:rPr>
          <w:rFonts w:asciiTheme="minorHAnsi" w:eastAsiaTheme="minorEastAsia" w:hAnsiTheme="minorHAnsi"/>
          <w:noProof/>
          <w:kern w:val="2"/>
          <w:sz w:val="24"/>
          <w:szCs w:val="24"/>
          <w:lang w:val="en-IE" w:eastAsia="en-IE"/>
        </w:rPr>
      </w:pPr>
      <w:hyperlink w:anchor="_Toc216688222" w:history="1">
        <w:r w:rsidRPr="00C846B7">
          <w:rPr>
            <w:rStyle w:val="Hypertextovodkaz"/>
            <w:noProof/>
          </w:rPr>
          <w:t>1.3.</w:t>
        </w:r>
        <w:r>
          <w:rPr>
            <w:rFonts w:asciiTheme="minorHAnsi" w:eastAsiaTheme="minorEastAsia" w:hAnsiTheme="minorHAnsi"/>
            <w:noProof/>
            <w:kern w:val="2"/>
            <w:sz w:val="24"/>
            <w:szCs w:val="24"/>
            <w:lang w:val="en-IE" w:eastAsia="en-IE"/>
          </w:rPr>
          <w:tab/>
        </w:r>
        <w:r w:rsidRPr="00C846B7">
          <w:rPr>
            <w:rStyle w:val="Hypertextovodkaz"/>
            <w:noProof/>
          </w:rPr>
          <w:t>Financial allocation provided by the contracting authority</w:t>
        </w:r>
        <w:r>
          <w:rPr>
            <w:noProof/>
            <w:webHidden/>
          </w:rPr>
          <w:tab/>
        </w:r>
        <w:r>
          <w:rPr>
            <w:noProof/>
            <w:webHidden/>
          </w:rPr>
          <w:fldChar w:fldCharType="begin"/>
        </w:r>
        <w:r>
          <w:rPr>
            <w:noProof/>
            <w:webHidden/>
          </w:rPr>
          <w:instrText xml:space="preserve"> PAGEREF _Toc216688222 \h </w:instrText>
        </w:r>
        <w:r>
          <w:rPr>
            <w:noProof/>
            <w:webHidden/>
          </w:rPr>
        </w:r>
        <w:r>
          <w:rPr>
            <w:noProof/>
            <w:webHidden/>
          </w:rPr>
          <w:fldChar w:fldCharType="separate"/>
        </w:r>
        <w:r>
          <w:rPr>
            <w:noProof/>
            <w:webHidden/>
          </w:rPr>
          <w:t>5</w:t>
        </w:r>
        <w:r>
          <w:rPr>
            <w:noProof/>
            <w:webHidden/>
          </w:rPr>
          <w:fldChar w:fldCharType="end"/>
        </w:r>
      </w:hyperlink>
    </w:p>
    <w:p w14:paraId="705B973E" w14:textId="77777777" w:rsidR="001A1A55" w:rsidRDefault="001A1A55">
      <w:pPr>
        <w:pStyle w:val="Obsah1"/>
        <w:rPr>
          <w:rFonts w:asciiTheme="minorHAnsi" w:eastAsiaTheme="minorEastAsia" w:hAnsiTheme="minorHAnsi"/>
          <w:b w:val="0"/>
          <w:caps w:val="0"/>
          <w:noProof/>
          <w:kern w:val="2"/>
          <w:sz w:val="24"/>
          <w:szCs w:val="24"/>
          <w:lang w:val="en-IE" w:eastAsia="en-IE"/>
        </w:rPr>
      </w:pPr>
      <w:hyperlink w:anchor="_Toc216688223" w:history="1">
        <w:r w:rsidRPr="00C846B7">
          <w:rPr>
            <w:rStyle w:val="Hypertextovodkaz"/>
            <w:noProof/>
          </w:rPr>
          <w:t>2.</w:t>
        </w:r>
        <w:r>
          <w:rPr>
            <w:rFonts w:asciiTheme="minorHAnsi" w:eastAsiaTheme="minorEastAsia" w:hAnsiTheme="minorHAnsi"/>
            <w:b w:val="0"/>
            <w:caps w:val="0"/>
            <w:noProof/>
            <w:kern w:val="2"/>
            <w:sz w:val="24"/>
            <w:szCs w:val="24"/>
            <w:lang w:val="en-IE" w:eastAsia="en-IE"/>
          </w:rPr>
          <w:tab/>
        </w:r>
        <w:r w:rsidRPr="00C846B7">
          <w:rPr>
            <w:rStyle w:val="Hypertextovodkaz"/>
            <w:noProof/>
          </w:rPr>
          <w:t>Rules FOR thIS call for proposalS</w:t>
        </w:r>
        <w:r>
          <w:rPr>
            <w:noProof/>
            <w:webHidden/>
          </w:rPr>
          <w:tab/>
        </w:r>
        <w:r>
          <w:rPr>
            <w:noProof/>
            <w:webHidden/>
          </w:rPr>
          <w:fldChar w:fldCharType="begin"/>
        </w:r>
        <w:r>
          <w:rPr>
            <w:noProof/>
            <w:webHidden/>
          </w:rPr>
          <w:instrText xml:space="preserve"> PAGEREF _Toc216688223 \h </w:instrText>
        </w:r>
        <w:r>
          <w:rPr>
            <w:noProof/>
            <w:webHidden/>
          </w:rPr>
        </w:r>
        <w:r>
          <w:rPr>
            <w:noProof/>
            <w:webHidden/>
          </w:rPr>
          <w:fldChar w:fldCharType="separate"/>
        </w:r>
        <w:r>
          <w:rPr>
            <w:noProof/>
            <w:webHidden/>
          </w:rPr>
          <w:t>6</w:t>
        </w:r>
        <w:r>
          <w:rPr>
            <w:noProof/>
            <w:webHidden/>
          </w:rPr>
          <w:fldChar w:fldCharType="end"/>
        </w:r>
      </w:hyperlink>
    </w:p>
    <w:p w14:paraId="04C62714" w14:textId="77777777" w:rsidR="001A1A55" w:rsidRDefault="001A1A55">
      <w:pPr>
        <w:pStyle w:val="Obsah2"/>
        <w:rPr>
          <w:rFonts w:asciiTheme="minorHAnsi" w:eastAsiaTheme="minorEastAsia" w:hAnsiTheme="minorHAnsi"/>
          <w:noProof/>
          <w:kern w:val="2"/>
          <w:sz w:val="24"/>
          <w:szCs w:val="24"/>
          <w:lang w:val="en-IE" w:eastAsia="en-IE"/>
        </w:rPr>
      </w:pPr>
      <w:hyperlink w:anchor="_Toc216688224" w:history="1">
        <w:r w:rsidRPr="00C846B7">
          <w:rPr>
            <w:rStyle w:val="Hypertextovodkaz"/>
            <w:noProof/>
          </w:rPr>
          <w:t>2.1.</w:t>
        </w:r>
        <w:r>
          <w:rPr>
            <w:rFonts w:asciiTheme="minorHAnsi" w:eastAsiaTheme="minorEastAsia" w:hAnsiTheme="minorHAnsi"/>
            <w:noProof/>
            <w:kern w:val="2"/>
            <w:sz w:val="24"/>
            <w:szCs w:val="24"/>
            <w:lang w:val="en-IE" w:eastAsia="en-IE"/>
          </w:rPr>
          <w:tab/>
        </w:r>
        <w:r w:rsidRPr="00C846B7">
          <w:rPr>
            <w:rStyle w:val="Hypertextovodkaz"/>
            <w:noProof/>
          </w:rPr>
          <w:t>Eligibility criteria</w:t>
        </w:r>
        <w:r>
          <w:rPr>
            <w:noProof/>
            <w:webHidden/>
          </w:rPr>
          <w:tab/>
        </w:r>
        <w:r>
          <w:rPr>
            <w:noProof/>
            <w:webHidden/>
          </w:rPr>
          <w:fldChar w:fldCharType="begin"/>
        </w:r>
        <w:r>
          <w:rPr>
            <w:noProof/>
            <w:webHidden/>
          </w:rPr>
          <w:instrText xml:space="preserve"> PAGEREF _Toc216688224 \h </w:instrText>
        </w:r>
        <w:r>
          <w:rPr>
            <w:noProof/>
            <w:webHidden/>
          </w:rPr>
        </w:r>
        <w:r>
          <w:rPr>
            <w:noProof/>
            <w:webHidden/>
          </w:rPr>
          <w:fldChar w:fldCharType="separate"/>
        </w:r>
        <w:r>
          <w:rPr>
            <w:noProof/>
            <w:webHidden/>
          </w:rPr>
          <w:t>7</w:t>
        </w:r>
        <w:r>
          <w:rPr>
            <w:noProof/>
            <w:webHidden/>
          </w:rPr>
          <w:fldChar w:fldCharType="end"/>
        </w:r>
      </w:hyperlink>
    </w:p>
    <w:p w14:paraId="40D5DFFD" w14:textId="77777777" w:rsidR="001A1A55" w:rsidRDefault="001A1A55">
      <w:pPr>
        <w:pStyle w:val="Obsah3"/>
        <w:rPr>
          <w:rFonts w:asciiTheme="minorHAnsi" w:eastAsiaTheme="minorEastAsia" w:hAnsiTheme="minorHAnsi"/>
          <w:kern w:val="2"/>
          <w:sz w:val="24"/>
          <w:szCs w:val="24"/>
          <w:lang w:val="en-IE" w:eastAsia="en-IE"/>
        </w:rPr>
      </w:pPr>
      <w:hyperlink w:anchor="_Toc216688225" w:history="1">
        <w:r w:rsidRPr="00C846B7">
          <w:rPr>
            <w:rStyle w:val="Hypertextovodkaz"/>
            <w:rFonts w:ascii="Times New Roman Bold" w:hAnsi="Times New Roman Bold"/>
          </w:rPr>
          <w:t>2.1.1.</w:t>
        </w:r>
        <w:r>
          <w:rPr>
            <w:rFonts w:asciiTheme="minorHAnsi" w:eastAsiaTheme="minorEastAsia" w:hAnsiTheme="minorHAnsi"/>
            <w:kern w:val="2"/>
            <w:sz w:val="24"/>
            <w:szCs w:val="24"/>
            <w:lang w:val="en-IE" w:eastAsia="en-IE"/>
          </w:rPr>
          <w:tab/>
        </w:r>
        <w:r w:rsidRPr="00C846B7">
          <w:rPr>
            <w:rStyle w:val="Hypertextovodkaz"/>
          </w:rPr>
          <w:t>Eligibility of applicants (i.e. lead applicant and co-applicant(s))</w:t>
        </w:r>
        <w:r>
          <w:rPr>
            <w:webHidden/>
          </w:rPr>
          <w:tab/>
        </w:r>
        <w:r>
          <w:rPr>
            <w:webHidden/>
          </w:rPr>
          <w:fldChar w:fldCharType="begin"/>
        </w:r>
        <w:r>
          <w:rPr>
            <w:webHidden/>
          </w:rPr>
          <w:instrText xml:space="preserve"> PAGEREF _Toc216688225 \h </w:instrText>
        </w:r>
        <w:r>
          <w:rPr>
            <w:webHidden/>
          </w:rPr>
        </w:r>
        <w:r>
          <w:rPr>
            <w:webHidden/>
          </w:rPr>
          <w:fldChar w:fldCharType="separate"/>
        </w:r>
        <w:r>
          <w:rPr>
            <w:webHidden/>
          </w:rPr>
          <w:t>7</w:t>
        </w:r>
        <w:r>
          <w:rPr>
            <w:webHidden/>
          </w:rPr>
          <w:fldChar w:fldCharType="end"/>
        </w:r>
      </w:hyperlink>
    </w:p>
    <w:p w14:paraId="67FECFD0" w14:textId="77777777" w:rsidR="001A1A55" w:rsidRDefault="001A1A55">
      <w:pPr>
        <w:pStyle w:val="Obsah3"/>
        <w:rPr>
          <w:rFonts w:asciiTheme="minorHAnsi" w:eastAsiaTheme="minorEastAsia" w:hAnsiTheme="minorHAnsi"/>
          <w:kern w:val="2"/>
          <w:sz w:val="24"/>
          <w:szCs w:val="24"/>
          <w:lang w:val="en-IE" w:eastAsia="en-IE"/>
        </w:rPr>
      </w:pPr>
      <w:hyperlink w:anchor="_Toc216688226" w:history="1">
        <w:r w:rsidRPr="00C846B7">
          <w:rPr>
            <w:rStyle w:val="Hypertextovodkaz"/>
            <w:rFonts w:ascii="Times New Roman Bold" w:hAnsi="Times New Roman Bold"/>
          </w:rPr>
          <w:t>2.1.2.</w:t>
        </w:r>
        <w:r>
          <w:rPr>
            <w:rFonts w:asciiTheme="minorHAnsi" w:eastAsiaTheme="minorEastAsia" w:hAnsiTheme="minorHAnsi"/>
            <w:kern w:val="2"/>
            <w:sz w:val="24"/>
            <w:szCs w:val="24"/>
            <w:lang w:val="en-IE" w:eastAsia="en-IE"/>
          </w:rPr>
          <w:tab/>
        </w:r>
        <w:r w:rsidRPr="00C846B7">
          <w:rPr>
            <w:rStyle w:val="Hypertextovodkaz"/>
          </w:rPr>
          <w:t>Associates, contractors, recipients of financial support</w:t>
        </w:r>
        <w:r>
          <w:rPr>
            <w:webHidden/>
          </w:rPr>
          <w:tab/>
        </w:r>
        <w:r>
          <w:rPr>
            <w:webHidden/>
          </w:rPr>
          <w:fldChar w:fldCharType="begin"/>
        </w:r>
        <w:r>
          <w:rPr>
            <w:webHidden/>
          </w:rPr>
          <w:instrText xml:space="preserve"> PAGEREF _Toc216688226 \h </w:instrText>
        </w:r>
        <w:r>
          <w:rPr>
            <w:webHidden/>
          </w:rPr>
        </w:r>
        <w:r>
          <w:rPr>
            <w:webHidden/>
          </w:rPr>
          <w:fldChar w:fldCharType="separate"/>
        </w:r>
        <w:r>
          <w:rPr>
            <w:webHidden/>
          </w:rPr>
          <w:t>10</w:t>
        </w:r>
        <w:r>
          <w:rPr>
            <w:webHidden/>
          </w:rPr>
          <w:fldChar w:fldCharType="end"/>
        </w:r>
      </w:hyperlink>
    </w:p>
    <w:p w14:paraId="357755C6" w14:textId="77777777" w:rsidR="001A1A55" w:rsidRDefault="001A1A55">
      <w:pPr>
        <w:pStyle w:val="Obsah3"/>
        <w:rPr>
          <w:rFonts w:asciiTheme="minorHAnsi" w:eastAsiaTheme="minorEastAsia" w:hAnsiTheme="minorHAnsi"/>
          <w:kern w:val="2"/>
          <w:sz w:val="24"/>
          <w:szCs w:val="24"/>
          <w:lang w:val="en-IE" w:eastAsia="en-IE"/>
        </w:rPr>
      </w:pPr>
      <w:hyperlink w:anchor="_Toc216688227" w:history="1">
        <w:r w:rsidRPr="00C846B7">
          <w:rPr>
            <w:rStyle w:val="Hypertextovodkaz"/>
            <w:rFonts w:ascii="Times New Roman Bold" w:hAnsi="Times New Roman Bold"/>
          </w:rPr>
          <w:t>2.1.3.</w:t>
        </w:r>
        <w:r>
          <w:rPr>
            <w:rFonts w:asciiTheme="minorHAnsi" w:eastAsiaTheme="minorEastAsia" w:hAnsiTheme="minorHAnsi"/>
            <w:kern w:val="2"/>
            <w:sz w:val="24"/>
            <w:szCs w:val="24"/>
            <w:lang w:val="en-IE" w:eastAsia="en-IE"/>
          </w:rPr>
          <w:tab/>
        </w:r>
        <w:r w:rsidRPr="00C846B7">
          <w:rPr>
            <w:rStyle w:val="Hypertextovodkaz"/>
          </w:rPr>
          <w:t>Eligible</w:t>
        </w:r>
        <w:r w:rsidRPr="00C846B7">
          <w:rPr>
            <w:rStyle w:val="Hypertextovodkaz"/>
            <w:spacing w:val="-2"/>
          </w:rPr>
          <w:t xml:space="preserve"> </w:t>
        </w:r>
        <w:r w:rsidRPr="00C846B7">
          <w:rPr>
            <w:rStyle w:val="Hypertextovodkaz"/>
          </w:rPr>
          <w:t>actions:</w:t>
        </w:r>
        <w:r w:rsidRPr="00C846B7">
          <w:rPr>
            <w:rStyle w:val="Hypertextovodkaz"/>
            <w:spacing w:val="-1"/>
          </w:rPr>
          <w:t xml:space="preserve"> </w:t>
        </w:r>
        <w:r w:rsidRPr="00C846B7">
          <w:rPr>
            <w:rStyle w:val="Hypertextovodkaz"/>
          </w:rPr>
          <w:t xml:space="preserve"> actions for which an application may be made</w:t>
        </w:r>
        <w:r>
          <w:rPr>
            <w:webHidden/>
          </w:rPr>
          <w:tab/>
        </w:r>
        <w:r>
          <w:rPr>
            <w:webHidden/>
          </w:rPr>
          <w:fldChar w:fldCharType="begin"/>
        </w:r>
        <w:r>
          <w:rPr>
            <w:webHidden/>
          </w:rPr>
          <w:instrText xml:space="preserve"> PAGEREF _Toc216688227 \h </w:instrText>
        </w:r>
        <w:r>
          <w:rPr>
            <w:webHidden/>
          </w:rPr>
        </w:r>
        <w:r>
          <w:rPr>
            <w:webHidden/>
          </w:rPr>
          <w:fldChar w:fldCharType="separate"/>
        </w:r>
        <w:r>
          <w:rPr>
            <w:webHidden/>
          </w:rPr>
          <w:t>10</w:t>
        </w:r>
        <w:r>
          <w:rPr>
            <w:webHidden/>
          </w:rPr>
          <w:fldChar w:fldCharType="end"/>
        </w:r>
      </w:hyperlink>
    </w:p>
    <w:p w14:paraId="3E226665" w14:textId="77777777" w:rsidR="001A1A55" w:rsidRDefault="001A1A55">
      <w:pPr>
        <w:pStyle w:val="Obsah3"/>
        <w:rPr>
          <w:rFonts w:asciiTheme="minorHAnsi" w:eastAsiaTheme="minorEastAsia" w:hAnsiTheme="minorHAnsi"/>
          <w:kern w:val="2"/>
          <w:sz w:val="24"/>
          <w:szCs w:val="24"/>
          <w:lang w:val="en-IE" w:eastAsia="en-IE"/>
        </w:rPr>
      </w:pPr>
      <w:hyperlink w:anchor="_Toc216688228" w:history="1">
        <w:r w:rsidRPr="00C846B7">
          <w:rPr>
            <w:rStyle w:val="Hypertextovodkaz"/>
            <w:rFonts w:ascii="Times New Roman Bold" w:hAnsi="Times New Roman Bold"/>
          </w:rPr>
          <w:t>2.1.4.</w:t>
        </w:r>
        <w:r>
          <w:rPr>
            <w:rFonts w:asciiTheme="minorHAnsi" w:eastAsiaTheme="minorEastAsia" w:hAnsiTheme="minorHAnsi"/>
            <w:kern w:val="2"/>
            <w:sz w:val="24"/>
            <w:szCs w:val="24"/>
            <w:lang w:val="en-IE" w:eastAsia="en-IE"/>
          </w:rPr>
          <w:tab/>
        </w:r>
        <w:r w:rsidRPr="00C846B7">
          <w:rPr>
            <w:rStyle w:val="Hypertextovodkaz"/>
          </w:rPr>
          <w:t>Eligibility of costs and eligibility of results/conditions</w:t>
        </w:r>
        <w:r>
          <w:rPr>
            <w:webHidden/>
          </w:rPr>
          <w:tab/>
        </w:r>
        <w:r>
          <w:rPr>
            <w:webHidden/>
          </w:rPr>
          <w:fldChar w:fldCharType="begin"/>
        </w:r>
        <w:r>
          <w:rPr>
            <w:webHidden/>
          </w:rPr>
          <w:instrText xml:space="preserve"> PAGEREF _Toc216688228 \h </w:instrText>
        </w:r>
        <w:r>
          <w:rPr>
            <w:webHidden/>
          </w:rPr>
        </w:r>
        <w:r>
          <w:rPr>
            <w:webHidden/>
          </w:rPr>
          <w:fldChar w:fldCharType="separate"/>
        </w:r>
        <w:r>
          <w:rPr>
            <w:webHidden/>
          </w:rPr>
          <w:t>17</w:t>
        </w:r>
        <w:r>
          <w:rPr>
            <w:webHidden/>
          </w:rPr>
          <w:fldChar w:fldCharType="end"/>
        </w:r>
      </w:hyperlink>
    </w:p>
    <w:p w14:paraId="48BF05E2" w14:textId="77777777" w:rsidR="001A1A55" w:rsidRDefault="001A1A55">
      <w:pPr>
        <w:pStyle w:val="Obsah3"/>
        <w:rPr>
          <w:rFonts w:asciiTheme="minorHAnsi" w:eastAsiaTheme="minorEastAsia" w:hAnsiTheme="minorHAnsi"/>
          <w:kern w:val="2"/>
          <w:sz w:val="24"/>
          <w:szCs w:val="24"/>
          <w:lang w:val="en-IE" w:eastAsia="en-IE"/>
        </w:rPr>
      </w:pPr>
      <w:hyperlink w:anchor="_Toc216688229" w:history="1">
        <w:r w:rsidRPr="00C846B7">
          <w:rPr>
            <w:rStyle w:val="Hypertextovodkaz"/>
            <w:rFonts w:ascii="Times New Roman Bold" w:hAnsi="Times New Roman Bold"/>
          </w:rPr>
          <w:t>2.1.5.</w:t>
        </w:r>
        <w:r>
          <w:rPr>
            <w:rFonts w:asciiTheme="minorHAnsi" w:eastAsiaTheme="minorEastAsia" w:hAnsiTheme="minorHAnsi"/>
            <w:kern w:val="2"/>
            <w:sz w:val="24"/>
            <w:szCs w:val="24"/>
            <w:lang w:val="en-IE" w:eastAsia="en-IE"/>
          </w:rPr>
          <w:tab/>
        </w:r>
        <w:r w:rsidRPr="00C846B7">
          <w:rPr>
            <w:rStyle w:val="Hypertextovodkaz"/>
          </w:rPr>
          <w:t>Ethics and values</w:t>
        </w:r>
        <w:r>
          <w:rPr>
            <w:webHidden/>
          </w:rPr>
          <w:tab/>
        </w:r>
        <w:r>
          <w:rPr>
            <w:webHidden/>
          </w:rPr>
          <w:fldChar w:fldCharType="begin"/>
        </w:r>
        <w:r>
          <w:rPr>
            <w:webHidden/>
          </w:rPr>
          <w:instrText xml:space="preserve"> PAGEREF _Toc216688229 \h </w:instrText>
        </w:r>
        <w:r>
          <w:rPr>
            <w:webHidden/>
          </w:rPr>
        </w:r>
        <w:r>
          <w:rPr>
            <w:webHidden/>
          </w:rPr>
          <w:fldChar w:fldCharType="separate"/>
        </w:r>
        <w:r>
          <w:rPr>
            <w:webHidden/>
          </w:rPr>
          <w:t>19</w:t>
        </w:r>
        <w:r>
          <w:rPr>
            <w:webHidden/>
          </w:rPr>
          <w:fldChar w:fldCharType="end"/>
        </w:r>
      </w:hyperlink>
    </w:p>
    <w:p w14:paraId="63519D18" w14:textId="77777777" w:rsidR="001A1A55" w:rsidRDefault="001A1A55">
      <w:pPr>
        <w:pStyle w:val="Obsah2"/>
        <w:rPr>
          <w:rFonts w:asciiTheme="minorHAnsi" w:eastAsiaTheme="minorEastAsia" w:hAnsiTheme="minorHAnsi"/>
          <w:noProof/>
          <w:kern w:val="2"/>
          <w:sz w:val="24"/>
          <w:szCs w:val="24"/>
          <w:lang w:val="en-IE" w:eastAsia="en-IE"/>
        </w:rPr>
      </w:pPr>
      <w:hyperlink w:anchor="_Toc216688230" w:history="1">
        <w:r w:rsidRPr="00C846B7">
          <w:rPr>
            <w:rStyle w:val="Hypertextovodkaz"/>
            <w:noProof/>
          </w:rPr>
          <w:t>2.2.</w:t>
        </w:r>
        <w:r>
          <w:rPr>
            <w:rFonts w:asciiTheme="minorHAnsi" w:eastAsiaTheme="minorEastAsia" w:hAnsiTheme="minorHAnsi"/>
            <w:noProof/>
            <w:kern w:val="2"/>
            <w:sz w:val="24"/>
            <w:szCs w:val="24"/>
            <w:lang w:val="en-IE" w:eastAsia="en-IE"/>
          </w:rPr>
          <w:tab/>
        </w:r>
        <w:r w:rsidRPr="00C846B7">
          <w:rPr>
            <w:rStyle w:val="Hypertextovodkaz"/>
            <w:noProof/>
          </w:rPr>
          <w:t>How to apply and the procedures to follow</w:t>
        </w:r>
        <w:r>
          <w:rPr>
            <w:noProof/>
            <w:webHidden/>
          </w:rPr>
          <w:tab/>
        </w:r>
        <w:r>
          <w:rPr>
            <w:noProof/>
            <w:webHidden/>
          </w:rPr>
          <w:fldChar w:fldCharType="begin"/>
        </w:r>
        <w:r>
          <w:rPr>
            <w:noProof/>
            <w:webHidden/>
          </w:rPr>
          <w:instrText xml:space="preserve"> PAGEREF _Toc216688230 \h </w:instrText>
        </w:r>
        <w:r>
          <w:rPr>
            <w:noProof/>
            <w:webHidden/>
          </w:rPr>
        </w:r>
        <w:r>
          <w:rPr>
            <w:noProof/>
            <w:webHidden/>
          </w:rPr>
          <w:fldChar w:fldCharType="separate"/>
        </w:r>
        <w:r>
          <w:rPr>
            <w:noProof/>
            <w:webHidden/>
          </w:rPr>
          <w:t>20</w:t>
        </w:r>
        <w:r>
          <w:rPr>
            <w:noProof/>
            <w:webHidden/>
          </w:rPr>
          <w:fldChar w:fldCharType="end"/>
        </w:r>
      </w:hyperlink>
    </w:p>
    <w:p w14:paraId="4D04946F" w14:textId="77777777" w:rsidR="001A1A55" w:rsidRDefault="001A1A55">
      <w:pPr>
        <w:pStyle w:val="Obsah3"/>
        <w:rPr>
          <w:rFonts w:asciiTheme="minorHAnsi" w:eastAsiaTheme="minorEastAsia" w:hAnsiTheme="minorHAnsi"/>
          <w:kern w:val="2"/>
          <w:sz w:val="24"/>
          <w:szCs w:val="24"/>
          <w:lang w:val="en-IE" w:eastAsia="en-IE"/>
        </w:rPr>
      </w:pPr>
      <w:hyperlink w:anchor="_Toc216688231" w:history="1">
        <w:r w:rsidRPr="00C846B7">
          <w:rPr>
            <w:rStyle w:val="Hypertextovodkaz"/>
            <w:rFonts w:ascii="Times New Roman Bold" w:hAnsi="Times New Roman Bold"/>
          </w:rPr>
          <w:t>2.2.1.</w:t>
        </w:r>
        <w:r>
          <w:rPr>
            <w:rFonts w:asciiTheme="minorHAnsi" w:eastAsiaTheme="minorEastAsia" w:hAnsiTheme="minorHAnsi"/>
            <w:kern w:val="2"/>
            <w:sz w:val="24"/>
            <w:szCs w:val="24"/>
            <w:lang w:val="en-IE" w:eastAsia="en-IE"/>
          </w:rPr>
          <w:tab/>
        </w:r>
        <w:r w:rsidRPr="00C846B7">
          <w:rPr>
            <w:rStyle w:val="Hypertextovodkaz"/>
          </w:rPr>
          <w:t>Application forms</w:t>
        </w:r>
        <w:r>
          <w:rPr>
            <w:webHidden/>
          </w:rPr>
          <w:tab/>
        </w:r>
        <w:r>
          <w:rPr>
            <w:webHidden/>
          </w:rPr>
          <w:fldChar w:fldCharType="begin"/>
        </w:r>
        <w:r>
          <w:rPr>
            <w:webHidden/>
          </w:rPr>
          <w:instrText xml:space="preserve"> PAGEREF _Toc216688231 \h </w:instrText>
        </w:r>
        <w:r>
          <w:rPr>
            <w:webHidden/>
          </w:rPr>
        </w:r>
        <w:r>
          <w:rPr>
            <w:webHidden/>
          </w:rPr>
          <w:fldChar w:fldCharType="separate"/>
        </w:r>
        <w:r>
          <w:rPr>
            <w:webHidden/>
          </w:rPr>
          <w:t>20</w:t>
        </w:r>
        <w:r>
          <w:rPr>
            <w:webHidden/>
          </w:rPr>
          <w:fldChar w:fldCharType="end"/>
        </w:r>
      </w:hyperlink>
    </w:p>
    <w:p w14:paraId="43BF43AF" w14:textId="77777777" w:rsidR="001A1A55" w:rsidRDefault="001A1A55">
      <w:pPr>
        <w:pStyle w:val="Obsah3"/>
        <w:rPr>
          <w:rFonts w:asciiTheme="minorHAnsi" w:eastAsiaTheme="minorEastAsia" w:hAnsiTheme="minorHAnsi"/>
          <w:kern w:val="2"/>
          <w:sz w:val="24"/>
          <w:szCs w:val="24"/>
          <w:lang w:val="en-IE" w:eastAsia="en-IE"/>
        </w:rPr>
      </w:pPr>
      <w:hyperlink w:anchor="_Toc216688232" w:history="1">
        <w:r w:rsidRPr="00C846B7">
          <w:rPr>
            <w:rStyle w:val="Hypertextovodkaz"/>
            <w:rFonts w:ascii="Times New Roman Bold" w:hAnsi="Times New Roman Bold"/>
          </w:rPr>
          <w:t>2.2.2.</w:t>
        </w:r>
        <w:r>
          <w:rPr>
            <w:rFonts w:asciiTheme="minorHAnsi" w:eastAsiaTheme="minorEastAsia" w:hAnsiTheme="minorHAnsi"/>
            <w:kern w:val="2"/>
            <w:sz w:val="24"/>
            <w:szCs w:val="24"/>
            <w:lang w:val="en-IE" w:eastAsia="en-IE"/>
          </w:rPr>
          <w:tab/>
        </w:r>
        <w:r w:rsidRPr="00C846B7">
          <w:rPr>
            <w:rStyle w:val="Hypertextovodkaz"/>
          </w:rPr>
          <w:t>Where and how to send applications</w:t>
        </w:r>
        <w:r>
          <w:rPr>
            <w:webHidden/>
          </w:rPr>
          <w:tab/>
        </w:r>
        <w:r>
          <w:rPr>
            <w:webHidden/>
          </w:rPr>
          <w:fldChar w:fldCharType="begin"/>
        </w:r>
        <w:r>
          <w:rPr>
            <w:webHidden/>
          </w:rPr>
          <w:instrText xml:space="preserve"> PAGEREF _Toc216688232 \h </w:instrText>
        </w:r>
        <w:r>
          <w:rPr>
            <w:webHidden/>
          </w:rPr>
        </w:r>
        <w:r>
          <w:rPr>
            <w:webHidden/>
          </w:rPr>
          <w:fldChar w:fldCharType="separate"/>
        </w:r>
        <w:r>
          <w:rPr>
            <w:webHidden/>
          </w:rPr>
          <w:t>22</w:t>
        </w:r>
        <w:r>
          <w:rPr>
            <w:webHidden/>
          </w:rPr>
          <w:fldChar w:fldCharType="end"/>
        </w:r>
      </w:hyperlink>
    </w:p>
    <w:p w14:paraId="1B9476DB" w14:textId="77777777" w:rsidR="001A1A55" w:rsidRDefault="001A1A55">
      <w:pPr>
        <w:pStyle w:val="Obsah3"/>
        <w:rPr>
          <w:rFonts w:asciiTheme="minorHAnsi" w:eastAsiaTheme="minorEastAsia" w:hAnsiTheme="minorHAnsi"/>
          <w:kern w:val="2"/>
          <w:sz w:val="24"/>
          <w:szCs w:val="24"/>
          <w:lang w:val="en-IE" w:eastAsia="en-IE"/>
        </w:rPr>
      </w:pPr>
      <w:hyperlink w:anchor="_Toc216688233" w:history="1">
        <w:r w:rsidRPr="00C846B7">
          <w:rPr>
            <w:rStyle w:val="Hypertextovodkaz"/>
            <w:rFonts w:ascii="Times New Roman Bold" w:hAnsi="Times New Roman Bold"/>
          </w:rPr>
          <w:t>2.2.3.</w:t>
        </w:r>
        <w:r>
          <w:rPr>
            <w:rFonts w:asciiTheme="minorHAnsi" w:eastAsiaTheme="minorEastAsia" w:hAnsiTheme="minorHAnsi"/>
            <w:kern w:val="2"/>
            <w:sz w:val="24"/>
            <w:szCs w:val="24"/>
            <w:lang w:val="en-IE" w:eastAsia="en-IE"/>
          </w:rPr>
          <w:tab/>
        </w:r>
        <w:r w:rsidRPr="00C846B7">
          <w:rPr>
            <w:rStyle w:val="Hypertextovodkaz"/>
          </w:rPr>
          <w:t>Deadline for submission of applications</w:t>
        </w:r>
        <w:r>
          <w:rPr>
            <w:webHidden/>
          </w:rPr>
          <w:tab/>
        </w:r>
        <w:r>
          <w:rPr>
            <w:webHidden/>
          </w:rPr>
          <w:fldChar w:fldCharType="begin"/>
        </w:r>
        <w:r>
          <w:rPr>
            <w:webHidden/>
          </w:rPr>
          <w:instrText xml:space="preserve"> PAGEREF _Toc216688233 \h </w:instrText>
        </w:r>
        <w:r>
          <w:rPr>
            <w:webHidden/>
          </w:rPr>
        </w:r>
        <w:r>
          <w:rPr>
            <w:webHidden/>
          </w:rPr>
          <w:fldChar w:fldCharType="separate"/>
        </w:r>
        <w:r>
          <w:rPr>
            <w:webHidden/>
          </w:rPr>
          <w:t>22</w:t>
        </w:r>
        <w:r>
          <w:rPr>
            <w:webHidden/>
          </w:rPr>
          <w:fldChar w:fldCharType="end"/>
        </w:r>
      </w:hyperlink>
    </w:p>
    <w:p w14:paraId="29A060B7" w14:textId="77777777" w:rsidR="001A1A55" w:rsidRDefault="001A1A55">
      <w:pPr>
        <w:pStyle w:val="Obsah3"/>
        <w:rPr>
          <w:rFonts w:asciiTheme="minorHAnsi" w:eastAsiaTheme="minorEastAsia" w:hAnsiTheme="minorHAnsi"/>
          <w:kern w:val="2"/>
          <w:sz w:val="24"/>
          <w:szCs w:val="24"/>
          <w:lang w:val="en-IE" w:eastAsia="en-IE"/>
        </w:rPr>
      </w:pPr>
      <w:hyperlink w:anchor="_Toc216688234" w:history="1">
        <w:r w:rsidRPr="00C846B7">
          <w:rPr>
            <w:rStyle w:val="Hypertextovodkaz"/>
            <w:rFonts w:ascii="Times New Roman Bold" w:hAnsi="Times New Roman Bold"/>
          </w:rPr>
          <w:t>2.2.4.</w:t>
        </w:r>
        <w:r>
          <w:rPr>
            <w:rFonts w:asciiTheme="minorHAnsi" w:eastAsiaTheme="minorEastAsia" w:hAnsiTheme="minorHAnsi"/>
            <w:kern w:val="2"/>
            <w:sz w:val="24"/>
            <w:szCs w:val="24"/>
            <w:lang w:val="en-IE" w:eastAsia="en-IE"/>
          </w:rPr>
          <w:tab/>
        </w:r>
        <w:r w:rsidRPr="00C846B7">
          <w:rPr>
            <w:rStyle w:val="Hypertextovodkaz"/>
          </w:rPr>
          <w:t>Further information about applications</w:t>
        </w:r>
        <w:r>
          <w:rPr>
            <w:webHidden/>
          </w:rPr>
          <w:tab/>
        </w:r>
        <w:r>
          <w:rPr>
            <w:webHidden/>
          </w:rPr>
          <w:fldChar w:fldCharType="begin"/>
        </w:r>
        <w:r>
          <w:rPr>
            <w:webHidden/>
          </w:rPr>
          <w:instrText xml:space="preserve"> PAGEREF _Toc216688234 \h </w:instrText>
        </w:r>
        <w:r>
          <w:rPr>
            <w:webHidden/>
          </w:rPr>
        </w:r>
        <w:r>
          <w:rPr>
            <w:webHidden/>
          </w:rPr>
          <w:fldChar w:fldCharType="separate"/>
        </w:r>
        <w:r>
          <w:rPr>
            <w:webHidden/>
          </w:rPr>
          <w:t>23</w:t>
        </w:r>
        <w:r>
          <w:rPr>
            <w:webHidden/>
          </w:rPr>
          <w:fldChar w:fldCharType="end"/>
        </w:r>
      </w:hyperlink>
    </w:p>
    <w:p w14:paraId="08AB05F4" w14:textId="77777777" w:rsidR="001A1A55" w:rsidRDefault="001A1A55">
      <w:pPr>
        <w:pStyle w:val="Obsah2"/>
        <w:rPr>
          <w:rFonts w:asciiTheme="minorHAnsi" w:eastAsiaTheme="minorEastAsia" w:hAnsiTheme="minorHAnsi"/>
          <w:noProof/>
          <w:kern w:val="2"/>
          <w:sz w:val="24"/>
          <w:szCs w:val="24"/>
          <w:lang w:val="en-IE" w:eastAsia="en-IE"/>
        </w:rPr>
      </w:pPr>
      <w:hyperlink w:anchor="_Toc216688235" w:history="1">
        <w:r w:rsidRPr="00C846B7">
          <w:rPr>
            <w:rStyle w:val="Hypertextovodkaz"/>
            <w:noProof/>
          </w:rPr>
          <w:t>2.3.</w:t>
        </w:r>
        <w:r>
          <w:rPr>
            <w:rFonts w:asciiTheme="minorHAnsi" w:eastAsiaTheme="minorEastAsia" w:hAnsiTheme="minorHAnsi"/>
            <w:noProof/>
            <w:kern w:val="2"/>
            <w:sz w:val="24"/>
            <w:szCs w:val="24"/>
            <w:lang w:val="en-IE" w:eastAsia="en-IE"/>
          </w:rPr>
          <w:tab/>
        </w:r>
        <w:r w:rsidRPr="00C846B7">
          <w:rPr>
            <w:rStyle w:val="Hypertextovodkaz"/>
            <w:noProof/>
          </w:rPr>
          <w:t>Evaluation</w:t>
        </w:r>
        <w:r>
          <w:rPr>
            <w:noProof/>
            <w:webHidden/>
          </w:rPr>
          <w:tab/>
        </w:r>
        <w:r>
          <w:rPr>
            <w:noProof/>
            <w:webHidden/>
          </w:rPr>
          <w:fldChar w:fldCharType="begin"/>
        </w:r>
        <w:r>
          <w:rPr>
            <w:noProof/>
            <w:webHidden/>
          </w:rPr>
          <w:instrText xml:space="preserve"> PAGEREF _Toc216688235 \h </w:instrText>
        </w:r>
        <w:r>
          <w:rPr>
            <w:noProof/>
            <w:webHidden/>
          </w:rPr>
        </w:r>
        <w:r>
          <w:rPr>
            <w:noProof/>
            <w:webHidden/>
          </w:rPr>
          <w:fldChar w:fldCharType="separate"/>
        </w:r>
        <w:r>
          <w:rPr>
            <w:noProof/>
            <w:webHidden/>
          </w:rPr>
          <w:t>23</w:t>
        </w:r>
        <w:r>
          <w:rPr>
            <w:noProof/>
            <w:webHidden/>
          </w:rPr>
          <w:fldChar w:fldCharType="end"/>
        </w:r>
      </w:hyperlink>
    </w:p>
    <w:p w14:paraId="24102155" w14:textId="77777777" w:rsidR="001A1A55" w:rsidRDefault="001A1A55">
      <w:pPr>
        <w:pStyle w:val="Obsah3"/>
        <w:rPr>
          <w:rFonts w:asciiTheme="minorHAnsi" w:eastAsiaTheme="minorEastAsia" w:hAnsiTheme="minorHAnsi"/>
          <w:kern w:val="2"/>
          <w:sz w:val="24"/>
          <w:szCs w:val="24"/>
          <w:lang w:val="en-IE" w:eastAsia="en-IE"/>
        </w:rPr>
      </w:pPr>
      <w:hyperlink w:anchor="_Toc216688236" w:history="1">
        <w:r w:rsidRPr="00C846B7">
          <w:rPr>
            <w:rStyle w:val="Hypertextovodkaz"/>
            <w:rFonts w:ascii="Times New Roman Bold" w:hAnsi="Times New Roman Bold"/>
          </w:rPr>
          <w:t>2.3.1.</w:t>
        </w:r>
        <w:r>
          <w:rPr>
            <w:rFonts w:asciiTheme="minorHAnsi" w:eastAsiaTheme="minorEastAsia" w:hAnsiTheme="minorHAnsi"/>
            <w:kern w:val="2"/>
            <w:sz w:val="24"/>
            <w:szCs w:val="24"/>
            <w:lang w:val="en-IE" w:eastAsia="en-IE"/>
          </w:rPr>
          <w:tab/>
        </w:r>
        <w:r w:rsidRPr="00C846B7">
          <w:rPr>
            <w:rStyle w:val="Hypertextovodkaz"/>
          </w:rPr>
          <w:t>STEP 1: ADMINISTRATIVE CHECKS AND CONCEPT NOTE EVALUATION</w:t>
        </w:r>
        <w:r>
          <w:rPr>
            <w:webHidden/>
          </w:rPr>
          <w:tab/>
        </w:r>
        <w:r>
          <w:rPr>
            <w:webHidden/>
          </w:rPr>
          <w:fldChar w:fldCharType="begin"/>
        </w:r>
        <w:r>
          <w:rPr>
            <w:webHidden/>
          </w:rPr>
          <w:instrText xml:space="preserve"> PAGEREF _Toc216688236 \h </w:instrText>
        </w:r>
        <w:r>
          <w:rPr>
            <w:webHidden/>
          </w:rPr>
        </w:r>
        <w:r>
          <w:rPr>
            <w:webHidden/>
          </w:rPr>
          <w:fldChar w:fldCharType="separate"/>
        </w:r>
        <w:r>
          <w:rPr>
            <w:webHidden/>
          </w:rPr>
          <w:t>23</w:t>
        </w:r>
        <w:r>
          <w:rPr>
            <w:webHidden/>
          </w:rPr>
          <w:fldChar w:fldCharType="end"/>
        </w:r>
      </w:hyperlink>
    </w:p>
    <w:p w14:paraId="19DB7C7E" w14:textId="77777777" w:rsidR="001A1A55" w:rsidRDefault="001A1A55">
      <w:pPr>
        <w:pStyle w:val="Obsah3"/>
        <w:rPr>
          <w:rFonts w:asciiTheme="minorHAnsi" w:eastAsiaTheme="minorEastAsia" w:hAnsiTheme="minorHAnsi"/>
          <w:kern w:val="2"/>
          <w:sz w:val="24"/>
          <w:szCs w:val="24"/>
          <w:lang w:val="en-IE" w:eastAsia="en-IE"/>
        </w:rPr>
      </w:pPr>
      <w:hyperlink w:anchor="_Toc216688237" w:history="1">
        <w:r w:rsidRPr="00C846B7">
          <w:rPr>
            <w:rStyle w:val="Hypertextovodkaz"/>
            <w:rFonts w:ascii="Times New Roman Bold" w:hAnsi="Times New Roman Bold"/>
          </w:rPr>
          <w:t>2.3.2.</w:t>
        </w:r>
        <w:r>
          <w:rPr>
            <w:rFonts w:asciiTheme="minorHAnsi" w:eastAsiaTheme="minorEastAsia" w:hAnsiTheme="minorHAnsi"/>
            <w:kern w:val="2"/>
            <w:sz w:val="24"/>
            <w:szCs w:val="24"/>
            <w:lang w:val="en-IE" w:eastAsia="en-IE"/>
          </w:rPr>
          <w:tab/>
        </w:r>
        <w:r w:rsidRPr="00C846B7">
          <w:rPr>
            <w:rStyle w:val="Hypertextovodkaz"/>
          </w:rPr>
          <w:t>STEP 2: EVALUATION OF THE FULL APPLICATION</w:t>
        </w:r>
        <w:r>
          <w:rPr>
            <w:webHidden/>
          </w:rPr>
          <w:tab/>
        </w:r>
        <w:r>
          <w:rPr>
            <w:webHidden/>
          </w:rPr>
          <w:fldChar w:fldCharType="begin"/>
        </w:r>
        <w:r>
          <w:rPr>
            <w:webHidden/>
          </w:rPr>
          <w:instrText xml:space="preserve"> PAGEREF _Toc216688237 \h </w:instrText>
        </w:r>
        <w:r>
          <w:rPr>
            <w:webHidden/>
          </w:rPr>
        </w:r>
        <w:r>
          <w:rPr>
            <w:webHidden/>
          </w:rPr>
          <w:fldChar w:fldCharType="separate"/>
        </w:r>
        <w:r>
          <w:rPr>
            <w:webHidden/>
          </w:rPr>
          <w:t>25</w:t>
        </w:r>
        <w:r>
          <w:rPr>
            <w:webHidden/>
          </w:rPr>
          <w:fldChar w:fldCharType="end"/>
        </w:r>
      </w:hyperlink>
    </w:p>
    <w:p w14:paraId="1443B39C" w14:textId="77777777" w:rsidR="001A1A55" w:rsidRDefault="001A1A55">
      <w:pPr>
        <w:pStyle w:val="Obsah3"/>
        <w:rPr>
          <w:rFonts w:asciiTheme="minorHAnsi" w:eastAsiaTheme="minorEastAsia" w:hAnsiTheme="minorHAnsi"/>
          <w:kern w:val="2"/>
          <w:sz w:val="24"/>
          <w:szCs w:val="24"/>
          <w:lang w:val="en-IE" w:eastAsia="en-IE"/>
        </w:rPr>
      </w:pPr>
      <w:hyperlink w:anchor="_Toc216688238" w:history="1">
        <w:r w:rsidRPr="00C846B7">
          <w:rPr>
            <w:rStyle w:val="Hypertextovodkaz"/>
            <w:rFonts w:ascii="Times New Roman Bold" w:hAnsi="Times New Roman Bold"/>
          </w:rPr>
          <w:t>2.3.3.</w:t>
        </w:r>
        <w:r>
          <w:rPr>
            <w:rFonts w:asciiTheme="minorHAnsi" w:eastAsiaTheme="minorEastAsia" w:hAnsiTheme="minorHAnsi"/>
            <w:kern w:val="2"/>
            <w:sz w:val="24"/>
            <w:szCs w:val="24"/>
            <w:lang w:val="en-IE" w:eastAsia="en-IE"/>
          </w:rPr>
          <w:tab/>
        </w:r>
        <w:r w:rsidRPr="00C846B7">
          <w:rPr>
            <w:rStyle w:val="Hypertextovodkaz"/>
          </w:rPr>
          <w:t>STEP 3: VERIFICATION OF ELIGIBILITY OF THE APPLICANTS AND AFFILIATED ENTITY(IES) AND OTHER SUPPORTING DOCUMENTS</w:t>
        </w:r>
        <w:r>
          <w:rPr>
            <w:webHidden/>
          </w:rPr>
          <w:tab/>
        </w:r>
        <w:r>
          <w:rPr>
            <w:webHidden/>
          </w:rPr>
          <w:fldChar w:fldCharType="begin"/>
        </w:r>
        <w:r>
          <w:rPr>
            <w:webHidden/>
          </w:rPr>
          <w:instrText xml:space="preserve"> PAGEREF _Toc216688238 \h </w:instrText>
        </w:r>
        <w:r>
          <w:rPr>
            <w:webHidden/>
          </w:rPr>
        </w:r>
        <w:r>
          <w:rPr>
            <w:webHidden/>
          </w:rPr>
          <w:fldChar w:fldCharType="separate"/>
        </w:r>
        <w:r>
          <w:rPr>
            <w:webHidden/>
          </w:rPr>
          <w:t>28</w:t>
        </w:r>
        <w:r>
          <w:rPr>
            <w:webHidden/>
          </w:rPr>
          <w:fldChar w:fldCharType="end"/>
        </w:r>
      </w:hyperlink>
    </w:p>
    <w:p w14:paraId="044E263E" w14:textId="77777777" w:rsidR="001A1A55" w:rsidRDefault="001A1A55">
      <w:pPr>
        <w:pStyle w:val="Obsah2"/>
        <w:rPr>
          <w:rFonts w:asciiTheme="minorHAnsi" w:eastAsiaTheme="minorEastAsia" w:hAnsiTheme="minorHAnsi"/>
          <w:noProof/>
          <w:kern w:val="2"/>
          <w:sz w:val="24"/>
          <w:szCs w:val="24"/>
          <w:lang w:val="en-IE" w:eastAsia="en-IE"/>
        </w:rPr>
      </w:pPr>
      <w:hyperlink w:anchor="_Toc216688239" w:history="1">
        <w:r w:rsidRPr="00C846B7">
          <w:rPr>
            <w:rStyle w:val="Hypertextovodkaz"/>
            <w:noProof/>
          </w:rPr>
          <w:t>2.4.</w:t>
        </w:r>
        <w:r>
          <w:rPr>
            <w:rFonts w:asciiTheme="minorHAnsi" w:eastAsiaTheme="minorEastAsia" w:hAnsiTheme="minorHAnsi"/>
            <w:noProof/>
            <w:kern w:val="2"/>
            <w:sz w:val="24"/>
            <w:szCs w:val="24"/>
            <w:lang w:val="en-IE" w:eastAsia="en-IE"/>
          </w:rPr>
          <w:tab/>
        </w:r>
        <w:r w:rsidRPr="00C846B7">
          <w:rPr>
            <w:rStyle w:val="Hypertextovodkaz"/>
            <w:noProof/>
          </w:rPr>
          <w:t>Award decision</w:t>
        </w:r>
        <w:r>
          <w:rPr>
            <w:noProof/>
            <w:webHidden/>
          </w:rPr>
          <w:tab/>
        </w:r>
        <w:r>
          <w:rPr>
            <w:noProof/>
            <w:webHidden/>
          </w:rPr>
          <w:fldChar w:fldCharType="begin"/>
        </w:r>
        <w:r>
          <w:rPr>
            <w:noProof/>
            <w:webHidden/>
          </w:rPr>
          <w:instrText xml:space="preserve"> PAGEREF _Toc216688239 \h </w:instrText>
        </w:r>
        <w:r>
          <w:rPr>
            <w:noProof/>
            <w:webHidden/>
          </w:rPr>
        </w:r>
        <w:r>
          <w:rPr>
            <w:noProof/>
            <w:webHidden/>
          </w:rPr>
          <w:fldChar w:fldCharType="separate"/>
        </w:r>
        <w:r>
          <w:rPr>
            <w:noProof/>
            <w:webHidden/>
          </w:rPr>
          <w:t>29</w:t>
        </w:r>
        <w:r>
          <w:rPr>
            <w:noProof/>
            <w:webHidden/>
          </w:rPr>
          <w:fldChar w:fldCharType="end"/>
        </w:r>
      </w:hyperlink>
    </w:p>
    <w:p w14:paraId="451DBF56" w14:textId="77777777" w:rsidR="001A1A55" w:rsidRDefault="001A1A55">
      <w:pPr>
        <w:pStyle w:val="Obsah2"/>
        <w:rPr>
          <w:rFonts w:asciiTheme="minorHAnsi" w:eastAsiaTheme="minorEastAsia" w:hAnsiTheme="minorHAnsi"/>
          <w:noProof/>
          <w:kern w:val="2"/>
          <w:sz w:val="24"/>
          <w:szCs w:val="24"/>
          <w:lang w:val="en-IE" w:eastAsia="en-IE"/>
        </w:rPr>
      </w:pPr>
      <w:hyperlink w:anchor="_Toc216688240" w:history="1">
        <w:r w:rsidRPr="00C846B7">
          <w:rPr>
            <w:rStyle w:val="Hypertextovodkaz"/>
            <w:noProof/>
          </w:rPr>
          <w:t>2.5.</w:t>
        </w:r>
        <w:r>
          <w:rPr>
            <w:rFonts w:asciiTheme="minorHAnsi" w:eastAsiaTheme="minorEastAsia" w:hAnsiTheme="minorHAnsi"/>
            <w:noProof/>
            <w:kern w:val="2"/>
            <w:sz w:val="24"/>
            <w:szCs w:val="24"/>
            <w:lang w:val="en-IE" w:eastAsia="en-IE"/>
          </w:rPr>
          <w:tab/>
        </w:r>
        <w:r w:rsidRPr="00C846B7">
          <w:rPr>
            <w:rStyle w:val="Hypertextovodkaz"/>
            <w:noProof/>
          </w:rPr>
          <w:t>Notification of the Contracting Authority’s decision</w:t>
        </w:r>
        <w:r>
          <w:rPr>
            <w:noProof/>
            <w:webHidden/>
          </w:rPr>
          <w:tab/>
        </w:r>
        <w:r>
          <w:rPr>
            <w:noProof/>
            <w:webHidden/>
          </w:rPr>
          <w:fldChar w:fldCharType="begin"/>
        </w:r>
        <w:r>
          <w:rPr>
            <w:noProof/>
            <w:webHidden/>
          </w:rPr>
          <w:instrText xml:space="preserve"> PAGEREF _Toc216688240 \h </w:instrText>
        </w:r>
        <w:r>
          <w:rPr>
            <w:noProof/>
            <w:webHidden/>
          </w:rPr>
        </w:r>
        <w:r>
          <w:rPr>
            <w:noProof/>
            <w:webHidden/>
          </w:rPr>
          <w:fldChar w:fldCharType="separate"/>
        </w:r>
        <w:r>
          <w:rPr>
            <w:noProof/>
            <w:webHidden/>
          </w:rPr>
          <w:t>29</w:t>
        </w:r>
        <w:r>
          <w:rPr>
            <w:noProof/>
            <w:webHidden/>
          </w:rPr>
          <w:fldChar w:fldCharType="end"/>
        </w:r>
      </w:hyperlink>
    </w:p>
    <w:p w14:paraId="21422388" w14:textId="77777777" w:rsidR="001A1A55" w:rsidRDefault="001A1A55">
      <w:pPr>
        <w:pStyle w:val="Obsah2"/>
        <w:rPr>
          <w:rFonts w:asciiTheme="minorHAnsi" w:eastAsiaTheme="minorEastAsia" w:hAnsiTheme="minorHAnsi"/>
          <w:noProof/>
          <w:kern w:val="2"/>
          <w:sz w:val="24"/>
          <w:szCs w:val="24"/>
          <w:lang w:val="en-IE" w:eastAsia="en-IE"/>
        </w:rPr>
      </w:pPr>
      <w:hyperlink w:anchor="_Toc216688241" w:history="1">
        <w:r w:rsidRPr="00C846B7">
          <w:rPr>
            <w:rStyle w:val="Hypertextovodkaz"/>
            <w:noProof/>
          </w:rPr>
          <w:t>2.6.</w:t>
        </w:r>
        <w:r>
          <w:rPr>
            <w:rFonts w:asciiTheme="minorHAnsi" w:eastAsiaTheme="minorEastAsia" w:hAnsiTheme="minorHAnsi"/>
            <w:noProof/>
            <w:kern w:val="2"/>
            <w:sz w:val="24"/>
            <w:szCs w:val="24"/>
            <w:lang w:val="en-IE" w:eastAsia="en-IE"/>
          </w:rPr>
          <w:tab/>
        </w:r>
        <w:r w:rsidRPr="00C846B7">
          <w:rPr>
            <w:rStyle w:val="Hypertextovodkaz"/>
            <w:noProof/>
          </w:rPr>
          <w:t>Signature of the grant contract</w:t>
        </w:r>
        <w:r>
          <w:rPr>
            <w:noProof/>
            <w:webHidden/>
          </w:rPr>
          <w:tab/>
        </w:r>
        <w:r>
          <w:rPr>
            <w:noProof/>
            <w:webHidden/>
          </w:rPr>
          <w:fldChar w:fldCharType="begin"/>
        </w:r>
        <w:r>
          <w:rPr>
            <w:noProof/>
            <w:webHidden/>
          </w:rPr>
          <w:instrText xml:space="preserve"> PAGEREF _Toc216688241 \h </w:instrText>
        </w:r>
        <w:r>
          <w:rPr>
            <w:noProof/>
            <w:webHidden/>
          </w:rPr>
        </w:r>
        <w:r>
          <w:rPr>
            <w:noProof/>
            <w:webHidden/>
          </w:rPr>
          <w:fldChar w:fldCharType="separate"/>
        </w:r>
        <w:r>
          <w:rPr>
            <w:noProof/>
            <w:webHidden/>
          </w:rPr>
          <w:t>29</w:t>
        </w:r>
        <w:r>
          <w:rPr>
            <w:noProof/>
            <w:webHidden/>
          </w:rPr>
          <w:fldChar w:fldCharType="end"/>
        </w:r>
      </w:hyperlink>
    </w:p>
    <w:p w14:paraId="0159D15B" w14:textId="77777777" w:rsidR="001A1A55" w:rsidRDefault="001A1A55">
      <w:pPr>
        <w:pStyle w:val="Obsah2"/>
        <w:rPr>
          <w:rFonts w:asciiTheme="minorHAnsi" w:eastAsiaTheme="minorEastAsia" w:hAnsiTheme="minorHAnsi"/>
          <w:noProof/>
          <w:kern w:val="2"/>
          <w:sz w:val="24"/>
          <w:szCs w:val="24"/>
          <w:lang w:val="en-IE" w:eastAsia="en-IE"/>
        </w:rPr>
      </w:pPr>
      <w:hyperlink w:anchor="_Toc216688242" w:history="1">
        <w:r w:rsidRPr="00C846B7">
          <w:rPr>
            <w:rStyle w:val="Hypertextovodkaz"/>
            <w:noProof/>
            <w:lang w:val="en-IE"/>
          </w:rPr>
          <w:t>2.7.</w:t>
        </w:r>
        <w:r>
          <w:rPr>
            <w:rFonts w:asciiTheme="minorHAnsi" w:eastAsiaTheme="minorEastAsia" w:hAnsiTheme="minorHAnsi"/>
            <w:noProof/>
            <w:kern w:val="2"/>
            <w:sz w:val="24"/>
            <w:szCs w:val="24"/>
            <w:lang w:val="en-IE" w:eastAsia="en-IE"/>
          </w:rPr>
          <w:tab/>
        </w:r>
        <w:r w:rsidRPr="00C846B7">
          <w:rPr>
            <w:rStyle w:val="Hypertextovodkaz"/>
            <w:noProof/>
          </w:rPr>
          <w:t>Indicative timetable</w:t>
        </w:r>
        <w:r>
          <w:rPr>
            <w:noProof/>
            <w:webHidden/>
          </w:rPr>
          <w:tab/>
        </w:r>
        <w:r>
          <w:rPr>
            <w:noProof/>
            <w:webHidden/>
          </w:rPr>
          <w:fldChar w:fldCharType="begin"/>
        </w:r>
        <w:r>
          <w:rPr>
            <w:noProof/>
            <w:webHidden/>
          </w:rPr>
          <w:instrText xml:space="preserve"> PAGEREF _Toc216688242 \h </w:instrText>
        </w:r>
        <w:r>
          <w:rPr>
            <w:noProof/>
            <w:webHidden/>
          </w:rPr>
        </w:r>
        <w:r>
          <w:rPr>
            <w:noProof/>
            <w:webHidden/>
          </w:rPr>
          <w:fldChar w:fldCharType="separate"/>
        </w:r>
        <w:r>
          <w:rPr>
            <w:noProof/>
            <w:webHidden/>
          </w:rPr>
          <w:t>30</w:t>
        </w:r>
        <w:r>
          <w:rPr>
            <w:noProof/>
            <w:webHidden/>
          </w:rPr>
          <w:fldChar w:fldCharType="end"/>
        </w:r>
      </w:hyperlink>
    </w:p>
    <w:p w14:paraId="6DC14555" w14:textId="77777777" w:rsidR="001A1A55" w:rsidRDefault="001A1A55">
      <w:pPr>
        <w:pStyle w:val="Obsah2"/>
        <w:rPr>
          <w:rFonts w:asciiTheme="minorHAnsi" w:eastAsiaTheme="minorEastAsia" w:hAnsiTheme="minorHAnsi"/>
          <w:noProof/>
          <w:kern w:val="2"/>
          <w:sz w:val="24"/>
          <w:szCs w:val="24"/>
          <w:lang w:val="en-IE" w:eastAsia="en-IE"/>
        </w:rPr>
      </w:pPr>
      <w:hyperlink w:anchor="_Toc216688243" w:history="1">
        <w:r w:rsidRPr="00C846B7">
          <w:rPr>
            <w:rStyle w:val="Hypertextovodkaz"/>
            <w:noProof/>
          </w:rPr>
          <w:t>2.8.</w:t>
        </w:r>
        <w:r>
          <w:rPr>
            <w:rFonts w:asciiTheme="minorHAnsi" w:eastAsiaTheme="minorEastAsia" w:hAnsiTheme="minorHAnsi"/>
            <w:noProof/>
            <w:kern w:val="2"/>
            <w:sz w:val="24"/>
            <w:szCs w:val="24"/>
            <w:lang w:val="en-IE" w:eastAsia="en-IE"/>
          </w:rPr>
          <w:tab/>
        </w:r>
        <w:r w:rsidRPr="00C846B7">
          <w:rPr>
            <w:rStyle w:val="Hypertextovodkaz"/>
            <w:noProof/>
          </w:rPr>
          <w:t>Early detection and exclusion system</w:t>
        </w:r>
        <w:r>
          <w:rPr>
            <w:noProof/>
            <w:webHidden/>
          </w:rPr>
          <w:tab/>
        </w:r>
        <w:r>
          <w:rPr>
            <w:noProof/>
            <w:webHidden/>
          </w:rPr>
          <w:fldChar w:fldCharType="begin"/>
        </w:r>
        <w:r>
          <w:rPr>
            <w:noProof/>
            <w:webHidden/>
          </w:rPr>
          <w:instrText xml:space="preserve"> PAGEREF _Toc216688243 \h </w:instrText>
        </w:r>
        <w:r>
          <w:rPr>
            <w:noProof/>
            <w:webHidden/>
          </w:rPr>
        </w:r>
        <w:r>
          <w:rPr>
            <w:noProof/>
            <w:webHidden/>
          </w:rPr>
          <w:fldChar w:fldCharType="separate"/>
        </w:r>
        <w:r>
          <w:rPr>
            <w:noProof/>
            <w:webHidden/>
          </w:rPr>
          <w:t>31</w:t>
        </w:r>
        <w:r>
          <w:rPr>
            <w:noProof/>
            <w:webHidden/>
          </w:rPr>
          <w:fldChar w:fldCharType="end"/>
        </w:r>
      </w:hyperlink>
    </w:p>
    <w:p w14:paraId="2A8DAD57" w14:textId="77777777" w:rsidR="001A1A55" w:rsidRDefault="001A1A55">
      <w:pPr>
        <w:pStyle w:val="Obsah1"/>
        <w:rPr>
          <w:rFonts w:asciiTheme="minorHAnsi" w:eastAsiaTheme="minorEastAsia" w:hAnsiTheme="minorHAnsi"/>
          <w:b w:val="0"/>
          <w:caps w:val="0"/>
          <w:noProof/>
          <w:kern w:val="2"/>
          <w:sz w:val="24"/>
          <w:szCs w:val="24"/>
          <w:lang w:val="en-IE" w:eastAsia="en-IE"/>
        </w:rPr>
      </w:pPr>
      <w:hyperlink w:anchor="_Toc216688244" w:history="1">
        <w:r w:rsidRPr="00C846B7">
          <w:rPr>
            <w:rStyle w:val="Hypertextovodkaz"/>
            <w:noProof/>
          </w:rPr>
          <w:t>3.</w:t>
        </w:r>
        <w:r>
          <w:rPr>
            <w:rFonts w:asciiTheme="minorHAnsi" w:eastAsiaTheme="minorEastAsia" w:hAnsiTheme="minorHAnsi"/>
            <w:b w:val="0"/>
            <w:caps w:val="0"/>
            <w:noProof/>
            <w:kern w:val="2"/>
            <w:sz w:val="24"/>
            <w:szCs w:val="24"/>
            <w:lang w:val="en-IE" w:eastAsia="en-IE"/>
          </w:rPr>
          <w:tab/>
        </w:r>
        <w:r w:rsidRPr="00C846B7">
          <w:rPr>
            <w:rStyle w:val="Hypertextovodkaz"/>
            <w:noProof/>
          </w:rPr>
          <w:t>LIST OF annexes</w:t>
        </w:r>
        <w:r>
          <w:rPr>
            <w:noProof/>
            <w:webHidden/>
          </w:rPr>
          <w:tab/>
        </w:r>
        <w:r>
          <w:rPr>
            <w:noProof/>
            <w:webHidden/>
          </w:rPr>
          <w:fldChar w:fldCharType="begin"/>
        </w:r>
        <w:r>
          <w:rPr>
            <w:noProof/>
            <w:webHidden/>
          </w:rPr>
          <w:instrText xml:space="preserve"> PAGEREF _Toc216688244 \h </w:instrText>
        </w:r>
        <w:r>
          <w:rPr>
            <w:noProof/>
            <w:webHidden/>
          </w:rPr>
        </w:r>
        <w:r>
          <w:rPr>
            <w:noProof/>
            <w:webHidden/>
          </w:rPr>
          <w:fldChar w:fldCharType="separate"/>
        </w:r>
        <w:r>
          <w:rPr>
            <w:noProof/>
            <w:webHidden/>
          </w:rPr>
          <w:t>31</w:t>
        </w:r>
        <w:r>
          <w:rPr>
            <w:noProof/>
            <w:webHidden/>
          </w:rPr>
          <w:fldChar w:fldCharType="end"/>
        </w:r>
      </w:hyperlink>
    </w:p>
    <w:p w14:paraId="183FB15C" w14:textId="77777777" w:rsidR="00A23E1B" w:rsidRDefault="00057A92" w:rsidP="00495849">
      <w:pPr>
        <w:rPr>
          <w:sz w:val="28"/>
          <w:szCs w:val="28"/>
        </w:rPr>
      </w:pPr>
      <w:r>
        <w:rPr>
          <w:b/>
          <w:caps/>
          <w:sz w:val="28"/>
          <w:szCs w:val="28"/>
        </w:rPr>
        <w:fldChar w:fldCharType="end"/>
      </w:r>
    </w:p>
    <w:p w14:paraId="5E83C639" w14:textId="77777777" w:rsidR="00A23E1B" w:rsidRPr="00CD5DAC" w:rsidRDefault="00A23E1B" w:rsidP="00CD5DAC">
      <w:pPr>
        <w:spacing w:after="0"/>
      </w:pPr>
      <w:r>
        <w:rPr>
          <w:sz w:val="28"/>
          <w:szCs w:val="28"/>
        </w:rPr>
        <w:br w:type="page"/>
      </w:r>
    </w:p>
    <w:p w14:paraId="00587491" w14:textId="77777777" w:rsidR="0030110D" w:rsidRPr="008F411B" w:rsidRDefault="000E0C61" w:rsidP="00816803">
      <w:pPr>
        <w:pStyle w:val="Guidelines1"/>
        <w:numPr>
          <w:ilvl w:val="0"/>
          <w:numId w:val="8"/>
        </w:numPr>
      </w:pPr>
      <w:bookmarkStart w:id="4" w:name="_Toc216688219"/>
      <w:bookmarkStart w:id="5" w:name="_Toc519003416"/>
      <w:r>
        <w:rPr>
          <w:noProof/>
        </w:rPr>
        <w:t>Global Gateway Early-Stage Investment Mechanism</w:t>
      </w:r>
      <w:bookmarkEnd w:id="4"/>
    </w:p>
    <w:p w14:paraId="5C7C9BD1" w14:textId="77777777" w:rsidR="0007408E" w:rsidRPr="00807DAF" w:rsidRDefault="0007408E" w:rsidP="00816803">
      <w:pPr>
        <w:pStyle w:val="Guidelines2"/>
        <w:numPr>
          <w:ilvl w:val="1"/>
          <w:numId w:val="8"/>
        </w:numPr>
      </w:pPr>
      <w:bookmarkStart w:id="6" w:name="_Toc216688220"/>
      <w:r w:rsidRPr="00807DAF">
        <w:t>Background</w:t>
      </w:r>
      <w:bookmarkEnd w:id="5"/>
      <w:bookmarkEnd w:id="6"/>
    </w:p>
    <w:p w14:paraId="33728329" w14:textId="77777777" w:rsidR="00E739DA" w:rsidRPr="00203BF0" w:rsidRDefault="00E739DA" w:rsidP="00E739DA">
      <w:pPr>
        <w:spacing w:before="240" w:after="120" w:line="240" w:lineRule="atLeast"/>
        <w:ind w:left="212"/>
        <w:rPr>
          <w:u w:val="single"/>
        </w:rPr>
      </w:pPr>
      <w:r w:rsidRPr="00203BF0">
        <w:rPr>
          <w:u w:val="single"/>
        </w:rPr>
        <w:t>Context and policy background</w:t>
      </w:r>
    </w:p>
    <w:p w14:paraId="4B1E82C7" w14:textId="77777777" w:rsidR="00E739DA" w:rsidRDefault="00E739DA" w:rsidP="00E739DA">
      <w:pPr>
        <w:spacing w:after="120" w:line="240" w:lineRule="atLeast"/>
        <w:ind w:left="212"/>
      </w:pPr>
      <w:r w:rsidRPr="0042540A">
        <w:t>The Global Gateway is the EU contribution to reducing the global infrastructure investment gap, providing the framework for EU external action in a changing and challenging international environment.</w:t>
      </w:r>
      <w:r>
        <w:t xml:space="preserve"> </w:t>
      </w:r>
      <w:r w:rsidRPr="0042540A">
        <w:t>It reflects a change in the way the EU approaches its external action by aligning the needs of partner countries with a stronger assessment of the EU’s strategic interests to position the EU more prominently in a competitive world.</w:t>
      </w:r>
    </w:p>
    <w:p w14:paraId="6C8BDFB0" w14:textId="77777777" w:rsidR="00E739DA" w:rsidRDefault="00E739DA" w:rsidP="00E739DA">
      <w:pPr>
        <w:spacing w:after="120" w:line="240" w:lineRule="atLeast"/>
        <w:ind w:left="212"/>
      </w:pPr>
      <w:r w:rsidRPr="0042540A">
        <w:t>In this context, where private sector-led initiatives are key to deliver on the ambitions of Global Gateway, a new need has emerged to promote knowledge sharing between EU investors/developers and the partner countries’ governments to generate projects that are beneficial for all.</w:t>
      </w:r>
    </w:p>
    <w:p w14:paraId="4D114325" w14:textId="77777777" w:rsidR="00E739DA" w:rsidRPr="00E739DA" w:rsidRDefault="00E739DA" w:rsidP="00E739DA">
      <w:pPr>
        <w:spacing w:before="240" w:after="120" w:line="240" w:lineRule="atLeast"/>
        <w:ind w:left="212"/>
        <w:rPr>
          <w:color w:val="000000"/>
          <w:lang w:val="en-IE"/>
        </w:rPr>
      </w:pPr>
      <w:r w:rsidRPr="00E739DA">
        <w:rPr>
          <w:color w:val="000000"/>
          <w:lang w:val="en-IE"/>
        </w:rPr>
        <w:t>Moreover, in the current geopolitical landscape, providing very early-stage support to strategic initiatives is crucial not only for EU companies operating outside Europe but also to foster economic growth and prosperity in partner countries. At the same time, it is important to highlight that partner countries themselves require targeted support to adapt strategically to the fast-evolving EU policy framework, where stricter social, quality, and environmental standards are increasingly applied to products placed on the EU internal market. Meeting these standards often necessitates significant improvements in local infrastructure, such as sanitary and phytosanitary (SPS) monitoring systems, waste management and recycling facilities, digital traceability for supply chains, or renewable energy installations to support low-carbon production.</w:t>
      </w:r>
    </w:p>
    <w:p w14:paraId="2A49C4F9" w14:textId="77777777" w:rsidR="00E739DA" w:rsidRPr="00E739DA" w:rsidRDefault="00E739DA" w:rsidP="00E739DA">
      <w:pPr>
        <w:spacing w:before="240" w:after="120" w:line="240" w:lineRule="atLeast"/>
        <w:ind w:left="212"/>
        <w:rPr>
          <w:color w:val="000000"/>
          <w:lang w:val="en-IE"/>
        </w:rPr>
      </w:pPr>
      <w:r w:rsidRPr="00E739DA">
        <w:rPr>
          <w:color w:val="000000"/>
          <w:lang w:val="en-IE"/>
        </w:rPr>
        <w:t>Such early-stage support enables EU companies to establish and expand their global footprint through sustainable infrastructure projects, while simultaneously strengthening the capacity of partner countries to meet EU market requirements. This dual approach highlights the EU’s commitment to promoting green and resilient development worldwide, facilitates the creation of local jobs, and fosters the transfer of EU expertise and innovation—empowering partner countries with advanced solutions and technologies that align with their long-term development goals</w:t>
      </w:r>
    </w:p>
    <w:p w14:paraId="6B1658D3" w14:textId="77777777" w:rsidR="00E739DA" w:rsidRDefault="00E739DA" w:rsidP="00E739DA">
      <w:pPr>
        <w:spacing w:before="240" w:after="120" w:line="240" w:lineRule="atLeast"/>
        <w:ind w:left="212"/>
        <w:rPr>
          <w:u w:val="single"/>
        </w:rPr>
      </w:pPr>
      <w:r w:rsidRPr="00203BF0">
        <w:rPr>
          <w:u w:val="single"/>
        </w:rPr>
        <w:t>Rationale</w:t>
      </w:r>
    </w:p>
    <w:p w14:paraId="535A84B9" w14:textId="77777777" w:rsidR="00E739DA" w:rsidRPr="00E739DA" w:rsidRDefault="00E739DA" w:rsidP="00E739DA">
      <w:pPr>
        <w:spacing w:after="120" w:line="240" w:lineRule="atLeast"/>
        <w:ind w:left="212"/>
        <w:rPr>
          <w:color w:val="0D0D0D"/>
        </w:rPr>
      </w:pPr>
      <w:r w:rsidRPr="00E739DA">
        <w:rPr>
          <w:color w:val="0D0D0D"/>
        </w:rPr>
        <w:t xml:space="preserve">While the relationship between the EU industry and EU institutions has grown stronger as part of the Team Europe effort (with the EU private sector demonstrating significant interest in supporting Global Gateway through their own projects), DG INTPA needs to integrate in its toolbox a </w:t>
      </w:r>
      <w:r w:rsidRPr="00E739DA">
        <w:rPr>
          <w:b/>
          <w:color w:val="0D0D0D"/>
        </w:rPr>
        <w:t>mechanism to provide direct early-stage financial support</w:t>
      </w:r>
      <w:r w:rsidRPr="00E739DA">
        <w:rPr>
          <w:color w:val="0D0D0D"/>
        </w:rPr>
        <w:t xml:space="preserve"> leveraging EU private companies’ know-how through a competitive and transparent process. </w:t>
      </w:r>
      <w:bookmarkStart w:id="7" w:name="_Hlk209694727"/>
      <w:r w:rsidRPr="00E739DA">
        <w:rPr>
          <w:color w:val="0D0D0D"/>
        </w:rPr>
        <w:t xml:space="preserve">Many EU companies are competitive but lack the resources for early-stage development of projects or entering a new market, which leads to good ideas for investment being lost or realised by other partners. </w:t>
      </w:r>
      <w:bookmarkEnd w:id="7"/>
      <w:r w:rsidRPr="00E739DA">
        <w:rPr>
          <w:color w:val="0D0D0D"/>
        </w:rPr>
        <w:t>Others are well established locally but need to scale up and develop additional nascent projects.</w:t>
      </w:r>
    </w:p>
    <w:p w14:paraId="52A2809A" w14:textId="77777777" w:rsidR="0007408E" w:rsidRPr="00807DAF" w:rsidRDefault="00E739DA" w:rsidP="00E739DA">
      <w:pPr>
        <w:spacing w:after="120" w:line="240" w:lineRule="atLeast"/>
        <w:ind w:left="212"/>
      </w:pPr>
      <w:r w:rsidRPr="00203BF0">
        <w:rPr>
          <w:color w:val="0D0D0D"/>
        </w:rPr>
        <w:t xml:space="preserve">This call for proposals is a concrete answer to that need, where DG INTPA will provide grants to mobilise EU private sector know-how </w:t>
      </w:r>
      <w:r>
        <w:rPr>
          <w:color w:val="0D0D0D"/>
        </w:rPr>
        <w:t xml:space="preserve">and technology </w:t>
      </w:r>
      <w:r w:rsidRPr="00203BF0">
        <w:rPr>
          <w:color w:val="0D0D0D"/>
        </w:rPr>
        <w:t>that will improve the quality and bankability of projects through pre-investment activities and/or pilot initiatives that lead to the definition and implementation of projects in partner countries</w:t>
      </w:r>
      <w:r>
        <w:rPr>
          <w:color w:val="0D0D0D"/>
        </w:rPr>
        <w:t xml:space="preserve"> in a Team Europe approach</w:t>
      </w:r>
      <w:r w:rsidRPr="00203BF0">
        <w:rPr>
          <w:color w:val="0D0D0D"/>
        </w:rPr>
        <w:t>.</w:t>
      </w:r>
    </w:p>
    <w:p w14:paraId="3F2C7427" w14:textId="77777777" w:rsidR="0007408E" w:rsidRDefault="0007408E" w:rsidP="00816803">
      <w:pPr>
        <w:pStyle w:val="Guidelines2"/>
        <w:numPr>
          <w:ilvl w:val="1"/>
          <w:numId w:val="8"/>
        </w:numPr>
      </w:pPr>
      <w:bookmarkStart w:id="8" w:name="_Toc519003417"/>
      <w:bookmarkStart w:id="9" w:name="_Toc216688221"/>
      <w:r w:rsidRPr="00807DAF">
        <w:t>Objectives of the programme and priority issues</w:t>
      </w:r>
      <w:bookmarkEnd w:id="8"/>
      <w:bookmarkEnd w:id="9"/>
      <w:r w:rsidRPr="00807DAF">
        <w:t xml:space="preserve"> </w:t>
      </w:r>
    </w:p>
    <w:p w14:paraId="2770DEB3" w14:textId="77777777" w:rsidR="00E739DA" w:rsidRPr="0047466B" w:rsidRDefault="00E739DA" w:rsidP="00E739DA">
      <w:pPr>
        <w:spacing w:before="240" w:after="120" w:line="240" w:lineRule="atLeast"/>
        <w:ind w:left="212"/>
        <w:rPr>
          <w:color w:val="0D0D0D"/>
        </w:rPr>
      </w:pPr>
      <w:r w:rsidRPr="00790B57">
        <w:rPr>
          <w:color w:val="0D0D0D"/>
        </w:rPr>
        <w:t>The main objective of this call for proposals is to use EU know-how</w:t>
      </w:r>
      <w:r>
        <w:rPr>
          <w:color w:val="0D0D0D"/>
        </w:rPr>
        <w:t>, experience and technology</w:t>
      </w:r>
      <w:r w:rsidRPr="00790B57">
        <w:rPr>
          <w:color w:val="0D0D0D"/>
        </w:rPr>
        <w:t xml:space="preserve"> to ensure that strategic and promising infrastructure projects</w:t>
      </w:r>
      <w:r>
        <w:rPr>
          <w:color w:val="0D0D0D"/>
        </w:rPr>
        <w:t xml:space="preserve"> </w:t>
      </w:r>
      <w:r w:rsidRPr="00790B57">
        <w:rPr>
          <w:color w:val="0D0D0D"/>
        </w:rPr>
        <w:t xml:space="preserve">proposed by EU companies in partner countries can advance from initial planning and feasibility stages to implementation and financing. This will contribute </w:t>
      </w:r>
      <w:r w:rsidRPr="00790B57">
        <w:rPr>
          <w:color w:val="0D0D0D"/>
        </w:rPr>
        <w:lastRenderedPageBreak/>
        <w:t>to de-risking the early-stage projects</w:t>
      </w:r>
      <w:r>
        <w:rPr>
          <w:color w:val="0D0D0D"/>
        </w:rPr>
        <w:t xml:space="preserve"> and </w:t>
      </w:r>
      <w:r w:rsidRPr="00E6690C">
        <w:rPr>
          <w:color w:val="0D0D0D"/>
        </w:rPr>
        <w:t>promote EU policy frameworks and standards</w:t>
      </w:r>
      <w:r w:rsidRPr="00790B57">
        <w:rPr>
          <w:color w:val="0D0D0D"/>
        </w:rPr>
        <w:t xml:space="preserve">, making </w:t>
      </w:r>
      <w:r>
        <w:rPr>
          <w:color w:val="0D0D0D"/>
        </w:rPr>
        <w:t>projects</w:t>
      </w:r>
      <w:r w:rsidRPr="00790B57">
        <w:rPr>
          <w:color w:val="0D0D0D"/>
        </w:rPr>
        <w:t xml:space="preserve"> more attractive to both domestic and international investors. By directly providing financial support for pre-investment preparation, this initiative hopes to unlock significant infrastructure improvements in partner countries </w:t>
      </w:r>
      <w:r>
        <w:rPr>
          <w:color w:val="0D0D0D"/>
        </w:rPr>
        <w:t>and create new market</w:t>
      </w:r>
      <w:r w:rsidRPr="00790B57">
        <w:rPr>
          <w:color w:val="0D0D0D"/>
        </w:rPr>
        <w:t xml:space="preserve"> opportunities for the EU private sector, contributing to economic development,</w:t>
      </w:r>
      <w:r w:rsidRPr="0047466B">
        <w:rPr>
          <w:color w:val="0D0D0D"/>
        </w:rPr>
        <w:t xml:space="preserve"> job creation, </w:t>
      </w:r>
      <w:r>
        <w:rPr>
          <w:color w:val="0D0D0D"/>
        </w:rPr>
        <w:t xml:space="preserve">connectivity </w:t>
      </w:r>
      <w:r w:rsidRPr="0047466B">
        <w:rPr>
          <w:color w:val="0D0D0D"/>
        </w:rPr>
        <w:t>and regional integration.</w:t>
      </w:r>
    </w:p>
    <w:p w14:paraId="301C4D66" w14:textId="77777777" w:rsidR="00E739DA" w:rsidRPr="00807DAF" w:rsidRDefault="00E739DA" w:rsidP="00E739DA">
      <w:pPr>
        <w:spacing w:before="240" w:after="120" w:line="240" w:lineRule="atLeast"/>
        <w:ind w:left="212"/>
      </w:pPr>
      <w:r w:rsidRPr="00807DAF">
        <w:t xml:space="preserve">The </w:t>
      </w:r>
      <w:r w:rsidRPr="00807DAF">
        <w:rPr>
          <w:b/>
        </w:rPr>
        <w:t>global objective</w:t>
      </w:r>
      <w:r w:rsidRPr="00807DAF">
        <w:t xml:space="preserve"> of this </w:t>
      </w:r>
      <w:r>
        <w:t>c</w:t>
      </w:r>
      <w:r w:rsidRPr="00807DAF">
        <w:t xml:space="preserve">all for </w:t>
      </w:r>
      <w:r>
        <w:t>p</w:t>
      </w:r>
      <w:r w:rsidRPr="00807DAF">
        <w:t xml:space="preserve">roposals </w:t>
      </w:r>
      <w:r w:rsidRPr="00176303">
        <w:t xml:space="preserve">is to support increased EU private sector investment in </w:t>
      </w:r>
      <w:r>
        <w:t xml:space="preserve">strategic </w:t>
      </w:r>
      <w:r w:rsidRPr="00176303">
        <w:t>infrastructure projects</w:t>
      </w:r>
      <w:r>
        <w:t>, thereby fostering the green transition of partner countries and promoting their</w:t>
      </w:r>
      <w:r w:rsidRPr="00176303">
        <w:t xml:space="preserve"> socio-economic development</w:t>
      </w:r>
      <w:r>
        <w:t>.</w:t>
      </w:r>
    </w:p>
    <w:p w14:paraId="48D209C3" w14:textId="77777777" w:rsidR="00E739DA" w:rsidRDefault="00E739DA" w:rsidP="00E739DA">
      <w:pPr>
        <w:spacing w:before="240" w:after="120" w:line="240" w:lineRule="atLeast"/>
        <w:ind w:left="212"/>
      </w:pPr>
      <w:r w:rsidRPr="00807DAF">
        <w:t xml:space="preserve">The </w:t>
      </w:r>
      <w:r w:rsidRPr="00807DAF">
        <w:rPr>
          <w:b/>
        </w:rPr>
        <w:t>specific objective</w:t>
      </w:r>
      <w:r>
        <w:rPr>
          <w:b/>
        </w:rPr>
        <w:t>s</w:t>
      </w:r>
      <w:r w:rsidRPr="00807DAF">
        <w:rPr>
          <w:b/>
        </w:rPr>
        <w:t xml:space="preserve"> </w:t>
      </w:r>
      <w:r w:rsidRPr="00807DAF">
        <w:t xml:space="preserve">of this </w:t>
      </w:r>
      <w:r>
        <w:t>c</w:t>
      </w:r>
      <w:r w:rsidRPr="00807DAF">
        <w:t xml:space="preserve">all for </w:t>
      </w:r>
      <w:r>
        <w:t>p</w:t>
      </w:r>
      <w:r w:rsidRPr="00807DAF">
        <w:t>roposals are:</w:t>
      </w:r>
    </w:p>
    <w:p w14:paraId="3CCD5129" w14:textId="77777777" w:rsidR="00E739DA" w:rsidRPr="001351E5" w:rsidRDefault="00E739DA" w:rsidP="00816803">
      <w:pPr>
        <w:pStyle w:val="Odstavecseseznamem"/>
        <w:numPr>
          <w:ilvl w:val="1"/>
          <w:numId w:val="13"/>
        </w:numPr>
        <w:spacing w:after="0"/>
        <w:contextualSpacing/>
        <w:rPr>
          <w:color w:val="0D0D0D"/>
        </w:rPr>
      </w:pPr>
      <w:r w:rsidRPr="001351E5">
        <w:rPr>
          <w:color w:val="0D0D0D"/>
        </w:rPr>
        <w:t xml:space="preserve">To increase the involvement of </w:t>
      </w:r>
      <w:r w:rsidRPr="001351E5">
        <w:rPr>
          <w:b/>
          <w:bCs/>
          <w:color w:val="0D0D0D"/>
        </w:rPr>
        <w:t xml:space="preserve">EU private sector in preparing </w:t>
      </w:r>
      <w:r>
        <w:rPr>
          <w:b/>
          <w:bCs/>
          <w:color w:val="0D0D0D"/>
        </w:rPr>
        <w:t xml:space="preserve">sustainable </w:t>
      </w:r>
      <w:r w:rsidRPr="001351E5">
        <w:rPr>
          <w:b/>
          <w:bCs/>
          <w:color w:val="0D0D0D"/>
        </w:rPr>
        <w:t>infrastructure projects</w:t>
      </w:r>
      <w:r w:rsidRPr="001351E5">
        <w:rPr>
          <w:color w:val="0D0D0D"/>
        </w:rPr>
        <w:t xml:space="preserve"> in partner countries</w:t>
      </w:r>
      <w:r>
        <w:rPr>
          <w:color w:val="0D0D0D"/>
        </w:rPr>
        <w:t>, enhancing European footprint in the world and aligning with the Global Gateway strategy.</w:t>
      </w:r>
    </w:p>
    <w:p w14:paraId="2BAF6B23" w14:textId="77777777" w:rsidR="00E739DA" w:rsidRPr="002A3541" w:rsidRDefault="00E739DA" w:rsidP="00816803">
      <w:pPr>
        <w:pStyle w:val="Odstavecseseznamem"/>
        <w:numPr>
          <w:ilvl w:val="1"/>
          <w:numId w:val="13"/>
        </w:numPr>
        <w:spacing w:after="0"/>
        <w:contextualSpacing/>
        <w:rPr>
          <w:color w:val="0D0D0D"/>
        </w:rPr>
      </w:pPr>
      <w:r w:rsidRPr="002A3541">
        <w:rPr>
          <w:color w:val="0D0D0D"/>
        </w:rPr>
        <w:t xml:space="preserve">To </w:t>
      </w:r>
      <w:r w:rsidRPr="002A3541">
        <w:rPr>
          <w:b/>
          <w:bCs/>
          <w:color w:val="0D0D0D"/>
        </w:rPr>
        <w:t>enhance the quality and bankability</w:t>
      </w:r>
      <w:r w:rsidRPr="002A3541">
        <w:rPr>
          <w:color w:val="0D0D0D"/>
        </w:rPr>
        <w:t xml:space="preserve"> of infrastructure projects in the transport, artificial intelligence, energy and urban development sectors.</w:t>
      </w:r>
    </w:p>
    <w:p w14:paraId="03ADDE02" w14:textId="77777777" w:rsidR="00E739DA" w:rsidRPr="006876D3" w:rsidRDefault="00E739DA" w:rsidP="00816803">
      <w:pPr>
        <w:pStyle w:val="Odstavecseseznamem"/>
        <w:numPr>
          <w:ilvl w:val="1"/>
          <w:numId w:val="13"/>
        </w:numPr>
        <w:spacing w:before="119" w:after="0"/>
        <w:contextualSpacing/>
        <w:rPr>
          <w:color w:val="0D0D0D"/>
        </w:rPr>
      </w:pPr>
      <w:r>
        <w:rPr>
          <w:color w:val="0D0D0D"/>
        </w:rPr>
        <w:t xml:space="preserve">To facilitate the implementation of sustainable infrastructure projects that are </w:t>
      </w:r>
      <w:r w:rsidRPr="000A32CC">
        <w:rPr>
          <w:b/>
          <w:bCs/>
          <w:color w:val="0D0D0D"/>
        </w:rPr>
        <w:t>aligned with beneficiary countries' priorities and EU strategic interest</w:t>
      </w:r>
      <w:r>
        <w:rPr>
          <w:b/>
          <w:bCs/>
          <w:color w:val="0D0D0D"/>
        </w:rPr>
        <w:t xml:space="preserve"> and policy</w:t>
      </w:r>
      <w:r>
        <w:rPr>
          <w:color w:val="0D0D0D"/>
        </w:rPr>
        <w:t>.</w:t>
      </w:r>
    </w:p>
    <w:p w14:paraId="402AA05C" w14:textId="77777777" w:rsidR="00E739DA" w:rsidRDefault="00E739DA" w:rsidP="00E739DA">
      <w:pPr>
        <w:spacing w:before="240" w:after="120" w:line="240" w:lineRule="atLeast"/>
        <w:ind w:left="212"/>
      </w:pPr>
      <w:r>
        <w:t xml:space="preserve">The </w:t>
      </w:r>
      <w:r w:rsidRPr="5426FC85">
        <w:rPr>
          <w:b/>
          <w:bCs/>
        </w:rPr>
        <w:t>priorities</w:t>
      </w:r>
      <w:r>
        <w:t xml:space="preserve"> of this call for proposals are: </w:t>
      </w:r>
    </w:p>
    <w:p w14:paraId="3E56B4A6" w14:textId="77777777" w:rsidR="00E739DA" w:rsidRDefault="00E739DA" w:rsidP="00816803">
      <w:pPr>
        <w:numPr>
          <w:ilvl w:val="0"/>
          <w:numId w:val="12"/>
        </w:numPr>
        <w:spacing w:after="120" w:line="240" w:lineRule="atLeast"/>
        <w:ind w:left="1134"/>
      </w:pPr>
      <w:r>
        <w:t>Alignment with SDGs and EU strategic priorities in the framework of the Global Gateway and EU policies (e.g. Green Deal, Global Gateway flagship projects and priorities, Team Europe offers, etc.) and work already advanced under the Global Gateway strategy.</w:t>
      </w:r>
    </w:p>
    <w:p w14:paraId="1F5D2C3C" w14:textId="77777777" w:rsidR="00E739DA" w:rsidRDefault="00E739DA" w:rsidP="00816803">
      <w:pPr>
        <w:numPr>
          <w:ilvl w:val="0"/>
          <w:numId w:val="12"/>
        </w:numPr>
        <w:spacing w:after="120" w:line="240" w:lineRule="atLeast"/>
        <w:ind w:left="1134"/>
        <w:rPr>
          <w:bCs/>
        </w:rPr>
      </w:pPr>
      <w:r w:rsidRPr="001B06D3">
        <w:rPr>
          <w:bCs/>
        </w:rPr>
        <w:t>Alignment with beneficiary country’s strategic priorities (e.g. National Development Policy, National Determined Contribution</w:t>
      </w:r>
      <w:r>
        <w:rPr>
          <w:bCs/>
        </w:rPr>
        <w:t>,</w:t>
      </w:r>
      <w:r w:rsidRPr="001B06D3">
        <w:rPr>
          <w:bCs/>
        </w:rPr>
        <w:t xml:space="preserve"> etc.)</w:t>
      </w:r>
    </w:p>
    <w:p w14:paraId="5476AACD" w14:textId="77777777" w:rsidR="00E739DA" w:rsidRPr="00635FD8" w:rsidRDefault="00E739DA" w:rsidP="00816803">
      <w:pPr>
        <w:numPr>
          <w:ilvl w:val="0"/>
          <w:numId w:val="12"/>
        </w:numPr>
        <w:spacing w:after="120" w:line="240" w:lineRule="atLeast"/>
        <w:ind w:left="1134"/>
        <w:rPr>
          <w:bCs/>
        </w:rPr>
      </w:pPr>
      <w:r>
        <w:rPr>
          <w:bCs/>
        </w:rPr>
        <w:t>Link to EU strategic interests and priorities in the country or region: priority will be given to actions that promote additional or sustained presence of EU private sector and industry actors either by supplying know how, expertise, management services or materials.</w:t>
      </w:r>
    </w:p>
    <w:p w14:paraId="67834C5E" w14:textId="77777777" w:rsidR="00E739DA" w:rsidRPr="00FB7CF9" w:rsidRDefault="00E739DA" w:rsidP="00816803">
      <w:pPr>
        <w:numPr>
          <w:ilvl w:val="0"/>
          <w:numId w:val="12"/>
        </w:numPr>
        <w:spacing w:after="120" w:line="240" w:lineRule="atLeast"/>
        <w:ind w:left="1134"/>
      </w:pPr>
      <w:r>
        <w:t xml:space="preserve">Local engagement </w:t>
      </w:r>
      <w:r>
        <w:rPr>
          <w:lang w:val="en-IE"/>
        </w:rPr>
        <w:t>(</w:t>
      </w:r>
      <w:r>
        <w:t xml:space="preserve">local presence in the partner country, endorsement by the local authorities, existing </w:t>
      </w:r>
      <w:r w:rsidRPr="00C27D55">
        <w:t>MoU, consortia with a local company</w:t>
      </w:r>
      <w:r>
        <w:t xml:space="preserve">, </w:t>
      </w:r>
      <w:r w:rsidRPr="00F60876">
        <w:t xml:space="preserve">commitment or intention of partners’ cofinancing, </w:t>
      </w:r>
      <w:r>
        <w:t>etc.)</w:t>
      </w:r>
    </w:p>
    <w:p w14:paraId="3315A072" w14:textId="77777777" w:rsidR="00E739DA" w:rsidRPr="00176584" w:rsidRDefault="00E739DA" w:rsidP="00816803">
      <w:pPr>
        <w:numPr>
          <w:ilvl w:val="0"/>
          <w:numId w:val="12"/>
        </w:numPr>
        <w:spacing w:after="120" w:line="240" w:lineRule="atLeast"/>
        <w:ind w:left="1134"/>
        <w:rPr>
          <w:bCs/>
        </w:rPr>
      </w:pPr>
      <w:r w:rsidRPr="00176584">
        <w:rPr>
          <w:bCs/>
        </w:rPr>
        <w:t xml:space="preserve">Knowledge transfer: proof that the action is based on EU </w:t>
      </w:r>
      <w:r w:rsidRPr="00471086">
        <w:rPr>
          <w:bCs/>
        </w:rPr>
        <w:t>know-how</w:t>
      </w:r>
      <w:r>
        <w:rPr>
          <w:bCs/>
        </w:rPr>
        <w:t xml:space="preserve"> and/or standards</w:t>
      </w:r>
      <w:r w:rsidRPr="00471086">
        <w:rPr>
          <w:bCs/>
        </w:rPr>
        <w:t xml:space="preserve"> and that</w:t>
      </w:r>
      <w:r>
        <w:rPr>
          <w:bCs/>
        </w:rPr>
        <w:t>, when relevant,</w:t>
      </w:r>
      <w:r w:rsidRPr="00471086">
        <w:rPr>
          <w:bCs/>
        </w:rPr>
        <w:t xml:space="preserve"> knowledge is intended to be transferred enabling local private and public capacities.</w:t>
      </w:r>
      <w:r w:rsidRPr="00176584">
        <w:rPr>
          <w:bCs/>
        </w:rPr>
        <w:t xml:space="preserve"> </w:t>
      </w:r>
    </w:p>
    <w:p w14:paraId="5FB8F746" w14:textId="77777777" w:rsidR="00E739DA" w:rsidRDefault="00E739DA" w:rsidP="00816803">
      <w:pPr>
        <w:numPr>
          <w:ilvl w:val="0"/>
          <w:numId w:val="12"/>
        </w:numPr>
        <w:spacing w:after="120" w:line="240" w:lineRule="atLeast"/>
        <w:ind w:left="1134"/>
      </w:pPr>
      <w:r>
        <w:t>Development impact: potential of the project to enhance connectivity, create jobs, reduce poverty and inequalities, promote gender balance and foster regional development.</w:t>
      </w:r>
    </w:p>
    <w:p w14:paraId="55F32BAB" w14:textId="77777777" w:rsidR="00E739DA" w:rsidRPr="00471086" w:rsidRDefault="00E739DA" w:rsidP="00816803">
      <w:pPr>
        <w:numPr>
          <w:ilvl w:val="0"/>
          <w:numId w:val="12"/>
        </w:numPr>
        <w:spacing w:after="120" w:line="240" w:lineRule="atLeast"/>
        <w:ind w:left="1134"/>
        <w:rPr>
          <w:bCs/>
        </w:rPr>
      </w:pPr>
      <w:r w:rsidRPr="00FB6F45">
        <w:rPr>
          <w:bCs/>
        </w:rPr>
        <w:t>Sustainability: alignment with European policies and international sustainability standards, including the promotion of key EU instruments such as CBAM, RED, CEAP, CRMA, CSDDD, EUDR</w:t>
      </w:r>
      <w:r>
        <w:rPr>
          <w:bCs/>
        </w:rPr>
        <w:t xml:space="preserve">, </w:t>
      </w:r>
      <w:r w:rsidRPr="00FB6F45">
        <w:rPr>
          <w:bCs/>
        </w:rPr>
        <w:t>ESPR</w:t>
      </w:r>
      <w:r>
        <w:rPr>
          <w:bCs/>
        </w:rPr>
        <w:t xml:space="preserve"> and the EU Taxonomy</w:t>
      </w:r>
      <w:r w:rsidRPr="00FB6F45">
        <w:rPr>
          <w:bCs/>
        </w:rPr>
        <w:t>, which together set the EU regulatory framework shaping infrastructure investment, trade and supply chains and can be the basis for partner countries and regions to develop their own regulations.</w:t>
      </w:r>
    </w:p>
    <w:p w14:paraId="6CDF26E5" w14:textId="77777777" w:rsidR="00E739DA" w:rsidRPr="00471086" w:rsidRDefault="00E739DA" w:rsidP="00816803">
      <w:pPr>
        <w:numPr>
          <w:ilvl w:val="0"/>
          <w:numId w:val="12"/>
        </w:numPr>
        <w:spacing w:after="120" w:line="240" w:lineRule="atLeast"/>
        <w:ind w:left="1134"/>
        <w:rPr>
          <w:bCs/>
        </w:rPr>
      </w:pPr>
      <w:r w:rsidRPr="00471086">
        <w:rPr>
          <w:bCs/>
        </w:rPr>
        <w:t>Financial viability: demonstrating the development of</w:t>
      </w:r>
      <w:r>
        <w:rPr>
          <w:bCs/>
        </w:rPr>
        <w:t xml:space="preserve"> sustainable </w:t>
      </w:r>
      <w:r w:rsidRPr="00471086">
        <w:rPr>
          <w:bCs/>
        </w:rPr>
        <w:t>business models and the potential to attract further EU private and public investment.</w:t>
      </w:r>
    </w:p>
    <w:p w14:paraId="47E40EFC" w14:textId="77777777" w:rsidR="00E739DA" w:rsidRPr="00471086" w:rsidRDefault="00E739DA" w:rsidP="00816803">
      <w:pPr>
        <w:numPr>
          <w:ilvl w:val="0"/>
          <w:numId w:val="12"/>
        </w:numPr>
        <w:spacing w:after="120" w:line="240" w:lineRule="atLeast"/>
        <w:ind w:left="1134"/>
      </w:pPr>
      <w:r w:rsidRPr="00471086">
        <w:t xml:space="preserve">Multiplying/enabling/cumulative effect for the EU industry in the same sector or in related ones. </w:t>
      </w:r>
    </w:p>
    <w:p w14:paraId="131FB3B0" w14:textId="77777777" w:rsidR="0007408E" w:rsidRPr="00807DAF" w:rsidRDefault="0007408E" w:rsidP="00816803">
      <w:pPr>
        <w:pStyle w:val="Guidelines2"/>
        <w:numPr>
          <w:ilvl w:val="1"/>
          <w:numId w:val="8"/>
        </w:numPr>
      </w:pPr>
      <w:bookmarkStart w:id="10" w:name="_Toc519003418"/>
      <w:bookmarkStart w:id="11" w:name="_Toc216688222"/>
      <w:r w:rsidRPr="00807DAF">
        <w:t>Financial allocation provided by the contracting authority</w:t>
      </w:r>
      <w:bookmarkEnd w:id="10"/>
      <w:bookmarkEnd w:id="11"/>
    </w:p>
    <w:p w14:paraId="423D2E1F" w14:textId="77777777" w:rsidR="00774ED9" w:rsidRDefault="00774ED9" w:rsidP="00774ED9">
      <w:pPr>
        <w:pStyle w:val="Zkladntext"/>
        <w:spacing w:before="120" w:line="244" w:lineRule="auto"/>
        <w:rPr>
          <w:color w:val="000000"/>
        </w:rPr>
      </w:pPr>
      <w:r>
        <w:t>The</w:t>
      </w:r>
      <w:r>
        <w:rPr>
          <w:spacing w:val="24"/>
        </w:rPr>
        <w:t xml:space="preserve"> </w:t>
      </w:r>
      <w:r>
        <w:t>overall</w:t>
      </w:r>
      <w:r>
        <w:rPr>
          <w:spacing w:val="23"/>
        </w:rPr>
        <w:t xml:space="preserve"> </w:t>
      </w:r>
      <w:r>
        <w:t>indicative</w:t>
      </w:r>
      <w:r>
        <w:rPr>
          <w:spacing w:val="22"/>
        </w:rPr>
        <w:t xml:space="preserve"> </w:t>
      </w:r>
      <w:r>
        <w:t>amount</w:t>
      </w:r>
      <w:r>
        <w:rPr>
          <w:spacing w:val="22"/>
        </w:rPr>
        <w:t xml:space="preserve"> </w:t>
      </w:r>
      <w:r>
        <w:t>made</w:t>
      </w:r>
      <w:r>
        <w:rPr>
          <w:spacing w:val="24"/>
        </w:rPr>
        <w:t xml:space="preserve"> </w:t>
      </w:r>
      <w:r>
        <w:t>available</w:t>
      </w:r>
      <w:r>
        <w:rPr>
          <w:spacing w:val="22"/>
        </w:rPr>
        <w:t xml:space="preserve"> </w:t>
      </w:r>
      <w:r>
        <w:t>under</w:t>
      </w:r>
      <w:r>
        <w:rPr>
          <w:spacing w:val="22"/>
        </w:rPr>
        <w:t xml:space="preserve"> </w:t>
      </w:r>
      <w:r>
        <w:t>this</w:t>
      </w:r>
      <w:r>
        <w:rPr>
          <w:spacing w:val="27"/>
        </w:rPr>
        <w:t xml:space="preserve"> </w:t>
      </w:r>
      <w:r>
        <w:t>call</w:t>
      </w:r>
      <w:r>
        <w:rPr>
          <w:spacing w:val="22"/>
        </w:rPr>
        <w:t xml:space="preserve"> </w:t>
      </w:r>
      <w:r>
        <w:t>for</w:t>
      </w:r>
      <w:r>
        <w:rPr>
          <w:spacing w:val="26"/>
        </w:rPr>
        <w:t xml:space="preserve"> </w:t>
      </w:r>
      <w:r>
        <w:t>proposals</w:t>
      </w:r>
      <w:r>
        <w:rPr>
          <w:spacing w:val="23"/>
        </w:rPr>
        <w:t xml:space="preserve"> </w:t>
      </w:r>
      <w:r>
        <w:t>is</w:t>
      </w:r>
      <w:r>
        <w:rPr>
          <w:spacing w:val="25"/>
        </w:rPr>
        <w:t xml:space="preserve"> </w:t>
      </w:r>
      <w:r>
        <w:t>EUR</w:t>
      </w:r>
      <w:r>
        <w:rPr>
          <w:spacing w:val="23"/>
        </w:rPr>
        <w:t xml:space="preserve"> </w:t>
      </w:r>
      <w:r>
        <w:rPr>
          <w:color w:val="000000"/>
        </w:rPr>
        <w:t>40</w:t>
      </w:r>
      <w:r w:rsidRPr="00D85F7E">
        <w:rPr>
          <w:color w:val="000000"/>
        </w:rPr>
        <w:t xml:space="preserve"> 58</w:t>
      </w:r>
      <w:r>
        <w:rPr>
          <w:color w:val="000000"/>
        </w:rPr>
        <w:t>3</w:t>
      </w:r>
      <w:r w:rsidRPr="00D85F7E">
        <w:rPr>
          <w:color w:val="000000"/>
        </w:rPr>
        <w:t xml:space="preserve"> </w:t>
      </w:r>
      <w:r>
        <w:rPr>
          <w:color w:val="000000"/>
        </w:rPr>
        <w:t>770.</w:t>
      </w:r>
      <w:r>
        <w:rPr>
          <w:color w:val="000000"/>
          <w:spacing w:val="24"/>
        </w:rPr>
        <w:t xml:space="preserve"> </w:t>
      </w:r>
      <w:r>
        <w:rPr>
          <w:color w:val="000000"/>
        </w:rPr>
        <w:t>The</w:t>
      </w:r>
      <w:r>
        <w:rPr>
          <w:color w:val="000000"/>
          <w:spacing w:val="22"/>
        </w:rPr>
        <w:t xml:space="preserve"> </w:t>
      </w:r>
      <w:r>
        <w:rPr>
          <w:color w:val="000000"/>
        </w:rPr>
        <w:t>contracting authority reserves the right not to award all available funds.</w:t>
      </w:r>
    </w:p>
    <w:p w14:paraId="401F242B" w14:textId="77777777" w:rsidR="00774ED9" w:rsidRPr="000C3A31" w:rsidRDefault="00774ED9" w:rsidP="00774ED9">
      <w:pPr>
        <w:pStyle w:val="Zkladntext"/>
        <w:spacing w:before="120" w:line="244" w:lineRule="auto"/>
        <w:rPr>
          <w:b/>
          <w:lang w:val="en-IE"/>
        </w:rPr>
      </w:pPr>
      <w:r>
        <w:rPr>
          <w:color w:val="000000"/>
        </w:rPr>
        <w:br w:type="page"/>
      </w:r>
      <w:r w:rsidRPr="00922268">
        <w:rPr>
          <w:b/>
          <w:color w:val="000000"/>
        </w:rPr>
        <w:lastRenderedPageBreak/>
        <w:t>Indicative</w:t>
      </w:r>
      <w:r w:rsidRPr="008C2B3C">
        <w:rPr>
          <w:b/>
        </w:rPr>
        <w:t xml:space="preserve"> allocation of funds by lot:</w:t>
      </w:r>
    </w:p>
    <w:p w14:paraId="05BB5559" w14:textId="77777777" w:rsidR="00774ED9" w:rsidRDefault="00774ED9" w:rsidP="00816803">
      <w:pPr>
        <w:numPr>
          <w:ilvl w:val="0"/>
          <w:numId w:val="12"/>
        </w:numPr>
        <w:spacing w:before="240" w:after="120" w:line="240" w:lineRule="atLeast"/>
        <w:ind w:left="932"/>
        <w:rPr>
          <w:b/>
        </w:rPr>
      </w:pPr>
      <w:r>
        <w:rPr>
          <w:b/>
        </w:rPr>
        <w:t>Lot 1: Transport</w:t>
      </w:r>
    </w:p>
    <w:p w14:paraId="7EC5F4FF" w14:textId="77777777" w:rsidR="00774ED9" w:rsidRDefault="00774ED9" w:rsidP="00774ED9">
      <w:pPr>
        <w:spacing w:after="120" w:line="240" w:lineRule="atLeast"/>
        <w:ind w:left="932"/>
        <w:rPr>
          <w:b/>
          <w:bCs/>
        </w:rPr>
      </w:pPr>
      <w:r>
        <w:rPr>
          <w:bCs/>
        </w:rPr>
        <w:t>Total available</w:t>
      </w:r>
      <w:r>
        <w:t xml:space="preserve">: </w:t>
      </w:r>
      <w:r w:rsidRPr="0071291B">
        <w:rPr>
          <w:bCs/>
        </w:rPr>
        <w:t>EUR 7 800 000</w:t>
      </w:r>
    </w:p>
    <w:p w14:paraId="0B54C749" w14:textId="77777777" w:rsidR="00774ED9" w:rsidRPr="004C024F" w:rsidRDefault="00774ED9" w:rsidP="00816803">
      <w:pPr>
        <w:numPr>
          <w:ilvl w:val="0"/>
          <w:numId w:val="12"/>
        </w:numPr>
        <w:spacing w:after="120" w:line="240" w:lineRule="atLeast"/>
        <w:ind w:left="932"/>
        <w:rPr>
          <w:bCs/>
        </w:rPr>
      </w:pPr>
      <w:r>
        <w:rPr>
          <w:b/>
        </w:rPr>
        <w:t>Lot 2: Artificial intelligence</w:t>
      </w:r>
    </w:p>
    <w:p w14:paraId="4E6DFDAE" w14:textId="77777777" w:rsidR="00774ED9" w:rsidRPr="0071291B" w:rsidRDefault="00774ED9" w:rsidP="00774ED9">
      <w:pPr>
        <w:spacing w:after="120" w:line="240" w:lineRule="atLeast"/>
        <w:ind w:left="932"/>
        <w:rPr>
          <w:bCs/>
        </w:rPr>
      </w:pPr>
      <w:r>
        <w:rPr>
          <w:bCs/>
        </w:rPr>
        <w:t>Total available</w:t>
      </w:r>
      <w:r>
        <w:t>:</w:t>
      </w:r>
      <w:r w:rsidRPr="0071291B">
        <w:rPr>
          <w:bCs/>
        </w:rPr>
        <w:t xml:space="preserve"> EUR 4 000 000</w:t>
      </w:r>
    </w:p>
    <w:p w14:paraId="6CA9E4F5" w14:textId="77777777" w:rsidR="00774ED9" w:rsidRDefault="00774ED9" w:rsidP="00816803">
      <w:pPr>
        <w:numPr>
          <w:ilvl w:val="0"/>
          <w:numId w:val="12"/>
        </w:numPr>
        <w:spacing w:after="120" w:line="240" w:lineRule="atLeast"/>
        <w:ind w:left="932"/>
        <w:rPr>
          <w:b/>
        </w:rPr>
      </w:pPr>
      <w:r>
        <w:rPr>
          <w:b/>
        </w:rPr>
        <w:t>Lot 3: Energy</w:t>
      </w:r>
    </w:p>
    <w:p w14:paraId="4CC188A8" w14:textId="77777777" w:rsidR="00774ED9" w:rsidRDefault="00774ED9" w:rsidP="00774ED9">
      <w:pPr>
        <w:spacing w:after="120" w:line="240" w:lineRule="atLeast"/>
        <w:ind w:left="932"/>
        <w:rPr>
          <w:bCs/>
        </w:rPr>
      </w:pPr>
      <w:r>
        <w:rPr>
          <w:bCs/>
        </w:rPr>
        <w:t>Total available</w:t>
      </w:r>
      <w:r>
        <w:t xml:space="preserve">: </w:t>
      </w:r>
      <w:r w:rsidRPr="0071291B">
        <w:rPr>
          <w:bCs/>
        </w:rPr>
        <w:t>EUR 1</w:t>
      </w:r>
      <w:r>
        <w:rPr>
          <w:bCs/>
        </w:rPr>
        <w:t>4</w:t>
      </w:r>
      <w:r w:rsidRPr="0071291B">
        <w:rPr>
          <w:bCs/>
        </w:rPr>
        <w:t xml:space="preserve"> </w:t>
      </w:r>
      <w:r>
        <w:rPr>
          <w:bCs/>
        </w:rPr>
        <w:t>283</w:t>
      </w:r>
      <w:r w:rsidRPr="0071291B">
        <w:rPr>
          <w:bCs/>
        </w:rPr>
        <w:t xml:space="preserve"> </w:t>
      </w:r>
      <w:r>
        <w:rPr>
          <w:bCs/>
        </w:rPr>
        <w:t>770</w:t>
      </w:r>
    </w:p>
    <w:p w14:paraId="37A48666" w14:textId="77777777" w:rsidR="00774ED9" w:rsidRDefault="00774ED9" w:rsidP="00816803">
      <w:pPr>
        <w:numPr>
          <w:ilvl w:val="0"/>
          <w:numId w:val="12"/>
        </w:numPr>
        <w:spacing w:after="120" w:line="240" w:lineRule="atLeast"/>
        <w:ind w:left="932"/>
        <w:rPr>
          <w:b/>
        </w:rPr>
      </w:pPr>
      <w:r>
        <w:rPr>
          <w:b/>
        </w:rPr>
        <w:t>Lot 4: Urban development</w:t>
      </w:r>
    </w:p>
    <w:p w14:paraId="3DC4CA13" w14:textId="77777777" w:rsidR="00774ED9" w:rsidRDefault="00774ED9" w:rsidP="00774ED9">
      <w:pPr>
        <w:spacing w:after="120" w:line="240" w:lineRule="atLeast"/>
        <w:ind w:left="932"/>
        <w:rPr>
          <w:bCs/>
        </w:rPr>
      </w:pPr>
      <w:r w:rsidRPr="004C024F">
        <w:rPr>
          <w:bCs/>
        </w:rPr>
        <w:t>Total available</w:t>
      </w:r>
      <w:r w:rsidRPr="004C024F">
        <w:t>:</w:t>
      </w:r>
      <w:r>
        <w:rPr>
          <w:b/>
        </w:rPr>
        <w:t xml:space="preserve"> </w:t>
      </w:r>
      <w:r>
        <w:rPr>
          <w:bCs/>
        </w:rPr>
        <w:t>EUR 4 500 000</w:t>
      </w:r>
    </w:p>
    <w:p w14:paraId="41891EA2" w14:textId="77777777" w:rsidR="00774ED9" w:rsidRDefault="00774ED9" w:rsidP="00816803">
      <w:pPr>
        <w:numPr>
          <w:ilvl w:val="0"/>
          <w:numId w:val="12"/>
        </w:numPr>
        <w:spacing w:after="120" w:line="240" w:lineRule="atLeast"/>
        <w:ind w:left="932"/>
        <w:rPr>
          <w:b/>
        </w:rPr>
      </w:pPr>
      <w:r>
        <w:rPr>
          <w:b/>
        </w:rPr>
        <w:t>Lot 5: R</w:t>
      </w:r>
      <w:r w:rsidRPr="000A17AD">
        <w:rPr>
          <w:b/>
        </w:rPr>
        <w:t>ailway sector in Latin America and Caribbean</w:t>
      </w:r>
    </w:p>
    <w:p w14:paraId="4468FDA0" w14:textId="77777777" w:rsidR="00774ED9" w:rsidRDefault="00774ED9" w:rsidP="00774ED9">
      <w:pPr>
        <w:spacing w:after="120" w:line="240" w:lineRule="atLeast"/>
        <w:ind w:left="932"/>
      </w:pPr>
      <w:r w:rsidRPr="004C024F">
        <w:rPr>
          <w:bCs/>
        </w:rPr>
        <w:t>Total available</w:t>
      </w:r>
      <w:r w:rsidRPr="004C024F">
        <w:t>:</w:t>
      </w:r>
      <w:r>
        <w:rPr>
          <w:b/>
        </w:rPr>
        <w:t xml:space="preserve"> </w:t>
      </w:r>
      <w:r>
        <w:rPr>
          <w:bCs/>
        </w:rPr>
        <w:t>EUR 10 000 000</w:t>
      </w:r>
    </w:p>
    <w:p w14:paraId="0AD6B5A0" w14:textId="77777777" w:rsidR="00774ED9" w:rsidRDefault="00774ED9" w:rsidP="00774ED9">
      <w:pPr>
        <w:spacing w:before="240" w:after="120" w:line="240" w:lineRule="atLeast"/>
        <w:ind w:left="212"/>
      </w:pPr>
      <w:r w:rsidRPr="00774D0F">
        <w:rPr>
          <w:color w:val="000000"/>
        </w:rPr>
        <w:t>If</w:t>
      </w:r>
      <w:r>
        <w:t xml:space="preserve"> the allocation indicated for a specific lot cannot be used due to insufficient quality or number of proposals received, the contracting authority reserves the right to reallocate the remaining funds to (an)other lot(s).</w:t>
      </w:r>
    </w:p>
    <w:p w14:paraId="6A026E13" w14:textId="77777777" w:rsidR="0007408E" w:rsidRPr="00C536CC" w:rsidRDefault="00A016F9" w:rsidP="006143CE">
      <w:pPr>
        <w:spacing w:line="240" w:lineRule="atLeast"/>
        <w:rPr>
          <w:b/>
        </w:rPr>
      </w:pPr>
      <w:r w:rsidRPr="00C536CC">
        <w:rPr>
          <w:b/>
        </w:rPr>
        <w:t>Size</w:t>
      </w:r>
      <w:r w:rsidR="0007408E" w:rsidRPr="00C536CC">
        <w:rPr>
          <w:b/>
        </w:rPr>
        <w:t xml:space="preserve"> of grants</w:t>
      </w:r>
    </w:p>
    <w:p w14:paraId="7A45BC85" w14:textId="77777777" w:rsidR="00774ED9" w:rsidRDefault="00774ED9" w:rsidP="00774ED9">
      <w:pPr>
        <w:pStyle w:val="Zkladntext"/>
        <w:spacing w:before="198"/>
      </w:pPr>
      <w:r>
        <w:t>Any</w:t>
      </w:r>
      <w:r>
        <w:rPr>
          <w:spacing w:val="40"/>
        </w:rPr>
        <w:t xml:space="preserve"> </w:t>
      </w:r>
      <w:r>
        <w:t>grant</w:t>
      </w:r>
      <w:r>
        <w:rPr>
          <w:spacing w:val="40"/>
        </w:rPr>
        <w:t xml:space="preserve"> </w:t>
      </w:r>
      <w:r>
        <w:t>requested</w:t>
      </w:r>
      <w:r>
        <w:rPr>
          <w:spacing w:val="40"/>
        </w:rPr>
        <w:t xml:space="preserve"> </w:t>
      </w:r>
      <w:r>
        <w:t>under</w:t>
      </w:r>
      <w:r>
        <w:rPr>
          <w:spacing w:val="40"/>
        </w:rPr>
        <w:t xml:space="preserve"> </w:t>
      </w:r>
      <w:r>
        <w:t>this</w:t>
      </w:r>
      <w:r>
        <w:rPr>
          <w:spacing w:val="40"/>
        </w:rPr>
        <w:t xml:space="preserve"> </w:t>
      </w:r>
      <w:r>
        <w:t>call</w:t>
      </w:r>
      <w:r>
        <w:rPr>
          <w:spacing w:val="40"/>
        </w:rPr>
        <w:t xml:space="preserve"> </w:t>
      </w:r>
      <w:r>
        <w:t>for</w:t>
      </w:r>
      <w:r>
        <w:rPr>
          <w:spacing w:val="40"/>
        </w:rPr>
        <w:t xml:space="preserve"> </w:t>
      </w:r>
      <w:r>
        <w:t>proposals</w:t>
      </w:r>
      <w:r>
        <w:rPr>
          <w:spacing w:val="40"/>
        </w:rPr>
        <w:t xml:space="preserve"> </w:t>
      </w:r>
      <w:r>
        <w:t>must</w:t>
      </w:r>
      <w:r>
        <w:rPr>
          <w:spacing w:val="40"/>
        </w:rPr>
        <w:t xml:space="preserve"> f</w:t>
      </w:r>
      <w:r>
        <w:t>all between the following minimum and maximum amounts:</w:t>
      </w:r>
    </w:p>
    <w:p w14:paraId="605E308D" w14:textId="77777777" w:rsidR="00774ED9" w:rsidRDefault="00774ED9" w:rsidP="00816803">
      <w:pPr>
        <w:pStyle w:val="Odstavecseseznamem"/>
        <w:widowControl w:val="0"/>
        <w:numPr>
          <w:ilvl w:val="0"/>
          <w:numId w:val="14"/>
        </w:numPr>
        <w:tabs>
          <w:tab w:val="left" w:pos="925"/>
        </w:tabs>
        <w:autoSpaceDE w:val="0"/>
        <w:autoSpaceDN w:val="0"/>
        <w:spacing w:before="122" w:after="0" w:line="269" w:lineRule="exact"/>
        <w:ind w:left="925" w:hanging="355"/>
        <w:jc w:val="left"/>
      </w:pPr>
      <w:r>
        <w:t>minimum</w:t>
      </w:r>
      <w:r>
        <w:rPr>
          <w:spacing w:val="-4"/>
        </w:rPr>
        <w:t xml:space="preserve"> </w:t>
      </w:r>
      <w:r>
        <w:t>amount:</w:t>
      </w:r>
      <w:r>
        <w:rPr>
          <w:spacing w:val="-3"/>
        </w:rPr>
        <w:t xml:space="preserve"> </w:t>
      </w:r>
      <w:r>
        <w:t>EUR</w:t>
      </w:r>
      <w:r>
        <w:rPr>
          <w:spacing w:val="-5"/>
        </w:rPr>
        <w:t xml:space="preserve"> </w:t>
      </w:r>
      <w:r>
        <w:rPr>
          <w:color w:val="000000"/>
        </w:rPr>
        <w:t>500 000</w:t>
      </w:r>
    </w:p>
    <w:p w14:paraId="18798357" w14:textId="77777777" w:rsidR="00774ED9" w:rsidRDefault="00774ED9" w:rsidP="00816803">
      <w:pPr>
        <w:pStyle w:val="Odstavecseseznamem"/>
        <w:widowControl w:val="0"/>
        <w:numPr>
          <w:ilvl w:val="0"/>
          <w:numId w:val="14"/>
        </w:numPr>
        <w:tabs>
          <w:tab w:val="left" w:pos="933"/>
        </w:tabs>
        <w:autoSpaceDE w:val="0"/>
        <w:autoSpaceDN w:val="0"/>
        <w:spacing w:after="0" w:line="269" w:lineRule="exact"/>
        <w:ind w:left="933" w:hanging="360"/>
        <w:jc w:val="left"/>
      </w:pPr>
      <w:r>
        <w:t>maximum</w:t>
      </w:r>
      <w:r>
        <w:rPr>
          <w:spacing w:val="-6"/>
        </w:rPr>
        <w:t xml:space="preserve"> </w:t>
      </w:r>
      <w:r>
        <w:t>amount:</w:t>
      </w:r>
      <w:r>
        <w:rPr>
          <w:spacing w:val="-1"/>
        </w:rPr>
        <w:t xml:space="preserve"> </w:t>
      </w:r>
      <w:r>
        <w:t>EUR 2 000 000</w:t>
      </w:r>
    </w:p>
    <w:p w14:paraId="08B06C96" w14:textId="77777777" w:rsidR="00774ED9" w:rsidRDefault="00774ED9" w:rsidP="00774ED9">
      <w:pPr>
        <w:pStyle w:val="Zkladntext"/>
        <w:spacing w:before="137" w:line="242" w:lineRule="auto"/>
        <w:ind w:right="388"/>
        <w:rPr>
          <w:color w:val="000000"/>
          <w:spacing w:val="-2"/>
        </w:rPr>
      </w:pPr>
      <w:r>
        <w:rPr>
          <w:color w:val="000000"/>
        </w:rPr>
        <w:t>A</w:t>
      </w:r>
      <w:r w:rsidRPr="003257C5">
        <w:rPr>
          <w:color w:val="000000"/>
        </w:rPr>
        <w:t>ny grant</w:t>
      </w:r>
      <w:r w:rsidRPr="003257C5" w:rsidDel="003257C5">
        <w:rPr>
          <w:color w:val="000000"/>
        </w:rPr>
        <w:t xml:space="preserve"> </w:t>
      </w:r>
      <w:r>
        <w:rPr>
          <w:color w:val="000000"/>
        </w:rPr>
        <w:t xml:space="preserve">requested under this call for proposals must not exceed the below maximum percentage of total eligible costs of the </w:t>
      </w:r>
      <w:r>
        <w:rPr>
          <w:color w:val="000000"/>
          <w:spacing w:val="-2"/>
        </w:rPr>
        <w:t>action:</w:t>
      </w:r>
    </w:p>
    <w:p w14:paraId="73427102" w14:textId="77777777" w:rsidR="00774ED9" w:rsidRPr="00774ED9" w:rsidRDefault="00774ED9" w:rsidP="00816803">
      <w:pPr>
        <w:pStyle w:val="Odstavecseseznamem"/>
        <w:widowControl w:val="0"/>
        <w:numPr>
          <w:ilvl w:val="0"/>
          <w:numId w:val="14"/>
        </w:numPr>
        <w:tabs>
          <w:tab w:val="left" w:pos="926"/>
        </w:tabs>
        <w:autoSpaceDE w:val="0"/>
        <w:autoSpaceDN w:val="0"/>
        <w:spacing w:before="79" w:after="0"/>
        <w:ind w:right="392"/>
        <w:rPr>
          <w:color w:val="000000"/>
        </w:rPr>
      </w:pPr>
      <w:r>
        <w:t>Maximum percentage: 90</w:t>
      </w:r>
      <w:r w:rsidRPr="00774ED9">
        <w:rPr>
          <w:color w:val="000000"/>
        </w:rPr>
        <w:t xml:space="preserve"> % of the total eligible costs of the action (see also Section 2.1.4).</w:t>
      </w:r>
    </w:p>
    <w:p w14:paraId="56F6549C" w14:textId="77777777" w:rsidR="00774ED9" w:rsidRPr="00774ED9" w:rsidRDefault="00774ED9" w:rsidP="00774ED9">
      <w:pPr>
        <w:pStyle w:val="Zkladntext"/>
        <w:spacing w:before="114"/>
        <w:ind w:right="390"/>
        <w:rPr>
          <w:color w:val="000000"/>
          <w:lang w:val="en-IE"/>
        </w:rPr>
      </w:pPr>
      <w:r w:rsidRPr="00B907C4">
        <w:rPr>
          <w:color w:val="000000"/>
        </w:rPr>
        <w:t>Exceptionally, grants covering up to 100% of the total eligible costs may be considered.</w:t>
      </w:r>
      <w:r>
        <w:rPr>
          <w:color w:val="000000"/>
        </w:rPr>
        <w:t xml:space="preserve"> </w:t>
      </w:r>
      <w:r w:rsidRPr="00484A30">
        <w:t>Such requests must be duly justified by participants, demonstrating the interest of the European Union to be the sole donor to an action, and in particular to ensure visibility of a European Union action. Participants must provide detailed reasoning and supporting documentation within their proposals for consideration by the contracting authority.</w:t>
      </w:r>
    </w:p>
    <w:p w14:paraId="4318BA51" w14:textId="77777777" w:rsidR="00774ED9" w:rsidRDefault="00774ED9" w:rsidP="00774ED9">
      <w:pPr>
        <w:pStyle w:val="Zkladntext"/>
        <w:spacing w:before="114"/>
        <w:ind w:right="390"/>
      </w:pPr>
      <w:r>
        <w:t>The balance (i.e. the difference between the total cost of the action and the amount requested from the contracting authority) must be financed from sources other than the general budget of the Union or the European Development Fund</w:t>
      </w:r>
      <w:r>
        <w:rPr>
          <w:rStyle w:val="Znakapoznpodarou"/>
        </w:rPr>
        <w:footnoteReference w:id="5"/>
      </w:r>
      <w:hyperlink w:anchor="_bookmark13" w:history="1">
        <w:r>
          <w:t>.</w:t>
        </w:r>
      </w:hyperlink>
    </w:p>
    <w:p w14:paraId="26B08081" w14:textId="77777777" w:rsidR="0007408E" w:rsidRPr="00807DAF" w:rsidRDefault="0007408E" w:rsidP="00816803">
      <w:pPr>
        <w:pStyle w:val="Guidelines1"/>
        <w:numPr>
          <w:ilvl w:val="0"/>
          <w:numId w:val="8"/>
        </w:numPr>
      </w:pPr>
      <w:bookmarkStart w:id="12" w:name="_Toc216688223"/>
      <w:r w:rsidRPr="00807DAF">
        <w:t xml:space="preserve">Rules </w:t>
      </w:r>
      <w:r w:rsidR="0024146B" w:rsidRPr="00807DAF">
        <w:t xml:space="preserve">FOR </w:t>
      </w:r>
      <w:r w:rsidRPr="00807DAF">
        <w:t>thIS call for proposalS</w:t>
      </w:r>
      <w:bookmarkEnd w:id="12"/>
    </w:p>
    <w:p w14:paraId="5C3EAEDA" w14:textId="77777777" w:rsidR="0007408E" w:rsidRPr="00807DAF" w:rsidRDefault="0007408E" w:rsidP="00C536CC">
      <w:pPr>
        <w:spacing w:after="120" w:line="240" w:lineRule="atLeast"/>
      </w:pPr>
      <w:r w:rsidRPr="00807DAF">
        <w:t xml:space="preserve">These guidelines set out the rules for </w:t>
      </w:r>
      <w:r w:rsidR="008A6F06" w:rsidRPr="00807DAF">
        <w:t xml:space="preserve">the </w:t>
      </w:r>
      <w:r w:rsidRPr="00807DAF">
        <w:t>submi</w:t>
      </w:r>
      <w:r w:rsidR="008A6F06" w:rsidRPr="00807DAF">
        <w:t>ssion</w:t>
      </w:r>
      <w:r w:rsidRPr="00807DAF">
        <w:t>, selecti</w:t>
      </w:r>
      <w:r w:rsidR="008A6F06" w:rsidRPr="00807DAF">
        <w:t>on</w:t>
      </w:r>
      <w:r w:rsidRPr="00807DAF">
        <w:t xml:space="preserve"> and implement</w:t>
      </w:r>
      <w:r w:rsidR="008A6F06" w:rsidRPr="00807DAF">
        <w:t>ation of</w:t>
      </w:r>
      <w:r w:rsidR="00AA424B" w:rsidRPr="00807DAF">
        <w:t xml:space="preserve"> the</w:t>
      </w:r>
      <w:r w:rsidRPr="00807DAF">
        <w:t xml:space="preserve"> actions financed under th</w:t>
      </w:r>
      <w:r w:rsidR="00E359F9" w:rsidRPr="00807DAF">
        <w:t xml:space="preserve">is </w:t>
      </w:r>
      <w:r w:rsidR="002F0314">
        <w:t>c</w:t>
      </w:r>
      <w:r w:rsidR="00E359F9" w:rsidRPr="00807DAF">
        <w:t>all</w:t>
      </w:r>
      <w:r w:rsidRPr="00807DAF">
        <w:t xml:space="preserve">, in conformity with the </w:t>
      </w:r>
      <w:r w:rsidR="009D7AC9">
        <w:t>p</w:t>
      </w:r>
      <w:r w:rsidRPr="00807DAF">
        <w:t xml:space="preserve">ractical </w:t>
      </w:r>
      <w:r w:rsidR="009D7AC9">
        <w:t>g</w:t>
      </w:r>
      <w:r w:rsidRPr="00807DAF">
        <w:t>uide</w:t>
      </w:r>
      <w:r w:rsidR="006C5556">
        <w:t xml:space="preserve"> (PRAG)</w:t>
      </w:r>
      <w:r w:rsidR="009E6254" w:rsidRPr="00807DAF">
        <w:t>, which is applicable to the present call</w:t>
      </w:r>
      <w:r w:rsidR="001A3FE1" w:rsidRPr="00807DAF">
        <w:t xml:space="preserve"> (</w:t>
      </w:r>
      <w:r w:rsidR="00087373" w:rsidRPr="00807DAF">
        <w:t>a</w:t>
      </w:r>
      <w:r w:rsidR="001A3FE1" w:rsidRPr="00807DAF">
        <w:t xml:space="preserve">vailable on the </w:t>
      </w:r>
      <w:r w:rsidR="00D11783">
        <w:t>i</w:t>
      </w:r>
      <w:r w:rsidR="001A3FE1" w:rsidRPr="00807DAF">
        <w:t>nternet at this address</w:t>
      </w:r>
      <w:r w:rsidR="00176C61" w:rsidRPr="008503BC">
        <w:t xml:space="preserve"> </w:t>
      </w:r>
      <w:hyperlink r:id="rId23" w:history="1">
        <w:r w:rsidR="004C7598" w:rsidRPr="00BC70CE">
          <w:rPr>
            <w:rStyle w:val="Hypertextovodkaz"/>
          </w:rPr>
          <w:t>https://wikis.ec.europa.eu/display/ExactExternalWiki/ePRAG</w:t>
        </w:r>
      </w:hyperlink>
      <w:r w:rsidR="004C7598">
        <w:t xml:space="preserve"> </w:t>
      </w:r>
      <w:r w:rsidR="001A3FE1" w:rsidRPr="00807DAF">
        <w:t>)</w:t>
      </w:r>
      <w:r w:rsidRPr="00807DAF">
        <w:t>.</w:t>
      </w:r>
      <w:r w:rsidR="00C60C7C">
        <w:rPr>
          <w:rStyle w:val="Znakapoznpodarou"/>
        </w:rPr>
        <w:footnoteReference w:id="6"/>
      </w:r>
    </w:p>
    <w:p w14:paraId="6BC6C0CD" w14:textId="77777777" w:rsidR="0007408E" w:rsidRPr="00807DAF" w:rsidRDefault="0007408E" w:rsidP="00816803">
      <w:pPr>
        <w:pStyle w:val="Guidelines2"/>
        <w:numPr>
          <w:ilvl w:val="1"/>
          <w:numId w:val="8"/>
        </w:numPr>
      </w:pPr>
      <w:bookmarkStart w:id="13" w:name="_Toc519003419"/>
      <w:bookmarkStart w:id="14" w:name="_Toc216688224"/>
      <w:r w:rsidRPr="00807DAF">
        <w:lastRenderedPageBreak/>
        <w:t>Eligibility criteria</w:t>
      </w:r>
      <w:bookmarkEnd w:id="13"/>
      <w:bookmarkEnd w:id="14"/>
    </w:p>
    <w:p w14:paraId="42DF6FFC" w14:textId="77777777" w:rsidR="00910A2A" w:rsidRDefault="00910A2A" w:rsidP="00910A2A">
      <w:pPr>
        <w:pStyle w:val="Zkladntext"/>
        <w:spacing w:before="122"/>
      </w:pPr>
      <w:r>
        <w:t>There</w:t>
      </w:r>
      <w:r>
        <w:rPr>
          <w:spacing w:val="-6"/>
        </w:rPr>
        <w:t xml:space="preserve"> </w:t>
      </w:r>
      <w:r>
        <w:t>are</w:t>
      </w:r>
      <w:r>
        <w:rPr>
          <w:spacing w:val="-5"/>
        </w:rPr>
        <w:t xml:space="preserve"> </w:t>
      </w:r>
      <w:r>
        <w:t>three</w:t>
      </w:r>
      <w:r>
        <w:rPr>
          <w:spacing w:val="-5"/>
        </w:rPr>
        <w:t xml:space="preserve"> </w:t>
      </w:r>
      <w:r>
        <w:t>sets</w:t>
      </w:r>
      <w:r>
        <w:rPr>
          <w:spacing w:val="-3"/>
        </w:rPr>
        <w:t xml:space="preserve"> </w:t>
      </w:r>
      <w:r>
        <w:t>of</w:t>
      </w:r>
      <w:r>
        <w:rPr>
          <w:spacing w:val="-3"/>
        </w:rPr>
        <w:t xml:space="preserve"> </w:t>
      </w:r>
      <w:r>
        <w:t>eligibility</w:t>
      </w:r>
      <w:r>
        <w:rPr>
          <w:spacing w:val="-6"/>
        </w:rPr>
        <w:t xml:space="preserve"> </w:t>
      </w:r>
      <w:r>
        <w:t>criteria,</w:t>
      </w:r>
      <w:r>
        <w:rPr>
          <w:spacing w:val="-5"/>
        </w:rPr>
        <w:t xml:space="preserve"> </w:t>
      </w:r>
      <w:r>
        <w:t>relating</w:t>
      </w:r>
      <w:r>
        <w:rPr>
          <w:spacing w:val="-6"/>
        </w:rPr>
        <w:t xml:space="preserve"> </w:t>
      </w:r>
      <w:r>
        <w:rPr>
          <w:spacing w:val="-5"/>
        </w:rPr>
        <w:t>to:</w:t>
      </w:r>
    </w:p>
    <w:p w14:paraId="10D7E599" w14:textId="77777777" w:rsidR="00910A2A" w:rsidRDefault="00910A2A" w:rsidP="00816803">
      <w:pPr>
        <w:pStyle w:val="Odstavecseseznamem"/>
        <w:widowControl w:val="0"/>
        <w:numPr>
          <w:ilvl w:val="0"/>
          <w:numId w:val="16"/>
        </w:numPr>
        <w:tabs>
          <w:tab w:val="left" w:pos="931"/>
        </w:tabs>
        <w:autoSpaceDE w:val="0"/>
        <w:autoSpaceDN w:val="0"/>
        <w:spacing w:before="119" w:after="0"/>
        <w:ind w:left="931" w:hanging="358"/>
        <w:jc w:val="left"/>
      </w:pPr>
      <w:r>
        <w:t>the</w:t>
      </w:r>
      <w:r>
        <w:rPr>
          <w:spacing w:val="-3"/>
        </w:rPr>
        <w:t xml:space="preserve"> </w:t>
      </w:r>
      <w:r>
        <w:t>actors</w:t>
      </w:r>
      <w:r>
        <w:rPr>
          <w:spacing w:val="-2"/>
        </w:rPr>
        <w:t xml:space="preserve"> (2.1.1.):</w:t>
      </w:r>
    </w:p>
    <w:p w14:paraId="458FEA42" w14:textId="77777777" w:rsidR="00910A2A" w:rsidRDefault="00910A2A" w:rsidP="00816803">
      <w:pPr>
        <w:pStyle w:val="Odstavecseseznamem"/>
        <w:widowControl w:val="0"/>
        <w:numPr>
          <w:ilvl w:val="1"/>
          <w:numId w:val="16"/>
        </w:numPr>
        <w:tabs>
          <w:tab w:val="left" w:pos="1345"/>
        </w:tabs>
        <w:autoSpaceDE w:val="0"/>
        <w:autoSpaceDN w:val="0"/>
        <w:spacing w:before="120" w:after="0"/>
        <w:ind w:left="1345" w:hanging="359"/>
        <w:jc w:val="left"/>
      </w:pPr>
      <w:r>
        <w:t>The</w:t>
      </w:r>
      <w:r>
        <w:rPr>
          <w:spacing w:val="-4"/>
        </w:rPr>
        <w:t xml:space="preserve"> </w:t>
      </w:r>
      <w:r>
        <w:t>‘</w:t>
      </w:r>
      <w:r>
        <w:rPr>
          <w:b/>
        </w:rPr>
        <w:t>lead</w:t>
      </w:r>
      <w:r>
        <w:rPr>
          <w:b/>
          <w:spacing w:val="-4"/>
        </w:rPr>
        <w:t xml:space="preserve"> </w:t>
      </w:r>
      <w:r>
        <w:rPr>
          <w:b/>
        </w:rPr>
        <w:t>applicant’</w:t>
      </w:r>
      <w:r>
        <w:t>,</w:t>
      </w:r>
      <w:r>
        <w:rPr>
          <w:spacing w:val="-7"/>
        </w:rPr>
        <w:t xml:space="preserve"> </w:t>
      </w:r>
      <w:r>
        <w:t>i.e.</w:t>
      </w:r>
      <w:r>
        <w:rPr>
          <w:spacing w:val="-6"/>
        </w:rPr>
        <w:t xml:space="preserve"> </w:t>
      </w:r>
      <w:r>
        <w:t>the</w:t>
      </w:r>
      <w:r>
        <w:rPr>
          <w:spacing w:val="-4"/>
        </w:rPr>
        <w:t xml:space="preserve"> </w:t>
      </w:r>
      <w:r>
        <w:t>entity</w:t>
      </w:r>
      <w:r>
        <w:rPr>
          <w:spacing w:val="-4"/>
        </w:rPr>
        <w:t xml:space="preserve"> </w:t>
      </w:r>
      <w:r>
        <w:t>submitting</w:t>
      </w:r>
      <w:r>
        <w:rPr>
          <w:spacing w:val="-4"/>
        </w:rPr>
        <w:t xml:space="preserve"> </w:t>
      </w:r>
      <w:r>
        <w:t>the</w:t>
      </w:r>
      <w:r>
        <w:rPr>
          <w:spacing w:val="-4"/>
        </w:rPr>
        <w:t xml:space="preserve"> </w:t>
      </w:r>
      <w:r>
        <w:t>application</w:t>
      </w:r>
      <w:r>
        <w:rPr>
          <w:spacing w:val="-6"/>
        </w:rPr>
        <w:t xml:space="preserve"> </w:t>
      </w:r>
      <w:r>
        <w:rPr>
          <w:spacing w:val="-2"/>
        </w:rPr>
        <w:t>form;</w:t>
      </w:r>
    </w:p>
    <w:p w14:paraId="3D1AD159" w14:textId="77777777" w:rsidR="00910A2A" w:rsidRPr="00BC6A08" w:rsidRDefault="00910A2A" w:rsidP="00816803">
      <w:pPr>
        <w:pStyle w:val="Odstavecseseznamem"/>
        <w:widowControl w:val="0"/>
        <w:numPr>
          <w:ilvl w:val="1"/>
          <w:numId w:val="16"/>
        </w:numPr>
        <w:tabs>
          <w:tab w:val="left" w:pos="1345"/>
        </w:tabs>
        <w:autoSpaceDE w:val="0"/>
        <w:autoSpaceDN w:val="0"/>
        <w:spacing w:before="120" w:after="0"/>
        <w:ind w:left="1345" w:hanging="359"/>
        <w:jc w:val="left"/>
      </w:pPr>
      <w:r>
        <w:t xml:space="preserve">if any, its </w:t>
      </w:r>
      <w:r w:rsidRPr="00BC6A08">
        <w:rPr>
          <w:b/>
          <w:bCs/>
        </w:rPr>
        <w:t>co-applicant(s)</w:t>
      </w:r>
      <w:r>
        <w:t xml:space="preserve"> (</w:t>
      </w:r>
      <w:r w:rsidRPr="00293AED">
        <w:t>where it is not specified otherwise the lead applicant and its co- applicant(s) are hereinafter jointly referred as ‘applicant(s)’</w:t>
      </w:r>
      <w:r>
        <w:t>);</w:t>
      </w:r>
    </w:p>
    <w:p w14:paraId="48DE2856" w14:textId="77777777" w:rsidR="00910A2A" w:rsidRPr="00910A2A" w:rsidRDefault="00910A2A" w:rsidP="00816803">
      <w:pPr>
        <w:pStyle w:val="Odstavecseseznamem"/>
        <w:widowControl w:val="0"/>
        <w:numPr>
          <w:ilvl w:val="1"/>
          <w:numId w:val="16"/>
        </w:numPr>
        <w:tabs>
          <w:tab w:val="left" w:pos="1345"/>
        </w:tabs>
        <w:autoSpaceDE w:val="0"/>
        <w:autoSpaceDN w:val="0"/>
        <w:spacing w:before="119" w:after="0"/>
        <w:ind w:left="1345" w:hanging="359"/>
        <w:jc w:val="left"/>
        <w:rPr>
          <w:spacing w:val="-2"/>
        </w:rPr>
      </w:pPr>
      <w:r>
        <w:t>and,</w:t>
      </w:r>
      <w:r w:rsidRPr="00910A2A">
        <w:rPr>
          <w:spacing w:val="-5"/>
        </w:rPr>
        <w:t xml:space="preserve"> </w:t>
      </w:r>
      <w:r>
        <w:t>if</w:t>
      </w:r>
      <w:r w:rsidRPr="00910A2A">
        <w:rPr>
          <w:spacing w:val="-3"/>
        </w:rPr>
        <w:t xml:space="preserve"> </w:t>
      </w:r>
      <w:r>
        <w:t>any,</w:t>
      </w:r>
      <w:r w:rsidRPr="00910A2A">
        <w:rPr>
          <w:spacing w:val="-3"/>
        </w:rPr>
        <w:t xml:space="preserve"> </w:t>
      </w:r>
      <w:r w:rsidRPr="00910A2A">
        <w:rPr>
          <w:b/>
        </w:rPr>
        <w:t>affiliated</w:t>
      </w:r>
      <w:r w:rsidRPr="00910A2A">
        <w:rPr>
          <w:b/>
          <w:spacing w:val="-6"/>
        </w:rPr>
        <w:t xml:space="preserve"> </w:t>
      </w:r>
      <w:r w:rsidRPr="00910A2A">
        <w:rPr>
          <w:b/>
        </w:rPr>
        <w:t>entity(ies)</w:t>
      </w:r>
      <w:r w:rsidRPr="00910A2A">
        <w:rPr>
          <w:b/>
          <w:spacing w:val="-2"/>
        </w:rPr>
        <w:t xml:space="preserve"> </w:t>
      </w:r>
      <w:r>
        <w:t>to</w:t>
      </w:r>
      <w:r w:rsidRPr="00910A2A">
        <w:rPr>
          <w:spacing w:val="-6"/>
        </w:rPr>
        <w:t xml:space="preserve"> </w:t>
      </w:r>
      <w:r>
        <w:t>the</w:t>
      </w:r>
      <w:r w:rsidRPr="00910A2A">
        <w:rPr>
          <w:spacing w:val="-5"/>
        </w:rPr>
        <w:t xml:space="preserve"> </w:t>
      </w:r>
      <w:r>
        <w:t>lead</w:t>
      </w:r>
      <w:r w:rsidRPr="00910A2A">
        <w:rPr>
          <w:spacing w:val="-2"/>
        </w:rPr>
        <w:t xml:space="preserve"> </w:t>
      </w:r>
      <w:r>
        <w:t>applicant</w:t>
      </w:r>
      <w:r w:rsidRPr="00910A2A">
        <w:rPr>
          <w:spacing w:val="-5"/>
        </w:rPr>
        <w:t xml:space="preserve"> </w:t>
      </w:r>
      <w:r>
        <w:t>and/or</w:t>
      </w:r>
      <w:r w:rsidRPr="00910A2A">
        <w:rPr>
          <w:spacing w:val="-3"/>
        </w:rPr>
        <w:t xml:space="preserve"> </w:t>
      </w:r>
      <w:r>
        <w:t>to</w:t>
      </w:r>
      <w:r w:rsidRPr="00910A2A">
        <w:rPr>
          <w:spacing w:val="-3"/>
        </w:rPr>
        <w:t xml:space="preserve"> </w:t>
      </w:r>
      <w:r>
        <w:t>a</w:t>
      </w:r>
      <w:r w:rsidRPr="00910A2A">
        <w:rPr>
          <w:spacing w:val="-2"/>
        </w:rPr>
        <w:t xml:space="preserve"> </w:t>
      </w:r>
      <w:r>
        <w:t>co-</w:t>
      </w:r>
      <w:r w:rsidRPr="00910A2A">
        <w:rPr>
          <w:spacing w:val="-2"/>
        </w:rPr>
        <w:t>applicant(s);</w:t>
      </w:r>
    </w:p>
    <w:p w14:paraId="0DBE3F64" w14:textId="77777777" w:rsidR="00910A2A" w:rsidRDefault="00910A2A" w:rsidP="00816803">
      <w:pPr>
        <w:pStyle w:val="Odstavecseseznamem"/>
        <w:widowControl w:val="0"/>
        <w:numPr>
          <w:ilvl w:val="0"/>
          <w:numId w:val="16"/>
        </w:numPr>
        <w:tabs>
          <w:tab w:val="left" w:pos="931"/>
        </w:tabs>
        <w:autoSpaceDE w:val="0"/>
        <w:autoSpaceDN w:val="0"/>
        <w:spacing w:before="120" w:after="0"/>
        <w:ind w:left="931" w:hanging="358"/>
        <w:jc w:val="left"/>
      </w:pPr>
      <w:r>
        <w:t>the</w:t>
      </w:r>
      <w:r>
        <w:rPr>
          <w:spacing w:val="-3"/>
        </w:rPr>
        <w:t xml:space="preserve"> </w:t>
      </w:r>
      <w:r>
        <w:t>actions</w:t>
      </w:r>
      <w:r>
        <w:rPr>
          <w:spacing w:val="-3"/>
        </w:rPr>
        <w:t xml:space="preserve"> </w:t>
      </w:r>
      <w:r>
        <w:rPr>
          <w:spacing w:val="-2"/>
        </w:rPr>
        <w:t>(2.1.3.):</w:t>
      </w:r>
    </w:p>
    <w:p w14:paraId="56929221" w14:textId="77777777" w:rsidR="00910A2A" w:rsidRDefault="00910A2A" w:rsidP="00816803">
      <w:pPr>
        <w:pStyle w:val="Odstavecseseznamem"/>
        <w:widowControl w:val="0"/>
        <w:numPr>
          <w:ilvl w:val="0"/>
          <w:numId w:val="15"/>
        </w:numPr>
        <w:tabs>
          <w:tab w:val="left" w:pos="1345"/>
        </w:tabs>
        <w:autoSpaceDE w:val="0"/>
        <w:autoSpaceDN w:val="0"/>
        <w:spacing w:before="121" w:after="0"/>
        <w:ind w:left="1345" w:hanging="412"/>
        <w:jc w:val="left"/>
      </w:pPr>
      <w:r>
        <w:t>actions</w:t>
      </w:r>
      <w:r>
        <w:rPr>
          <w:spacing w:val="-5"/>
        </w:rPr>
        <w:t xml:space="preserve"> </w:t>
      </w:r>
      <w:r>
        <w:t>for</w:t>
      </w:r>
      <w:r>
        <w:rPr>
          <w:spacing w:val="-2"/>
        </w:rPr>
        <w:t xml:space="preserve"> </w:t>
      </w:r>
      <w:r>
        <w:t>which</w:t>
      </w:r>
      <w:r>
        <w:rPr>
          <w:spacing w:val="-2"/>
        </w:rPr>
        <w:t xml:space="preserve"> </w:t>
      </w:r>
      <w:r>
        <w:t>a</w:t>
      </w:r>
      <w:r>
        <w:rPr>
          <w:spacing w:val="-2"/>
        </w:rPr>
        <w:t xml:space="preserve"> </w:t>
      </w:r>
      <w:r>
        <w:t>grant</w:t>
      </w:r>
      <w:r>
        <w:rPr>
          <w:spacing w:val="-1"/>
        </w:rPr>
        <w:t xml:space="preserve"> </w:t>
      </w:r>
      <w:r>
        <w:t>may</w:t>
      </w:r>
      <w:r>
        <w:rPr>
          <w:spacing w:val="-2"/>
        </w:rPr>
        <w:t xml:space="preserve"> </w:t>
      </w:r>
      <w:r>
        <w:t>be</w:t>
      </w:r>
      <w:r>
        <w:rPr>
          <w:spacing w:val="-2"/>
        </w:rPr>
        <w:t xml:space="preserve"> awarded;</w:t>
      </w:r>
    </w:p>
    <w:p w14:paraId="4FFCDBAC" w14:textId="77777777" w:rsidR="00910A2A" w:rsidRDefault="00910A2A" w:rsidP="00816803">
      <w:pPr>
        <w:pStyle w:val="Odstavecseseznamem"/>
        <w:widowControl w:val="0"/>
        <w:numPr>
          <w:ilvl w:val="0"/>
          <w:numId w:val="16"/>
        </w:numPr>
        <w:tabs>
          <w:tab w:val="left" w:pos="931"/>
        </w:tabs>
        <w:autoSpaceDE w:val="0"/>
        <w:autoSpaceDN w:val="0"/>
        <w:spacing w:before="121" w:after="0"/>
        <w:ind w:left="931" w:hanging="358"/>
        <w:jc w:val="left"/>
      </w:pPr>
      <w:r>
        <w:t>the</w:t>
      </w:r>
      <w:r>
        <w:rPr>
          <w:spacing w:val="-5"/>
        </w:rPr>
        <w:t xml:space="preserve"> </w:t>
      </w:r>
      <w:r>
        <w:t xml:space="preserve">eligibility of </w:t>
      </w:r>
      <w:r>
        <w:rPr>
          <w:spacing w:val="-6"/>
        </w:rPr>
        <w:t xml:space="preserve"> </w:t>
      </w:r>
      <w:r>
        <w:t>costs</w:t>
      </w:r>
      <w:r>
        <w:rPr>
          <w:spacing w:val="-5"/>
        </w:rPr>
        <w:t xml:space="preserve"> </w:t>
      </w:r>
      <w:r>
        <w:t>and eligibility of</w:t>
      </w:r>
      <w:r>
        <w:rPr>
          <w:spacing w:val="-4"/>
        </w:rPr>
        <w:t xml:space="preserve"> </w:t>
      </w:r>
      <w:r>
        <w:t>results/conditions</w:t>
      </w:r>
      <w:r>
        <w:rPr>
          <w:spacing w:val="-6"/>
        </w:rPr>
        <w:t xml:space="preserve"> </w:t>
      </w:r>
      <w:r>
        <w:rPr>
          <w:spacing w:val="-2"/>
        </w:rPr>
        <w:t>(2.1.4.):</w:t>
      </w:r>
    </w:p>
    <w:p w14:paraId="32842D9A" w14:textId="77777777" w:rsidR="00910A2A" w:rsidRDefault="00910A2A" w:rsidP="00816803">
      <w:pPr>
        <w:pStyle w:val="Odstavecseseznamem"/>
        <w:widowControl w:val="0"/>
        <w:numPr>
          <w:ilvl w:val="1"/>
          <w:numId w:val="16"/>
        </w:numPr>
        <w:tabs>
          <w:tab w:val="left" w:pos="1346"/>
        </w:tabs>
        <w:autoSpaceDE w:val="0"/>
        <w:autoSpaceDN w:val="0"/>
        <w:spacing w:before="82" w:after="0"/>
        <w:ind w:right="400"/>
        <w:jc w:val="left"/>
      </w:pPr>
      <w:r>
        <w:t>where</w:t>
      </w:r>
      <w:r w:rsidRPr="00AA09BC">
        <w:rPr>
          <w:spacing w:val="-3"/>
        </w:rPr>
        <w:t xml:space="preserve"> </w:t>
      </w:r>
      <w:r>
        <w:t>the</w:t>
      </w:r>
      <w:r w:rsidRPr="00AA09BC">
        <w:rPr>
          <w:spacing w:val="-1"/>
        </w:rPr>
        <w:t xml:space="preserve"> </w:t>
      </w:r>
      <w:r>
        <w:t>grant takes</w:t>
      </w:r>
      <w:r w:rsidRPr="00AA09BC">
        <w:rPr>
          <w:spacing w:val="-1"/>
        </w:rPr>
        <w:t xml:space="preserve"> </w:t>
      </w:r>
      <w:r>
        <w:t>the</w:t>
      </w:r>
      <w:r w:rsidRPr="00AA09BC">
        <w:rPr>
          <w:spacing w:val="-1"/>
        </w:rPr>
        <w:t xml:space="preserve"> </w:t>
      </w:r>
      <w:r>
        <w:t>form of reimbursement of costs</w:t>
      </w:r>
      <w:r w:rsidRPr="00AA09BC">
        <w:rPr>
          <w:spacing w:val="-1"/>
        </w:rPr>
        <w:t xml:space="preserve"> </w:t>
      </w:r>
      <w:r>
        <w:t>(totally</w:t>
      </w:r>
      <w:r w:rsidRPr="00AA09BC">
        <w:rPr>
          <w:spacing w:val="-1"/>
        </w:rPr>
        <w:t xml:space="preserve"> </w:t>
      </w:r>
      <w:r>
        <w:t>or partially): the</w:t>
      </w:r>
      <w:r w:rsidRPr="00AA09BC">
        <w:rPr>
          <w:spacing w:val="-3"/>
        </w:rPr>
        <w:t xml:space="preserve"> </w:t>
      </w:r>
      <w:r>
        <w:t>eligible costs, the types of cost that may be taken into account in setting the amount of the grant</w:t>
      </w:r>
    </w:p>
    <w:p w14:paraId="13D637CD" w14:textId="77777777" w:rsidR="0007408E" w:rsidRPr="00807DAF" w:rsidRDefault="0007408E" w:rsidP="00816803">
      <w:pPr>
        <w:pStyle w:val="Guidelines3"/>
        <w:numPr>
          <w:ilvl w:val="2"/>
          <w:numId w:val="8"/>
        </w:numPr>
      </w:pPr>
      <w:bookmarkStart w:id="15" w:name="_Toc216688225"/>
      <w:r w:rsidRPr="00807DAF">
        <w:t>Eligibility of applicant</w:t>
      </w:r>
      <w:r w:rsidR="00A2450D" w:rsidRPr="00807DAF">
        <w:t>s</w:t>
      </w:r>
      <w:r w:rsidR="00C4172B" w:rsidRPr="00807DAF">
        <w:t xml:space="preserve"> (i.e. </w:t>
      </w:r>
      <w:r w:rsidR="00ED0176">
        <w:t>lead a</w:t>
      </w:r>
      <w:r w:rsidR="00C4172B" w:rsidRPr="00807DAF">
        <w:t>pplicant and co-applicant(s))</w:t>
      </w:r>
      <w:bookmarkEnd w:id="15"/>
    </w:p>
    <w:p w14:paraId="1C27788F" w14:textId="77777777" w:rsidR="00CD1D62" w:rsidRDefault="00CD1D62" w:rsidP="00C536CC">
      <w:pPr>
        <w:spacing w:after="120" w:line="240" w:lineRule="atLeast"/>
        <w:rPr>
          <w:b/>
        </w:rPr>
      </w:pPr>
    </w:p>
    <w:p w14:paraId="3148CB8F" w14:textId="77777777" w:rsidR="004127BD" w:rsidRPr="00951BF6" w:rsidRDefault="00ED0176" w:rsidP="00C536CC">
      <w:pPr>
        <w:spacing w:after="120" w:line="240" w:lineRule="atLeast"/>
        <w:rPr>
          <w:b/>
        </w:rPr>
      </w:pPr>
      <w:r w:rsidRPr="00951BF6">
        <w:rPr>
          <w:b/>
        </w:rPr>
        <w:t>Lead a</w:t>
      </w:r>
      <w:r w:rsidR="004127BD" w:rsidRPr="007E4F56">
        <w:rPr>
          <w:b/>
        </w:rPr>
        <w:t>pplicant</w:t>
      </w:r>
    </w:p>
    <w:p w14:paraId="50B5FCF9" w14:textId="77777777" w:rsidR="00910A2A" w:rsidRDefault="00910A2A" w:rsidP="00910A2A">
      <w:pPr>
        <w:pStyle w:val="Zkladntext"/>
        <w:spacing w:before="119"/>
      </w:pPr>
      <w:r>
        <w:t>In</w:t>
      </w:r>
      <w:r>
        <w:rPr>
          <w:spacing w:val="-3"/>
        </w:rPr>
        <w:t xml:space="preserve"> </w:t>
      </w:r>
      <w:r>
        <w:t>order</w:t>
      </w:r>
      <w:r>
        <w:rPr>
          <w:spacing w:val="-4"/>
        </w:rPr>
        <w:t xml:space="preserve"> </w:t>
      </w:r>
      <w:r>
        <w:t>to</w:t>
      </w:r>
      <w:r>
        <w:rPr>
          <w:spacing w:val="-2"/>
        </w:rPr>
        <w:t xml:space="preserve"> </w:t>
      </w:r>
      <w:r>
        <w:t>be</w:t>
      </w:r>
      <w:r>
        <w:rPr>
          <w:spacing w:val="-3"/>
        </w:rPr>
        <w:t xml:space="preserve"> </w:t>
      </w:r>
      <w:r>
        <w:t>eligible</w:t>
      </w:r>
      <w:r>
        <w:rPr>
          <w:spacing w:val="-2"/>
        </w:rPr>
        <w:t xml:space="preserve"> </w:t>
      </w:r>
      <w:r>
        <w:t>for</w:t>
      </w:r>
      <w:r>
        <w:rPr>
          <w:spacing w:val="-2"/>
        </w:rPr>
        <w:t xml:space="preserve"> </w:t>
      </w:r>
      <w:r>
        <w:t>a</w:t>
      </w:r>
      <w:r>
        <w:rPr>
          <w:spacing w:val="-4"/>
        </w:rPr>
        <w:t xml:space="preserve"> </w:t>
      </w:r>
      <w:r>
        <w:t>grant,</w:t>
      </w:r>
      <w:r>
        <w:rPr>
          <w:spacing w:val="-3"/>
        </w:rPr>
        <w:t xml:space="preserve"> </w:t>
      </w:r>
      <w:r>
        <w:t>the</w:t>
      </w:r>
      <w:r>
        <w:rPr>
          <w:spacing w:val="1"/>
        </w:rPr>
        <w:t xml:space="preserve"> </w:t>
      </w:r>
      <w:r>
        <w:t>lead</w:t>
      </w:r>
      <w:r>
        <w:rPr>
          <w:spacing w:val="-5"/>
        </w:rPr>
        <w:t xml:space="preserve"> </w:t>
      </w:r>
      <w:r>
        <w:t>applicant</w:t>
      </w:r>
      <w:r>
        <w:rPr>
          <w:spacing w:val="-4"/>
        </w:rPr>
        <w:t xml:space="preserve"> must:</w:t>
      </w:r>
    </w:p>
    <w:p w14:paraId="70B6B5FE" w14:textId="77777777" w:rsidR="00910A2A" w:rsidRDefault="00910A2A" w:rsidP="00816803">
      <w:pPr>
        <w:pStyle w:val="Odstavecseseznamem"/>
        <w:widowControl w:val="0"/>
        <w:numPr>
          <w:ilvl w:val="3"/>
          <w:numId w:val="17"/>
        </w:numPr>
        <w:tabs>
          <w:tab w:val="left" w:pos="1206"/>
        </w:tabs>
        <w:autoSpaceDE w:val="0"/>
        <w:autoSpaceDN w:val="0"/>
        <w:spacing w:before="110" w:after="0"/>
        <w:ind w:hanging="427"/>
        <w:jc w:val="left"/>
      </w:pPr>
      <w:r>
        <w:t>be</w:t>
      </w:r>
      <w:r>
        <w:rPr>
          <w:spacing w:val="-2"/>
        </w:rPr>
        <w:t xml:space="preserve"> </w:t>
      </w:r>
      <w:r>
        <w:t>a</w:t>
      </w:r>
      <w:r>
        <w:rPr>
          <w:spacing w:val="-3"/>
        </w:rPr>
        <w:t xml:space="preserve"> </w:t>
      </w:r>
      <w:r>
        <w:t>legal person</w:t>
      </w:r>
      <w:r>
        <w:rPr>
          <w:spacing w:val="-1"/>
        </w:rPr>
        <w:t xml:space="preserve"> </w:t>
      </w:r>
      <w:r>
        <w:rPr>
          <w:b/>
          <w:spacing w:val="-4"/>
        </w:rPr>
        <w:t>and</w:t>
      </w:r>
    </w:p>
    <w:p w14:paraId="2C70D3CD" w14:textId="77777777" w:rsidR="00910A2A" w:rsidRDefault="00910A2A" w:rsidP="00816803">
      <w:pPr>
        <w:pStyle w:val="Odstavecseseznamem"/>
        <w:widowControl w:val="0"/>
        <w:numPr>
          <w:ilvl w:val="3"/>
          <w:numId w:val="17"/>
        </w:numPr>
        <w:tabs>
          <w:tab w:val="left" w:pos="1206"/>
        </w:tabs>
        <w:autoSpaceDE w:val="0"/>
        <w:autoSpaceDN w:val="0"/>
        <w:spacing w:before="86" w:after="0"/>
        <w:ind w:hanging="427"/>
        <w:jc w:val="left"/>
      </w:pPr>
      <w:r>
        <w:t xml:space="preserve">be a private or public body, </w:t>
      </w:r>
    </w:p>
    <w:p w14:paraId="7F7A2321" w14:textId="77777777" w:rsidR="00910A2A" w:rsidRDefault="00910A2A" w:rsidP="00910A2A">
      <w:pPr>
        <w:pStyle w:val="Odstavecseseznamem"/>
        <w:tabs>
          <w:tab w:val="left" w:pos="1206"/>
        </w:tabs>
        <w:spacing w:before="86"/>
        <w:ind w:left="1206"/>
      </w:pPr>
      <w:r w:rsidRPr="000C3A31">
        <w:rPr>
          <w:u w:val="single"/>
        </w:rPr>
        <w:t>including</w:t>
      </w:r>
      <w:r>
        <w:t>:</w:t>
      </w:r>
    </w:p>
    <w:p w14:paraId="0BA2AA05" w14:textId="77777777" w:rsidR="00910A2A" w:rsidRPr="00303F06" w:rsidRDefault="00910A2A" w:rsidP="00816803">
      <w:pPr>
        <w:pStyle w:val="Odstavecseseznamem"/>
        <w:widowControl w:val="0"/>
        <w:numPr>
          <w:ilvl w:val="4"/>
          <w:numId w:val="17"/>
        </w:numPr>
        <w:tabs>
          <w:tab w:val="left" w:pos="1206"/>
        </w:tabs>
        <w:autoSpaceDE w:val="0"/>
        <w:autoSpaceDN w:val="0"/>
        <w:spacing w:before="80" w:after="0" w:line="244" w:lineRule="auto"/>
        <w:ind w:left="1985" w:right="387"/>
        <w:rPr>
          <w:bCs/>
        </w:rPr>
      </w:pPr>
      <w:r w:rsidRPr="00303F06">
        <w:rPr>
          <w:bCs/>
        </w:rPr>
        <w:t>startups</w:t>
      </w:r>
      <w:r>
        <w:rPr>
          <w:rStyle w:val="Znakapoznpodarou"/>
          <w:bCs/>
        </w:rPr>
        <w:footnoteReference w:id="7"/>
      </w:r>
      <w:r w:rsidRPr="00303F06">
        <w:rPr>
          <w:bCs/>
        </w:rPr>
        <w:t>, small and medium-sized enterprises</w:t>
      </w:r>
      <w:r>
        <w:rPr>
          <w:rStyle w:val="Znakapoznpodarou"/>
          <w:bCs/>
        </w:rPr>
        <w:footnoteReference w:id="8"/>
      </w:r>
      <w:r w:rsidRPr="00303F06">
        <w:rPr>
          <w:bCs/>
        </w:rPr>
        <w:t xml:space="preserve"> to large companies with internationalization projects</w:t>
      </w:r>
      <w:r>
        <w:rPr>
          <w:rStyle w:val="Znakapoznpodarou"/>
          <w:bCs/>
        </w:rPr>
        <w:footnoteReference w:id="9"/>
      </w:r>
      <w:r w:rsidRPr="00303F06">
        <w:rPr>
          <w:bCs/>
        </w:rPr>
        <w:t>;</w:t>
      </w:r>
    </w:p>
    <w:p w14:paraId="7A612D32" w14:textId="77777777" w:rsidR="00910A2A" w:rsidRPr="003C37D1" w:rsidRDefault="00910A2A" w:rsidP="00816803">
      <w:pPr>
        <w:pStyle w:val="Odstavecseseznamem"/>
        <w:widowControl w:val="0"/>
        <w:numPr>
          <w:ilvl w:val="4"/>
          <w:numId w:val="17"/>
        </w:numPr>
        <w:tabs>
          <w:tab w:val="left" w:pos="1206"/>
        </w:tabs>
        <w:autoSpaceDE w:val="0"/>
        <w:autoSpaceDN w:val="0"/>
        <w:spacing w:before="80" w:after="0" w:line="244" w:lineRule="auto"/>
        <w:ind w:left="1985" w:right="387"/>
        <w:rPr>
          <w:bCs/>
        </w:rPr>
      </w:pPr>
      <w:r w:rsidRPr="003C37D1">
        <w:rPr>
          <w:bCs/>
        </w:rPr>
        <w:t>consortia of enterprises;</w:t>
      </w:r>
    </w:p>
    <w:p w14:paraId="7D0FDDE2" w14:textId="77777777" w:rsidR="00910A2A" w:rsidRPr="00303F06" w:rsidRDefault="00910A2A" w:rsidP="00816803">
      <w:pPr>
        <w:pStyle w:val="Odstavecseseznamem"/>
        <w:widowControl w:val="0"/>
        <w:numPr>
          <w:ilvl w:val="4"/>
          <w:numId w:val="17"/>
        </w:numPr>
        <w:tabs>
          <w:tab w:val="left" w:pos="1206"/>
        </w:tabs>
        <w:autoSpaceDE w:val="0"/>
        <w:autoSpaceDN w:val="0"/>
        <w:spacing w:before="80" w:after="0" w:line="244" w:lineRule="auto"/>
        <w:ind w:left="1985" w:right="387"/>
        <w:rPr>
          <w:bCs/>
        </w:rPr>
      </w:pPr>
      <w:r w:rsidRPr="00303F06">
        <w:rPr>
          <w:bCs/>
        </w:rPr>
        <w:t>joint ventures in partnership with national or local public promoters;</w:t>
      </w:r>
    </w:p>
    <w:p w14:paraId="64C017B8" w14:textId="77777777" w:rsidR="00910A2A" w:rsidRDefault="00910A2A" w:rsidP="00816803">
      <w:pPr>
        <w:pStyle w:val="Odstavecseseznamem"/>
        <w:widowControl w:val="0"/>
        <w:numPr>
          <w:ilvl w:val="4"/>
          <w:numId w:val="17"/>
        </w:numPr>
        <w:tabs>
          <w:tab w:val="left" w:pos="1206"/>
        </w:tabs>
        <w:autoSpaceDE w:val="0"/>
        <w:autoSpaceDN w:val="0"/>
        <w:spacing w:before="80" w:after="0" w:line="244" w:lineRule="auto"/>
        <w:ind w:left="1985" w:right="387"/>
      </w:pPr>
      <w:r>
        <w:t>government-linked companies (including state-owned enterprises, public-private partnerships, semi-public companies, etc.);</w:t>
      </w:r>
    </w:p>
    <w:p w14:paraId="385AC7FC" w14:textId="77777777" w:rsidR="00CD1D62" w:rsidRDefault="00910A2A" w:rsidP="00816803">
      <w:pPr>
        <w:pStyle w:val="Odstavecseseznamem"/>
        <w:widowControl w:val="0"/>
        <w:numPr>
          <w:ilvl w:val="4"/>
          <w:numId w:val="17"/>
        </w:numPr>
        <w:tabs>
          <w:tab w:val="left" w:pos="1206"/>
        </w:tabs>
        <w:autoSpaceDE w:val="0"/>
        <w:autoSpaceDN w:val="0"/>
        <w:spacing w:before="80" w:after="0" w:line="244" w:lineRule="auto"/>
        <w:ind w:left="1985" w:right="387"/>
      </w:pPr>
      <w:bookmarkStart w:id="16" w:name="_Hlk203412833"/>
      <w:r>
        <w:t>for Lot 2 (Artificial intelligence), research institutions and universities are also eligible.</w:t>
      </w:r>
    </w:p>
    <w:p w14:paraId="0DB6D5BB" w14:textId="77777777" w:rsidR="00910A2A" w:rsidRDefault="00CD1D62" w:rsidP="00CD1D62">
      <w:pPr>
        <w:pStyle w:val="Odstavecseseznamem"/>
        <w:widowControl w:val="0"/>
        <w:tabs>
          <w:tab w:val="left" w:pos="1206"/>
        </w:tabs>
        <w:autoSpaceDE w:val="0"/>
        <w:autoSpaceDN w:val="0"/>
        <w:spacing w:before="80" w:after="0" w:line="244" w:lineRule="auto"/>
        <w:ind w:left="0" w:right="387"/>
      </w:pPr>
      <w:r>
        <w:br w:type="page"/>
      </w:r>
      <w:r w:rsidR="00910A2A">
        <w:lastRenderedPageBreak/>
        <w:tab/>
      </w:r>
      <w:r w:rsidR="00910A2A">
        <w:rPr>
          <w:u w:val="single"/>
        </w:rPr>
        <w:t>e</w:t>
      </w:r>
      <w:r w:rsidR="00910A2A" w:rsidRPr="000C3A31">
        <w:rPr>
          <w:u w:val="single"/>
        </w:rPr>
        <w:t>xcluding</w:t>
      </w:r>
      <w:r w:rsidR="00910A2A">
        <w:t>:</w:t>
      </w:r>
    </w:p>
    <w:p w14:paraId="3A322FD7" w14:textId="77777777" w:rsidR="00910A2A" w:rsidRDefault="00910A2A" w:rsidP="00816803">
      <w:pPr>
        <w:pStyle w:val="Odstavecseseznamem"/>
        <w:widowControl w:val="0"/>
        <w:numPr>
          <w:ilvl w:val="4"/>
          <w:numId w:val="17"/>
        </w:numPr>
        <w:tabs>
          <w:tab w:val="left" w:pos="1206"/>
        </w:tabs>
        <w:autoSpaceDE w:val="0"/>
        <w:autoSpaceDN w:val="0"/>
        <w:spacing w:before="80" w:after="0" w:line="244" w:lineRule="auto"/>
        <w:ind w:left="1985" w:right="387"/>
      </w:pPr>
      <w:r>
        <w:t>state authorities (ministries, public agencies)</w:t>
      </w:r>
    </w:p>
    <w:p w14:paraId="32621AD5" w14:textId="77777777" w:rsidR="00910A2A" w:rsidRPr="003C37D1" w:rsidRDefault="00910A2A" w:rsidP="00816803">
      <w:pPr>
        <w:pStyle w:val="Odstavecseseznamem"/>
        <w:widowControl w:val="0"/>
        <w:numPr>
          <w:ilvl w:val="4"/>
          <w:numId w:val="17"/>
        </w:numPr>
        <w:tabs>
          <w:tab w:val="left" w:pos="1206"/>
        </w:tabs>
        <w:autoSpaceDE w:val="0"/>
        <w:autoSpaceDN w:val="0"/>
        <w:spacing w:before="80" w:after="0" w:line="244" w:lineRule="auto"/>
        <w:ind w:left="1985" w:right="387"/>
      </w:pPr>
      <w:r>
        <w:t>re</w:t>
      </w:r>
      <w:r w:rsidRPr="003C37D1">
        <w:t>gional and local authorities</w:t>
      </w:r>
    </w:p>
    <w:p w14:paraId="78AC1B0B" w14:textId="77777777" w:rsidR="00910A2A" w:rsidRPr="003C37D1" w:rsidRDefault="00910A2A" w:rsidP="00816803">
      <w:pPr>
        <w:pStyle w:val="Odstavecseseznamem"/>
        <w:widowControl w:val="0"/>
        <w:numPr>
          <w:ilvl w:val="4"/>
          <w:numId w:val="17"/>
        </w:numPr>
        <w:tabs>
          <w:tab w:val="left" w:pos="1206"/>
        </w:tabs>
        <w:autoSpaceDE w:val="0"/>
        <w:autoSpaceDN w:val="0"/>
        <w:spacing w:before="80" w:after="0" w:line="244" w:lineRule="auto"/>
        <w:ind w:left="1985" w:right="387"/>
      </w:pPr>
      <w:r>
        <w:t>i</w:t>
      </w:r>
      <w:r w:rsidRPr="003C37D1">
        <w:t>nternational organisations</w:t>
      </w:r>
      <w:r>
        <w:rPr>
          <w:rStyle w:val="Znakapoznpodarou"/>
        </w:rPr>
        <w:footnoteReference w:id="10"/>
      </w:r>
    </w:p>
    <w:bookmarkEnd w:id="16"/>
    <w:p w14:paraId="7D9661A4" w14:textId="77777777" w:rsidR="00910A2A" w:rsidRPr="003C37D1" w:rsidRDefault="00910A2A" w:rsidP="00910A2A">
      <w:pPr>
        <w:tabs>
          <w:tab w:val="left" w:pos="1204"/>
        </w:tabs>
        <w:spacing w:before="80" w:line="244" w:lineRule="auto"/>
        <w:ind w:left="1204" w:right="387"/>
        <w:rPr>
          <w:b/>
          <w:bCs/>
        </w:rPr>
      </w:pPr>
      <w:r w:rsidRPr="003C37D1">
        <w:rPr>
          <w:b/>
          <w:bCs/>
        </w:rPr>
        <w:t>and</w:t>
      </w:r>
    </w:p>
    <w:p w14:paraId="0D2CB91B" w14:textId="77777777" w:rsidR="00910A2A" w:rsidRPr="00821AB5" w:rsidRDefault="00910A2A" w:rsidP="00816803">
      <w:pPr>
        <w:pStyle w:val="Odstavecseseznamem"/>
        <w:widowControl w:val="0"/>
        <w:numPr>
          <w:ilvl w:val="3"/>
          <w:numId w:val="17"/>
        </w:numPr>
        <w:tabs>
          <w:tab w:val="left" w:pos="1206"/>
        </w:tabs>
        <w:autoSpaceDE w:val="0"/>
        <w:autoSpaceDN w:val="0"/>
        <w:spacing w:before="110" w:after="0"/>
        <w:ind w:hanging="427"/>
        <w:jc w:val="left"/>
        <w:rPr>
          <w:b/>
          <w:bCs/>
        </w:rPr>
      </w:pPr>
      <w:r w:rsidRPr="006C1801">
        <w:t>be effectively</w:t>
      </w:r>
      <w:r>
        <w:t xml:space="preserve"> </w:t>
      </w:r>
      <w:r w:rsidRPr="00807DAF">
        <w:t>established in</w:t>
      </w:r>
      <w:r w:rsidRPr="00807DAF">
        <w:rPr>
          <w:rStyle w:val="Znakapoznpodarou"/>
        </w:rPr>
        <w:footnoteReference w:id="11"/>
      </w:r>
      <w:r w:rsidRPr="00807DAF">
        <w:t xml:space="preserve"> </w:t>
      </w:r>
      <w:r w:rsidRPr="00BD6E63">
        <w:t>a Member State of the E</w:t>
      </w:r>
      <w:r>
        <w:t xml:space="preserve">uropean Union, </w:t>
      </w:r>
      <w:r w:rsidRPr="00B73B5C">
        <w:rPr>
          <w:b/>
        </w:rPr>
        <w:t>and</w:t>
      </w:r>
    </w:p>
    <w:p w14:paraId="07C60346" w14:textId="77777777" w:rsidR="00910A2A" w:rsidRDefault="00910A2A" w:rsidP="00816803">
      <w:pPr>
        <w:pStyle w:val="Odstavecseseznamem"/>
        <w:widowControl w:val="0"/>
        <w:numPr>
          <w:ilvl w:val="3"/>
          <w:numId w:val="17"/>
        </w:numPr>
        <w:tabs>
          <w:tab w:val="left" w:pos="1206"/>
        </w:tabs>
        <w:autoSpaceDE w:val="0"/>
        <w:autoSpaceDN w:val="0"/>
        <w:spacing w:before="110" w:after="0"/>
        <w:ind w:hanging="427"/>
        <w:jc w:val="left"/>
      </w:pPr>
      <w:r w:rsidRPr="00807DAF">
        <w:t>be directly responsible for the preparation and management of the action with the co-applicant(s) and affiliated entity(ies), not acting as an intermediary</w:t>
      </w:r>
      <w:r>
        <w:t>,</w:t>
      </w:r>
      <w:r w:rsidRPr="00807DAF">
        <w:t xml:space="preserve"> </w:t>
      </w:r>
      <w:r w:rsidRPr="00217129">
        <w:rPr>
          <w:b/>
          <w:bCs/>
        </w:rPr>
        <w:t>and</w:t>
      </w:r>
    </w:p>
    <w:p w14:paraId="52784C53" w14:textId="77777777" w:rsidR="00910A2A" w:rsidRPr="00910A2A" w:rsidRDefault="00910A2A" w:rsidP="00816803">
      <w:pPr>
        <w:pStyle w:val="Odstavecseseznamem"/>
        <w:widowControl w:val="0"/>
        <w:numPr>
          <w:ilvl w:val="3"/>
          <w:numId w:val="17"/>
        </w:numPr>
        <w:tabs>
          <w:tab w:val="left" w:pos="1206"/>
        </w:tabs>
        <w:autoSpaceDE w:val="0"/>
        <w:autoSpaceDN w:val="0"/>
        <w:spacing w:before="110" w:after="0"/>
        <w:ind w:hanging="427"/>
        <w:jc w:val="left"/>
        <w:rPr>
          <w:color w:val="000000"/>
          <w:lang w:val="en-IE"/>
        </w:rPr>
      </w:pPr>
      <w:r>
        <w:t xml:space="preserve">not being in any of the situations listed in Section 2.4. </w:t>
      </w:r>
      <w:r w:rsidRPr="00807DAF">
        <w:t xml:space="preserve">of the </w:t>
      </w:r>
      <w:r>
        <w:t>p</w:t>
      </w:r>
      <w:r w:rsidRPr="00807DAF">
        <w:t xml:space="preserve">ractical </w:t>
      </w:r>
      <w:r>
        <w:t>g</w:t>
      </w:r>
      <w:r w:rsidRPr="00807DAF">
        <w:t>uide</w:t>
      </w:r>
      <w:r>
        <w:rPr>
          <w:b/>
          <w:bCs/>
        </w:rPr>
        <w:t>.</w:t>
      </w:r>
    </w:p>
    <w:p w14:paraId="6C14F952" w14:textId="77777777" w:rsidR="00910A2A" w:rsidRDefault="00910A2A" w:rsidP="00910A2A">
      <w:pPr>
        <w:pStyle w:val="Zkladntext"/>
        <w:spacing w:before="119"/>
      </w:pPr>
      <w:r>
        <w:t>The lead applicant may act individually or with co-applicant(s).</w:t>
      </w:r>
    </w:p>
    <w:p w14:paraId="7BADB193" w14:textId="77777777" w:rsidR="00910A2A" w:rsidRDefault="00910A2A" w:rsidP="00910A2A">
      <w:pPr>
        <w:pStyle w:val="Zkladntext"/>
        <w:spacing w:before="119"/>
      </w:pPr>
      <w:r>
        <w:t>If awarded the grant contract, the lead applicant will become the beneficiary identified as the coordinator in Annex G (special conditions). The coordinator is the sole interlocutor of the contracting authority. It represents and acts on behalf of any other co-beneficiary (if any) and coordinate the design and implementation of the action.</w:t>
      </w:r>
    </w:p>
    <w:p w14:paraId="51825F18" w14:textId="77777777" w:rsidR="006A36F9" w:rsidRPr="006769D7" w:rsidRDefault="006A36F9" w:rsidP="00C536CC">
      <w:pPr>
        <w:spacing w:after="120" w:line="240" w:lineRule="atLeast"/>
        <w:rPr>
          <w:b/>
        </w:rPr>
      </w:pPr>
      <w:r w:rsidRPr="006769D7">
        <w:rPr>
          <w:b/>
        </w:rPr>
        <w:t>Co-applicant(s)</w:t>
      </w:r>
    </w:p>
    <w:p w14:paraId="1186FDF4" w14:textId="77777777" w:rsidR="00CD1D62" w:rsidRDefault="00CD1D62" w:rsidP="00CD1D62">
      <w:pPr>
        <w:pStyle w:val="Zkladntext"/>
        <w:spacing w:before="121"/>
        <w:ind w:right="409"/>
      </w:pPr>
      <w:r>
        <w:t>Co-applicants participate in designing and implementing the action, and the costs they incur are eligible in</w:t>
      </w:r>
      <w:r>
        <w:rPr>
          <w:spacing w:val="40"/>
        </w:rPr>
        <w:t xml:space="preserve"> </w:t>
      </w:r>
      <w:r>
        <w:t>the same way as those incurred by the lead applicant.</w:t>
      </w:r>
    </w:p>
    <w:p w14:paraId="02C93224" w14:textId="77777777" w:rsidR="00CD1D62" w:rsidRDefault="00CD1D62" w:rsidP="00CD1D62">
      <w:pPr>
        <w:pStyle w:val="Zkladntext"/>
        <w:spacing w:before="120"/>
      </w:pPr>
      <w:r w:rsidRPr="00642C6E">
        <w:t>Co-applicants</w:t>
      </w:r>
      <w:r w:rsidRPr="00642C6E">
        <w:rPr>
          <w:spacing w:val="-8"/>
        </w:rPr>
        <w:t xml:space="preserve"> </w:t>
      </w:r>
      <w:r w:rsidRPr="00642C6E">
        <w:t>must</w:t>
      </w:r>
      <w:r w:rsidRPr="00642C6E">
        <w:rPr>
          <w:spacing w:val="-3"/>
        </w:rPr>
        <w:t xml:space="preserve"> </w:t>
      </w:r>
      <w:r w:rsidRPr="00642C6E">
        <w:t>satisfy</w:t>
      </w:r>
      <w:r w:rsidRPr="00642C6E">
        <w:rPr>
          <w:spacing w:val="-7"/>
        </w:rPr>
        <w:t xml:space="preserve"> </w:t>
      </w:r>
      <w:r w:rsidRPr="00642C6E">
        <w:t>the</w:t>
      </w:r>
      <w:r w:rsidRPr="00642C6E">
        <w:rPr>
          <w:spacing w:val="-4"/>
        </w:rPr>
        <w:t xml:space="preserve"> </w:t>
      </w:r>
      <w:r w:rsidRPr="00642C6E">
        <w:t>eligibility</w:t>
      </w:r>
      <w:r w:rsidRPr="00642C6E">
        <w:rPr>
          <w:spacing w:val="-4"/>
        </w:rPr>
        <w:t xml:space="preserve"> </w:t>
      </w:r>
      <w:r w:rsidRPr="00642C6E">
        <w:t>criteria</w:t>
      </w:r>
      <w:r w:rsidRPr="00642C6E">
        <w:rPr>
          <w:spacing w:val="-4"/>
        </w:rPr>
        <w:t xml:space="preserve"> </w:t>
      </w:r>
      <w:r w:rsidRPr="00642C6E">
        <w:t>as</w:t>
      </w:r>
      <w:r w:rsidRPr="00642C6E">
        <w:rPr>
          <w:spacing w:val="-6"/>
        </w:rPr>
        <w:t xml:space="preserve"> </w:t>
      </w:r>
      <w:r w:rsidRPr="00642C6E">
        <w:t>applicable</w:t>
      </w:r>
      <w:r w:rsidRPr="00642C6E">
        <w:rPr>
          <w:spacing w:val="1"/>
        </w:rPr>
        <w:t xml:space="preserve"> </w:t>
      </w:r>
      <w:r w:rsidRPr="00642C6E">
        <w:t>to</w:t>
      </w:r>
      <w:r w:rsidRPr="00642C6E">
        <w:rPr>
          <w:spacing w:val="-7"/>
        </w:rPr>
        <w:t xml:space="preserve"> </w:t>
      </w:r>
      <w:r w:rsidRPr="00642C6E">
        <w:t>the</w:t>
      </w:r>
      <w:r w:rsidRPr="00642C6E">
        <w:rPr>
          <w:spacing w:val="-4"/>
        </w:rPr>
        <w:t xml:space="preserve"> </w:t>
      </w:r>
      <w:r w:rsidRPr="00642C6E">
        <w:t>lead</w:t>
      </w:r>
      <w:r w:rsidRPr="00642C6E">
        <w:rPr>
          <w:spacing w:val="-4"/>
        </w:rPr>
        <w:t xml:space="preserve"> </w:t>
      </w:r>
      <w:r w:rsidRPr="00642C6E">
        <w:t>applicant</w:t>
      </w:r>
      <w:r w:rsidRPr="00642C6E">
        <w:rPr>
          <w:spacing w:val="-5"/>
        </w:rPr>
        <w:t xml:space="preserve"> </w:t>
      </w:r>
      <w:r w:rsidRPr="00642C6E">
        <w:rPr>
          <w:spacing w:val="-2"/>
        </w:rPr>
        <w:t>himself.</w:t>
      </w:r>
    </w:p>
    <w:p w14:paraId="7B9540E7" w14:textId="77777777" w:rsidR="00CD1D62" w:rsidRDefault="00CD1D62" w:rsidP="00CD1D62">
      <w:pPr>
        <w:pStyle w:val="Zkladntext"/>
        <w:spacing w:before="122" w:line="352" w:lineRule="auto"/>
        <w:ind w:right="934"/>
      </w:pPr>
      <w:r w:rsidRPr="00F7087F">
        <w:t>In addition to the categories referred to in Section 2.1.1, the following are however also eligible</w:t>
      </w:r>
      <w:r>
        <w:t>:</w:t>
      </w:r>
    </w:p>
    <w:p w14:paraId="27E7D61B" w14:textId="77777777" w:rsidR="00CD1D62" w:rsidRPr="009D0302" w:rsidRDefault="00CD1D62" w:rsidP="00816803">
      <w:pPr>
        <w:pStyle w:val="Odstavecseseznamem"/>
        <w:widowControl w:val="0"/>
        <w:numPr>
          <w:ilvl w:val="3"/>
          <w:numId w:val="17"/>
        </w:numPr>
        <w:tabs>
          <w:tab w:val="left" w:pos="1206"/>
        </w:tabs>
        <w:autoSpaceDE w:val="0"/>
        <w:autoSpaceDN w:val="0"/>
        <w:spacing w:before="110" w:after="0"/>
        <w:jc w:val="left"/>
      </w:pPr>
      <w:r w:rsidRPr="00CD1D62">
        <w:rPr>
          <w:color w:val="000000"/>
        </w:rPr>
        <w:t>public or private entities effectively established in the country where the action will take place, including state authorities (ministries, agencies), regional and local authorities, international organisations</w:t>
      </w:r>
      <w:r w:rsidRPr="00CD1D62">
        <w:rPr>
          <w:rStyle w:val="Znakapoznpodarou"/>
          <w:color w:val="000000"/>
        </w:rPr>
        <w:footnoteReference w:id="12"/>
      </w:r>
    </w:p>
    <w:p w14:paraId="040DA1DA" w14:textId="77777777" w:rsidR="00CD1D62" w:rsidRPr="00F7087F" w:rsidRDefault="00CD1D62" w:rsidP="00816803">
      <w:pPr>
        <w:pStyle w:val="Odstavecseseznamem"/>
        <w:widowControl w:val="0"/>
        <w:numPr>
          <w:ilvl w:val="3"/>
          <w:numId w:val="17"/>
        </w:numPr>
        <w:tabs>
          <w:tab w:val="left" w:pos="1206"/>
        </w:tabs>
        <w:autoSpaceDE w:val="0"/>
        <w:autoSpaceDN w:val="0"/>
        <w:spacing w:before="110" w:after="0"/>
        <w:ind w:hanging="427"/>
        <w:jc w:val="left"/>
      </w:pPr>
      <w:r>
        <w:t>research institutions and universities</w:t>
      </w:r>
    </w:p>
    <w:p w14:paraId="1A06EC15" w14:textId="77777777" w:rsidR="00CD1D62" w:rsidRDefault="00CD1D62" w:rsidP="00CD1D62">
      <w:pPr>
        <w:pStyle w:val="Zkladntext"/>
        <w:spacing w:before="121"/>
        <w:ind w:right="409"/>
      </w:pPr>
      <w:r w:rsidRPr="00F7087F">
        <w:rPr>
          <w:color w:val="000000"/>
        </w:rPr>
        <w:t>Co-</w:t>
      </w:r>
      <w:r w:rsidRPr="00F7087F">
        <w:t>applicants must sign the mandate in Annex A.2 Section 5.</w:t>
      </w:r>
    </w:p>
    <w:p w14:paraId="169BAAD6" w14:textId="77777777" w:rsidR="00816F74" w:rsidRPr="006769D7" w:rsidRDefault="00CD1D62" w:rsidP="00CD1D62">
      <w:pPr>
        <w:pStyle w:val="Zkladntext"/>
        <w:spacing w:before="121"/>
        <w:ind w:right="409"/>
      </w:pPr>
      <w:r>
        <w:t>If awarded the grant contract, the co-applicant(s) (if any) will become beneficiary(ies) in the action (together with the coordinator).</w:t>
      </w:r>
      <w:r w:rsidR="00816F74" w:rsidRPr="006769D7">
        <w:t xml:space="preserve"> </w:t>
      </w:r>
    </w:p>
    <w:p w14:paraId="6CF598F9" w14:textId="77777777" w:rsidR="00914462" w:rsidRPr="0062168D" w:rsidRDefault="00914462" w:rsidP="00C536CC">
      <w:pPr>
        <w:spacing w:after="120" w:line="240" w:lineRule="atLeast"/>
      </w:pPr>
      <w:r w:rsidRPr="006769D7">
        <w:rPr>
          <w:b/>
        </w:rPr>
        <w:t>Affiliated entities</w:t>
      </w:r>
    </w:p>
    <w:p w14:paraId="24FA825E" w14:textId="77777777" w:rsidR="00CD1D62" w:rsidRDefault="00CD1D62" w:rsidP="00CD1D62">
      <w:pPr>
        <w:pStyle w:val="Zkladntext"/>
        <w:spacing w:before="122"/>
      </w:pPr>
      <w:bookmarkStart w:id="17" w:name="_Toc380145061"/>
      <w:bookmarkEnd w:id="17"/>
      <w:r>
        <w:t>The</w:t>
      </w:r>
      <w:r>
        <w:rPr>
          <w:spacing w:val="-6"/>
        </w:rPr>
        <w:t xml:space="preserve"> </w:t>
      </w:r>
      <w:r>
        <w:t>lead</w:t>
      </w:r>
      <w:r>
        <w:rPr>
          <w:spacing w:val="-3"/>
        </w:rPr>
        <w:t xml:space="preserve"> </w:t>
      </w:r>
      <w:r>
        <w:t>applicant</w:t>
      </w:r>
      <w:r>
        <w:rPr>
          <w:spacing w:val="-3"/>
        </w:rPr>
        <w:t xml:space="preserve"> </w:t>
      </w:r>
      <w:r>
        <w:t>and</w:t>
      </w:r>
      <w:r>
        <w:rPr>
          <w:spacing w:val="-3"/>
        </w:rPr>
        <w:t xml:space="preserve"> </w:t>
      </w:r>
      <w:r>
        <w:t>its</w:t>
      </w:r>
      <w:r>
        <w:rPr>
          <w:spacing w:val="-5"/>
        </w:rPr>
        <w:t xml:space="preserve"> </w:t>
      </w:r>
      <w:r>
        <w:t>co-applicant(s)</w:t>
      </w:r>
      <w:r>
        <w:rPr>
          <w:spacing w:val="-5"/>
        </w:rPr>
        <w:t xml:space="preserve"> </w:t>
      </w:r>
      <w:r>
        <w:t>may</w:t>
      </w:r>
      <w:r>
        <w:rPr>
          <w:spacing w:val="-6"/>
        </w:rPr>
        <w:t xml:space="preserve"> </w:t>
      </w:r>
      <w:r>
        <w:t>act</w:t>
      </w:r>
      <w:r>
        <w:rPr>
          <w:spacing w:val="-2"/>
        </w:rPr>
        <w:t xml:space="preserve"> </w:t>
      </w:r>
      <w:r>
        <w:t>with</w:t>
      </w:r>
      <w:r>
        <w:rPr>
          <w:spacing w:val="-6"/>
        </w:rPr>
        <w:t xml:space="preserve"> </w:t>
      </w:r>
      <w:r>
        <w:t>affiliated</w:t>
      </w:r>
      <w:r>
        <w:rPr>
          <w:spacing w:val="-5"/>
        </w:rPr>
        <w:t xml:space="preserve"> </w:t>
      </w:r>
      <w:r>
        <w:rPr>
          <w:spacing w:val="-2"/>
        </w:rPr>
        <w:t>entity(ies).</w:t>
      </w:r>
    </w:p>
    <w:p w14:paraId="39681801" w14:textId="77777777" w:rsidR="00CD1D62" w:rsidRDefault="00CD1D62" w:rsidP="00CD1D62">
      <w:pPr>
        <w:pStyle w:val="Zkladntext"/>
        <w:spacing w:before="117" w:line="244" w:lineRule="auto"/>
      </w:pPr>
      <w:r>
        <w:rPr>
          <w:u w:val="single"/>
        </w:rPr>
        <w:lastRenderedPageBreak/>
        <w:t>Only</w:t>
      </w:r>
      <w:r>
        <w:rPr>
          <w:spacing w:val="40"/>
          <w:u w:val="single"/>
        </w:rPr>
        <w:t xml:space="preserve"> </w:t>
      </w:r>
      <w:r>
        <w:rPr>
          <w:u w:val="single"/>
        </w:rPr>
        <w:t>the</w:t>
      </w:r>
      <w:r>
        <w:rPr>
          <w:spacing w:val="40"/>
          <w:u w:val="single"/>
        </w:rPr>
        <w:t xml:space="preserve"> </w:t>
      </w:r>
      <w:r>
        <w:rPr>
          <w:u w:val="single"/>
        </w:rPr>
        <w:t>following</w:t>
      </w:r>
      <w:r>
        <w:rPr>
          <w:spacing w:val="40"/>
          <w:u w:val="single"/>
        </w:rPr>
        <w:t xml:space="preserve"> </w:t>
      </w:r>
      <w:r>
        <w:rPr>
          <w:u w:val="single"/>
        </w:rPr>
        <w:t>entities</w:t>
      </w:r>
      <w:r>
        <w:rPr>
          <w:spacing w:val="40"/>
          <w:u w:val="single"/>
        </w:rPr>
        <w:t xml:space="preserve"> </w:t>
      </w:r>
      <w:r>
        <w:rPr>
          <w:u w:val="single"/>
        </w:rPr>
        <w:t>may</w:t>
      </w:r>
      <w:r>
        <w:rPr>
          <w:spacing w:val="40"/>
          <w:u w:val="single"/>
        </w:rPr>
        <w:t xml:space="preserve"> </w:t>
      </w:r>
      <w:r>
        <w:rPr>
          <w:u w:val="single"/>
        </w:rPr>
        <w:t>be</w:t>
      </w:r>
      <w:r>
        <w:rPr>
          <w:spacing w:val="40"/>
          <w:u w:val="single"/>
        </w:rPr>
        <w:t xml:space="preserve"> </w:t>
      </w:r>
      <w:r>
        <w:rPr>
          <w:u w:val="single"/>
        </w:rPr>
        <w:t>considered</w:t>
      </w:r>
      <w:r>
        <w:rPr>
          <w:spacing w:val="40"/>
          <w:u w:val="single"/>
        </w:rPr>
        <w:t xml:space="preserve"> </w:t>
      </w:r>
      <w:r>
        <w:rPr>
          <w:u w:val="single"/>
        </w:rPr>
        <w:t>as</w:t>
      </w:r>
      <w:r>
        <w:rPr>
          <w:spacing w:val="40"/>
          <w:u w:val="single"/>
        </w:rPr>
        <w:t xml:space="preserve"> </w:t>
      </w:r>
      <w:r>
        <w:rPr>
          <w:u w:val="single"/>
        </w:rPr>
        <w:t>affiliated</w:t>
      </w:r>
      <w:r>
        <w:rPr>
          <w:spacing w:val="40"/>
          <w:u w:val="single"/>
        </w:rPr>
        <w:t xml:space="preserve"> </w:t>
      </w:r>
      <w:r>
        <w:rPr>
          <w:u w:val="single"/>
        </w:rPr>
        <w:t>entities</w:t>
      </w:r>
      <w:r>
        <w:rPr>
          <w:spacing w:val="40"/>
          <w:u w:val="single"/>
        </w:rPr>
        <w:t xml:space="preserve"> </w:t>
      </w:r>
      <w:r>
        <w:rPr>
          <w:u w:val="single"/>
        </w:rPr>
        <w:t>to</w:t>
      </w:r>
      <w:r>
        <w:rPr>
          <w:spacing w:val="40"/>
          <w:u w:val="single"/>
        </w:rPr>
        <w:t xml:space="preserve"> </w:t>
      </w:r>
      <w:r>
        <w:rPr>
          <w:u w:val="single"/>
        </w:rPr>
        <w:t>the</w:t>
      </w:r>
      <w:r>
        <w:rPr>
          <w:spacing w:val="40"/>
          <w:u w:val="single"/>
        </w:rPr>
        <w:t xml:space="preserve"> </w:t>
      </w:r>
      <w:r>
        <w:rPr>
          <w:u w:val="single"/>
        </w:rPr>
        <w:t>lead</w:t>
      </w:r>
      <w:r>
        <w:rPr>
          <w:spacing w:val="40"/>
          <w:u w:val="single"/>
        </w:rPr>
        <w:t xml:space="preserve"> </w:t>
      </w:r>
      <w:r>
        <w:rPr>
          <w:u w:val="single"/>
        </w:rPr>
        <w:t>applicant</w:t>
      </w:r>
      <w:r>
        <w:rPr>
          <w:spacing w:val="40"/>
          <w:u w:val="single"/>
        </w:rPr>
        <w:t xml:space="preserve"> </w:t>
      </w:r>
      <w:r>
        <w:rPr>
          <w:u w:val="single"/>
        </w:rPr>
        <w:t>and/or</w:t>
      </w:r>
      <w:r>
        <w:rPr>
          <w:spacing w:val="40"/>
          <w:u w:val="single"/>
        </w:rPr>
        <w:t xml:space="preserve"> </w:t>
      </w:r>
      <w:r>
        <w:rPr>
          <w:u w:val="single"/>
        </w:rPr>
        <w:t>to</w:t>
      </w:r>
      <w:r>
        <w:rPr>
          <w:spacing w:val="40"/>
          <w:u w:val="single"/>
        </w:rPr>
        <w:t xml:space="preserve"> </w:t>
      </w:r>
      <w:r>
        <w:rPr>
          <w:u w:val="single"/>
        </w:rPr>
        <w:t>co-</w:t>
      </w:r>
      <w:r>
        <w:t xml:space="preserve"> </w:t>
      </w:r>
      <w:r>
        <w:rPr>
          <w:spacing w:val="-2"/>
          <w:u w:val="single"/>
        </w:rPr>
        <w:t>applicant(s):</w:t>
      </w:r>
    </w:p>
    <w:p w14:paraId="696DBF9E" w14:textId="77777777" w:rsidR="00CD1D62" w:rsidRDefault="00CD1D62" w:rsidP="00CD1D62">
      <w:pPr>
        <w:pStyle w:val="Zkladntext"/>
        <w:spacing w:before="230"/>
      </w:pPr>
      <w:r>
        <w:t>Only</w:t>
      </w:r>
      <w:r>
        <w:rPr>
          <w:spacing w:val="40"/>
        </w:rPr>
        <w:t xml:space="preserve"> </w:t>
      </w:r>
      <w:r>
        <w:t>entities</w:t>
      </w:r>
      <w:r>
        <w:rPr>
          <w:spacing w:val="40"/>
        </w:rPr>
        <w:t xml:space="preserve"> </w:t>
      </w:r>
      <w:r>
        <w:t>having</w:t>
      </w:r>
      <w:r>
        <w:rPr>
          <w:spacing w:val="40"/>
        </w:rPr>
        <w:t xml:space="preserve"> </w:t>
      </w:r>
      <w:r>
        <w:t>a</w:t>
      </w:r>
      <w:r>
        <w:rPr>
          <w:spacing w:val="40"/>
        </w:rPr>
        <w:t xml:space="preserve"> </w:t>
      </w:r>
      <w:r>
        <w:t>structural</w:t>
      </w:r>
      <w:r>
        <w:rPr>
          <w:spacing w:val="40"/>
        </w:rPr>
        <w:t xml:space="preserve"> </w:t>
      </w:r>
      <w:r>
        <w:t>link</w:t>
      </w:r>
      <w:r>
        <w:rPr>
          <w:spacing w:val="40"/>
        </w:rPr>
        <w:t xml:space="preserve"> </w:t>
      </w:r>
      <w:r>
        <w:t>with</w:t>
      </w:r>
      <w:r>
        <w:rPr>
          <w:spacing w:val="40"/>
        </w:rPr>
        <w:t xml:space="preserve"> </w:t>
      </w:r>
      <w:r>
        <w:t>the</w:t>
      </w:r>
      <w:r>
        <w:rPr>
          <w:spacing w:val="40"/>
        </w:rPr>
        <w:t xml:space="preserve"> </w:t>
      </w:r>
      <w:r>
        <w:t>applicants</w:t>
      </w:r>
      <w:r>
        <w:rPr>
          <w:spacing w:val="40"/>
        </w:rPr>
        <w:t xml:space="preserve"> </w:t>
      </w:r>
      <w:r>
        <w:t>(i.e.</w:t>
      </w:r>
      <w:r>
        <w:rPr>
          <w:spacing w:val="40"/>
        </w:rPr>
        <w:t xml:space="preserve"> </w:t>
      </w:r>
      <w:r>
        <w:t>the</w:t>
      </w:r>
      <w:r>
        <w:rPr>
          <w:spacing w:val="40"/>
        </w:rPr>
        <w:t xml:space="preserve"> </w:t>
      </w:r>
      <w:r>
        <w:t>lead</w:t>
      </w:r>
      <w:r>
        <w:rPr>
          <w:spacing w:val="40"/>
        </w:rPr>
        <w:t xml:space="preserve"> </w:t>
      </w:r>
      <w:r>
        <w:t>applicant</w:t>
      </w:r>
      <w:r>
        <w:rPr>
          <w:spacing w:val="40"/>
        </w:rPr>
        <w:t xml:space="preserve"> </w:t>
      </w:r>
      <w:r>
        <w:t>or</w:t>
      </w:r>
      <w:r>
        <w:rPr>
          <w:spacing w:val="40"/>
        </w:rPr>
        <w:t xml:space="preserve"> </w:t>
      </w:r>
      <w:r>
        <w:t>a</w:t>
      </w:r>
      <w:r>
        <w:rPr>
          <w:spacing w:val="40"/>
        </w:rPr>
        <w:t xml:space="preserve"> </w:t>
      </w:r>
      <w:r>
        <w:t>co-applicant),</w:t>
      </w:r>
      <w:r>
        <w:rPr>
          <w:spacing w:val="40"/>
        </w:rPr>
        <w:t xml:space="preserve"> </w:t>
      </w:r>
      <w:r>
        <w:t>in particular a legal or capital link.</w:t>
      </w:r>
    </w:p>
    <w:p w14:paraId="325D07C3" w14:textId="77777777" w:rsidR="00CD1D62" w:rsidRDefault="00CD1D62" w:rsidP="00CD1D62">
      <w:pPr>
        <w:pStyle w:val="Zkladntext"/>
        <w:spacing w:before="123"/>
      </w:pPr>
      <w:r>
        <w:t>This</w:t>
      </w:r>
      <w:r>
        <w:rPr>
          <w:spacing w:val="-5"/>
        </w:rPr>
        <w:t xml:space="preserve"> </w:t>
      </w:r>
      <w:r>
        <w:t>structural</w:t>
      </w:r>
      <w:r>
        <w:rPr>
          <w:spacing w:val="-6"/>
        </w:rPr>
        <w:t xml:space="preserve"> </w:t>
      </w:r>
      <w:r>
        <w:t>link</w:t>
      </w:r>
      <w:r>
        <w:rPr>
          <w:spacing w:val="-6"/>
        </w:rPr>
        <w:t xml:space="preserve"> </w:t>
      </w:r>
      <w:r>
        <w:t>encompasses</w:t>
      </w:r>
      <w:r>
        <w:rPr>
          <w:spacing w:val="-4"/>
        </w:rPr>
        <w:t xml:space="preserve"> </w:t>
      </w:r>
      <w:r>
        <w:t>mainly</w:t>
      </w:r>
      <w:r>
        <w:rPr>
          <w:spacing w:val="-6"/>
        </w:rPr>
        <w:t xml:space="preserve"> </w:t>
      </w:r>
      <w:r>
        <w:t>two</w:t>
      </w:r>
      <w:r>
        <w:rPr>
          <w:spacing w:val="-3"/>
        </w:rPr>
        <w:t xml:space="preserve"> </w:t>
      </w:r>
      <w:r>
        <w:rPr>
          <w:spacing w:val="-2"/>
        </w:rPr>
        <w:t>notions:</w:t>
      </w:r>
    </w:p>
    <w:p w14:paraId="35FF84E1" w14:textId="77777777" w:rsidR="00CD1D62" w:rsidRDefault="00CD1D62" w:rsidP="00816803">
      <w:pPr>
        <w:pStyle w:val="Odstavecseseznamem"/>
        <w:widowControl w:val="0"/>
        <w:numPr>
          <w:ilvl w:val="0"/>
          <w:numId w:val="20"/>
        </w:numPr>
        <w:tabs>
          <w:tab w:val="left" w:pos="933"/>
        </w:tabs>
        <w:autoSpaceDE w:val="0"/>
        <w:autoSpaceDN w:val="0"/>
        <w:spacing w:before="117" w:after="0" w:line="244" w:lineRule="auto"/>
        <w:ind w:right="398"/>
        <w:jc w:val="left"/>
      </w:pPr>
      <w:r>
        <w:t>Control,</w:t>
      </w:r>
      <w:r>
        <w:rPr>
          <w:spacing w:val="40"/>
        </w:rPr>
        <w:t xml:space="preserve"> </w:t>
      </w:r>
      <w:r>
        <w:t>as</w:t>
      </w:r>
      <w:r>
        <w:rPr>
          <w:spacing w:val="40"/>
        </w:rPr>
        <w:t xml:space="preserve"> </w:t>
      </w:r>
      <w:r>
        <w:t>defined</w:t>
      </w:r>
      <w:r>
        <w:rPr>
          <w:spacing w:val="40"/>
        </w:rPr>
        <w:t xml:space="preserve"> </w:t>
      </w:r>
      <w:r>
        <w:t>in</w:t>
      </w:r>
      <w:r>
        <w:rPr>
          <w:spacing w:val="40"/>
        </w:rPr>
        <w:t xml:space="preserve"> </w:t>
      </w:r>
      <w:r>
        <w:t>Directive</w:t>
      </w:r>
      <w:r>
        <w:rPr>
          <w:spacing w:val="40"/>
        </w:rPr>
        <w:t xml:space="preserve"> </w:t>
      </w:r>
      <w:r>
        <w:t>2013/34/EU</w:t>
      </w:r>
      <w:r>
        <w:rPr>
          <w:spacing w:val="40"/>
        </w:rPr>
        <w:t xml:space="preserve"> </w:t>
      </w:r>
      <w:r>
        <w:t>on</w:t>
      </w:r>
      <w:r>
        <w:rPr>
          <w:spacing w:val="40"/>
        </w:rPr>
        <w:t xml:space="preserve"> </w:t>
      </w:r>
      <w:r>
        <w:t>the</w:t>
      </w:r>
      <w:r>
        <w:rPr>
          <w:spacing w:val="40"/>
        </w:rPr>
        <w:t xml:space="preserve"> </w:t>
      </w:r>
      <w:r>
        <w:t>annual</w:t>
      </w:r>
      <w:r>
        <w:rPr>
          <w:spacing w:val="40"/>
        </w:rPr>
        <w:t xml:space="preserve"> </w:t>
      </w:r>
      <w:r>
        <w:t>financial</w:t>
      </w:r>
      <w:r>
        <w:rPr>
          <w:spacing w:val="40"/>
        </w:rPr>
        <w:t xml:space="preserve"> </w:t>
      </w:r>
      <w:r>
        <w:t>statements,</w:t>
      </w:r>
      <w:r>
        <w:rPr>
          <w:spacing w:val="40"/>
        </w:rPr>
        <w:t xml:space="preserve"> </w:t>
      </w:r>
      <w:r>
        <w:t>consolidated</w:t>
      </w:r>
      <w:r>
        <w:rPr>
          <w:spacing w:val="80"/>
        </w:rPr>
        <w:t xml:space="preserve"> </w:t>
      </w:r>
      <w:r>
        <w:t>financial statements and related reports of certain types of undertakings:</w:t>
      </w:r>
    </w:p>
    <w:p w14:paraId="269978B1" w14:textId="77777777" w:rsidR="00CD1D62" w:rsidRDefault="00CD1D62" w:rsidP="00CD1D62">
      <w:pPr>
        <w:pStyle w:val="Zkladntext"/>
        <w:spacing w:before="112"/>
        <w:ind w:left="921"/>
      </w:pPr>
      <w:r>
        <w:t>Entities</w:t>
      </w:r>
      <w:r>
        <w:rPr>
          <w:spacing w:val="-5"/>
        </w:rPr>
        <w:t xml:space="preserve"> </w:t>
      </w:r>
      <w:r>
        <w:t>affiliated</w:t>
      </w:r>
      <w:r>
        <w:rPr>
          <w:spacing w:val="-5"/>
        </w:rPr>
        <w:t xml:space="preserve"> </w:t>
      </w:r>
      <w:r>
        <w:t>to</w:t>
      </w:r>
      <w:r>
        <w:rPr>
          <w:spacing w:val="-2"/>
        </w:rPr>
        <w:t xml:space="preserve"> </w:t>
      </w:r>
      <w:r>
        <w:t>an</w:t>
      </w:r>
      <w:r>
        <w:rPr>
          <w:spacing w:val="-5"/>
        </w:rPr>
        <w:t xml:space="preserve"> </w:t>
      </w:r>
      <w:r>
        <w:t>applicant</w:t>
      </w:r>
      <w:r>
        <w:rPr>
          <w:spacing w:val="-4"/>
        </w:rPr>
        <w:t xml:space="preserve"> </w:t>
      </w:r>
      <w:r>
        <w:t>may</w:t>
      </w:r>
      <w:r>
        <w:rPr>
          <w:spacing w:val="-3"/>
        </w:rPr>
        <w:t xml:space="preserve"> </w:t>
      </w:r>
      <w:r>
        <w:t>hence</w:t>
      </w:r>
      <w:r>
        <w:rPr>
          <w:spacing w:val="-4"/>
        </w:rPr>
        <w:t xml:space="preserve"> </w:t>
      </w:r>
      <w:r>
        <w:rPr>
          <w:spacing w:val="-5"/>
        </w:rPr>
        <w:t>be:</w:t>
      </w:r>
    </w:p>
    <w:p w14:paraId="68B7E6AE" w14:textId="77777777" w:rsidR="00CD1D62" w:rsidRDefault="00CD1D62" w:rsidP="00CD1D62">
      <w:pPr>
        <w:pStyle w:val="Zkladntext"/>
        <w:tabs>
          <w:tab w:val="left" w:pos="1489"/>
        </w:tabs>
        <w:spacing w:before="117"/>
        <w:ind w:left="1490" w:right="389" w:hanging="284"/>
      </w:pPr>
      <w:r>
        <w:rPr>
          <w:spacing w:val="-10"/>
        </w:rPr>
        <w:t>-</w:t>
      </w:r>
      <w:r>
        <w:tab/>
        <w:t>Entities</w:t>
      </w:r>
      <w:r>
        <w:rPr>
          <w:spacing w:val="40"/>
        </w:rPr>
        <w:t xml:space="preserve"> </w:t>
      </w:r>
      <w:r>
        <w:t>directly</w:t>
      </w:r>
      <w:r>
        <w:rPr>
          <w:spacing w:val="40"/>
        </w:rPr>
        <w:t xml:space="preserve"> </w:t>
      </w:r>
      <w:r>
        <w:t>or</w:t>
      </w:r>
      <w:r>
        <w:rPr>
          <w:spacing w:val="40"/>
        </w:rPr>
        <w:t xml:space="preserve"> </w:t>
      </w:r>
      <w:r>
        <w:t>indirectly</w:t>
      </w:r>
      <w:r>
        <w:rPr>
          <w:spacing w:val="40"/>
        </w:rPr>
        <w:t xml:space="preserve"> </w:t>
      </w:r>
      <w:r>
        <w:t>controlled</w:t>
      </w:r>
      <w:r>
        <w:rPr>
          <w:spacing w:val="40"/>
        </w:rPr>
        <w:t xml:space="preserve"> </w:t>
      </w:r>
      <w:r>
        <w:t>by</w:t>
      </w:r>
      <w:r>
        <w:rPr>
          <w:spacing w:val="40"/>
        </w:rPr>
        <w:t xml:space="preserve"> </w:t>
      </w:r>
      <w:r>
        <w:t>the</w:t>
      </w:r>
      <w:r>
        <w:rPr>
          <w:spacing w:val="40"/>
        </w:rPr>
        <w:t xml:space="preserve"> </w:t>
      </w:r>
      <w:r>
        <w:t>applicant</w:t>
      </w:r>
      <w:r>
        <w:rPr>
          <w:spacing w:val="40"/>
        </w:rPr>
        <w:t xml:space="preserve"> </w:t>
      </w:r>
      <w:r>
        <w:t>(daughter</w:t>
      </w:r>
      <w:r>
        <w:rPr>
          <w:spacing w:val="40"/>
        </w:rPr>
        <w:t xml:space="preserve"> </w:t>
      </w:r>
      <w:r>
        <w:t>companies</w:t>
      </w:r>
      <w:r>
        <w:rPr>
          <w:spacing w:val="40"/>
        </w:rPr>
        <w:t xml:space="preserve"> </w:t>
      </w:r>
      <w:r>
        <w:t>or</w:t>
      </w:r>
      <w:r>
        <w:rPr>
          <w:spacing w:val="40"/>
        </w:rPr>
        <w:t xml:space="preserve"> </w:t>
      </w:r>
      <w:r>
        <w:t>first-tier subsidiaries).</w:t>
      </w:r>
      <w:r>
        <w:rPr>
          <w:spacing w:val="27"/>
        </w:rPr>
        <w:t xml:space="preserve"> </w:t>
      </w:r>
      <w:r>
        <w:t>They</w:t>
      </w:r>
      <w:r>
        <w:rPr>
          <w:spacing w:val="28"/>
        </w:rPr>
        <w:t xml:space="preserve"> </w:t>
      </w:r>
      <w:r>
        <w:t>may</w:t>
      </w:r>
      <w:r>
        <w:rPr>
          <w:spacing w:val="30"/>
        </w:rPr>
        <w:t xml:space="preserve"> </w:t>
      </w:r>
      <w:r>
        <w:t>also</w:t>
      </w:r>
      <w:r>
        <w:rPr>
          <w:spacing w:val="30"/>
        </w:rPr>
        <w:t xml:space="preserve"> </w:t>
      </w:r>
      <w:r>
        <w:t>be</w:t>
      </w:r>
      <w:r>
        <w:rPr>
          <w:spacing w:val="30"/>
        </w:rPr>
        <w:t xml:space="preserve"> </w:t>
      </w:r>
      <w:r>
        <w:t>entities</w:t>
      </w:r>
      <w:r>
        <w:rPr>
          <w:spacing w:val="31"/>
        </w:rPr>
        <w:t xml:space="preserve"> </w:t>
      </w:r>
      <w:r>
        <w:t>controlled</w:t>
      </w:r>
      <w:r>
        <w:rPr>
          <w:spacing w:val="30"/>
        </w:rPr>
        <w:t xml:space="preserve"> </w:t>
      </w:r>
      <w:r>
        <w:t>by</w:t>
      </w:r>
      <w:r>
        <w:rPr>
          <w:spacing w:val="30"/>
        </w:rPr>
        <w:t xml:space="preserve"> </w:t>
      </w:r>
      <w:r>
        <w:t>an</w:t>
      </w:r>
      <w:r>
        <w:rPr>
          <w:spacing w:val="30"/>
        </w:rPr>
        <w:t xml:space="preserve"> </w:t>
      </w:r>
      <w:r>
        <w:t>entity</w:t>
      </w:r>
      <w:r>
        <w:rPr>
          <w:spacing w:val="30"/>
        </w:rPr>
        <w:t xml:space="preserve"> </w:t>
      </w:r>
      <w:r>
        <w:t>controlled</w:t>
      </w:r>
      <w:r>
        <w:rPr>
          <w:spacing w:val="30"/>
        </w:rPr>
        <w:t xml:space="preserve"> </w:t>
      </w:r>
      <w:r>
        <w:t>by</w:t>
      </w:r>
      <w:r>
        <w:rPr>
          <w:spacing w:val="37"/>
        </w:rPr>
        <w:t xml:space="preserve"> </w:t>
      </w:r>
      <w:r>
        <w:t>the</w:t>
      </w:r>
      <w:r>
        <w:rPr>
          <w:spacing w:val="31"/>
        </w:rPr>
        <w:t xml:space="preserve"> </w:t>
      </w:r>
      <w:r>
        <w:rPr>
          <w:spacing w:val="-2"/>
        </w:rPr>
        <w:t>applicant</w:t>
      </w:r>
      <w:r>
        <w:t xml:space="preserve"> (granddaughter companies or second-tier subsidiaries) and the same applies to further tiers of </w:t>
      </w:r>
      <w:r>
        <w:rPr>
          <w:spacing w:val="-2"/>
        </w:rPr>
        <w:t>control;</w:t>
      </w:r>
    </w:p>
    <w:p w14:paraId="72198CE1" w14:textId="77777777" w:rsidR="00CD1D62" w:rsidRDefault="00CD1D62" w:rsidP="00816803">
      <w:pPr>
        <w:pStyle w:val="Odstavecseseznamem"/>
        <w:widowControl w:val="0"/>
        <w:numPr>
          <w:ilvl w:val="0"/>
          <w:numId w:val="19"/>
        </w:numPr>
        <w:tabs>
          <w:tab w:val="left" w:pos="1490"/>
        </w:tabs>
        <w:autoSpaceDE w:val="0"/>
        <w:autoSpaceDN w:val="0"/>
        <w:spacing w:before="118" w:after="0" w:line="244" w:lineRule="auto"/>
        <w:ind w:right="391"/>
      </w:pPr>
      <w:r>
        <w:t>Entities directly</w:t>
      </w:r>
      <w:r>
        <w:rPr>
          <w:spacing w:val="-1"/>
        </w:rPr>
        <w:t xml:space="preserve"> </w:t>
      </w:r>
      <w:r>
        <w:t>or indirectly</w:t>
      </w:r>
      <w:r>
        <w:rPr>
          <w:spacing w:val="-1"/>
        </w:rPr>
        <w:t xml:space="preserve"> </w:t>
      </w:r>
      <w:r>
        <w:t>controlling</w:t>
      </w:r>
      <w:r>
        <w:rPr>
          <w:spacing w:val="-1"/>
        </w:rPr>
        <w:t xml:space="preserve"> </w:t>
      </w:r>
      <w:r>
        <w:t>the applicant</w:t>
      </w:r>
      <w:r>
        <w:rPr>
          <w:spacing w:val="-2"/>
        </w:rPr>
        <w:t xml:space="preserve"> </w:t>
      </w:r>
      <w:r>
        <w:t>(parent companies).</w:t>
      </w:r>
      <w:r>
        <w:rPr>
          <w:spacing w:val="-1"/>
        </w:rPr>
        <w:t xml:space="preserve"> </w:t>
      </w:r>
      <w:r>
        <w:t>Likewise,</w:t>
      </w:r>
      <w:r>
        <w:rPr>
          <w:spacing w:val="-1"/>
        </w:rPr>
        <w:t xml:space="preserve"> </w:t>
      </w:r>
      <w:r>
        <w:t>they</w:t>
      </w:r>
      <w:r>
        <w:rPr>
          <w:spacing w:val="-1"/>
        </w:rPr>
        <w:t xml:space="preserve"> </w:t>
      </w:r>
      <w:r>
        <w:t>may be entities controlling an entity controlling the applicant;</w:t>
      </w:r>
    </w:p>
    <w:p w14:paraId="593E949D" w14:textId="77777777" w:rsidR="00CD1D62" w:rsidRDefault="00CD1D62" w:rsidP="00816803">
      <w:pPr>
        <w:pStyle w:val="Odstavecseseznamem"/>
        <w:widowControl w:val="0"/>
        <w:numPr>
          <w:ilvl w:val="0"/>
          <w:numId w:val="19"/>
        </w:numPr>
        <w:tabs>
          <w:tab w:val="left" w:pos="1488"/>
        </w:tabs>
        <w:autoSpaceDE w:val="0"/>
        <w:autoSpaceDN w:val="0"/>
        <w:spacing w:before="113" w:after="0"/>
        <w:ind w:left="1488" w:hanging="282"/>
      </w:pPr>
      <w:r>
        <w:t>Entities</w:t>
      </w:r>
      <w:r>
        <w:rPr>
          <w:spacing w:val="-4"/>
        </w:rPr>
        <w:t xml:space="preserve"> </w:t>
      </w:r>
      <w:r>
        <w:t>under</w:t>
      </w:r>
      <w:r>
        <w:rPr>
          <w:spacing w:val="-5"/>
        </w:rPr>
        <w:t xml:space="preserve"> </w:t>
      </w:r>
      <w:r>
        <w:t>the</w:t>
      </w:r>
      <w:r>
        <w:rPr>
          <w:spacing w:val="-5"/>
        </w:rPr>
        <w:t xml:space="preserve"> </w:t>
      </w:r>
      <w:r>
        <w:t>same</w:t>
      </w:r>
      <w:r>
        <w:rPr>
          <w:spacing w:val="-3"/>
        </w:rPr>
        <w:t xml:space="preserve"> </w:t>
      </w:r>
      <w:r>
        <w:t>direct</w:t>
      </w:r>
      <w:r>
        <w:rPr>
          <w:spacing w:val="-2"/>
        </w:rPr>
        <w:t xml:space="preserve"> </w:t>
      </w:r>
      <w:r>
        <w:t>or</w:t>
      </w:r>
      <w:r>
        <w:rPr>
          <w:spacing w:val="-3"/>
        </w:rPr>
        <w:t xml:space="preserve"> </w:t>
      </w:r>
      <w:r>
        <w:t>indirect</w:t>
      </w:r>
      <w:r>
        <w:rPr>
          <w:spacing w:val="-3"/>
        </w:rPr>
        <w:t xml:space="preserve"> </w:t>
      </w:r>
      <w:r>
        <w:t>control</w:t>
      </w:r>
      <w:r>
        <w:rPr>
          <w:spacing w:val="-2"/>
        </w:rPr>
        <w:t xml:space="preserve"> </w:t>
      </w:r>
      <w:r>
        <w:t>as</w:t>
      </w:r>
      <w:r>
        <w:rPr>
          <w:spacing w:val="-3"/>
        </w:rPr>
        <w:t xml:space="preserve"> </w:t>
      </w:r>
      <w:r>
        <w:t>the</w:t>
      </w:r>
      <w:r>
        <w:rPr>
          <w:spacing w:val="-1"/>
        </w:rPr>
        <w:t xml:space="preserve"> </w:t>
      </w:r>
      <w:r>
        <w:t>applicant</w:t>
      </w:r>
      <w:r>
        <w:rPr>
          <w:spacing w:val="-4"/>
        </w:rPr>
        <w:t xml:space="preserve"> </w:t>
      </w:r>
      <w:r>
        <w:t>(sister</w:t>
      </w:r>
      <w:r>
        <w:rPr>
          <w:spacing w:val="-2"/>
        </w:rPr>
        <w:t xml:space="preserve"> companies).</w:t>
      </w:r>
    </w:p>
    <w:p w14:paraId="50D8350F" w14:textId="77777777" w:rsidR="00CD1D62" w:rsidRDefault="00CD1D62" w:rsidP="00816803">
      <w:pPr>
        <w:pStyle w:val="Odstavecseseznamem"/>
        <w:widowControl w:val="0"/>
        <w:numPr>
          <w:ilvl w:val="0"/>
          <w:numId w:val="20"/>
        </w:numPr>
        <w:tabs>
          <w:tab w:val="left" w:pos="933"/>
        </w:tabs>
        <w:autoSpaceDE w:val="0"/>
        <w:autoSpaceDN w:val="0"/>
        <w:spacing w:before="119" w:after="0" w:line="242" w:lineRule="auto"/>
        <w:ind w:right="392" w:hanging="579"/>
      </w:pPr>
      <w:r>
        <w:t>Membership, i.e. the applicant is legally defined as a e.g. network, federation, association in which the proposed affiliated entities also participate or the applicant participates in the same entity (e.g. network, federation, association…) as the proposed affiliated entities.</w:t>
      </w:r>
    </w:p>
    <w:p w14:paraId="11785B1E" w14:textId="77777777" w:rsidR="00CD1D62" w:rsidRDefault="00CD1D62" w:rsidP="00CD1D62">
      <w:pPr>
        <w:pStyle w:val="Zkladntext"/>
        <w:spacing w:before="112" w:line="242" w:lineRule="auto"/>
        <w:ind w:right="400"/>
      </w:pPr>
      <w:r>
        <w:t>The structural link shall as a general rule be neither limited to the action nor established for the sole purpose of its implementation. This</w:t>
      </w:r>
      <w:r>
        <w:rPr>
          <w:spacing w:val="-2"/>
        </w:rPr>
        <w:t xml:space="preserve"> </w:t>
      </w:r>
      <w:r>
        <w:t>means that</w:t>
      </w:r>
      <w:r>
        <w:rPr>
          <w:spacing w:val="-1"/>
        </w:rPr>
        <w:t xml:space="preserve"> </w:t>
      </w:r>
      <w:r>
        <w:t>the</w:t>
      </w:r>
      <w:r>
        <w:rPr>
          <w:spacing w:val="-2"/>
        </w:rPr>
        <w:t xml:space="preserve"> </w:t>
      </w:r>
      <w:r>
        <w:t>link would exist independently of the award of</w:t>
      </w:r>
      <w:r>
        <w:rPr>
          <w:spacing w:val="-2"/>
        </w:rPr>
        <w:t xml:space="preserve"> </w:t>
      </w:r>
      <w:r>
        <w:t>the grant;</w:t>
      </w:r>
      <w:r>
        <w:rPr>
          <w:spacing w:val="-1"/>
        </w:rPr>
        <w:t xml:space="preserve"> </w:t>
      </w:r>
      <w:r>
        <w:t>it should exist before the call for proposals and remain valid after the end of the action.</w:t>
      </w:r>
    </w:p>
    <w:p w14:paraId="514C3922" w14:textId="77777777" w:rsidR="00CD1D62" w:rsidRDefault="00CD1D62" w:rsidP="00CD1D62">
      <w:pPr>
        <w:pStyle w:val="Zkladntext"/>
        <w:spacing w:before="112"/>
        <w:ind w:right="389"/>
      </w:pPr>
      <w:r>
        <w:t>By way of exception, an entity may be considered as affiliated to an applicant even if it has a structural link specifically established for the sole purpose of the implementation of the action in the case of so-called ‘sole applicants’ or ‘sole beneficiaries’. A sole applicant or a sole beneficiary is a legal entity formed by several entities (a group of entities) which together comply with the criteria for being awarded the grant. For example, an association is formed by its members.</w:t>
      </w:r>
    </w:p>
    <w:p w14:paraId="74389FC5" w14:textId="77777777" w:rsidR="00CD1D62" w:rsidRDefault="00CD1D62" w:rsidP="00CD1D62">
      <w:pPr>
        <w:pStyle w:val="Zkladntext"/>
        <w:spacing w:before="123"/>
      </w:pPr>
      <w:r>
        <w:rPr>
          <w:u w:val="single"/>
        </w:rPr>
        <w:t>What</w:t>
      </w:r>
      <w:r>
        <w:rPr>
          <w:spacing w:val="-4"/>
          <w:u w:val="single"/>
        </w:rPr>
        <w:t xml:space="preserve"> </w:t>
      </w:r>
      <w:r>
        <w:rPr>
          <w:u w:val="single"/>
        </w:rPr>
        <w:t>is</w:t>
      </w:r>
      <w:r>
        <w:rPr>
          <w:spacing w:val="-4"/>
          <w:u w:val="single"/>
        </w:rPr>
        <w:t xml:space="preserve"> </w:t>
      </w:r>
      <w:r>
        <w:rPr>
          <w:u w:val="single"/>
        </w:rPr>
        <w:t>not</w:t>
      </w:r>
      <w:r>
        <w:rPr>
          <w:spacing w:val="-3"/>
          <w:u w:val="single"/>
        </w:rPr>
        <w:t xml:space="preserve"> </w:t>
      </w:r>
      <w:r>
        <w:rPr>
          <w:u w:val="single"/>
        </w:rPr>
        <w:t>an</w:t>
      </w:r>
      <w:r>
        <w:rPr>
          <w:spacing w:val="-2"/>
          <w:u w:val="single"/>
        </w:rPr>
        <w:t xml:space="preserve"> </w:t>
      </w:r>
      <w:r>
        <w:rPr>
          <w:u w:val="single"/>
        </w:rPr>
        <w:t>affiliated</w:t>
      </w:r>
      <w:r>
        <w:rPr>
          <w:spacing w:val="-3"/>
          <w:u w:val="single"/>
        </w:rPr>
        <w:t xml:space="preserve"> </w:t>
      </w:r>
      <w:r>
        <w:rPr>
          <w:spacing w:val="-2"/>
          <w:u w:val="single"/>
        </w:rPr>
        <w:t>entity?</w:t>
      </w:r>
    </w:p>
    <w:p w14:paraId="3B564147" w14:textId="77777777" w:rsidR="00CD1D62" w:rsidRDefault="00CD1D62" w:rsidP="00CD1D62">
      <w:pPr>
        <w:pStyle w:val="Zkladntext"/>
        <w:spacing w:before="121"/>
      </w:pPr>
      <w:r>
        <w:t>The</w:t>
      </w:r>
      <w:r>
        <w:rPr>
          <w:spacing w:val="-4"/>
        </w:rPr>
        <w:t xml:space="preserve"> </w:t>
      </w:r>
      <w:r>
        <w:t>following</w:t>
      </w:r>
      <w:r>
        <w:rPr>
          <w:spacing w:val="-3"/>
        </w:rPr>
        <w:t xml:space="preserve"> </w:t>
      </w:r>
      <w:r>
        <w:t>are</w:t>
      </w:r>
      <w:r>
        <w:rPr>
          <w:spacing w:val="-3"/>
        </w:rPr>
        <w:t xml:space="preserve"> </w:t>
      </w:r>
      <w:r>
        <w:t>not</w:t>
      </w:r>
      <w:r>
        <w:rPr>
          <w:spacing w:val="-3"/>
        </w:rPr>
        <w:t xml:space="preserve"> </w:t>
      </w:r>
      <w:r>
        <w:t>considered</w:t>
      </w:r>
      <w:r>
        <w:rPr>
          <w:spacing w:val="-6"/>
        </w:rPr>
        <w:t xml:space="preserve"> </w:t>
      </w:r>
      <w:r>
        <w:t>entities</w:t>
      </w:r>
      <w:r>
        <w:rPr>
          <w:spacing w:val="-3"/>
        </w:rPr>
        <w:t xml:space="preserve"> </w:t>
      </w:r>
      <w:r>
        <w:t>affiliated</w:t>
      </w:r>
      <w:r>
        <w:rPr>
          <w:spacing w:val="-5"/>
        </w:rPr>
        <w:t xml:space="preserve"> </w:t>
      </w:r>
      <w:r>
        <w:t>to</w:t>
      </w:r>
      <w:r>
        <w:rPr>
          <w:spacing w:val="-3"/>
        </w:rPr>
        <w:t xml:space="preserve"> </w:t>
      </w:r>
      <w:r>
        <w:t>an</w:t>
      </w:r>
      <w:r>
        <w:rPr>
          <w:spacing w:val="-3"/>
        </w:rPr>
        <w:t xml:space="preserve"> </w:t>
      </w:r>
      <w:r>
        <w:rPr>
          <w:spacing w:val="-2"/>
        </w:rPr>
        <w:t>applicant:</w:t>
      </w:r>
    </w:p>
    <w:p w14:paraId="77130C3E" w14:textId="77777777" w:rsidR="00CD1D62" w:rsidRDefault="00CD1D62" w:rsidP="00816803">
      <w:pPr>
        <w:pStyle w:val="Odstavecseseznamem"/>
        <w:widowControl w:val="0"/>
        <w:numPr>
          <w:ilvl w:val="0"/>
          <w:numId w:val="18"/>
        </w:numPr>
        <w:tabs>
          <w:tab w:val="left" w:pos="933"/>
        </w:tabs>
        <w:autoSpaceDE w:val="0"/>
        <w:autoSpaceDN w:val="0"/>
        <w:spacing w:before="117" w:after="0"/>
        <w:ind w:right="390"/>
      </w:pPr>
      <w:r>
        <w:t>Entities that have entered into a (procurement) contract or subcontract with an applicant, act as concessionaires or delegatees for public services for an applicant,</w:t>
      </w:r>
    </w:p>
    <w:p w14:paraId="30C9A35B" w14:textId="77777777" w:rsidR="00CD1D62" w:rsidRDefault="00CD1D62" w:rsidP="00816803">
      <w:pPr>
        <w:pStyle w:val="Odstavecseseznamem"/>
        <w:widowControl w:val="0"/>
        <w:numPr>
          <w:ilvl w:val="0"/>
          <w:numId w:val="18"/>
        </w:numPr>
        <w:tabs>
          <w:tab w:val="left" w:pos="932"/>
        </w:tabs>
        <w:autoSpaceDE w:val="0"/>
        <w:autoSpaceDN w:val="0"/>
        <w:spacing w:before="122" w:after="0"/>
        <w:ind w:left="932" w:hanging="359"/>
      </w:pPr>
      <w:r>
        <w:t>Entities</w:t>
      </w:r>
      <w:r>
        <w:rPr>
          <w:spacing w:val="-6"/>
        </w:rPr>
        <w:t xml:space="preserve"> </w:t>
      </w:r>
      <w:r>
        <w:t>that</w:t>
      </w:r>
      <w:r>
        <w:rPr>
          <w:spacing w:val="-3"/>
        </w:rPr>
        <w:t xml:space="preserve"> </w:t>
      </w:r>
      <w:r>
        <w:t>receive</w:t>
      </w:r>
      <w:r>
        <w:rPr>
          <w:spacing w:val="-6"/>
        </w:rPr>
        <w:t xml:space="preserve"> </w:t>
      </w:r>
      <w:r>
        <w:t>financial</w:t>
      </w:r>
      <w:r>
        <w:rPr>
          <w:spacing w:val="-3"/>
        </w:rPr>
        <w:t xml:space="preserve"> </w:t>
      </w:r>
      <w:r>
        <w:t>support</w:t>
      </w:r>
      <w:r>
        <w:rPr>
          <w:spacing w:val="-3"/>
        </w:rPr>
        <w:t xml:space="preserve"> </w:t>
      </w:r>
      <w:r>
        <w:t>from</w:t>
      </w:r>
      <w:r>
        <w:rPr>
          <w:spacing w:val="-2"/>
        </w:rPr>
        <w:t xml:space="preserve"> </w:t>
      </w:r>
      <w:r>
        <w:t xml:space="preserve">the </w:t>
      </w:r>
      <w:r>
        <w:rPr>
          <w:spacing w:val="-2"/>
        </w:rPr>
        <w:t>applicant,</w:t>
      </w:r>
    </w:p>
    <w:p w14:paraId="428CA536" w14:textId="77777777" w:rsidR="00CD1D62" w:rsidRDefault="00CD1D62" w:rsidP="00816803">
      <w:pPr>
        <w:pStyle w:val="Odstavecseseznamem"/>
        <w:widowControl w:val="0"/>
        <w:numPr>
          <w:ilvl w:val="0"/>
          <w:numId w:val="18"/>
        </w:numPr>
        <w:tabs>
          <w:tab w:val="left" w:pos="933"/>
        </w:tabs>
        <w:autoSpaceDE w:val="0"/>
        <w:autoSpaceDN w:val="0"/>
        <w:spacing w:before="116" w:after="0" w:line="242" w:lineRule="auto"/>
        <w:ind w:right="392"/>
      </w:pPr>
      <w:r>
        <w:t>Entities that cooperate on a regular basis with an applicant on the basis of a memorandum of understanding or share some assets,</w:t>
      </w:r>
    </w:p>
    <w:p w14:paraId="28AAE993" w14:textId="77777777" w:rsidR="00CD1D62" w:rsidRDefault="00CD1D62" w:rsidP="00816803">
      <w:pPr>
        <w:pStyle w:val="Odstavecseseznamem"/>
        <w:widowControl w:val="0"/>
        <w:numPr>
          <w:ilvl w:val="0"/>
          <w:numId w:val="18"/>
        </w:numPr>
        <w:tabs>
          <w:tab w:val="left" w:pos="933"/>
        </w:tabs>
        <w:autoSpaceDE w:val="0"/>
        <w:autoSpaceDN w:val="0"/>
        <w:spacing w:before="114" w:after="0"/>
        <w:ind w:right="391"/>
      </w:pPr>
      <w:r>
        <w:t>Entities that have signed a consortium agreement under the grant contract (unless this consortium agreement leads to the creation of a ‘sole applicant’ as described above).</w:t>
      </w:r>
    </w:p>
    <w:p w14:paraId="3FCF87E4" w14:textId="77777777" w:rsidR="00CD1D62" w:rsidRDefault="00CD1D62" w:rsidP="00CD1D62">
      <w:pPr>
        <w:pStyle w:val="Zkladntext"/>
        <w:spacing w:before="122"/>
      </w:pPr>
      <w:r>
        <w:rPr>
          <w:u w:val="single"/>
        </w:rPr>
        <w:t>How</w:t>
      </w:r>
      <w:r>
        <w:rPr>
          <w:spacing w:val="-6"/>
          <w:u w:val="single"/>
        </w:rPr>
        <w:t xml:space="preserve"> </w:t>
      </w:r>
      <w:r>
        <w:rPr>
          <w:u w:val="single"/>
        </w:rPr>
        <w:t>to</w:t>
      </w:r>
      <w:r>
        <w:rPr>
          <w:spacing w:val="-3"/>
          <w:u w:val="single"/>
        </w:rPr>
        <w:t xml:space="preserve"> </w:t>
      </w:r>
      <w:r>
        <w:rPr>
          <w:u w:val="single"/>
        </w:rPr>
        <w:t>verify</w:t>
      </w:r>
      <w:r>
        <w:rPr>
          <w:spacing w:val="-3"/>
          <w:u w:val="single"/>
        </w:rPr>
        <w:t xml:space="preserve"> </w:t>
      </w:r>
      <w:r>
        <w:rPr>
          <w:u w:val="single"/>
        </w:rPr>
        <w:t>the</w:t>
      </w:r>
      <w:r>
        <w:rPr>
          <w:spacing w:val="-3"/>
          <w:u w:val="single"/>
        </w:rPr>
        <w:t xml:space="preserve"> </w:t>
      </w:r>
      <w:r>
        <w:rPr>
          <w:u w:val="single"/>
        </w:rPr>
        <w:t>existence</w:t>
      </w:r>
      <w:r>
        <w:rPr>
          <w:spacing w:val="-5"/>
          <w:u w:val="single"/>
        </w:rPr>
        <w:t xml:space="preserve"> </w:t>
      </w:r>
      <w:r>
        <w:rPr>
          <w:u w:val="single"/>
        </w:rPr>
        <w:t>of</w:t>
      </w:r>
      <w:r>
        <w:rPr>
          <w:spacing w:val="-2"/>
          <w:u w:val="single"/>
        </w:rPr>
        <w:t xml:space="preserve"> </w:t>
      </w:r>
      <w:r>
        <w:rPr>
          <w:u w:val="single"/>
        </w:rPr>
        <w:t>the</w:t>
      </w:r>
      <w:r>
        <w:rPr>
          <w:spacing w:val="-3"/>
          <w:u w:val="single"/>
        </w:rPr>
        <w:t xml:space="preserve"> </w:t>
      </w:r>
      <w:r>
        <w:rPr>
          <w:u w:val="single"/>
        </w:rPr>
        <w:t>required</w:t>
      </w:r>
      <w:r>
        <w:rPr>
          <w:spacing w:val="-5"/>
          <w:u w:val="single"/>
        </w:rPr>
        <w:t xml:space="preserve"> </w:t>
      </w:r>
      <w:r>
        <w:rPr>
          <w:u w:val="single"/>
        </w:rPr>
        <w:t>link</w:t>
      </w:r>
      <w:r>
        <w:rPr>
          <w:spacing w:val="-3"/>
          <w:u w:val="single"/>
        </w:rPr>
        <w:t xml:space="preserve"> </w:t>
      </w:r>
      <w:r>
        <w:rPr>
          <w:u w:val="single"/>
        </w:rPr>
        <w:t>with</w:t>
      </w:r>
      <w:r>
        <w:rPr>
          <w:spacing w:val="1"/>
          <w:u w:val="single"/>
        </w:rPr>
        <w:t xml:space="preserve"> </w:t>
      </w:r>
      <w:r>
        <w:rPr>
          <w:u w:val="single"/>
        </w:rPr>
        <w:t>an</w:t>
      </w:r>
      <w:r>
        <w:rPr>
          <w:spacing w:val="-5"/>
          <w:u w:val="single"/>
        </w:rPr>
        <w:t xml:space="preserve"> </w:t>
      </w:r>
      <w:r>
        <w:rPr>
          <w:spacing w:val="-2"/>
          <w:u w:val="single"/>
        </w:rPr>
        <w:t>applicant?</w:t>
      </w:r>
    </w:p>
    <w:p w14:paraId="179D075A" w14:textId="77777777" w:rsidR="00CD1D62" w:rsidRDefault="00CD1D62" w:rsidP="00CD1D62">
      <w:pPr>
        <w:pStyle w:val="Zkladntext"/>
        <w:spacing w:before="117" w:line="244" w:lineRule="auto"/>
        <w:ind w:left="220" w:right="393"/>
      </w:pPr>
      <w:r>
        <w:t>The</w:t>
      </w:r>
      <w:r>
        <w:rPr>
          <w:spacing w:val="-2"/>
        </w:rPr>
        <w:t xml:space="preserve"> </w:t>
      </w:r>
      <w:r>
        <w:t>affiliation</w:t>
      </w:r>
      <w:r>
        <w:rPr>
          <w:spacing w:val="-2"/>
        </w:rPr>
        <w:t xml:space="preserve"> </w:t>
      </w:r>
      <w:r>
        <w:t>resulting</w:t>
      </w:r>
      <w:r>
        <w:rPr>
          <w:spacing w:val="-2"/>
        </w:rPr>
        <w:t xml:space="preserve"> </w:t>
      </w:r>
      <w:r>
        <w:t>from</w:t>
      </w:r>
      <w:r>
        <w:rPr>
          <w:spacing w:val="-1"/>
        </w:rPr>
        <w:t xml:space="preserve"> </w:t>
      </w:r>
      <w:r>
        <w:t>control</w:t>
      </w:r>
      <w:r>
        <w:rPr>
          <w:spacing w:val="-1"/>
        </w:rPr>
        <w:t xml:space="preserve"> </w:t>
      </w:r>
      <w:r>
        <w:t>may in</w:t>
      </w:r>
      <w:r>
        <w:rPr>
          <w:spacing w:val="-2"/>
        </w:rPr>
        <w:t xml:space="preserve"> </w:t>
      </w:r>
      <w:r>
        <w:t>particular</w:t>
      </w:r>
      <w:r>
        <w:rPr>
          <w:spacing w:val="-3"/>
        </w:rPr>
        <w:t xml:space="preserve"> </w:t>
      </w:r>
      <w:r>
        <w:t>be</w:t>
      </w:r>
      <w:r>
        <w:rPr>
          <w:spacing w:val="-2"/>
        </w:rPr>
        <w:t xml:space="preserve"> </w:t>
      </w:r>
      <w:r>
        <w:t>proved</w:t>
      </w:r>
      <w:r>
        <w:rPr>
          <w:spacing w:val="-2"/>
        </w:rPr>
        <w:t xml:space="preserve"> </w:t>
      </w:r>
      <w:r>
        <w:t>on</w:t>
      </w:r>
      <w:r>
        <w:rPr>
          <w:spacing w:val="-2"/>
        </w:rPr>
        <w:t xml:space="preserve"> </w:t>
      </w:r>
      <w:r>
        <w:t>the</w:t>
      </w:r>
      <w:r>
        <w:rPr>
          <w:spacing w:val="-2"/>
        </w:rPr>
        <w:t xml:space="preserve"> </w:t>
      </w:r>
      <w:r>
        <w:t>basis</w:t>
      </w:r>
      <w:r>
        <w:rPr>
          <w:spacing w:val="-2"/>
        </w:rPr>
        <w:t xml:space="preserve"> </w:t>
      </w:r>
      <w:r>
        <w:t>of</w:t>
      </w:r>
      <w:r>
        <w:rPr>
          <w:spacing w:val="-2"/>
        </w:rPr>
        <w:t xml:space="preserve"> </w:t>
      </w:r>
      <w:r>
        <w:t>the</w:t>
      </w:r>
      <w:r>
        <w:rPr>
          <w:spacing w:val="-2"/>
        </w:rPr>
        <w:t xml:space="preserve"> </w:t>
      </w:r>
      <w:r>
        <w:t>consolidated</w:t>
      </w:r>
      <w:r>
        <w:rPr>
          <w:spacing w:val="-2"/>
        </w:rPr>
        <w:t xml:space="preserve"> </w:t>
      </w:r>
      <w:r>
        <w:t>accounts</w:t>
      </w:r>
      <w:r>
        <w:rPr>
          <w:spacing w:val="-2"/>
        </w:rPr>
        <w:t xml:space="preserve"> </w:t>
      </w:r>
      <w:r>
        <w:t>of the group of entities the applicant and its proposed affiliates belong to.</w:t>
      </w:r>
    </w:p>
    <w:p w14:paraId="7E2FD325" w14:textId="77777777" w:rsidR="00CD1D62" w:rsidRDefault="00CD1D62" w:rsidP="00CD1D62">
      <w:pPr>
        <w:pStyle w:val="Zkladntext"/>
        <w:spacing w:before="111" w:line="242" w:lineRule="auto"/>
        <w:ind w:right="389"/>
      </w:pPr>
      <w:r>
        <w:t>The affiliation resulting from membership may in particular be proved on the basis of the statutes or equivalent act establishing the entity (network, federation, association) which the applicant constitutes or in which the applicant participates.</w:t>
      </w:r>
    </w:p>
    <w:p w14:paraId="0BC42F47" w14:textId="77777777" w:rsidR="00CD1D62" w:rsidRDefault="00CD1D62" w:rsidP="00CD1D62">
      <w:pPr>
        <w:pStyle w:val="Zkladntext"/>
        <w:spacing w:before="112"/>
        <w:ind w:right="388"/>
      </w:pPr>
      <w:r>
        <w:lastRenderedPageBreak/>
        <w:t>If the applicants are awarded a grant contract, their affiliated entity(ies) will not become beneficiary(ies) of the action and signatory(ies) of the grant contract. However, they will participate in the design and</w:t>
      </w:r>
      <w:r>
        <w:rPr>
          <w:spacing w:val="40"/>
        </w:rPr>
        <w:t xml:space="preserve"> </w:t>
      </w:r>
      <w:r>
        <w:t>in the implementation of the action and the costs they incur (including those incurred for implementation contracts and financial support to third parties and subcontractors) may be accepted as eligible costs, provided they comply with all the relevant rules already applicable to the beneficiary(ies) under the grant contract.</w:t>
      </w:r>
    </w:p>
    <w:p w14:paraId="00565B96" w14:textId="77777777" w:rsidR="00CD1D62" w:rsidRDefault="00CD1D62" w:rsidP="00CD1D62">
      <w:pPr>
        <w:pStyle w:val="Zkladntext"/>
        <w:spacing w:before="119" w:line="244" w:lineRule="auto"/>
        <w:ind w:right="389"/>
      </w:pPr>
      <w:r>
        <w:t>Affiliated entity(ies) must satisfy the same eligibility criteria as the lead applicant and the co-applicant(s). They must sign the affiliated entity(ies) statement in Annex A.2 Section 5.</w:t>
      </w:r>
    </w:p>
    <w:p w14:paraId="0C044417" w14:textId="77777777" w:rsidR="00F06309" w:rsidRPr="00807DAF" w:rsidRDefault="00F06309" w:rsidP="00816803">
      <w:pPr>
        <w:pStyle w:val="Guidelines3"/>
        <w:numPr>
          <w:ilvl w:val="2"/>
          <w:numId w:val="8"/>
        </w:numPr>
      </w:pPr>
      <w:bookmarkStart w:id="18" w:name="_Toc216688226"/>
      <w:r w:rsidRPr="00807DAF">
        <w:t>Associates</w:t>
      </w:r>
      <w:r w:rsidR="00E94DBE">
        <w:t>,</w:t>
      </w:r>
      <w:r w:rsidR="00C342C5">
        <w:t xml:space="preserve"> </w:t>
      </w:r>
      <w:r w:rsidR="000D7ACD">
        <w:t>c</w:t>
      </w:r>
      <w:r w:rsidRPr="00807DAF">
        <w:t>ontractors</w:t>
      </w:r>
      <w:r w:rsidR="00E94DBE">
        <w:t>, recipients of financial support</w:t>
      </w:r>
      <w:bookmarkEnd w:id="18"/>
    </w:p>
    <w:p w14:paraId="1AB4DB7C" w14:textId="77777777" w:rsidR="00F06309" w:rsidRPr="00807DAF" w:rsidRDefault="00CD1D62" w:rsidP="00C536CC">
      <w:pPr>
        <w:spacing w:after="120" w:line="240" w:lineRule="atLeast"/>
      </w:pPr>
      <w:r w:rsidRPr="00CD1D62">
        <w:t>The following entities are not applicants nor affiliated entities and do not have to sign the ‘mandate for co- applicant(s)’ or ‘affiliated entities' statement</w:t>
      </w:r>
      <w:r w:rsidR="00F06309" w:rsidRPr="00807DAF">
        <w:t>:</w:t>
      </w:r>
    </w:p>
    <w:p w14:paraId="2754DD96" w14:textId="77777777" w:rsidR="00F06309" w:rsidRPr="00807DAF" w:rsidRDefault="00F06309" w:rsidP="00816803">
      <w:pPr>
        <w:numPr>
          <w:ilvl w:val="0"/>
          <w:numId w:val="9"/>
        </w:numPr>
        <w:spacing w:after="120" w:line="240" w:lineRule="atLeast"/>
      </w:pPr>
      <w:r w:rsidRPr="00807DAF">
        <w:t>Associates</w:t>
      </w:r>
    </w:p>
    <w:p w14:paraId="7DC57AE6" w14:textId="77777777" w:rsidR="00F06309" w:rsidRPr="00807DAF" w:rsidRDefault="00CD1D62" w:rsidP="00C536CC">
      <w:pPr>
        <w:spacing w:after="120" w:line="240" w:lineRule="atLeast"/>
      </w:pPr>
      <w:r w:rsidRPr="00CD1D62">
        <w:t>Other organisations or individuals may be involved in the action. Such associates play a real role in the action but may not receive funding from the grant, with the exception of per diem or travel costs. Associates do not have to meet the eligibility criteria referred to in Section 2.1.1. Associates must be mentioned in Annex A.2 Section 4 — ‘Associates participating in the action’</w:t>
      </w:r>
      <w:r w:rsidR="00EB6D08">
        <w:t>.</w:t>
      </w:r>
      <w:r w:rsidR="00F06309" w:rsidRPr="00807DAF">
        <w:t xml:space="preserve"> </w:t>
      </w:r>
    </w:p>
    <w:p w14:paraId="1C08C2FA" w14:textId="77777777" w:rsidR="00103811" w:rsidRPr="00807DAF" w:rsidRDefault="00103811" w:rsidP="00816803">
      <w:pPr>
        <w:numPr>
          <w:ilvl w:val="0"/>
          <w:numId w:val="9"/>
        </w:numPr>
        <w:spacing w:after="120" w:line="240" w:lineRule="atLeast"/>
      </w:pPr>
      <w:r w:rsidRPr="00807DAF">
        <w:t>Contractors</w:t>
      </w:r>
    </w:p>
    <w:p w14:paraId="172CC4F8" w14:textId="77777777" w:rsidR="00F06309" w:rsidRDefault="00CD1D62" w:rsidP="006C5556">
      <w:pPr>
        <w:spacing w:after="120" w:line="240" w:lineRule="atLeast"/>
      </w:pPr>
      <w:r>
        <w:t>The beneficiaries and their affiliated entities are permitted to award contracts (subcontracting or implementation contracts). Beneficiaries, affiliated entity(ies), recipients of financial support or associates cannot be</w:t>
      </w:r>
      <w:r>
        <w:rPr>
          <w:spacing w:val="-1"/>
        </w:rPr>
        <w:t xml:space="preserve"> </w:t>
      </w:r>
      <w:r>
        <w:t>also</w:t>
      </w:r>
      <w:r>
        <w:rPr>
          <w:spacing w:val="-3"/>
        </w:rPr>
        <w:t xml:space="preserve"> </w:t>
      </w:r>
      <w:r>
        <w:t>contractors</w:t>
      </w:r>
      <w:r>
        <w:rPr>
          <w:spacing w:val="-3"/>
        </w:rPr>
        <w:t xml:space="preserve"> </w:t>
      </w:r>
      <w:r>
        <w:t>in</w:t>
      </w:r>
      <w:r>
        <w:rPr>
          <w:spacing w:val="-1"/>
        </w:rPr>
        <w:t xml:space="preserve"> </w:t>
      </w:r>
      <w:r>
        <w:t>the</w:t>
      </w:r>
      <w:r>
        <w:rPr>
          <w:spacing w:val="-1"/>
        </w:rPr>
        <w:t xml:space="preserve"> </w:t>
      </w:r>
      <w:r>
        <w:t>project.</w:t>
      </w:r>
      <w:r>
        <w:rPr>
          <w:spacing w:val="-1"/>
        </w:rPr>
        <w:t xml:space="preserve"> </w:t>
      </w:r>
      <w:r>
        <w:t>Contractors</w:t>
      </w:r>
      <w:r>
        <w:rPr>
          <w:spacing w:val="-1"/>
        </w:rPr>
        <w:t xml:space="preserve"> </w:t>
      </w:r>
      <w:r>
        <w:t>are</w:t>
      </w:r>
      <w:r>
        <w:rPr>
          <w:spacing w:val="-1"/>
        </w:rPr>
        <w:t xml:space="preserve"> </w:t>
      </w:r>
      <w:r>
        <w:t>subject</w:t>
      </w:r>
      <w:r>
        <w:rPr>
          <w:spacing w:val="-3"/>
        </w:rPr>
        <w:t xml:space="preserve"> </w:t>
      </w:r>
      <w:r>
        <w:t>to</w:t>
      </w:r>
      <w:r>
        <w:rPr>
          <w:spacing w:val="-1"/>
        </w:rPr>
        <w:t xml:space="preserve"> </w:t>
      </w:r>
      <w:r>
        <w:t>the</w:t>
      </w:r>
      <w:r>
        <w:rPr>
          <w:spacing w:val="-1"/>
        </w:rPr>
        <w:t xml:space="preserve"> </w:t>
      </w:r>
      <w:r>
        <w:t>procurement rules</w:t>
      </w:r>
      <w:r>
        <w:rPr>
          <w:spacing w:val="-3"/>
        </w:rPr>
        <w:t xml:space="preserve"> </w:t>
      </w:r>
      <w:r>
        <w:t>set out</w:t>
      </w:r>
      <w:r>
        <w:rPr>
          <w:spacing w:val="-3"/>
        </w:rPr>
        <w:t xml:space="preserve"> </w:t>
      </w:r>
      <w:r>
        <w:t>in</w:t>
      </w:r>
      <w:r>
        <w:rPr>
          <w:spacing w:val="-1"/>
        </w:rPr>
        <w:t xml:space="preserve"> </w:t>
      </w:r>
      <w:r>
        <w:t>Annex</w:t>
      </w:r>
      <w:r>
        <w:rPr>
          <w:spacing w:val="-1"/>
        </w:rPr>
        <w:t xml:space="preserve"> </w:t>
      </w:r>
      <w:r>
        <w:t>IV to the standard grant contract</w:t>
      </w:r>
      <w:r w:rsidR="00F06309" w:rsidRPr="00807DAF">
        <w:t>.</w:t>
      </w:r>
    </w:p>
    <w:p w14:paraId="2B8D10E6" w14:textId="77777777" w:rsidR="00E94DBE" w:rsidRDefault="00E94DBE" w:rsidP="00816803">
      <w:pPr>
        <w:numPr>
          <w:ilvl w:val="0"/>
          <w:numId w:val="11"/>
        </w:numPr>
        <w:spacing w:after="120" w:line="240" w:lineRule="atLeast"/>
      </w:pPr>
      <w:r>
        <w:t>Recipients of financial support</w:t>
      </w:r>
    </w:p>
    <w:p w14:paraId="5DCE00E0" w14:textId="77777777" w:rsidR="00E94DBE" w:rsidRDefault="00CD1D62" w:rsidP="00E94DBE">
      <w:pPr>
        <w:spacing w:after="120" w:line="240" w:lineRule="atLeast"/>
      </w:pPr>
      <w:r w:rsidRPr="00CD1D62">
        <w:t>If allowed by the call for proposals, and under the conditions laid herein and in the grant contract, the beneficiaries and their affiliated are permitted to provide financial support to other third parties. These third parties are neither beneficiaries, affiliated entity(ies) nor associates nor contractors</w:t>
      </w:r>
      <w:r w:rsidR="00E94DBE" w:rsidRPr="0045119A">
        <w:t>.</w:t>
      </w:r>
    </w:p>
    <w:p w14:paraId="4304697E" w14:textId="77777777" w:rsidR="00E94DBE" w:rsidRPr="0045119A" w:rsidRDefault="00E94DBE" w:rsidP="00E94DBE">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120" w:line="240" w:lineRule="atLeast"/>
        <w:rPr>
          <w:lang w:eastAsia="en-GB"/>
        </w:rPr>
      </w:pPr>
      <w:r w:rsidRPr="0045119A">
        <w:rPr>
          <w:lang w:val="en-IE" w:eastAsia="en-GB"/>
        </w:rPr>
        <w:t>Each actor should only participate in a single role in an action. This is to avoid any potential conflicts of interest and ensure clear allocation of rights and obligations as well as certainty on cost eligibility.</w:t>
      </w:r>
    </w:p>
    <w:p w14:paraId="1B4FD1A1" w14:textId="77777777" w:rsidR="00E94DBE" w:rsidRPr="00807DAF" w:rsidRDefault="00E94DBE" w:rsidP="00C536CC">
      <w:pPr>
        <w:spacing w:after="120" w:line="240" w:lineRule="atLeast"/>
      </w:pPr>
    </w:p>
    <w:p w14:paraId="6029D292" w14:textId="77777777" w:rsidR="0007408E" w:rsidRPr="00807DAF" w:rsidRDefault="00CD1D62" w:rsidP="00816803">
      <w:pPr>
        <w:pStyle w:val="Guidelines3"/>
        <w:numPr>
          <w:ilvl w:val="2"/>
          <w:numId w:val="8"/>
        </w:numPr>
      </w:pPr>
      <w:bookmarkStart w:id="19" w:name="_Toc380145063"/>
      <w:bookmarkStart w:id="20" w:name="_Toc380145064"/>
      <w:bookmarkStart w:id="21" w:name="_Toc216688227"/>
      <w:bookmarkEnd w:id="19"/>
      <w:bookmarkEnd w:id="20"/>
      <w:r>
        <w:t>Eligible</w:t>
      </w:r>
      <w:r>
        <w:rPr>
          <w:spacing w:val="-2"/>
        </w:rPr>
        <w:t xml:space="preserve"> </w:t>
      </w:r>
      <w:r>
        <w:t>actions</w:t>
      </w:r>
      <w:r>
        <w:rPr>
          <w:rStyle w:val="Znakapoznpodarou"/>
        </w:rPr>
        <w:footnoteReference w:id="13"/>
      </w:r>
      <w:r>
        <w:t>:</w:t>
      </w:r>
      <w:r>
        <w:rPr>
          <w:spacing w:val="-1"/>
        </w:rPr>
        <w:t xml:space="preserve"> </w:t>
      </w:r>
      <w:r w:rsidR="0007408E" w:rsidRPr="00807DAF">
        <w:t xml:space="preserve"> actions for which an application may be made</w:t>
      </w:r>
      <w:bookmarkEnd w:id="21"/>
    </w:p>
    <w:p w14:paraId="3F801703" w14:textId="77777777" w:rsidR="00CD1D62" w:rsidRDefault="00CD1D62" w:rsidP="00C536CC">
      <w:pPr>
        <w:spacing w:after="120" w:line="240" w:lineRule="atLeast"/>
        <w:rPr>
          <w:b/>
          <w:bCs/>
        </w:rPr>
      </w:pPr>
    </w:p>
    <w:p w14:paraId="2FFF9E1D" w14:textId="77777777" w:rsidR="009B41E2" w:rsidRPr="00CD1D62" w:rsidRDefault="002265E1" w:rsidP="00C536CC">
      <w:pPr>
        <w:spacing w:after="120" w:line="240" w:lineRule="atLeast"/>
        <w:rPr>
          <w:b/>
          <w:bCs/>
        </w:rPr>
      </w:pPr>
      <w:r w:rsidRPr="00CD1D62">
        <w:rPr>
          <w:b/>
          <w:bCs/>
        </w:rPr>
        <w:t xml:space="preserve">Definition: </w:t>
      </w:r>
    </w:p>
    <w:p w14:paraId="7C619812" w14:textId="77777777" w:rsidR="002265E1" w:rsidRPr="00807DAF" w:rsidRDefault="002265E1" w:rsidP="00C536CC">
      <w:pPr>
        <w:spacing w:after="120" w:line="240" w:lineRule="atLeast"/>
      </w:pPr>
      <w:r w:rsidRPr="00807DAF">
        <w:t>A</w:t>
      </w:r>
      <w:r w:rsidR="00B526B1" w:rsidRPr="00807DAF">
        <w:t>n</w:t>
      </w:r>
      <w:r w:rsidRPr="00807DAF">
        <w:t xml:space="preserve"> action is composed </w:t>
      </w:r>
      <w:r w:rsidR="00E16D0E" w:rsidRPr="00807DAF">
        <w:t>of a</w:t>
      </w:r>
      <w:r w:rsidRPr="00807DAF">
        <w:t xml:space="preserve"> set of activities.</w:t>
      </w:r>
    </w:p>
    <w:p w14:paraId="4713ED10" w14:textId="77777777" w:rsidR="0007408E" w:rsidRPr="00C536CC" w:rsidRDefault="0007408E" w:rsidP="00C536CC">
      <w:pPr>
        <w:spacing w:after="120" w:line="240" w:lineRule="atLeast"/>
        <w:rPr>
          <w:b/>
          <w:bCs/>
        </w:rPr>
      </w:pPr>
      <w:r w:rsidRPr="00C536CC">
        <w:rPr>
          <w:b/>
          <w:bCs/>
        </w:rPr>
        <w:t>Duration</w:t>
      </w:r>
    </w:p>
    <w:p w14:paraId="627A68D6" w14:textId="77777777" w:rsidR="00CD1D62" w:rsidRDefault="00CD1D62" w:rsidP="00CD1D62">
      <w:pPr>
        <w:pStyle w:val="Zkladntext"/>
        <w:spacing w:before="119" w:line="352" w:lineRule="auto"/>
        <w:ind w:right="409"/>
        <w:rPr>
          <w:color w:val="000000"/>
        </w:rPr>
      </w:pPr>
      <w:r>
        <w:t>The</w:t>
      </w:r>
      <w:r>
        <w:rPr>
          <w:spacing w:val="-2"/>
        </w:rPr>
        <w:t xml:space="preserve"> </w:t>
      </w:r>
      <w:r>
        <w:t>initial</w:t>
      </w:r>
      <w:r>
        <w:rPr>
          <w:spacing w:val="-1"/>
        </w:rPr>
        <w:t xml:space="preserve"> </w:t>
      </w:r>
      <w:r>
        <w:t>planned</w:t>
      </w:r>
      <w:r>
        <w:rPr>
          <w:spacing w:val="-2"/>
        </w:rPr>
        <w:t xml:space="preserve"> </w:t>
      </w:r>
      <w:r>
        <w:t>duration</w:t>
      </w:r>
      <w:r>
        <w:rPr>
          <w:spacing w:val="-5"/>
        </w:rPr>
        <w:t xml:space="preserve"> </w:t>
      </w:r>
      <w:r>
        <w:t>of</w:t>
      </w:r>
      <w:r>
        <w:rPr>
          <w:spacing w:val="-2"/>
        </w:rPr>
        <w:t xml:space="preserve"> </w:t>
      </w:r>
      <w:r>
        <w:t>an</w:t>
      </w:r>
      <w:r>
        <w:rPr>
          <w:spacing w:val="-4"/>
        </w:rPr>
        <w:t xml:space="preserve"> </w:t>
      </w:r>
      <w:r>
        <w:t>action may</w:t>
      </w:r>
      <w:r>
        <w:rPr>
          <w:spacing w:val="-5"/>
        </w:rPr>
        <w:t xml:space="preserve"> </w:t>
      </w:r>
      <w:r>
        <w:t>not be</w:t>
      </w:r>
      <w:r>
        <w:rPr>
          <w:spacing w:val="-2"/>
        </w:rPr>
        <w:t xml:space="preserve"> </w:t>
      </w:r>
      <w:r>
        <w:t>lower</w:t>
      </w:r>
      <w:r>
        <w:rPr>
          <w:spacing w:val="-1"/>
        </w:rPr>
        <w:t xml:space="preserve"> </w:t>
      </w:r>
      <w:r>
        <w:t>than</w:t>
      </w:r>
      <w:r>
        <w:rPr>
          <w:spacing w:val="-1"/>
        </w:rPr>
        <w:t xml:space="preserve"> </w:t>
      </w:r>
      <w:r>
        <w:rPr>
          <w:color w:val="000000"/>
        </w:rPr>
        <w:t>12</w:t>
      </w:r>
      <w:r>
        <w:rPr>
          <w:color w:val="000000"/>
          <w:spacing w:val="-4"/>
        </w:rPr>
        <w:t xml:space="preserve"> </w:t>
      </w:r>
      <w:r>
        <w:rPr>
          <w:color w:val="000000"/>
        </w:rPr>
        <w:t>months</w:t>
      </w:r>
      <w:r>
        <w:rPr>
          <w:color w:val="000000"/>
          <w:spacing w:val="-2"/>
        </w:rPr>
        <w:t xml:space="preserve"> </w:t>
      </w:r>
      <w:r>
        <w:rPr>
          <w:color w:val="000000"/>
        </w:rPr>
        <w:t>nor</w:t>
      </w:r>
      <w:r>
        <w:rPr>
          <w:color w:val="000000"/>
          <w:spacing w:val="-4"/>
        </w:rPr>
        <w:t xml:space="preserve"> </w:t>
      </w:r>
      <w:r>
        <w:rPr>
          <w:color w:val="000000"/>
        </w:rPr>
        <w:t>exceed</w:t>
      </w:r>
      <w:r>
        <w:rPr>
          <w:color w:val="000000"/>
          <w:spacing w:val="-2"/>
        </w:rPr>
        <w:t xml:space="preserve"> </w:t>
      </w:r>
      <w:r>
        <w:rPr>
          <w:color w:val="000000"/>
        </w:rPr>
        <w:t>36</w:t>
      </w:r>
      <w:r>
        <w:rPr>
          <w:color w:val="000000"/>
          <w:spacing w:val="-1"/>
        </w:rPr>
        <w:t xml:space="preserve"> </w:t>
      </w:r>
      <w:r>
        <w:rPr>
          <w:color w:val="000000"/>
        </w:rPr>
        <w:t>months.</w:t>
      </w:r>
    </w:p>
    <w:p w14:paraId="0D14B469" w14:textId="77777777" w:rsidR="0007408E" w:rsidRPr="00CD1D62" w:rsidRDefault="0007408E" w:rsidP="00C536CC">
      <w:pPr>
        <w:spacing w:after="120" w:line="240" w:lineRule="atLeast"/>
        <w:rPr>
          <w:b/>
          <w:bCs/>
        </w:rPr>
      </w:pPr>
      <w:r w:rsidRPr="00CD1D62">
        <w:rPr>
          <w:b/>
          <w:bCs/>
        </w:rPr>
        <w:lastRenderedPageBreak/>
        <w:t>Sectors or themes</w:t>
      </w:r>
    </w:p>
    <w:p w14:paraId="6E59CB60" w14:textId="77777777" w:rsidR="00CD1D62" w:rsidRDefault="00CD1D62" w:rsidP="00CD1D62">
      <w:pPr>
        <w:pStyle w:val="Zkladntext"/>
        <w:spacing w:before="118"/>
        <w:ind w:right="388"/>
        <w:rPr>
          <w:lang w:val="en-IE"/>
        </w:rPr>
      </w:pPr>
      <w:r w:rsidRPr="002038EB">
        <w:rPr>
          <w:lang w:val="en-IE"/>
        </w:rPr>
        <w:t xml:space="preserve">The call focuses on early-stage project </w:t>
      </w:r>
      <w:r>
        <w:rPr>
          <w:lang w:val="en-IE"/>
        </w:rPr>
        <w:t>preparation</w:t>
      </w:r>
      <w:r w:rsidRPr="002038EB">
        <w:rPr>
          <w:lang w:val="en-IE"/>
        </w:rPr>
        <w:t xml:space="preserve"> and/or pilot projects in the transport, artificial intelligence, energy and urban development sectors.</w:t>
      </w:r>
    </w:p>
    <w:p w14:paraId="05DC1AAA" w14:textId="77777777" w:rsidR="00CD1D62" w:rsidRPr="008351CF" w:rsidRDefault="00CD1D62" w:rsidP="00CD1D62">
      <w:pPr>
        <w:pStyle w:val="Zkladntext"/>
        <w:spacing w:before="118"/>
        <w:ind w:right="388"/>
        <w:rPr>
          <w:u w:val="single"/>
        </w:rPr>
      </w:pPr>
      <w:r w:rsidRPr="008351CF">
        <w:rPr>
          <w:u w:val="single"/>
          <w:lang w:val="en-IE"/>
        </w:rPr>
        <w:t>By early-stage it is understood pre-investment actions that allow improved decision-making and guide the next steps leading to higher-quality and bankable investments in line with European values.</w:t>
      </w:r>
    </w:p>
    <w:p w14:paraId="67F797BD" w14:textId="77777777" w:rsidR="00CD1D62" w:rsidRDefault="00CD1D62" w:rsidP="00CD1D62">
      <w:pPr>
        <w:pStyle w:val="Zkladntext"/>
        <w:spacing w:before="118"/>
        <w:ind w:right="388"/>
        <w:rPr>
          <w:lang w:val="en-IE"/>
        </w:rPr>
      </w:pPr>
      <w:r w:rsidRPr="331AEBC2">
        <w:rPr>
          <w:lang w:val="en-IE"/>
        </w:rPr>
        <w:t xml:space="preserve">Some </w:t>
      </w:r>
      <w:r w:rsidRPr="00601301">
        <w:rPr>
          <w:u w:val="single"/>
        </w:rPr>
        <w:t>indicative</w:t>
      </w:r>
      <w:r w:rsidRPr="00601301">
        <w:rPr>
          <w:u w:val="single"/>
          <w:lang w:val="en-IE"/>
        </w:rPr>
        <w:t xml:space="preserve"> examples</w:t>
      </w:r>
      <w:r w:rsidRPr="00735633">
        <w:rPr>
          <w:b/>
          <w:bCs/>
          <w:lang w:val="en-IE"/>
        </w:rPr>
        <w:t xml:space="preserve"> </w:t>
      </w:r>
      <w:r w:rsidRPr="331AEBC2">
        <w:rPr>
          <w:lang w:val="en-IE"/>
        </w:rPr>
        <w:t>of early-stage project generation actions that can be funded under this call for proposals are:</w:t>
      </w:r>
    </w:p>
    <w:p w14:paraId="20851F67" w14:textId="77777777" w:rsidR="00CD1D62" w:rsidRDefault="00CD1D62" w:rsidP="00CD1D62">
      <w:pPr>
        <w:pStyle w:val="Zkladntext"/>
        <w:spacing w:before="118"/>
        <w:ind w:right="388"/>
        <w:rPr>
          <w:lang w:val="en-IE"/>
        </w:rPr>
      </w:pPr>
      <w:r>
        <w:rPr>
          <w:lang w:val="en-IE"/>
        </w:rPr>
        <w:t>Lot 1: Transport</w:t>
      </w:r>
    </w:p>
    <w:p w14:paraId="2E1281EB" w14:textId="77777777" w:rsidR="00CD1D62" w:rsidRPr="006F39E7" w:rsidRDefault="00CD1D62" w:rsidP="00816803">
      <w:pPr>
        <w:pStyle w:val="Zkladntext"/>
        <w:widowControl w:val="0"/>
        <w:numPr>
          <w:ilvl w:val="0"/>
          <w:numId w:val="22"/>
        </w:numPr>
        <w:autoSpaceDE w:val="0"/>
        <w:autoSpaceDN w:val="0"/>
        <w:spacing w:before="118" w:after="0"/>
        <w:ind w:left="1134" w:right="388"/>
        <w:rPr>
          <w:lang w:val="en-IE"/>
        </w:rPr>
      </w:pPr>
      <w:r w:rsidRPr="006F39E7">
        <w:rPr>
          <w:lang w:val="en-IE"/>
        </w:rPr>
        <w:t>Support to early-stages of railway, tramway and bus-rapid transit (BRT) operations (shadow operators)</w:t>
      </w:r>
      <w:r>
        <w:rPr>
          <w:lang w:val="en-IE"/>
        </w:rPr>
        <w:t xml:space="preserve"> </w:t>
      </w:r>
      <w:r w:rsidRPr="00EE4C69">
        <w:rPr>
          <w:lang w:val="en-IE"/>
        </w:rPr>
        <w:t>and project finance investment preparation</w:t>
      </w:r>
    </w:p>
    <w:p w14:paraId="170EE380" w14:textId="77777777" w:rsidR="00CD1D62" w:rsidRPr="006F39E7" w:rsidRDefault="00CD1D62" w:rsidP="00816803">
      <w:pPr>
        <w:pStyle w:val="Zkladntext"/>
        <w:widowControl w:val="0"/>
        <w:numPr>
          <w:ilvl w:val="0"/>
          <w:numId w:val="22"/>
        </w:numPr>
        <w:autoSpaceDE w:val="0"/>
        <w:autoSpaceDN w:val="0"/>
        <w:spacing w:before="118" w:after="0"/>
        <w:ind w:left="1134" w:right="388"/>
        <w:rPr>
          <w:lang w:val="en-IE"/>
        </w:rPr>
      </w:pPr>
      <w:r w:rsidRPr="006F39E7">
        <w:rPr>
          <w:lang w:val="en-IE"/>
        </w:rPr>
        <w:t>Port and airport authorities/concessions peer support for sustainable port and airport investments (expansion, modernisation, greening of ports, decarbonisation</w:t>
      </w:r>
      <w:r>
        <w:rPr>
          <w:lang w:val="en-IE"/>
        </w:rPr>
        <w:t xml:space="preserve">, </w:t>
      </w:r>
      <w:r w:rsidRPr="006F39E7">
        <w:rPr>
          <w:lang w:val="en-IE"/>
        </w:rPr>
        <w:t>etc.)</w:t>
      </w:r>
    </w:p>
    <w:p w14:paraId="313A51C9" w14:textId="77777777" w:rsidR="00CD1D62" w:rsidRPr="006F39E7" w:rsidRDefault="00CD1D62" w:rsidP="00816803">
      <w:pPr>
        <w:pStyle w:val="Zkladntext"/>
        <w:widowControl w:val="0"/>
        <w:numPr>
          <w:ilvl w:val="0"/>
          <w:numId w:val="22"/>
        </w:numPr>
        <w:autoSpaceDE w:val="0"/>
        <w:autoSpaceDN w:val="0"/>
        <w:spacing w:before="118" w:after="0"/>
        <w:ind w:left="1134" w:right="388"/>
        <w:rPr>
          <w:lang w:val="en-IE"/>
        </w:rPr>
      </w:pPr>
      <w:r w:rsidRPr="006F39E7">
        <w:rPr>
          <w:lang w:val="en-IE"/>
        </w:rPr>
        <w:t>E-buses pilot projects (e.g. develop pilot project frameworks, test small-scale deployments</w:t>
      </w:r>
      <w:r>
        <w:rPr>
          <w:lang w:val="en-IE"/>
        </w:rPr>
        <w:t>, etc.</w:t>
      </w:r>
      <w:r w:rsidRPr="006F39E7">
        <w:rPr>
          <w:lang w:val="en-IE"/>
        </w:rPr>
        <w:t>)</w:t>
      </w:r>
    </w:p>
    <w:p w14:paraId="25604CE9" w14:textId="77777777" w:rsidR="00CD1D62" w:rsidRPr="006F39E7" w:rsidRDefault="00CD1D62" w:rsidP="00816803">
      <w:pPr>
        <w:pStyle w:val="Zkladntext"/>
        <w:widowControl w:val="0"/>
        <w:numPr>
          <w:ilvl w:val="0"/>
          <w:numId w:val="22"/>
        </w:numPr>
        <w:autoSpaceDE w:val="0"/>
        <w:autoSpaceDN w:val="0"/>
        <w:spacing w:before="118" w:after="0"/>
        <w:ind w:left="1134" w:right="388"/>
        <w:rPr>
          <w:lang w:val="en-IE"/>
        </w:rPr>
      </w:pPr>
      <w:r w:rsidRPr="002F03F3">
        <w:rPr>
          <w:lang w:val="en-IE"/>
        </w:rPr>
        <w:t xml:space="preserve">Smart urban mobility systems (e.g., baseline traffic and mobility studies, preliminary assessments of traffic management systems, evaluations of energy efficiency opportunities, </w:t>
      </w:r>
      <w:r>
        <w:rPr>
          <w:lang w:val="en-IE"/>
        </w:rPr>
        <w:t xml:space="preserve">studies aimed </w:t>
      </w:r>
      <w:r w:rsidRPr="002F03F3">
        <w:rPr>
          <w:lang w:val="en-IE"/>
        </w:rPr>
        <w:t>at reducing emissions and improving resilience</w:t>
      </w:r>
      <w:r>
        <w:rPr>
          <w:lang w:val="en-IE"/>
        </w:rPr>
        <w:t>, etc.</w:t>
      </w:r>
      <w:r w:rsidRPr="002F03F3">
        <w:rPr>
          <w:lang w:val="en-IE"/>
        </w:rPr>
        <w:t>).</w:t>
      </w:r>
    </w:p>
    <w:p w14:paraId="7A7345A8" w14:textId="77777777" w:rsidR="00CD1D62" w:rsidRPr="006F39E7" w:rsidRDefault="00CD1D62" w:rsidP="00816803">
      <w:pPr>
        <w:pStyle w:val="Zkladntext"/>
        <w:widowControl w:val="0"/>
        <w:numPr>
          <w:ilvl w:val="0"/>
          <w:numId w:val="22"/>
        </w:numPr>
        <w:autoSpaceDE w:val="0"/>
        <w:autoSpaceDN w:val="0"/>
        <w:spacing w:before="118" w:after="0"/>
        <w:ind w:left="1134" w:right="388"/>
        <w:rPr>
          <w:lang w:val="en-IE"/>
        </w:rPr>
      </w:pPr>
      <w:r>
        <w:rPr>
          <w:lang w:val="en-IE"/>
        </w:rPr>
        <w:t>Preparatory work for r</w:t>
      </w:r>
      <w:r w:rsidRPr="006F39E7">
        <w:rPr>
          <w:lang w:val="en-IE"/>
        </w:rPr>
        <w:t>enewable and low-carbon fuels development (aviation and maritime)</w:t>
      </w:r>
    </w:p>
    <w:p w14:paraId="33443505" w14:textId="77777777" w:rsidR="00CD1D62" w:rsidRPr="006F39E7" w:rsidRDefault="00CD1D62" w:rsidP="00816803">
      <w:pPr>
        <w:pStyle w:val="Zkladntext"/>
        <w:widowControl w:val="0"/>
        <w:numPr>
          <w:ilvl w:val="0"/>
          <w:numId w:val="22"/>
        </w:numPr>
        <w:autoSpaceDE w:val="0"/>
        <w:autoSpaceDN w:val="0"/>
        <w:spacing w:before="118" w:after="0"/>
        <w:ind w:left="1134" w:right="388"/>
        <w:rPr>
          <w:lang w:val="en-IE"/>
        </w:rPr>
      </w:pPr>
      <w:r>
        <w:rPr>
          <w:lang w:val="en-IE"/>
        </w:rPr>
        <w:t>Innovative solutions for r</w:t>
      </w:r>
      <w:r w:rsidRPr="006F39E7">
        <w:rPr>
          <w:lang w:val="en-IE"/>
        </w:rPr>
        <w:t>oad safety and resilient road management</w:t>
      </w:r>
      <w:r>
        <w:rPr>
          <w:lang w:val="en-IE"/>
        </w:rPr>
        <w:t xml:space="preserve"> </w:t>
      </w:r>
      <w:r w:rsidRPr="006F39E7">
        <w:rPr>
          <w:lang w:val="en-IE"/>
        </w:rPr>
        <w:t>(digitalisation, advanced materials, etc.)</w:t>
      </w:r>
    </w:p>
    <w:p w14:paraId="5AB2C560" w14:textId="77777777" w:rsidR="00CD1D62" w:rsidRDefault="00CD1D62" w:rsidP="00816803">
      <w:pPr>
        <w:pStyle w:val="Zkladntext"/>
        <w:widowControl w:val="0"/>
        <w:numPr>
          <w:ilvl w:val="0"/>
          <w:numId w:val="22"/>
        </w:numPr>
        <w:autoSpaceDE w:val="0"/>
        <w:autoSpaceDN w:val="0"/>
        <w:spacing w:before="118" w:after="0"/>
        <w:ind w:left="1134" w:right="388"/>
        <w:rPr>
          <w:lang w:val="en-IE"/>
        </w:rPr>
      </w:pPr>
      <w:r w:rsidRPr="006F39E7">
        <w:rPr>
          <w:lang w:val="en-IE"/>
        </w:rPr>
        <w:t>Innovative road transport solutions (preparation of road concessions, integration of resilient road asset management systems, adoption of green technologies (e.g., digital twins/ITS, smart sensors, renewable-based EV charging, hydrogen corridors) and sustainable practices in road construction, etc.</w:t>
      </w:r>
      <w:r>
        <w:rPr>
          <w:lang w:val="en-IE"/>
        </w:rPr>
        <w:t>)</w:t>
      </w:r>
    </w:p>
    <w:p w14:paraId="174AD56F" w14:textId="77777777" w:rsidR="00CD1D62" w:rsidRDefault="00CD1D62" w:rsidP="00CD1D62">
      <w:pPr>
        <w:pStyle w:val="Zkladntext"/>
        <w:spacing w:before="118"/>
        <w:ind w:right="388"/>
        <w:rPr>
          <w:lang w:val="en-IE"/>
        </w:rPr>
      </w:pPr>
      <w:r w:rsidRPr="6C9C0DA3">
        <w:rPr>
          <w:lang w:val="en-IE"/>
        </w:rPr>
        <w:t>Lot 2: Artificial intelligence</w:t>
      </w:r>
      <w:r>
        <w:rPr>
          <w:lang w:val="en-IE"/>
        </w:rPr>
        <w:t xml:space="preserve"> for green transition</w:t>
      </w:r>
    </w:p>
    <w:p w14:paraId="2CEAC9D5" w14:textId="77777777" w:rsidR="00CD1D62" w:rsidRPr="005F60BC" w:rsidRDefault="00CD1D62" w:rsidP="00816803">
      <w:pPr>
        <w:pStyle w:val="Zkladntext"/>
        <w:widowControl w:val="0"/>
        <w:numPr>
          <w:ilvl w:val="0"/>
          <w:numId w:val="22"/>
        </w:numPr>
        <w:autoSpaceDE w:val="0"/>
        <w:autoSpaceDN w:val="0"/>
        <w:spacing w:before="118" w:after="0"/>
        <w:ind w:left="1134" w:right="388"/>
        <w:rPr>
          <w:lang w:val="en-IE"/>
        </w:rPr>
      </w:pPr>
      <w:r w:rsidRPr="00AC792E">
        <w:rPr>
          <w:lang w:val="en-IE"/>
        </w:rPr>
        <w:t>Deploying AI in satellite image analysis and sensor data to monitor for example deforestation, illegal logging, and biodiversity changes in real-time, as well as early-warning systems for wildfires, floods, or drought risks.</w:t>
      </w:r>
    </w:p>
    <w:p w14:paraId="464DC74C" w14:textId="77777777" w:rsidR="00CD1D62" w:rsidRPr="003744D0" w:rsidRDefault="00CD1D62" w:rsidP="00816803">
      <w:pPr>
        <w:pStyle w:val="Zkladntext"/>
        <w:widowControl w:val="0"/>
        <w:numPr>
          <w:ilvl w:val="0"/>
          <w:numId w:val="22"/>
        </w:numPr>
        <w:autoSpaceDE w:val="0"/>
        <w:autoSpaceDN w:val="0"/>
        <w:spacing w:before="118" w:after="0"/>
        <w:ind w:left="1134" w:right="388"/>
        <w:rPr>
          <w:lang w:val="en-IE"/>
        </w:rPr>
      </w:pPr>
      <w:r>
        <w:rPr>
          <w:lang w:val="en-IE"/>
        </w:rPr>
        <w:t xml:space="preserve">Predicting maintenance for renewable assets such as </w:t>
      </w:r>
      <w:r w:rsidRPr="002D2C47">
        <w:t>wind turbines, solar panels, or batteries</w:t>
      </w:r>
      <w:r>
        <w:t xml:space="preserve">, to increase lifespan </w:t>
      </w:r>
      <w:r w:rsidRPr="00D0285B">
        <w:t>and to optimise resource efficiency</w:t>
      </w:r>
      <w:r>
        <w:t>.</w:t>
      </w:r>
    </w:p>
    <w:p w14:paraId="30E37D0F" w14:textId="77777777" w:rsidR="00CD1D62" w:rsidRPr="003744D0" w:rsidRDefault="00CD1D62" w:rsidP="00816803">
      <w:pPr>
        <w:pStyle w:val="Zkladntext"/>
        <w:widowControl w:val="0"/>
        <w:numPr>
          <w:ilvl w:val="0"/>
          <w:numId w:val="22"/>
        </w:numPr>
        <w:autoSpaceDE w:val="0"/>
        <w:autoSpaceDN w:val="0"/>
        <w:spacing w:before="118" w:after="0"/>
        <w:ind w:left="1134" w:right="388"/>
        <w:rPr>
          <w:lang w:val="en-IE"/>
        </w:rPr>
      </w:pPr>
      <w:r w:rsidRPr="79AC53E4">
        <w:rPr>
          <w:lang w:val="en-IE"/>
        </w:rPr>
        <w:t>Optimising distribution of water or energy with AI algorithms by analysing real-time data from smart meters and sensors to predict demand patterns and adjusting supply accordingly. </w:t>
      </w:r>
    </w:p>
    <w:p w14:paraId="2241891C" w14:textId="77777777" w:rsidR="00CD1D62" w:rsidRDefault="00CD1D62" w:rsidP="00CD1D62">
      <w:pPr>
        <w:pStyle w:val="Zkladntext"/>
        <w:spacing w:before="118"/>
        <w:ind w:right="388"/>
        <w:rPr>
          <w:lang w:val="en-IE"/>
        </w:rPr>
      </w:pPr>
      <w:r>
        <w:rPr>
          <w:lang w:val="en-IE"/>
        </w:rPr>
        <w:t>Lot 3: Energy</w:t>
      </w:r>
      <w:r>
        <w:rPr>
          <w:lang w:val="en-IE"/>
        </w:rPr>
        <w:tab/>
      </w:r>
    </w:p>
    <w:p w14:paraId="4735B6C9" w14:textId="77777777" w:rsidR="00CD1D62" w:rsidRDefault="00CD1D62" w:rsidP="00816803">
      <w:pPr>
        <w:pStyle w:val="Zkladntext"/>
        <w:widowControl w:val="0"/>
        <w:numPr>
          <w:ilvl w:val="0"/>
          <w:numId w:val="22"/>
        </w:numPr>
        <w:autoSpaceDE w:val="0"/>
        <w:autoSpaceDN w:val="0"/>
        <w:spacing w:before="118" w:after="0"/>
        <w:ind w:left="1134" w:right="388"/>
        <w:rPr>
          <w:lang w:val="en-IE"/>
        </w:rPr>
      </w:pPr>
      <w:r w:rsidRPr="171FB152">
        <w:rPr>
          <w:lang w:val="en-IE"/>
        </w:rPr>
        <w:t>Onshore and offshore wind.</w:t>
      </w:r>
    </w:p>
    <w:p w14:paraId="72B21F06" w14:textId="77777777" w:rsidR="00CD1D62" w:rsidRDefault="00CD1D62" w:rsidP="00816803">
      <w:pPr>
        <w:pStyle w:val="Zkladntext"/>
        <w:widowControl w:val="0"/>
        <w:numPr>
          <w:ilvl w:val="0"/>
          <w:numId w:val="22"/>
        </w:numPr>
        <w:autoSpaceDE w:val="0"/>
        <w:autoSpaceDN w:val="0"/>
        <w:spacing w:before="118" w:after="0"/>
        <w:ind w:left="1134" w:right="388"/>
        <w:rPr>
          <w:lang w:val="en-IE"/>
        </w:rPr>
      </w:pPr>
      <w:r>
        <w:rPr>
          <w:lang w:val="en-IE"/>
        </w:rPr>
        <w:t>Renewable h</w:t>
      </w:r>
      <w:r w:rsidRPr="171FB152">
        <w:rPr>
          <w:lang w:val="en-IE"/>
        </w:rPr>
        <w:t>ydrogen projects for the decarbonisation of hard to abate sectors, particularly fertilizers, iron and storage</w:t>
      </w:r>
    </w:p>
    <w:p w14:paraId="365D1980" w14:textId="77777777" w:rsidR="00CD1D62" w:rsidRDefault="00CD1D62" w:rsidP="00816803">
      <w:pPr>
        <w:pStyle w:val="Zkladntext"/>
        <w:widowControl w:val="0"/>
        <w:numPr>
          <w:ilvl w:val="0"/>
          <w:numId w:val="22"/>
        </w:numPr>
        <w:autoSpaceDE w:val="0"/>
        <w:autoSpaceDN w:val="0"/>
        <w:spacing w:before="118" w:after="0"/>
        <w:ind w:left="1134" w:right="388"/>
        <w:rPr>
          <w:lang w:val="en-IE"/>
        </w:rPr>
      </w:pPr>
      <w:r w:rsidRPr="171FB152">
        <w:rPr>
          <w:lang w:val="en-IE"/>
        </w:rPr>
        <w:t>Hydroelectric power plants, includ</w:t>
      </w:r>
      <w:r>
        <w:rPr>
          <w:lang w:val="en-IE"/>
        </w:rPr>
        <w:t>ing</w:t>
      </w:r>
      <w:r w:rsidRPr="171FB152">
        <w:rPr>
          <w:lang w:val="en-IE"/>
        </w:rPr>
        <w:t xml:space="preserve"> pump storage and rehabilitation.</w:t>
      </w:r>
    </w:p>
    <w:p w14:paraId="2CA801C4" w14:textId="77777777" w:rsidR="00CD1D62" w:rsidRDefault="00CD1D62" w:rsidP="00816803">
      <w:pPr>
        <w:pStyle w:val="Zkladntext"/>
        <w:widowControl w:val="0"/>
        <w:numPr>
          <w:ilvl w:val="0"/>
          <w:numId w:val="22"/>
        </w:numPr>
        <w:autoSpaceDE w:val="0"/>
        <w:autoSpaceDN w:val="0"/>
        <w:spacing w:before="118" w:after="0"/>
        <w:ind w:left="1134" w:right="388"/>
        <w:rPr>
          <w:lang w:val="en-IE"/>
        </w:rPr>
      </w:pPr>
      <w:r w:rsidRPr="171FB152">
        <w:rPr>
          <w:lang w:val="en-IE"/>
        </w:rPr>
        <w:t>Electricity transmission and distribution, including grid modernisation.</w:t>
      </w:r>
    </w:p>
    <w:p w14:paraId="445893DF" w14:textId="77777777" w:rsidR="00CD1D62" w:rsidRDefault="00CD1D62" w:rsidP="00816803">
      <w:pPr>
        <w:pStyle w:val="Zkladntext"/>
        <w:widowControl w:val="0"/>
        <w:numPr>
          <w:ilvl w:val="0"/>
          <w:numId w:val="22"/>
        </w:numPr>
        <w:autoSpaceDE w:val="0"/>
        <w:autoSpaceDN w:val="0"/>
        <w:spacing w:before="118" w:after="0"/>
        <w:ind w:left="1134" w:right="388"/>
        <w:rPr>
          <w:lang w:val="en-IE"/>
        </w:rPr>
      </w:pPr>
      <w:r w:rsidRPr="171FB152">
        <w:rPr>
          <w:lang w:val="en-IE"/>
        </w:rPr>
        <w:t xml:space="preserve">Energy efficiency projects, including building retrofits, appliance upgrades and industrial process optimisation. </w:t>
      </w:r>
    </w:p>
    <w:p w14:paraId="152D996C" w14:textId="77777777" w:rsidR="00CD1D62" w:rsidRDefault="00CD1D62" w:rsidP="00816803">
      <w:pPr>
        <w:pStyle w:val="Zkladntext"/>
        <w:widowControl w:val="0"/>
        <w:numPr>
          <w:ilvl w:val="0"/>
          <w:numId w:val="22"/>
        </w:numPr>
        <w:autoSpaceDE w:val="0"/>
        <w:autoSpaceDN w:val="0"/>
        <w:spacing w:before="118" w:after="0"/>
        <w:ind w:left="1134" w:right="388"/>
        <w:rPr>
          <w:lang w:val="en-IE"/>
        </w:rPr>
      </w:pPr>
      <w:r w:rsidRPr="171FB152">
        <w:rPr>
          <w:lang w:val="en-IE"/>
        </w:rPr>
        <w:t>Geothermal</w:t>
      </w:r>
    </w:p>
    <w:p w14:paraId="11637BAF" w14:textId="77777777" w:rsidR="00CD1D62" w:rsidRDefault="00CD1D62" w:rsidP="00816803">
      <w:pPr>
        <w:pStyle w:val="Zkladntext"/>
        <w:widowControl w:val="0"/>
        <w:numPr>
          <w:ilvl w:val="0"/>
          <w:numId w:val="22"/>
        </w:numPr>
        <w:autoSpaceDE w:val="0"/>
        <w:autoSpaceDN w:val="0"/>
        <w:spacing w:before="118" w:after="0"/>
        <w:ind w:left="1134" w:right="388"/>
        <w:rPr>
          <w:lang w:val="en-IE"/>
        </w:rPr>
      </w:pPr>
      <w:r w:rsidRPr="171FB152">
        <w:rPr>
          <w:lang w:val="en-IE"/>
        </w:rPr>
        <w:t>Biomass</w:t>
      </w:r>
    </w:p>
    <w:p w14:paraId="308CABF0" w14:textId="77777777" w:rsidR="00CD1D62" w:rsidRDefault="00CD1D62" w:rsidP="00816803">
      <w:pPr>
        <w:pStyle w:val="Zkladntext"/>
        <w:widowControl w:val="0"/>
        <w:numPr>
          <w:ilvl w:val="0"/>
          <w:numId w:val="22"/>
        </w:numPr>
        <w:autoSpaceDE w:val="0"/>
        <w:autoSpaceDN w:val="0"/>
        <w:spacing w:before="118" w:after="0"/>
        <w:ind w:left="1134" w:right="388"/>
        <w:rPr>
          <w:lang w:val="en-IE"/>
        </w:rPr>
      </w:pPr>
      <w:r w:rsidRPr="171FB152">
        <w:rPr>
          <w:lang w:val="en-IE"/>
        </w:rPr>
        <w:lastRenderedPageBreak/>
        <w:t>Solar manufacturing or assembly</w:t>
      </w:r>
    </w:p>
    <w:p w14:paraId="1FACD4FB" w14:textId="77777777" w:rsidR="00CD1D62" w:rsidRDefault="00CD1D62" w:rsidP="00816803">
      <w:pPr>
        <w:pStyle w:val="Zkladntext"/>
        <w:widowControl w:val="0"/>
        <w:numPr>
          <w:ilvl w:val="0"/>
          <w:numId w:val="22"/>
        </w:numPr>
        <w:autoSpaceDE w:val="0"/>
        <w:autoSpaceDN w:val="0"/>
        <w:spacing w:before="118" w:after="0"/>
        <w:ind w:left="1134" w:right="388"/>
        <w:rPr>
          <w:lang w:val="en-IE"/>
        </w:rPr>
      </w:pPr>
      <w:r w:rsidRPr="171FB152">
        <w:rPr>
          <w:lang w:val="en-IE"/>
        </w:rPr>
        <w:t>Batteries manufacturing</w:t>
      </w:r>
    </w:p>
    <w:p w14:paraId="44735CE7" w14:textId="77777777" w:rsidR="00CD1D62" w:rsidRPr="0014626B" w:rsidRDefault="00CD1D62" w:rsidP="00CD1D62">
      <w:pPr>
        <w:pStyle w:val="Zkladntext"/>
        <w:spacing w:before="118"/>
        <w:ind w:right="388"/>
        <w:rPr>
          <w:lang w:val="en-IE"/>
        </w:rPr>
      </w:pPr>
      <w:r>
        <w:rPr>
          <w:lang w:val="en-IE"/>
        </w:rPr>
        <w:t>Lot 4: Urban development</w:t>
      </w:r>
    </w:p>
    <w:p w14:paraId="18BFDAD8" w14:textId="77777777" w:rsidR="00CD1D62" w:rsidRPr="003E2C41" w:rsidRDefault="00CD1D62" w:rsidP="00816803">
      <w:pPr>
        <w:pStyle w:val="Zkladntext"/>
        <w:widowControl w:val="0"/>
        <w:numPr>
          <w:ilvl w:val="0"/>
          <w:numId w:val="22"/>
        </w:numPr>
        <w:autoSpaceDE w:val="0"/>
        <w:autoSpaceDN w:val="0"/>
        <w:spacing w:before="118" w:after="0"/>
        <w:ind w:left="1134" w:right="388"/>
        <w:rPr>
          <w:lang w:val="en-IE"/>
        </w:rPr>
      </w:pPr>
      <w:r w:rsidRPr="003E2C41">
        <w:rPr>
          <w:lang w:val="en-IE"/>
        </w:rPr>
        <w:t xml:space="preserve">Preparatory work for sustainable and smart cities applications/solutions, including for example low-emission transport systems, logistics/ freight solutions, green buildings, use of data and digital solutions for urban management/service delivery, in particular with a focus on cities along EU supported corridors in Africa as key nodes for sustainable growth. </w:t>
      </w:r>
    </w:p>
    <w:p w14:paraId="133B4A8B" w14:textId="77777777" w:rsidR="00CD1D62" w:rsidRPr="003E2C41" w:rsidRDefault="00CD1D62" w:rsidP="00816803">
      <w:pPr>
        <w:pStyle w:val="Zkladntext"/>
        <w:widowControl w:val="0"/>
        <w:numPr>
          <w:ilvl w:val="0"/>
          <w:numId w:val="22"/>
        </w:numPr>
        <w:autoSpaceDE w:val="0"/>
        <w:autoSpaceDN w:val="0"/>
        <w:spacing w:before="118" w:after="0"/>
        <w:ind w:left="1134" w:right="388"/>
        <w:rPr>
          <w:lang w:val="en-IE"/>
        </w:rPr>
      </w:pPr>
      <w:r w:rsidRPr="003E2C41">
        <w:rPr>
          <w:lang w:val="en-IE"/>
        </w:rPr>
        <w:t xml:space="preserve">Preparatory work for </w:t>
      </w:r>
      <w:r>
        <w:rPr>
          <w:lang w:val="en-IE"/>
        </w:rPr>
        <w:t>s</w:t>
      </w:r>
      <w:r w:rsidRPr="003E2C41">
        <w:rPr>
          <w:lang w:val="en-IE"/>
        </w:rPr>
        <w:t xml:space="preserve">olid waste management solutions, including for example waste-to-energy/fuels schemes, waste recovery value chains and investment opportunities to enhance circularity and recovery of secondary materials; </w:t>
      </w:r>
    </w:p>
    <w:p w14:paraId="64A76134" w14:textId="77777777" w:rsidR="00CD1D62" w:rsidRPr="005050DE" w:rsidRDefault="00CD1D62" w:rsidP="00816803">
      <w:pPr>
        <w:pStyle w:val="Zkladntext"/>
        <w:widowControl w:val="0"/>
        <w:numPr>
          <w:ilvl w:val="0"/>
          <w:numId w:val="22"/>
        </w:numPr>
        <w:autoSpaceDE w:val="0"/>
        <w:autoSpaceDN w:val="0"/>
        <w:spacing w:before="118" w:after="0"/>
        <w:ind w:left="1134" w:right="388"/>
        <w:rPr>
          <w:lang w:val="en-IE"/>
        </w:rPr>
      </w:pPr>
      <w:r w:rsidRPr="003E2C41">
        <w:rPr>
          <w:lang w:val="en-IE"/>
        </w:rPr>
        <w:t>Preparatory work for environmentally sustainable water supply, management and treatment solutions, including for example innovative financing models, smart leak detection, energy-efficient desalination and wastewater reuse technologies,</w:t>
      </w:r>
    </w:p>
    <w:p w14:paraId="0448F644" w14:textId="77777777" w:rsidR="00CD1D62" w:rsidRDefault="00CD1D62" w:rsidP="00CD1D62">
      <w:pPr>
        <w:pStyle w:val="Zkladntext"/>
        <w:spacing w:before="118"/>
        <w:ind w:right="388"/>
        <w:rPr>
          <w:lang w:val="en-IE"/>
        </w:rPr>
      </w:pPr>
      <w:r w:rsidRPr="50A909C4">
        <w:rPr>
          <w:lang w:val="en-IE"/>
        </w:rPr>
        <w:t>Lot 5: Support to the origination and structuring of railway and tramway projects</w:t>
      </w:r>
      <w:r w:rsidRPr="4B06612D">
        <w:rPr>
          <w:lang w:val="en-IE"/>
        </w:rPr>
        <w:t xml:space="preserve"> in</w:t>
      </w:r>
      <w:r w:rsidRPr="50A909C4">
        <w:rPr>
          <w:lang w:val="en-IE"/>
        </w:rPr>
        <w:t xml:space="preserve"> Latin America and Caribbean</w:t>
      </w:r>
      <w:r>
        <w:rPr>
          <w:lang w:val="en-IE"/>
        </w:rPr>
        <w:t xml:space="preserve"> (see list below), </w:t>
      </w:r>
      <w:r w:rsidRPr="50A909C4">
        <w:rPr>
          <w:lang w:val="en-IE"/>
        </w:rPr>
        <w:t>with actions such as:</w:t>
      </w:r>
    </w:p>
    <w:p w14:paraId="7E1C312B" w14:textId="77777777" w:rsidR="00CD1D62" w:rsidRPr="00083B11" w:rsidRDefault="00CD1D62" w:rsidP="00816803">
      <w:pPr>
        <w:pStyle w:val="Zkladntext"/>
        <w:widowControl w:val="0"/>
        <w:numPr>
          <w:ilvl w:val="0"/>
          <w:numId w:val="22"/>
        </w:numPr>
        <w:autoSpaceDE w:val="0"/>
        <w:autoSpaceDN w:val="0"/>
        <w:spacing w:before="118" w:after="0"/>
        <w:ind w:left="1134" w:right="388"/>
        <w:rPr>
          <w:lang w:val="en-IE"/>
        </w:rPr>
      </w:pPr>
      <w:r w:rsidRPr="00083B11">
        <w:rPr>
          <w:lang w:val="en-IE"/>
        </w:rPr>
        <w:t>Market analysis and research</w:t>
      </w:r>
      <w:r>
        <w:rPr>
          <w:lang w:val="en-IE"/>
        </w:rPr>
        <w:t xml:space="preserve">, </w:t>
      </w:r>
      <w:r w:rsidRPr="00097547">
        <w:rPr>
          <w:lang w:val="en-IE"/>
        </w:rPr>
        <w:t>including demand for low-carbon freight and passenger services and alignment with sustainable transport policies</w:t>
      </w:r>
      <w:r w:rsidRPr="00083B11">
        <w:rPr>
          <w:lang w:val="en-IE"/>
        </w:rPr>
        <w:t xml:space="preserve"> (conduct competitive analysis, identify market trends</w:t>
      </w:r>
      <w:r w:rsidRPr="00C44F94">
        <w:rPr>
          <w:lang w:val="en-IE"/>
        </w:rPr>
        <w:t>, assess the business environment and relevant laws and regulations</w:t>
      </w:r>
      <w:r w:rsidRPr="00083B11">
        <w:rPr>
          <w:lang w:val="en-IE"/>
        </w:rPr>
        <w:t xml:space="preserve">, </w:t>
      </w:r>
      <w:r>
        <w:rPr>
          <w:lang w:val="en-IE"/>
        </w:rPr>
        <w:t xml:space="preserve">conduct </w:t>
      </w:r>
      <w:r w:rsidRPr="00083B11">
        <w:rPr>
          <w:lang w:val="en-IE"/>
        </w:rPr>
        <w:t>market entry or expansion feasibility studies, perform surveys, interviews, and focus groups with customers or stakeholders, etc.)</w:t>
      </w:r>
    </w:p>
    <w:p w14:paraId="1A972DBE" w14:textId="77777777" w:rsidR="00CD1D62" w:rsidRDefault="00CD1D62" w:rsidP="00816803">
      <w:pPr>
        <w:pStyle w:val="Zkladntext"/>
        <w:widowControl w:val="0"/>
        <w:numPr>
          <w:ilvl w:val="0"/>
          <w:numId w:val="22"/>
        </w:numPr>
        <w:autoSpaceDE w:val="0"/>
        <w:autoSpaceDN w:val="0"/>
        <w:spacing w:before="118" w:after="0"/>
        <w:ind w:left="1134" w:right="388"/>
        <w:rPr>
          <w:lang w:val="en-IE"/>
        </w:rPr>
      </w:pPr>
      <w:r w:rsidRPr="00083B11">
        <w:rPr>
          <w:lang w:val="en-IE"/>
        </w:rPr>
        <w:t>Strategic planning and project development (identify promoters and their strategic and operational objectives, develop business models and</w:t>
      </w:r>
      <w:r w:rsidRPr="00E409CC">
        <w:rPr>
          <w:lang w:val="en-IE"/>
        </w:rPr>
        <w:t xml:space="preserve"> value propositions</w:t>
      </w:r>
      <w:r>
        <w:rPr>
          <w:lang w:val="en-IE"/>
        </w:rPr>
        <w:t>, s</w:t>
      </w:r>
      <w:r w:rsidRPr="00E409CC">
        <w:rPr>
          <w:lang w:val="en-IE"/>
        </w:rPr>
        <w:t>et performance targets and KPIs</w:t>
      </w:r>
      <w:r>
        <w:rPr>
          <w:lang w:val="en-IE"/>
        </w:rPr>
        <w:t>, d</w:t>
      </w:r>
      <w:r w:rsidRPr="004F644A">
        <w:rPr>
          <w:lang w:val="en-IE"/>
        </w:rPr>
        <w:t>esig</w:t>
      </w:r>
      <w:r>
        <w:rPr>
          <w:lang w:val="en-IE"/>
        </w:rPr>
        <w:t>n</w:t>
      </w:r>
      <w:r w:rsidRPr="004F644A">
        <w:rPr>
          <w:lang w:val="en-IE"/>
        </w:rPr>
        <w:t xml:space="preserve"> organizational structures aligned with </w:t>
      </w:r>
      <w:r>
        <w:rPr>
          <w:lang w:val="en-IE"/>
        </w:rPr>
        <w:t xml:space="preserve">the proposed </w:t>
      </w:r>
      <w:r w:rsidRPr="004F644A">
        <w:rPr>
          <w:lang w:val="en-IE"/>
        </w:rPr>
        <w:t>strategy</w:t>
      </w:r>
      <w:r>
        <w:rPr>
          <w:lang w:val="en-IE"/>
        </w:rPr>
        <w:t>, structure the potential involvement of different Team Europe stakeholders, support to early-stages of railway or tramway operations -shadow operators-, etc.)</w:t>
      </w:r>
    </w:p>
    <w:p w14:paraId="34C293E3" w14:textId="77777777" w:rsidR="00CD1D62" w:rsidRDefault="00CD1D62" w:rsidP="00816803">
      <w:pPr>
        <w:pStyle w:val="Zkladntext"/>
        <w:widowControl w:val="0"/>
        <w:numPr>
          <w:ilvl w:val="0"/>
          <w:numId w:val="22"/>
        </w:numPr>
        <w:autoSpaceDE w:val="0"/>
        <w:autoSpaceDN w:val="0"/>
        <w:spacing w:before="118" w:after="0"/>
        <w:ind w:left="1134" w:right="388"/>
        <w:rPr>
          <w:lang w:val="en-IE"/>
        </w:rPr>
      </w:pPr>
      <w:r>
        <w:rPr>
          <w:lang w:val="en-IE"/>
        </w:rPr>
        <w:t>Project appraisal (c</w:t>
      </w:r>
      <w:r w:rsidRPr="002D4BE3">
        <w:rPr>
          <w:lang w:val="en-IE"/>
        </w:rPr>
        <w:t>onduct cost-benefit analysis and risk assessments</w:t>
      </w:r>
      <w:r>
        <w:rPr>
          <w:lang w:val="en-IE"/>
        </w:rPr>
        <w:t>, light assessment of the financial, economic, social and/or environmental impacts, support</w:t>
      </w:r>
      <w:r w:rsidRPr="001D48C0">
        <w:rPr>
          <w:lang w:val="en-IE"/>
        </w:rPr>
        <w:t xml:space="preserve"> the promoter to raise funding for the preparatory work and studies</w:t>
      </w:r>
      <w:r>
        <w:rPr>
          <w:lang w:val="en-IE"/>
        </w:rPr>
        <w:t>, etc.)</w:t>
      </w:r>
    </w:p>
    <w:p w14:paraId="27B03858" w14:textId="77777777" w:rsidR="00CD1D62" w:rsidRDefault="00CD1D62" w:rsidP="00816803">
      <w:pPr>
        <w:pStyle w:val="Zkladntext"/>
        <w:widowControl w:val="0"/>
        <w:numPr>
          <w:ilvl w:val="0"/>
          <w:numId w:val="22"/>
        </w:numPr>
        <w:autoSpaceDE w:val="0"/>
        <w:autoSpaceDN w:val="0"/>
        <w:spacing w:before="118" w:after="0"/>
        <w:ind w:left="1134" w:right="388"/>
        <w:rPr>
          <w:lang w:val="en-IE"/>
        </w:rPr>
      </w:pPr>
      <w:r w:rsidRPr="008A2614">
        <w:rPr>
          <w:lang w:val="en-IE"/>
        </w:rPr>
        <w:t>Project development and structuring (elaborate an action plan for the period of building up the project, lead in the dialogue with the promoter, develop partnerships with other entities providing support and expertise in specific sections of the project, coordinate negotiations with Development Finance Institutions and Export Credit Agencies, etc.)</w:t>
      </w:r>
    </w:p>
    <w:p w14:paraId="2E6E4962" w14:textId="77777777" w:rsidR="00CD1D62" w:rsidRPr="00E409CC" w:rsidRDefault="00CD1D62" w:rsidP="00816803">
      <w:pPr>
        <w:pStyle w:val="Zkladntext"/>
        <w:widowControl w:val="0"/>
        <w:numPr>
          <w:ilvl w:val="0"/>
          <w:numId w:val="22"/>
        </w:numPr>
        <w:autoSpaceDE w:val="0"/>
        <w:autoSpaceDN w:val="0"/>
        <w:spacing w:before="118" w:after="0"/>
        <w:ind w:left="1134" w:right="388"/>
        <w:rPr>
          <w:lang w:val="en-IE"/>
        </w:rPr>
      </w:pPr>
      <w:r w:rsidRPr="004277C8">
        <w:rPr>
          <w:lang w:val="en-IE"/>
        </w:rPr>
        <w:t xml:space="preserve">Preliminary </w:t>
      </w:r>
      <w:r>
        <w:rPr>
          <w:lang w:val="en-IE"/>
        </w:rPr>
        <w:t>d</w:t>
      </w:r>
      <w:r w:rsidRPr="004277C8">
        <w:rPr>
          <w:lang w:val="en-IE"/>
        </w:rPr>
        <w:t xml:space="preserve">esign </w:t>
      </w:r>
      <w:r>
        <w:rPr>
          <w:lang w:val="en-IE"/>
        </w:rPr>
        <w:t>w</w:t>
      </w:r>
      <w:r w:rsidRPr="004277C8">
        <w:rPr>
          <w:lang w:val="en-IE"/>
        </w:rPr>
        <w:t>ork</w:t>
      </w:r>
      <w:r>
        <w:rPr>
          <w:lang w:val="en-IE"/>
        </w:rPr>
        <w:t xml:space="preserve"> (</w:t>
      </w:r>
      <w:r w:rsidRPr="004277C8">
        <w:rPr>
          <w:lang w:val="en-IE"/>
        </w:rPr>
        <w:t>initial design and engineering work to outline project specifications and requirements</w:t>
      </w:r>
      <w:r>
        <w:rPr>
          <w:lang w:val="en-IE"/>
        </w:rPr>
        <w:t>, align project with international standards and local requirements, etc.)</w:t>
      </w:r>
    </w:p>
    <w:p w14:paraId="5801FE08" w14:textId="77777777" w:rsidR="00061871" w:rsidRPr="00CD1D62" w:rsidRDefault="00061871" w:rsidP="00C536CC">
      <w:pPr>
        <w:spacing w:after="120" w:line="240" w:lineRule="atLeast"/>
        <w:rPr>
          <w:lang w:val="en-IE"/>
        </w:rPr>
      </w:pPr>
    </w:p>
    <w:p w14:paraId="5F7B530B" w14:textId="77777777" w:rsidR="0007408E" w:rsidRPr="00C536CC" w:rsidRDefault="0007408E" w:rsidP="00C536CC">
      <w:pPr>
        <w:spacing w:after="120" w:line="240" w:lineRule="atLeast"/>
        <w:rPr>
          <w:b/>
          <w:bCs/>
        </w:rPr>
      </w:pPr>
      <w:r w:rsidRPr="00C536CC">
        <w:rPr>
          <w:b/>
          <w:bCs/>
        </w:rPr>
        <w:t>Location</w:t>
      </w:r>
    </w:p>
    <w:p w14:paraId="192DBA8B" w14:textId="77777777" w:rsidR="005050DE" w:rsidRDefault="005050DE" w:rsidP="005050DE">
      <w:pPr>
        <w:pStyle w:val="Zkladntext"/>
        <w:spacing w:before="121"/>
      </w:pPr>
      <w:bookmarkStart w:id="22" w:name="_Hlk211878472"/>
      <w:r w:rsidRPr="00AA62DF">
        <w:rPr>
          <w:b/>
          <w:bCs/>
        </w:rPr>
        <w:t>For Lots 1, 2, 3, 4</w:t>
      </w:r>
      <w:r w:rsidRPr="00767B8D">
        <w:t xml:space="preserve">, actions must take place in </w:t>
      </w:r>
      <w:r>
        <w:t xml:space="preserve">one </w:t>
      </w:r>
      <w:r w:rsidRPr="00767B8D">
        <w:t>eligible countr</w:t>
      </w:r>
      <w:r>
        <w:t>y</w:t>
      </w:r>
      <w:r w:rsidRPr="00767B8D">
        <w:t xml:space="preserve"> for NDICI-Global Europe. Actions shall be carried out globally, with a focus on DG INTPA partner countries in Sub-Saharan Africa, the Americas and Caribbean, and Asia and the Pacific.</w:t>
      </w:r>
    </w:p>
    <w:bookmarkEnd w:id="22"/>
    <w:p w14:paraId="0A5A2F68" w14:textId="77777777" w:rsidR="005050DE" w:rsidRDefault="005050DE" w:rsidP="005050DE">
      <w:pPr>
        <w:pStyle w:val="Zkladntext"/>
      </w:pPr>
      <w:r w:rsidRPr="006D5902">
        <w:rPr>
          <w:b/>
          <w:bCs/>
        </w:rPr>
        <w:t>For Lot 1:</w:t>
      </w:r>
      <w:r w:rsidRPr="00AA62DF">
        <w:t xml:space="preserve"> </w:t>
      </w:r>
      <w:r>
        <w:t xml:space="preserve"> </w:t>
      </w:r>
      <w:r w:rsidRPr="00AA62DF">
        <w:t xml:space="preserve">Transport </w:t>
      </w:r>
    </w:p>
    <w:p w14:paraId="40D95224" w14:textId="77777777" w:rsidR="005050DE" w:rsidRDefault="005050DE" w:rsidP="005050DE">
      <w:pPr>
        <w:pStyle w:val="Zkladntext"/>
      </w:pPr>
      <w:r w:rsidRPr="00AA62DF">
        <w:t xml:space="preserve">Actions shall be carried out globally, with a minimum share of </w:t>
      </w:r>
      <w:r w:rsidRPr="00143272">
        <w:rPr>
          <w:b/>
          <w:bCs/>
        </w:rPr>
        <w:t>85% of the funds</w:t>
      </w:r>
      <w:r w:rsidRPr="00AA62DF">
        <w:t xml:space="preserve"> implemented in DG INTPA partner countries</w:t>
      </w:r>
      <w:bookmarkStart w:id="23" w:name="_Ref215212472"/>
      <w:r w:rsidRPr="00531B73">
        <w:rPr>
          <w:vertAlign w:val="superscript"/>
        </w:rPr>
        <w:footnoteReference w:id="14"/>
      </w:r>
      <w:bookmarkEnd w:id="23"/>
      <w:r w:rsidRPr="006D5902">
        <w:t xml:space="preserve"> </w:t>
      </w:r>
      <w:r w:rsidRPr="00AA62DF">
        <w:t xml:space="preserve"> of Sub-Saharan Africa, the Americas and Caribbean, and Asia and the Pacific.</w:t>
      </w:r>
    </w:p>
    <w:p w14:paraId="6C31131B" w14:textId="77777777" w:rsidR="0002714A" w:rsidRDefault="0002714A" w:rsidP="005050DE">
      <w:pPr>
        <w:pStyle w:val="Zkladntext"/>
      </w:pPr>
    </w:p>
    <w:p w14:paraId="31B6DF75" w14:textId="77777777" w:rsidR="005050DE" w:rsidRDefault="005050DE" w:rsidP="005050DE">
      <w:pPr>
        <w:pStyle w:val="Zkladntext"/>
      </w:pPr>
      <w:r w:rsidRPr="006D5902">
        <w:rPr>
          <w:b/>
          <w:bCs/>
        </w:rPr>
        <w:lastRenderedPageBreak/>
        <w:t xml:space="preserve">For Lot 2: </w:t>
      </w:r>
      <w:r w:rsidRPr="003F4EFF">
        <w:t xml:space="preserve">Artificial intelligence for green transition </w:t>
      </w:r>
    </w:p>
    <w:p w14:paraId="4FA74DAA" w14:textId="77777777" w:rsidR="005050DE" w:rsidRDefault="005050DE" w:rsidP="005050DE">
      <w:pPr>
        <w:pStyle w:val="Zkladntext"/>
      </w:pPr>
      <w:r w:rsidRPr="003F4EFF">
        <w:t xml:space="preserve">Actions shall be carried out globally, with a minimum share of </w:t>
      </w:r>
      <w:r w:rsidRPr="006D5902">
        <w:rPr>
          <w:b/>
          <w:bCs/>
        </w:rPr>
        <w:t>70% of the funds</w:t>
      </w:r>
      <w:r w:rsidRPr="003F4EFF">
        <w:t xml:space="preserve"> implemented in DG INTPA partner countries</w:t>
      </w:r>
      <w:r w:rsidRPr="008B21E4">
        <w:rPr>
          <w:vertAlign w:val="superscript"/>
        </w:rPr>
        <w:fldChar w:fldCharType="begin"/>
      </w:r>
      <w:r w:rsidRPr="008B21E4">
        <w:rPr>
          <w:vertAlign w:val="superscript"/>
        </w:rPr>
        <w:instrText xml:space="preserve"> NOTEREF _Ref215212472 \h </w:instrText>
      </w:r>
      <w:r>
        <w:rPr>
          <w:vertAlign w:val="superscript"/>
        </w:rPr>
        <w:instrText xml:space="preserve"> \* MERGEFORMAT </w:instrText>
      </w:r>
      <w:r w:rsidRPr="008B21E4">
        <w:rPr>
          <w:vertAlign w:val="superscript"/>
        </w:rPr>
      </w:r>
      <w:r w:rsidRPr="008B21E4">
        <w:rPr>
          <w:vertAlign w:val="superscript"/>
        </w:rPr>
        <w:fldChar w:fldCharType="separate"/>
      </w:r>
      <w:bookmarkStart w:id="24" w:name="_Ref216367242"/>
      <w:r w:rsidR="0002714A">
        <w:rPr>
          <w:rStyle w:val="Znakapoznpodarou"/>
        </w:rPr>
        <w:footnoteReference w:id="15"/>
      </w:r>
      <w:bookmarkEnd w:id="24"/>
      <w:r w:rsidRPr="008B21E4">
        <w:rPr>
          <w:vertAlign w:val="superscript"/>
        </w:rPr>
        <w:fldChar w:fldCharType="end"/>
      </w:r>
      <w:r w:rsidRPr="003F4EFF">
        <w:t xml:space="preserve"> of Sub-Saharan Africa, the Americas and Caribbean, and Asia and the Pacifi</w:t>
      </w:r>
      <w:r>
        <w:t>c</w:t>
      </w:r>
      <w:r w:rsidR="0002714A">
        <w:t>.</w:t>
      </w:r>
    </w:p>
    <w:p w14:paraId="605B5B82" w14:textId="77777777" w:rsidR="005050DE" w:rsidRPr="006D5902" w:rsidRDefault="005050DE" w:rsidP="005050DE">
      <w:pPr>
        <w:pStyle w:val="Zkladntext"/>
      </w:pPr>
      <w:r w:rsidRPr="006D5902">
        <w:rPr>
          <w:b/>
          <w:bCs/>
        </w:rPr>
        <w:t>For Lot 3:</w:t>
      </w:r>
      <w:r w:rsidRPr="006D5902">
        <w:t xml:space="preserve"> Energy</w:t>
      </w:r>
    </w:p>
    <w:p w14:paraId="2BD26185" w14:textId="77777777" w:rsidR="005050DE" w:rsidRPr="006D5902" w:rsidRDefault="005050DE" w:rsidP="005050DE">
      <w:pPr>
        <w:pStyle w:val="Zkladntext"/>
      </w:pPr>
      <w:r w:rsidRPr="006D5902">
        <w:t xml:space="preserve">Actions shall be carried out globally, with a minimum share of </w:t>
      </w:r>
      <w:r w:rsidRPr="006D5902">
        <w:rPr>
          <w:b/>
          <w:bCs/>
        </w:rPr>
        <w:t>70% of the funds</w:t>
      </w:r>
      <w:r w:rsidRPr="006D5902">
        <w:t xml:space="preserve"> implemented in DG INTPA </w:t>
      </w:r>
      <w:r w:rsidRPr="00531B73">
        <w:t>partner countries</w:t>
      </w:r>
      <w:r w:rsidR="005C5B6F" w:rsidRPr="005C5B6F">
        <w:rPr>
          <w:vertAlign w:val="superscript"/>
        </w:rPr>
        <w:fldChar w:fldCharType="begin"/>
      </w:r>
      <w:r w:rsidR="005C5B6F" w:rsidRPr="005C5B6F">
        <w:rPr>
          <w:vertAlign w:val="superscript"/>
        </w:rPr>
        <w:instrText xml:space="preserve"> NOTEREF _Ref216367242 \h </w:instrText>
      </w:r>
      <w:r w:rsidR="005C5B6F" w:rsidRPr="005C5B6F">
        <w:rPr>
          <w:vertAlign w:val="superscript"/>
        </w:rPr>
      </w:r>
      <w:r w:rsidR="005C5B6F" w:rsidRPr="005C5B6F">
        <w:rPr>
          <w:vertAlign w:val="superscript"/>
        </w:rPr>
        <w:instrText xml:space="preserve"> \* MERGEFORMAT </w:instrText>
      </w:r>
      <w:r w:rsidR="005C5B6F" w:rsidRPr="005C5B6F">
        <w:rPr>
          <w:vertAlign w:val="superscript"/>
        </w:rPr>
        <w:fldChar w:fldCharType="separate"/>
      </w:r>
      <w:r w:rsidR="005C5B6F" w:rsidRPr="005C5B6F">
        <w:rPr>
          <w:vertAlign w:val="superscript"/>
        </w:rPr>
        <w:t>14</w:t>
      </w:r>
      <w:r w:rsidR="005C5B6F" w:rsidRPr="005C5B6F">
        <w:rPr>
          <w:vertAlign w:val="superscript"/>
        </w:rPr>
        <w:fldChar w:fldCharType="end"/>
      </w:r>
      <w:r w:rsidRPr="006D5902">
        <w:t xml:space="preserve"> of Sub-Saharan Africa, the Americas and Caribbean, and Asia and the Pacific.</w:t>
      </w:r>
    </w:p>
    <w:p w14:paraId="40F3F63F" w14:textId="77777777" w:rsidR="005050DE" w:rsidRPr="006D5902" w:rsidRDefault="005050DE" w:rsidP="005050DE">
      <w:pPr>
        <w:pStyle w:val="Zkladntext"/>
      </w:pPr>
      <w:r w:rsidRPr="006D5902">
        <w:rPr>
          <w:b/>
          <w:bCs/>
        </w:rPr>
        <w:t>For Lot 4:</w:t>
      </w:r>
      <w:r w:rsidRPr="006D5902">
        <w:t xml:space="preserve"> Urban development</w:t>
      </w:r>
    </w:p>
    <w:p w14:paraId="6A3A9AF0" w14:textId="77777777" w:rsidR="005050DE" w:rsidRPr="006D5902" w:rsidRDefault="005050DE" w:rsidP="005050DE">
      <w:pPr>
        <w:pStyle w:val="Zkladntext"/>
      </w:pPr>
      <w:r w:rsidRPr="006D5902">
        <w:t xml:space="preserve">Actions shall be carried out in DG INTPA </w:t>
      </w:r>
      <w:r w:rsidRPr="00531B73">
        <w:t>partner countries</w:t>
      </w:r>
      <w:r w:rsidR="005C5B6F" w:rsidRPr="005C5B6F">
        <w:rPr>
          <w:vertAlign w:val="superscript"/>
        </w:rPr>
        <w:fldChar w:fldCharType="begin"/>
      </w:r>
      <w:r w:rsidR="005C5B6F" w:rsidRPr="005C5B6F">
        <w:rPr>
          <w:vertAlign w:val="superscript"/>
        </w:rPr>
        <w:instrText xml:space="preserve"> NOTEREF _Ref216367242 \h </w:instrText>
      </w:r>
      <w:r w:rsidR="005C5B6F" w:rsidRPr="005C5B6F">
        <w:rPr>
          <w:vertAlign w:val="superscript"/>
        </w:rPr>
      </w:r>
      <w:r w:rsidR="005C5B6F" w:rsidRPr="005C5B6F">
        <w:rPr>
          <w:vertAlign w:val="superscript"/>
        </w:rPr>
        <w:instrText xml:space="preserve"> \* MERGEFORMAT </w:instrText>
      </w:r>
      <w:r w:rsidR="005C5B6F" w:rsidRPr="005C5B6F">
        <w:rPr>
          <w:vertAlign w:val="superscript"/>
        </w:rPr>
        <w:fldChar w:fldCharType="separate"/>
      </w:r>
      <w:r w:rsidR="005C5B6F" w:rsidRPr="005C5B6F">
        <w:rPr>
          <w:vertAlign w:val="superscript"/>
        </w:rPr>
        <w:t>14</w:t>
      </w:r>
      <w:r w:rsidR="005C5B6F" w:rsidRPr="005C5B6F">
        <w:rPr>
          <w:vertAlign w:val="superscript"/>
        </w:rPr>
        <w:fldChar w:fldCharType="end"/>
      </w:r>
      <w:r w:rsidRPr="006D5902">
        <w:t xml:space="preserve"> of Sub-Saharan Africa, the Americas and Caribbean, and Asia and the Pacific.</w:t>
      </w:r>
    </w:p>
    <w:p w14:paraId="6556D109" w14:textId="77777777" w:rsidR="0002714A" w:rsidRDefault="005050DE" w:rsidP="005050DE">
      <w:pPr>
        <w:pStyle w:val="Zkladntext"/>
        <w:spacing w:before="121"/>
      </w:pPr>
      <w:r w:rsidRPr="00AA62DF">
        <w:rPr>
          <w:b/>
          <w:bCs/>
        </w:rPr>
        <w:t>For Lot 5</w:t>
      </w:r>
      <w:r w:rsidRPr="00CD1F59">
        <w:t>:</w:t>
      </w:r>
      <w:r w:rsidR="0002714A">
        <w:t xml:space="preserve"> </w:t>
      </w:r>
      <w:r w:rsidRPr="00CD1F59">
        <w:t>Railway sector in LAC</w:t>
      </w:r>
    </w:p>
    <w:p w14:paraId="4E9E3D08" w14:textId="77777777" w:rsidR="005050DE" w:rsidRDefault="005050DE" w:rsidP="005050DE">
      <w:pPr>
        <w:pStyle w:val="Zkladntext"/>
        <w:spacing w:before="121"/>
      </w:pPr>
      <w:r>
        <w:t xml:space="preserve">Actions must take place in the following countries: Colombia, Mexico, Costa Rica, Panama, Paraguay, Peru, Guatemala, Chile, Brazil and Uruguay, and be related to </w:t>
      </w:r>
      <w:r w:rsidRPr="006D5902">
        <w:t>the following list of projects:</w:t>
      </w:r>
    </w:p>
    <w:p w14:paraId="279831ED" w14:textId="77777777" w:rsidR="005050DE" w:rsidRPr="006D5902" w:rsidRDefault="005050DE" w:rsidP="005050DE">
      <w:pPr>
        <w:pStyle w:val="Zkladntext"/>
        <w:spacing w:before="121"/>
        <w:rPr>
          <w:b/>
          <w:bCs/>
          <w:i/>
          <w:iCs/>
          <w:lang w:val="it-IT"/>
        </w:rPr>
      </w:pPr>
      <w:r w:rsidRPr="006D5902">
        <w:rPr>
          <w:b/>
          <w:bCs/>
          <w:i/>
          <w:iCs/>
          <w:lang w:val="it-IT"/>
        </w:rPr>
        <w:t>COLOMBIA</w:t>
      </w:r>
    </w:p>
    <w:p w14:paraId="14C018A8" w14:textId="77777777" w:rsidR="005050DE" w:rsidRPr="006D5902" w:rsidRDefault="005050DE" w:rsidP="005050DE">
      <w:pPr>
        <w:pStyle w:val="Zkladntext"/>
        <w:spacing w:before="121"/>
        <w:rPr>
          <w:lang w:val="it-IT"/>
        </w:rPr>
      </w:pPr>
      <w:r w:rsidRPr="006D5902">
        <w:rPr>
          <w:lang w:val="it-IT"/>
        </w:rPr>
        <w:t>• Cali commuter train - Valle del Cauca</w:t>
      </w:r>
    </w:p>
    <w:p w14:paraId="287EAA6B" w14:textId="77777777" w:rsidR="005050DE" w:rsidRPr="006D5902" w:rsidRDefault="005050DE" w:rsidP="005050DE">
      <w:pPr>
        <w:pStyle w:val="Zkladntext"/>
        <w:spacing w:before="121"/>
        <w:rPr>
          <w:lang w:val="es-ES"/>
        </w:rPr>
      </w:pPr>
      <w:r w:rsidRPr="006D5902">
        <w:rPr>
          <w:lang w:val="es-ES"/>
        </w:rPr>
        <w:t>• Bogota L3 Metro</w:t>
      </w:r>
    </w:p>
    <w:p w14:paraId="1E5C85FE" w14:textId="77777777" w:rsidR="005050DE" w:rsidRPr="006D5902" w:rsidRDefault="005050DE" w:rsidP="005050DE">
      <w:pPr>
        <w:pStyle w:val="Zkladntext"/>
        <w:spacing w:before="121"/>
        <w:rPr>
          <w:lang w:val="es-ES"/>
        </w:rPr>
      </w:pPr>
      <w:r w:rsidRPr="006D5902">
        <w:rPr>
          <w:lang w:val="es-ES"/>
        </w:rPr>
        <w:t>• Regiotrain del Norte</w:t>
      </w:r>
    </w:p>
    <w:p w14:paraId="5E8D20D0" w14:textId="77777777" w:rsidR="005050DE" w:rsidRDefault="005050DE" w:rsidP="005050DE">
      <w:pPr>
        <w:pStyle w:val="Zkladntext"/>
        <w:spacing w:before="121"/>
        <w:rPr>
          <w:lang w:val="es-ES"/>
        </w:rPr>
      </w:pPr>
      <w:r w:rsidRPr="006D5902">
        <w:rPr>
          <w:lang w:val="es-ES"/>
        </w:rPr>
        <w:t>• Modernizacion Estacion Puerto Buenaventura Cali</w:t>
      </w:r>
    </w:p>
    <w:p w14:paraId="6730A699" w14:textId="77777777" w:rsidR="005050DE" w:rsidRPr="006D5902" w:rsidRDefault="005050DE" w:rsidP="005050DE">
      <w:pPr>
        <w:pStyle w:val="Zkladntext"/>
        <w:spacing w:before="121"/>
        <w:rPr>
          <w:b/>
          <w:bCs/>
          <w:i/>
          <w:iCs/>
        </w:rPr>
      </w:pPr>
      <w:r w:rsidRPr="006D5902">
        <w:rPr>
          <w:b/>
          <w:bCs/>
          <w:i/>
          <w:iCs/>
        </w:rPr>
        <w:t>MEXICO</w:t>
      </w:r>
    </w:p>
    <w:p w14:paraId="50743005" w14:textId="77777777" w:rsidR="005050DE" w:rsidRPr="006D5902" w:rsidRDefault="005050DE" w:rsidP="005050DE">
      <w:pPr>
        <w:pStyle w:val="Zkladntext"/>
        <w:spacing w:before="121"/>
      </w:pPr>
      <w:r w:rsidRPr="006D5902">
        <w:t>• Metro modernization with CBTC</w:t>
      </w:r>
    </w:p>
    <w:p w14:paraId="14631400" w14:textId="77777777" w:rsidR="005050DE" w:rsidRPr="006D5902" w:rsidRDefault="005050DE" w:rsidP="005050DE">
      <w:pPr>
        <w:pStyle w:val="Zkladntext"/>
        <w:spacing w:before="121"/>
      </w:pPr>
      <w:r w:rsidRPr="006D5902">
        <w:t>• CDMX Tren Ligero system overhauling</w:t>
      </w:r>
    </w:p>
    <w:p w14:paraId="3802F1DB" w14:textId="77777777" w:rsidR="005050DE" w:rsidRPr="006D5902" w:rsidRDefault="005050DE" w:rsidP="005050DE">
      <w:pPr>
        <w:pStyle w:val="Zkladntext"/>
        <w:spacing w:before="121"/>
      </w:pPr>
      <w:r w:rsidRPr="006D5902">
        <w:t>• Freight and Passenger trains (National plan)</w:t>
      </w:r>
    </w:p>
    <w:p w14:paraId="64053EB1" w14:textId="77777777" w:rsidR="005050DE" w:rsidRPr="006D5902" w:rsidRDefault="005050DE" w:rsidP="005050DE">
      <w:pPr>
        <w:pStyle w:val="Zkladntext"/>
        <w:spacing w:before="121"/>
      </w:pPr>
      <w:r w:rsidRPr="006D5902">
        <w:t>• Rolling stock coop with CIIT</w:t>
      </w:r>
    </w:p>
    <w:p w14:paraId="3842E7DD" w14:textId="77777777" w:rsidR="005050DE" w:rsidRPr="006D5902" w:rsidRDefault="005050DE" w:rsidP="005050DE">
      <w:pPr>
        <w:pStyle w:val="Zkladntext"/>
        <w:spacing w:before="121"/>
      </w:pPr>
      <w:r w:rsidRPr="006D5902">
        <w:t>• Develop tech guidelines for passenger’s railway for Mex</w:t>
      </w:r>
    </w:p>
    <w:p w14:paraId="79C5E1C6" w14:textId="77777777" w:rsidR="005050DE" w:rsidRPr="006D5902" w:rsidRDefault="005050DE" w:rsidP="005050DE">
      <w:pPr>
        <w:pStyle w:val="Zkladntext"/>
        <w:spacing w:before="121"/>
        <w:rPr>
          <w:lang w:val="es-ES"/>
        </w:rPr>
      </w:pPr>
      <w:r w:rsidRPr="006D5902">
        <w:rPr>
          <w:lang w:val="es-ES"/>
        </w:rPr>
        <w:t>• Yucatan Multimodal Corridor</w:t>
      </w:r>
    </w:p>
    <w:p w14:paraId="377356A0" w14:textId="77777777" w:rsidR="005050DE" w:rsidRPr="006D5902" w:rsidRDefault="005050DE" w:rsidP="005050DE">
      <w:pPr>
        <w:pStyle w:val="Zkladntext"/>
        <w:spacing w:before="121"/>
        <w:rPr>
          <w:lang w:val="es-ES"/>
        </w:rPr>
      </w:pPr>
      <w:r w:rsidRPr="006D5902">
        <w:rPr>
          <w:lang w:val="es-ES"/>
        </w:rPr>
        <w:t>• Naucalpan-Buenavista Rail project</w:t>
      </w:r>
    </w:p>
    <w:p w14:paraId="5ECF0EF7" w14:textId="77777777" w:rsidR="005050DE" w:rsidRPr="006D5902" w:rsidRDefault="005050DE" w:rsidP="005050DE">
      <w:pPr>
        <w:pStyle w:val="Zkladntext"/>
        <w:spacing w:before="121"/>
        <w:rPr>
          <w:b/>
          <w:bCs/>
          <w:i/>
          <w:iCs/>
          <w:lang w:val="es-ES"/>
        </w:rPr>
      </w:pPr>
      <w:r w:rsidRPr="006D5902">
        <w:rPr>
          <w:b/>
          <w:bCs/>
          <w:i/>
          <w:iCs/>
          <w:lang w:val="es-ES"/>
        </w:rPr>
        <w:t>COSTA RICA</w:t>
      </w:r>
    </w:p>
    <w:p w14:paraId="487E0793" w14:textId="77777777" w:rsidR="005050DE" w:rsidRPr="006D5902" w:rsidRDefault="005050DE" w:rsidP="005050DE">
      <w:pPr>
        <w:pStyle w:val="Zkladntext"/>
        <w:spacing w:before="121"/>
        <w:rPr>
          <w:lang w:val="es-ES"/>
        </w:rPr>
      </w:pPr>
      <w:r w:rsidRPr="006D5902">
        <w:rPr>
          <w:lang w:val="es-ES"/>
        </w:rPr>
        <w:t>• Tren Gran Area Metropolitana</w:t>
      </w:r>
    </w:p>
    <w:p w14:paraId="25F5772F" w14:textId="77777777" w:rsidR="005050DE" w:rsidRPr="006D5902" w:rsidRDefault="005050DE" w:rsidP="005050DE">
      <w:pPr>
        <w:pStyle w:val="Zkladntext"/>
        <w:spacing w:before="121"/>
        <w:rPr>
          <w:b/>
          <w:bCs/>
          <w:i/>
          <w:iCs/>
          <w:lang w:val="es-ES"/>
        </w:rPr>
      </w:pPr>
      <w:r w:rsidRPr="006D5902">
        <w:rPr>
          <w:b/>
          <w:bCs/>
          <w:i/>
          <w:iCs/>
          <w:lang w:val="es-ES"/>
        </w:rPr>
        <w:t>PANAMA</w:t>
      </w:r>
    </w:p>
    <w:p w14:paraId="54EA0550" w14:textId="77777777" w:rsidR="005050DE" w:rsidRPr="006D5902" w:rsidRDefault="005050DE" w:rsidP="005050DE">
      <w:pPr>
        <w:pStyle w:val="Zkladntext"/>
        <w:spacing w:before="121"/>
        <w:rPr>
          <w:lang w:val="es-ES"/>
        </w:rPr>
      </w:pPr>
      <w:r w:rsidRPr="006D5902">
        <w:rPr>
          <w:lang w:val="es-ES"/>
        </w:rPr>
        <w:t>• Tren Panama-Chiriquí</w:t>
      </w:r>
    </w:p>
    <w:p w14:paraId="30DAB397" w14:textId="77777777" w:rsidR="005050DE" w:rsidRPr="006D5902" w:rsidRDefault="005050DE" w:rsidP="005050DE">
      <w:pPr>
        <w:pStyle w:val="Zkladntext"/>
        <w:spacing w:before="121"/>
        <w:rPr>
          <w:lang w:val="es-ES"/>
        </w:rPr>
      </w:pPr>
      <w:r w:rsidRPr="006D5902">
        <w:rPr>
          <w:lang w:val="es-ES"/>
        </w:rPr>
        <w:t>• Metro Line 3</w:t>
      </w:r>
    </w:p>
    <w:p w14:paraId="5128866A" w14:textId="77777777" w:rsidR="005050DE" w:rsidRPr="006D5902" w:rsidRDefault="005050DE" w:rsidP="005050DE">
      <w:pPr>
        <w:pStyle w:val="Zkladntext"/>
        <w:spacing w:before="121"/>
        <w:rPr>
          <w:lang w:val="es-ES"/>
        </w:rPr>
      </w:pPr>
      <w:r w:rsidRPr="006D5902">
        <w:rPr>
          <w:lang w:val="es-ES"/>
        </w:rPr>
        <w:t>• Panama Canal Expansion</w:t>
      </w:r>
    </w:p>
    <w:p w14:paraId="1AB97331" w14:textId="77777777" w:rsidR="005050DE" w:rsidRPr="006D5902" w:rsidRDefault="005050DE" w:rsidP="005050DE">
      <w:pPr>
        <w:pStyle w:val="Zkladntext"/>
        <w:spacing w:before="121"/>
        <w:rPr>
          <w:b/>
          <w:bCs/>
          <w:i/>
          <w:iCs/>
          <w:lang w:val="es-ES"/>
        </w:rPr>
      </w:pPr>
      <w:r w:rsidRPr="006D5902">
        <w:rPr>
          <w:b/>
          <w:bCs/>
          <w:i/>
          <w:iCs/>
          <w:lang w:val="es-ES"/>
        </w:rPr>
        <w:lastRenderedPageBreak/>
        <w:t>PARAGUAY</w:t>
      </w:r>
    </w:p>
    <w:p w14:paraId="5784DABE" w14:textId="77777777" w:rsidR="005050DE" w:rsidRDefault="005050DE" w:rsidP="005050DE">
      <w:pPr>
        <w:pStyle w:val="Zkladntext"/>
        <w:spacing w:before="121"/>
        <w:rPr>
          <w:lang w:val="es-ES"/>
        </w:rPr>
      </w:pPr>
      <w:r w:rsidRPr="006D5902">
        <w:rPr>
          <w:lang w:val="es-ES"/>
        </w:rPr>
        <w:t>• Cercanías Asunción-Ypacaraí</w:t>
      </w:r>
    </w:p>
    <w:p w14:paraId="1EC890DA" w14:textId="77777777" w:rsidR="005050DE" w:rsidRPr="006D5902" w:rsidRDefault="005050DE" w:rsidP="005050DE">
      <w:pPr>
        <w:pStyle w:val="Zkladntext"/>
        <w:spacing w:before="121"/>
        <w:rPr>
          <w:b/>
          <w:bCs/>
          <w:i/>
          <w:iCs/>
          <w:lang w:val="es-ES"/>
        </w:rPr>
      </w:pPr>
      <w:r w:rsidRPr="006D5902">
        <w:rPr>
          <w:b/>
          <w:bCs/>
          <w:i/>
          <w:iCs/>
          <w:lang w:val="es-ES"/>
        </w:rPr>
        <w:t>PERU</w:t>
      </w:r>
    </w:p>
    <w:p w14:paraId="0F69CF45" w14:textId="77777777" w:rsidR="005050DE" w:rsidRPr="006D5902" w:rsidRDefault="005050DE" w:rsidP="005050DE">
      <w:pPr>
        <w:pStyle w:val="Zkladntext"/>
        <w:spacing w:before="121"/>
        <w:rPr>
          <w:lang w:val="es-ES"/>
        </w:rPr>
      </w:pPr>
      <w:r w:rsidRPr="006D5902">
        <w:rPr>
          <w:lang w:val="es-ES"/>
        </w:rPr>
        <w:t>• Lima L3 Metro</w:t>
      </w:r>
    </w:p>
    <w:p w14:paraId="694135E6" w14:textId="77777777" w:rsidR="005050DE" w:rsidRPr="006D5902" w:rsidRDefault="005050DE" w:rsidP="005050DE">
      <w:pPr>
        <w:pStyle w:val="Zkladntext"/>
        <w:spacing w:before="121"/>
        <w:rPr>
          <w:lang w:val="it-IT"/>
        </w:rPr>
      </w:pPr>
      <w:r w:rsidRPr="006D5902">
        <w:rPr>
          <w:lang w:val="it-IT"/>
        </w:rPr>
        <w:t>• Lima L4 Metro</w:t>
      </w:r>
    </w:p>
    <w:p w14:paraId="05BD9C5D" w14:textId="77777777" w:rsidR="005050DE" w:rsidRPr="006D5902" w:rsidRDefault="005050DE" w:rsidP="005050DE">
      <w:pPr>
        <w:pStyle w:val="Zkladntext"/>
        <w:spacing w:before="121"/>
        <w:rPr>
          <w:lang w:val="it-IT"/>
        </w:rPr>
      </w:pPr>
      <w:r w:rsidRPr="006D5902">
        <w:rPr>
          <w:lang w:val="it-IT"/>
        </w:rPr>
        <w:t>• FFCC Lima-Ica</w:t>
      </w:r>
    </w:p>
    <w:p w14:paraId="56244D29" w14:textId="77777777" w:rsidR="005050DE" w:rsidRPr="005050DE" w:rsidRDefault="005050DE" w:rsidP="005050DE">
      <w:pPr>
        <w:pStyle w:val="Zkladntext"/>
        <w:spacing w:before="121"/>
        <w:rPr>
          <w:b/>
          <w:bCs/>
          <w:i/>
          <w:iCs/>
          <w:lang w:val="es-ES"/>
        </w:rPr>
      </w:pPr>
      <w:r w:rsidRPr="005050DE">
        <w:rPr>
          <w:b/>
          <w:bCs/>
          <w:i/>
          <w:iCs/>
          <w:lang w:val="es-ES"/>
        </w:rPr>
        <w:t>BRAZIL</w:t>
      </w:r>
    </w:p>
    <w:p w14:paraId="49B112A2" w14:textId="77777777" w:rsidR="005050DE" w:rsidRPr="006D5902" w:rsidRDefault="005050DE" w:rsidP="005050DE">
      <w:pPr>
        <w:pStyle w:val="Zkladntext"/>
        <w:spacing w:before="121"/>
      </w:pPr>
      <w:r w:rsidRPr="006D5902">
        <w:t>• IFCO-FIOL East West Rail Corridor</w:t>
      </w:r>
    </w:p>
    <w:p w14:paraId="2924AA8B" w14:textId="77777777" w:rsidR="005050DE" w:rsidRPr="006D5902" w:rsidRDefault="005050DE" w:rsidP="005050DE">
      <w:pPr>
        <w:pStyle w:val="Zkladntext"/>
        <w:spacing w:before="121"/>
        <w:rPr>
          <w:lang w:val="es-ES"/>
        </w:rPr>
      </w:pPr>
      <w:r w:rsidRPr="006D5902">
        <w:rPr>
          <w:lang w:val="es-ES"/>
        </w:rPr>
        <w:t>• Intercity Train East Axis Sao Paolo - Sao Jose dos Campos</w:t>
      </w:r>
    </w:p>
    <w:p w14:paraId="7EAF5A3A" w14:textId="77777777" w:rsidR="005050DE" w:rsidRPr="006D5902" w:rsidRDefault="005050DE" w:rsidP="005050DE">
      <w:pPr>
        <w:pStyle w:val="Zkladntext"/>
        <w:spacing w:before="121"/>
        <w:rPr>
          <w:b/>
          <w:bCs/>
          <w:i/>
          <w:iCs/>
          <w:lang w:val="es-ES"/>
        </w:rPr>
      </w:pPr>
      <w:r w:rsidRPr="006D5902">
        <w:rPr>
          <w:b/>
          <w:bCs/>
          <w:i/>
          <w:iCs/>
          <w:lang w:val="es-ES"/>
        </w:rPr>
        <w:t>GUATEMALA</w:t>
      </w:r>
    </w:p>
    <w:p w14:paraId="28256B11" w14:textId="77777777" w:rsidR="005050DE" w:rsidRPr="006D5902" w:rsidRDefault="005050DE" w:rsidP="005050DE">
      <w:pPr>
        <w:pStyle w:val="Zkladntext"/>
        <w:spacing w:before="121"/>
        <w:rPr>
          <w:lang w:val="es-ES"/>
        </w:rPr>
      </w:pPr>
      <w:r w:rsidRPr="006D5902">
        <w:rPr>
          <w:lang w:val="es-ES"/>
        </w:rPr>
        <w:t>• Metro</w:t>
      </w:r>
    </w:p>
    <w:p w14:paraId="3E8938BA" w14:textId="77777777" w:rsidR="005050DE" w:rsidRPr="006D5902" w:rsidRDefault="005050DE" w:rsidP="005050DE">
      <w:pPr>
        <w:pStyle w:val="Zkladntext"/>
        <w:spacing w:before="121"/>
        <w:rPr>
          <w:b/>
          <w:bCs/>
          <w:i/>
          <w:iCs/>
          <w:lang w:val="es-ES"/>
        </w:rPr>
      </w:pPr>
      <w:r w:rsidRPr="006D5902">
        <w:rPr>
          <w:b/>
          <w:bCs/>
          <w:i/>
          <w:iCs/>
          <w:lang w:val="es-ES"/>
        </w:rPr>
        <w:t>CHILE</w:t>
      </w:r>
    </w:p>
    <w:p w14:paraId="31521156" w14:textId="77777777" w:rsidR="005050DE" w:rsidRPr="006D5902" w:rsidRDefault="005050DE" w:rsidP="005050DE">
      <w:pPr>
        <w:pStyle w:val="Zkladntext"/>
        <w:spacing w:before="121"/>
        <w:rPr>
          <w:lang w:val="es-ES"/>
        </w:rPr>
      </w:pPr>
      <w:r w:rsidRPr="006D5902">
        <w:rPr>
          <w:lang w:val="es-ES"/>
        </w:rPr>
        <w:t>• LRT Coquimbo-La Serena</w:t>
      </w:r>
    </w:p>
    <w:p w14:paraId="346FDAF2" w14:textId="77777777" w:rsidR="005050DE" w:rsidRPr="006D5902" w:rsidRDefault="005050DE" w:rsidP="005050DE">
      <w:pPr>
        <w:pStyle w:val="Zkladntext"/>
        <w:spacing w:before="121"/>
        <w:rPr>
          <w:lang w:val="es-ES"/>
        </w:rPr>
      </w:pPr>
      <w:r w:rsidRPr="006D5902">
        <w:rPr>
          <w:lang w:val="es-ES"/>
        </w:rPr>
        <w:t>• LRT Pajaritos-Aeropuerto AMB</w:t>
      </w:r>
    </w:p>
    <w:p w14:paraId="422F536D" w14:textId="77777777" w:rsidR="005050DE" w:rsidRPr="006D5902" w:rsidRDefault="005050DE" w:rsidP="005050DE">
      <w:pPr>
        <w:pStyle w:val="Zkladntext"/>
        <w:spacing w:before="121"/>
        <w:rPr>
          <w:lang w:val="es-ES"/>
        </w:rPr>
      </w:pPr>
      <w:r w:rsidRPr="006D5902">
        <w:rPr>
          <w:lang w:val="es-ES"/>
        </w:rPr>
        <w:t>• Tranvía Viña del Mar - Reñaca</w:t>
      </w:r>
    </w:p>
    <w:p w14:paraId="2CA04A73" w14:textId="77777777" w:rsidR="005050DE" w:rsidRPr="006D5902" w:rsidRDefault="005050DE" w:rsidP="005050DE">
      <w:pPr>
        <w:pStyle w:val="Zkladntext"/>
        <w:spacing w:before="121"/>
        <w:rPr>
          <w:lang w:val="es-ES"/>
        </w:rPr>
      </w:pPr>
      <w:r w:rsidRPr="006D5902">
        <w:rPr>
          <w:lang w:val="es-ES"/>
        </w:rPr>
        <w:t>• Tranvía Anofagasta</w:t>
      </w:r>
    </w:p>
    <w:p w14:paraId="1C54ED0E" w14:textId="77777777" w:rsidR="005050DE" w:rsidRPr="006D5902" w:rsidRDefault="005050DE" w:rsidP="005050DE">
      <w:pPr>
        <w:pStyle w:val="Zkladntext"/>
        <w:spacing w:before="121"/>
        <w:rPr>
          <w:lang w:val="en-IE"/>
        </w:rPr>
      </w:pPr>
      <w:r w:rsidRPr="006D5902">
        <w:rPr>
          <w:lang w:val="en-IE"/>
        </w:rPr>
        <w:t>• Train Saintiago – Valparaiso</w:t>
      </w:r>
    </w:p>
    <w:p w14:paraId="0116EC4F" w14:textId="77777777" w:rsidR="005050DE" w:rsidRPr="006D5902" w:rsidRDefault="005050DE" w:rsidP="005050DE">
      <w:pPr>
        <w:pStyle w:val="Zkladntext"/>
        <w:spacing w:before="121"/>
        <w:rPr>
          <w:lang w:val="en-IE"/>
        </w:rPr>
      </w:pPr>
      <w:r w:rsidRPr="006D5902">
        <w:rPr>
          <w:lang w:val="en-IE"/>
        </w:rPr>
        <w:t xml:space="preserve">• Santiago - Melipilla (TAM) </w:t>
      </w:r>
    </w:p>
    <w:p w14:paraId="67744B58" w14:textId="77777777" w:rsidR="005050DE" w:rsidRPr="006D5902" w:rsidRDefault="005050DE" w:rsidP="005050DE">
      <w:pPr>
        <w:pStyle w:val="Zkladntext"/>
        <w:spacing w:before="121"/>
        <w:rPr>
          <w:lang w:val="en-IE"/>
        </w:rPr>
      </w:pPr>
      <w:r w:rsidRPr="006D5902">
        <w:rPr>
          <w:lang w:val="en-IE"/>
        </w:rPr>
        <w:t>• Quinta Normal - Batuco (TSB)</w:t>
      </w:r>
    </w:p>
    <w:p w14:paraId="737B5518" w14:textId="77777777" w:rsidR="005050DE" w:rsidRPr="006D5902" w:rsidRDefault="005050DE" w:rsidP="005050DE">
      <w:pPr>
        <w:pStyle w:val="Zkladntext"/>
        <w:spacing w:before="121"/>
        <w:rPr>
          <w:b/>
          <w:bCs/>
          <w:i/>
          <w:iCs/>
          <w:lang w:val="en-IE"/>
        </w:rPr>
      </w:pPr>
      <w:r w:rsidRPr="006D5902">
        <w:rPr>
          <w:b/>
          <w:bCs/>
          <w:i/>
          <w:iCs/>
          <w:lang w:val="en-IE"/>
        </w:rPr>
        <w:t>URUGUAY</w:t>
      </w:r>
    </w:p>
    <w:p w14:paraId="5D7C7520" w14:textId="77777777" w:rsidR="005050DE" w:rsidRDefault="005050DE" w:rsidP="005050DE">
      <w:pPr>
        <w:pStyle w:val="Zkladntext"/>
        <w:spacing w:before="121"/>
        <w:rPr>
          <w:lang w:val="en-IE"/>
        </w:rPr>
      </w:pPr>
      <w:r w:rsidRPr="006D5902">
        <w:rPr>
          <w:lang w:val="en-IE"/>
        </w:rPr>
        <w:t>• Electric Tren-Tram Montevideo-Canelones - 25 Agosto</w:t>
      </w:r>
    </w:p>
    <w:p w14:paraId="0AA62CC3" w14:textId="77777777" w:rsidR="005C5B6F" w:rsidRDefault="005C5B6F" w:rsidP="00C536CC">
      <w:pPr>
        <w:spacing w:after="120" w:line="240" w:lineRule="atLeast"/>
        <w:rPr>
          <w:b/>
          <w:bCs/>
          <w:szCs w:val="22"/>
        </w:rPr>
      </w:pPr>
    </w:p>
    <w:p w14:paraId="240FEA0A" w14:textId="77777777" w:rsidR="0007408E" w:rsidRPr="00C536CC" w:rsidRDefault="0007408E" w:rsidP="00C536CC">
      <w:pPr>
        <w:spacing w:after="120" w:line="240" w:lineRule="atLeast"/>
        <w:rPr>
          <w:b/>
          <w:bCs/>
          <w:szCs w:val="22"/>
        </w:rPr>
      </w:pPr>
      <w:r w:rsidRPr="00C536CC">
        <w:rPr>
          <w:b/>
          <w:bCs/>
          <w:szCs w:val="22"/>
        </w:rPr>
        <w:t>Type</w:t>
      </w:r>
      <w:r w:rsidR="0001485A" w:rsidRPr="00C536CC">
        <w:rPr>
          <w:b/>
          <w:bCs/>
          <w:szCs w:val="22"/>
        </w:rPr>
        <w:t>s</w:t>
      </w:r>
      <w:r w:rsidRPr="00C536CC">
        <w:rPr>
          <w:b/>
          <w:bCs/>
          <w:szCs w:val="22"/>
        </w:rPr>
        <w:t xml:space="preserve"> of action</w:t>
      </w:r>
    </w:p>
    <w:p w14:paraId="11925A20" w14:textId="77777777" w:rsidR="005C5B6F" w:rsidRPr="003A6AFE" w:rsidRDefault="005C5B6F" w:rsidP="005C5B6F">
      <w:pPr>
        <w:pStyle w:val="Zkladntext"/>
        <w:spacing w:before="118"/>
        <w:ind w:right="388"/>
      </w:pPr>
      <w:r w:rsidRPr="003A6AFE">
        <w:t>To bring EU know-how that will improve the</w:t>
      </w:r>
      <w:r>
        <w:t xml:space="preserve"> </w:t>
      </w:r>
      <w:r w:rsidRPr="003A6AFE">
        <w:t>quality and bankability of future projects and bear a lasting impact for partner countries</w:t>
      </w:r>
      <w:r>
        <w:t>, and ensure a level playing field for EU companies when necessary</w:t>
      </w:r>
      <w:r w:rsidRPr="003A6AFE">
        <w:t>, actions should:</w:t>
      </w:r>
    </w:p>
    <w:p w14:paraId="369844F5" w14:textId="77777777" w:rsidR="005C5B6F" w:rsidRPr="00DF5DBE" w:rsidRDefault="005C5B6F" w:rsidP="00816803">
      <w:pPr>
        <w:pStyle w:val="Zkladntext"/>
        <w:widowControl w:val="0"/>
        <w:numPr>
          <w:ilvl w:val="0"/>
          <w:numId w:val="23"/>
        </w:numPr>
        <w:autoSpaceDE w:val="0"/>
        <w:autoSpaceDN w:val="0"/>
        <w:spacing w:before="118" w:after="0"/>
        <w:ind w:right="388"/>
      </w:pPr>
      <w:r>
        <w:t>be implemented by an entity(es) as described in section 2.1.1 that has proof of solid knowledge and experience about the particular needs of the chosen local context, possibly with some level of partnership already established with relevant actors in the partner country and Team Europe members;</w:t>
      </w:r>
    </w:p>
    <w:p w14:paraId="0A9A41D9" w14:textId="77777777" w:rsidR="005C5B6F" w:rsidRDefault="005C5B6F" w:rsidP="00816803">
      <w:pPr>
        <w:pStyle w:val="Zkladntext"/>
        <w:widowControl w:val="0"/>
        <w:numPr>
          <w:ilvl w:val="0"/>
          <w:numId w:val="23"/>
        </w:numPr>
        <w:autoSpaceDE w:val="0"/>
        <w:autoSpaceDN w:val="0"/>
        <w:spacing w:before="118" w:after="0"/>
        <w:ind w:right="388"/>
      </w:pPr>
      <w:r w:rsidRPr="00F57106">
        <w:t xml:space="preserve">propose innovative measures whilst building on existing EU </w:t>
      </w:r>
      <w:r>
        <w:t xml:space="preserve">standards, best available technologies (BATs) and </w:t>
      </w:r>
      <w:r w:rsidRPr="00F57106">
        <w:t xml:space="preserve">good practices where relevant. In this context, </w:t>
      </w:r>
      <w:r w:rsidRPr="007138E6">
        <w:t>“innovative” refers to context-relevant and forward-looking measures, methods, or strategies that are new in or significantly improve the sector performances in the specific country or region where the action will take place.</w:t>
      </w:r>
      <w:r>
        <w:t xml:space="preserve"> </w:t>
      </w:r>
      <w:r w:rsidRPr="00F57106">
        <w:t xml:space="preserve">Further information can be found in section on types of activities (see </w:t>
      </w:r>
      <w:r w:rsidRPr="00F57106">
        <w:lastRenderedPageBreak/>
        <w:t>below).</w:t>
      </w:r>
    </w:p>
    <w:p w14:paraId="5ADCE950" w14:textId="77777777" w:rsidR="005C5B6F" w:rsidRPr="003A6AFE" w:rsidRDefault="005C5B6F" w:rsidP="00816803">
      <w:pPr>
        <w:pStyle w:val="Zkladntext"/>
        <w:widowControl w:val="0"/>
        <w:numPr>
          <w:ilvl w:val="0"/>
          <w:numId w:val="23"/>
        </w:numPr>
        <w:autoSpaceDE w:val="0"/>
        <w:autoSpaceDN w:val="0"/>
        <w:spacing w:before="118" w:after="0"/>
        <w:ind w:right="388"/>
      </w:pPr>
      <w:r w:rsidRPr="003A6AFE">
        <w:t>have value for money and ensure sustainability, potential multiplier and transferability effects of the action by:</w:t>
      </w:r>
    </w:p>
    <w:p w14:paraId="67EF86D7" w14:textId="77777777" w:rsidR="005C5B6F" w:rsidRPr="00362681" w:rsidRDefault="005C5B6F" w:rsidP="00816803">
      <w:pPr>
        <w:numPr>
          <w:ilvl w:val="1"/>
          <w:numId w:val="24"/>
        </w:numPr>
        <w:ind w:left="1418"/>
        <w:rPr>
          <w:lang w:val="en-IE"/>
        </w:rPr>
      </w:pPr>
      <w:r w:rsidRPr="50A909C4">
        <w:rPr>
          <w:lang w:val="en-IE"/>
        </w:rPr>
        <w:t>demonstrating that developed activities are aligned to real needs and priorities in the targeted partner country/local context and to EU interests;</w:t>
      </w:r>
    </w:p>
    <w:p w14:paraId="6B14CBB5" w14:textId="77777777" w:rsidR="005C5B6F" w:rsidRDefault="005C5B6F" w:rsidP="00816803">
      <w:pPr>
        <w:numPr>
          <w:ilvl w:val="1"/>
          <w:numId w:val="24"/>
        </w:numPr>
        <w:ind w:left="1418"/>
        <w:rPr>
          <w:lang w:val="en-IE"/>
        </w:rPr>
      </w:pPr>
      <w:r w:rsidRPr="00362681">
        <w:rPr>
          <w:lang w:val="en-IE"/>
        </w:rPr>
        <w:t>having potential to be scaled up (the approach</w:t>
      </w:r>
      <w:r>
        <w:rPr>
          <w:lang w:val="en-IE"/>
        </w:rPr>
        <w:t xml:space="preserve">/strategy leads to mobilise Team Europe stakeholders and financiers, to form alliances with other EU companies, open/multiplies opportunities for EU companies and/or </w:t>
      </w:r>
      <w:r w:rsidRPr="00362681">
        <w:rPr>
          <w:lang w:val="en-IE"/>
        </w:rPr>
        <w:t>is replicable for/in other regional and/or thematic context thereby increasing the number of beneficiaries reached);</w:t>
      </w:r>
    </w:p>
    <w:p w14:paraId="17D7C449" w14:textId="77777777" w:rsidR="005C5B6F" w:rsidRPr="00362681" w:rsidRDefault="005C5B6F" w:rsidP="00816803">
      <w:pPr>
        <w:numPr>
          <w:ilvl w:val="1"/>
          <w:numId w:val="24"/>
        </w:numPr>
        <w:ind w:left="1418"/>
        <w:rPr>
          <w:lang w:val="en-IE"/>
        </w:rPr>
      </w:pPr>
      <w:r w:rsidRPr="00362681">
        <w:rPr>
          <w:lang w:val="en-IE"/>
        </w:rPr>
        <w:t>linking, where possible, to existing national governance structures, policies and budgets</w:t>
      </w:r>
      <w:r>
        <w:rPr>
          <w:lang w:val="en-IE"/>
        </w:rPr>
        <w:t xml:space="preserve"> as well as Team Europe groups</w:t>
      </w:r>
      <w:r w:rsidRPr="00362681">
        <w:rPr>
          <w:lang w:val="en-IE"/>
        </w:rPr>
        <w:t>; and where possible, contribute to reform and change</w:t>
      </w:r>
      <w:r>
        <w:rPr>
          <w:lang w:val="en-IE"/>
        </w:rPr>
        <w:t>;</w:t>
      </w:r>
    </w:p>
    <w:p w14:paraId="4B91DCCA" w14:textId="77777777" w:rsidR="005C5B6F" w:rsidRDefault="005C5B6F" w:rsidP="00816803">
      <w:pPr>
        <w:numPr>
          <w:ilvl w:val="1"/>
          <w:numId w:val="24"/>
        </w:numPr>
        <w:ind w:left="1418"/>
        <w:rPr>
          <w:lang w:val="en-IE"/>
        </w:rPr>
      </w:pPr>
      <w:r w:rsidRPr="00362681">
        <w:rPr>
          <w:lang w:val="en-IE"/>
        </w:rPr>
        <w:t xml:space="preserve">avoiding duplication, and where possible, complement related activities (ongoing or future) taking place at </w:t>
      </w:r>
      <w:r>
        <w:rPr>
          <w:lang w:val="en-IE"/>
        </w:rPr>
        <w:t xml:space="preserve">local, </w:t>
      </w:r>
      <w:r w:rsidRPr="00362681">
        <w:rPr>
          <w:lang w:val="en-IE"/>
        </w:rPr>
        <w:t>regional or national level</w:t>
      </w:r>
      <w:r>
        <w:rPr>
          <w:lang w:val="en-IE"/>
        </w:rPr>
        <w:t>, in particular if executed by Team Europe members;</w:t>
      </w:r>
    </w:p>
    <w:p w14:paraId="35D01B08" w14:textId="77777777" w:rsidR="005C5B6F" w:rsidRPr="00362681" w:rsidRDefault="005C5B6F" w:rsidP="00816803">
      <w:pPr>
        <w:numPr>
          <w:ilvl w:val="1"/>
          <w:numId w:val="24"/>
        </w:numPr>
        <w:ind w:left="1418"/>
        <w:rPr>
          <w:lang w:val="en-IE"/>
        </w:rPr>
      </w:pPr>
      <w:r w:rsidRPr="009722BF">
        <w:rPr>
          <w:lang w:val="en-IE"/>
        </w:rPr>
        <w:t>provid</w:t>
      </w:r>
      <w:r>
        <w:rPr>
          <w:lang w:val="en-IE"/>
        </w:rPr>
        <w:t>ing</w:t>
      </w:r>
      <w:r w:rsidRPr="009722BF">
        <w:rPr>
          <w:lang w:val="en-IE"/>
        </w:rPr>
        <w:t xml:space="preserve"> a breakdown of costs</w:t>
      </w:r>
      <w:r>
        <w:rPr>
          <w:lang w:val="en-IE"/>
        </w:rPr>
        <w:t xml:space="preserve"> and </w:t>
      </w:r>
      <w:r w:rsidRPr="009722BF">
        <w:rPr>
          <w:lang w:val="en-IE"/>
        </w:rPr>
        <w:t>a clear explanation for how each cost element was derived</w:t>
      </w:r>
      <w:r>
        <w:rPr>
          <w:lang w:val="en-IE"/>
        </w:rPr>
        <w:t>.</w:t>
      </w:r>
    </w:p>
    <w:p w14:paraId="0BA9E018" w14:textId="77777777" w:rsidR="005C5B6F" w:rsidRPr="00B81FE4" w:rsidRDefault="005C5B6F" w:rsidP="005C5B6F">
      <w:pPr>
        <w:pStyle w:val="Zkladntext"/>
        <w:spacing w:before="118"/>
        <w:ind w:right="388"/>
        <w:rPr>
          <w:lang w:val="en-IE"/>
        </w:rPr>
      </w:pPr>
      <w:r w:rsidRPr="21D48F6B">
        <w:rPr>
          <w:lang w:val="en-IE"/>
        </w:rPr>
        <w:t xml:space="preserve">The rationale for all the choices made must be </w:t>
      </w:r>
      <w:r w:rsidRPr="00C75559">
        <w:rPr>
          <w:lang w:val="en-IE"/>
        </w:rPr>
        <w:t>set out in the application at concept note step</w:t>
      </w:r>
      <w:r w:rsidRPr="21D48F6B">
        <w:rPr>
          <w:lang w:val="en-IE"/>
        </w:rPr>
        <w:t xml:space="preserve">. The proposals must therefore include a (set of) tangible deliverables to be produced as the final output of the action (reports, knowledge products, </w:t>
      </w:r>
      <w:r>
        <w:rPr>
          <w:lang w:val="en-IE"/>
        </w:rPr>
        <w:t xml:space="preserve">demonstrations, </w:t>
      </w:r>
      <w:r w:rsidRPr="21D48F6B">
        <w:rPr>
          <w:lang w:val="en-IE"/>
        </w:rPr>
        <w:t>etc.) that are suitable for sustained use and transferability.</w:t>
      </w:r>
    </w:p>
    <w:p w14:paraId="0F06B890" w14:textId="77777777" w:rsidR="005C5B6F" w:rsidRDefault="005C5B6F" w:rsidP="005C5B6F">
      <w:pPr>
        <w:pStyle w:val="Zkladntext"/>
        <w:spacing w:before="119" w:line="355" w:lineRule="auto"/>
        <w:ind w:right="4729"/>
      </w:pPr>
      <w:r>
        <w:rPr>
          <w:color w:val="000000"/>
        </w:rPr>
        <w:t>The following types of action are ineligible:</w:t>
      </w:r>
    </w:p>
    <w:p w14:paraId="0FE31680" w14:textId="77777777" w:rsidR="005C5B6F" w:rsidRPr="001F690C" w:rsidRDefault="005C5B6F" w:rsidP="00816803">
      <w:pPr>
        <w:pStyle w:val="Zkladntext"/>
        <w:widowControl w:val="0"/>
        <w:numPr>
          <w:ilvl w:val="0"/>
          <w:numId w:val="22"/>
        </w:numPr>
        <w:autoSpaceDE w:val="0"/>
        <w:autoSpaceDN w:val="0"/>
        <w:spacing w:before="118" w:after="0"/>
        <w:ind w:left="1134" w:right="388"/>
        <w:rPr>
          <w:lang w:val="en-IE"/>
        </w:rPr>
      </w:pPr>
      <w:r>
        <w:t>actions</w:t>
      </w:r>
      <w:r>
        <w:rPr>
          <w:spacing w:val="40"/>
        </w:rPr>
        <w:t xml:space="preserve"> </w:t>
      </w:r>
      <w:r w:rsidRPr="001F690C">
        <w:rPr>
          <w:lang w:val="en-IE"/>
        </w:rPr>
        <w:t>concerned only or mainly with individual sponsorships for participation in workshops, seminars, conferences and congresses;</w:t>
      </w:r>
    </w:p>
    <w:p w14:paraId="15E2EA18" w14:textId="77777777" w:rsidR="005C5B6F" w:rsidRPr="001F690C" w:rsidRDefault="005C5B6F" w:rsidP="00816803">
      <w:pPr>
        <w:pStyle w:val="Zkladntext"/>
        <w:widowControl w:val="0"/>
        <w:numPr>
          <w:ilvl w:val="0"/>
          <w:numId w:val="22"/>
        </w:numPr>
        <w:autoSpaceDE w:val="0"/>
        <w:autoSpaceDN w:val="0"/>
        <w:spacing w:before="118" w:after="0"/>
        <w:ind w:left="1134" w:right="388"/>
        <w:rPr>
          <w:lang w:val="en-IE"/>
        </w:rPr>
      </w:pPr>
      <w:r w:rsidRPr="001F690C">
        <w:rPr>
          <w:lang w:val="en-IE"/>
        </w:rPr>
        <w:t>actions concerned only or mainly with individual scholarships for studies or training courses;</w:t>
      </w:r>
    </w:p>
    <w:p w14:paraId="3D3B5A09" w14:textId="77777777" w:rsidR="005C5B6F" w:rsidRPr="003554B3" w:rsidRDefault="005C5B6F" w:rsidP="00816803">
      <w:pPr>
        <w:pStyle w:val="Zkladntext"/>
        <w:widowControl w:val="0"/>
        <w:numPr>
          <w:ilvl w:val="0"/>
          <w:numId w:val="22"/>
        </w:numPr>
        <w:autoSpaceDE w:val="0"/>
        <w:autoSpaceDN w:val="0"/>
        <w:spacing w:before="118" w:after="0"/>
        <w:ind w:left="1134" w:right="388"/>
        <w:rPr>
          <w:rFonts w:ascii="Symbol" w:hAnsi="Symbol"/>
        </w:rPr>
      </w:pPr>
      <w:r w:rsidRPr="001F690C">
        <w:rPr>
          <w:lang w:val="en-IE"/>
        </w:rPr>
        <w:t>actions and measures that may result in violation of human rights in partner countries or causing significant adverse</w:t>
      </w:r>
      <w:r>
        <w:t xml:space="preserve"> effects on the environment or the climate</w:t>
      </w:r>
      <w:r>
        <w:rPr>
          <w:rStyle w:val="Znakapoznpodarou"/>
        </w:rPr>
        <w:footnoteReference w:id="16"/>
      </w:r>
      <w:r>
        <w:t xml:space="preserve">, </w:t>
      </w:r>
      <w:r w:rsidRPr="00755778">
        <w:t>including lock-in of fossil fuel infrastructure or unsustainable exploitation of natural resources</w:t>
      </w:r>
      <w:r>
        <w:t>;</w:t>
      </w:r>
    </w:p>
    <w:p w14:paraId="28F9D167" w14:textId="77777777" w:rsidR="0007408E" w:rsidRPr="008503BC" w:rsidRDefault="0007408E" w:rsidP="005C5B6F">
      <w:pPr>
        <w:spacing w:after="120" w:line="240" w:lineRule="atLeast"/>
        <w:rPr>
          <w:highlight w:val="yellow"/>
        </w:rPr>
      </w:pPr>
    </w:p>
    <w:p w14:paraId="12E336DC" w14:textId="77777777" w:rsidR="004D7B57" w:rsidRPr="00C536CC" w:rsidRDefault="004D7B57" w:rsidP="00C536CC">
      <w:pPr>
        <w:spacing w:after="120" w:line="240" w:lineRule="atLeast"/>
        <w:rPr>
          <w:b/>
          <w:bCs/>
          <w:szCs w:val="22"/>
        </w:rPr>
      </w:pPr>
      <w:r w:rsidRPr="00C536CC">
        <w:rPr>
          <w:b/>
          <w:bCs/>
          <w:szCs w:val="22"/>
        </w:rPr>
        <w:t>Types of activity</w:t>
      </w:r>
    </w:p>
    <w:p w14:paraId="31BC529D" w14:textId="77777777" w:rsidR="005C5B6F" w:rsidRPr="009A3B0E" w:rsidRDefault="005C5B6F" w:rsidP="005C5B6F">
      <w:pPr>
        <w:pStyle w:val="Zkladntext"/>
        <w:spacing w:before="118"/>
        <w:ind w:right="388"/>
        <w:rPr>
          <w:lang w:val="en-IE"/>
        </w:rPr>
      </w:pPr>
      <w:r w:rsidRPr="009A3B0E">
        <w:rPr>
          <w:lang w:val="en-IE"/>
        </w:rPr>
        <w:t>Potential applicants are invited to present all the activities they deem necessary to address the priorities and</w:t>
      </w:r>
      <w:r>
        <w:rPr>
          <w:lang w:val="en-IE"/>
        </w:rPr>
        <w:t xml:space="preserve"> </w:t>
      </w:r>
      <w:r w:rsidRPr="009A3B0E">
        <w:rPr>
          <w:lang w:val="en-IE"/>
        </w:rPr>
        <w:t xml:space="preserve">expected results under this </w:t>
      </w:r>
      <w:r>
        <w:rPr>
          <w:lang w:val="en-IE"/>
        </w:rPr>
        <w:t>c</w:t>
      </w:r>
      <w:r w:rsidRPr="009A3B0E">
        <w:rPr>
          <w:lang w:val="en-IE"/>
        </w:rPr>
        <w:t xml:space="preserve">all for </w:t>
      </w:r>
      <w:r>
        <w:rPr>
          <w:lang w:val="en-IE"/>
        </w:rPr>
        <w:t>p</w:t>
      </w:r>
      <w:r w:rsidRPr="009A3B0E">
        <w:rPr>
          <w:lang w:val="en-IE"/>
        </w:rPr>
        <w:t xml:space="preserve">roposals. </w:t>
      </w:r>
    </w:p>
    <w:p w14:paraId="20BA2FD2" w14:textId="77777777" w:rsidR="005C5B6F" w:rsidRDefault="005C5B6F" w:rsidP="005C5B6F">
      <w:pPr>
        <w:pStyle w:val="Zkladntext"/>
        <w:spacing w:before="118"/>
        <w:ind w:right="388"/>
      </w:pPr>
      <w:r w:rsidRPr="009A3B0E">
        <w:rPr>
          <w:lang w:val="en-IE"/>
        </w:rPr>
        <w:t xml:space="preserve">The grants will be used to mobilise EU private sector know-how </w:t>
      </w:r>
      <w:r>
        <w:rPr>
          <w:lang w:val="en-IE"/>
        </w:rPr>
        <w:t xml:space="preserve">and technology </w:t>
      </w:r>
      <w:r w:rsidRPr="009A3B0E">
        <w:rPr>
          <w:lang w:val="en-IE"/>
        </w:rPr>
        <w:t xml:space="preserve">to improve the </w:t>
      </w:r>
      <w:r>
        <w:rPr>
          <w:lang w:val="en-IE"/>
        </w:rPr>
        <w:t xml:space="preserve">competitiveness, sustainability, </w:t>
      </w:r>
      <w:r w:rsidRPr="009A3B0E">
        <w:rPr>
          <w:lang w:val="en-IE"/>
        </w:rPr>
        <w:t xml:space="preserve">quality and bankability of </w:t>
      </w:r>
      <w:r>
        <w:rPr>
          <w:lang w:val="en-IE"/>
        </w:rPr>
        <w:t xml:space="preserve">future </w:t>
      </w:r>
      <w:r w:rsidRPr="009A3B0E">
        <w:rPr>
          <w:lang w:val="en-IE"/>
        </w:rPr>
        <w:t>projects through</w:t>
      </w:r>
      <w:r w:rsidRPr="001F6561">
        <w:t xml:space="preserve"> (</w:t>
      </w:r>
      <w:r w:rsidRPr="00562399">
        <w:rPr>
          <w:u w:val="single"/>
        </w:rPr>
        <w:t>indicatively and non-exhaustively</w:t>
      </w:r>
      <w:r w:rsidRPr="001F6561">
        <w:t>)</w:t>
      </w:r>
      <w:r>
        <w:t>:</w:t>
      </w:r>
    </w:p>
    <w:p w14:paraId="21C95C83" w14:textId="77777777" w:rsidR="005C5B6F" w:rsidRPr="001F6561" w:rsidRDefault="005C5B6F" w:rsidP="00816803">
      <w:pPr>
        <w:pStyle w:val="Odstavecseseznamem"/>
        <w:widowControl w:val="0"/>
        <w:numPr>
          <w:ilvl w:val="0"/>
          <w:numId w:val="25"/>
        </w:numPr>
        <w:tabs>
          <w:tab w:val="left" w:pos="933"/>
        </w:tabs>
        <w:autoSpaceDE w:val="0"/>
        <w:autoSpaceDN w:val="0"/>
        <w:spacing w:before="119" w:after="0"/>
        <w:ind w:right="392"/>
      </w:pPr>
      <w:r>
        <w:t>P</w:t>
      </w:r>
      <w:r w:rsidRPr="001F6561">
        <w:t>re-investment activities such as</w:t>
      </w:r>
      <w:r>
        <w:rPr>
          <w:lang w:val="en-IE"/>
        </w:rPr>
        <w:t xml:space="preserve"> conception, </w:t>
      </w:r>
      <w:r w:rsidRPr="001F6561">
        <w:t xml:space="preserve">stocktaking, scoping, </w:t>
      </w:r>
      <w:r>
        <w:t xml:space="preserve">sectoral </w:t>
      </w:r>
      <w:r w:rsidRPr="001F6561">
        <w:t xml:space="preserve">pre-identification, </w:t>
      </w:r>
      <w:r>
        <w:rPr>
          <w:lang w:val="en-IE"/>
        </w:rPr>
        <w:t xml:space="preserve">prototyping design, </w:t>
      </w:r>
      <w:r w:rsidRPr="001F6561">
        <w:t xml:space="preserve">pre-feasibility or light feasibility studies, technical assistance, light engineering, safeguards, </w:t>
      </w:r>
      <w:r w:rsidRPr="00C00F49">
        <w:rPr>
          <w:lang w:val="en-IE"/>
        </w:rPr>
        <w:t xml:space="preserve">recommendation on necessary regulatory reforms, </w:t>
      </w:r>
      <w:r>
        <w:rPr>
          <w:lang w:val="en-IE"/>
        </w:rPr>
        <w:t xml:space="preserve">training plans, master plans, </w:t>
      </w:r>
      <w:r w:rsidRPr="00CB5142">
        <w:t xml:space="preserve">support to </w:t>
      </w:r>
      <w:r>
        <w:t xml:space="preserve">missions, </w:t>
      </w:r>
      <w:r w:rsidRPr="00CB5142">
        <w:t>conferences, seminars, business forums, etc.</w:t>
      </w:r>
      <w:r>
        <w:rPr>
          <w:lang w:val="en-IE"/>
        </w:rPr>
        <w:t xml:space="preserve"> </w:t>
      </w:r>
      <w:r w:rsidRPr="001F6561">
        <w:t xml:space="preserve">and any other studies </w:t>
      </w:r>
      <w:r>
        <w:t xml:space="preserve">or activities </w:t>
      </w:r>
      <w:r w:rsidRPr="001F6561">
        <w:t>that lead to the definition and implementation of projects of interest for EU companies in partner countries.</w:t>
      </w:r>
    </w:p>
    <w:p w14:paraId="44EEE388" w14:textId="77777777" w:rsidR="005C5B6F" w:rsidRPr="001017C2" w:rsidRDefault="005C5B6F" w:rsidP="00816803">
      <w:pPr>
        <w:pStyle w:val="Odstavecseseznamem"/>
        <w:widowControl w:val="0"/>
        <w:numPr>
          <w:ilvl w:val="0"/>
          <w:numId w:val="25"/>
        </w:numPr>
        <w:tabs>
          <w:tab w:val="left" w:pos="933"/>
        </w:tabs>
        <w:autoSpaceDE w:val="0"/>
        <w:autoSpaceDN w:val="0"/>
        <w:spacing w:before="119" w:after="240"/>
        <w:ind w:right="392"/>
        <w:rPr>
          <w:u w:val="single"/>
        </w:rPr>
      </w:pPr>
      <w:r w:rsidRPr="001F6561">
        <w:lastRenderedPageBreak/>
        <w:t>Demonstration projects (pilots) to test EU business models</w:t>
      </w:r>
      <w:r>
        <w:t>, technologies</w:t>
      </w:r>
      <w:r w:rsidRPr="001F6561">
        <w:t xml:space="preserve"> and concepts that could attract additional investors or increase their confidence before committing into bigger investments.</w:t>
      </w:r>
    </w:p>
    <w:p w14:paraId="1B9BBF5C" w14:textId="77777777" w:rsidR="005C5B6F" w:rsidRPr="00362681" w:rsidRDefault="005C5B6F" w:rsidP="005C5B6F">
      <w:pPr>
        <w:pStyle w:val="Zkladntext"/>
        <w:spacing w:before="118"/>
        <w:ind w:right="388"/>
        <w:rPr>
          <w:lang w:val="en-IE"/>
        </w:rPr>
      </w:pPr>
      <w:r w:rsidRPr="00362681">
        <w:rPr>
          <w:lang w:val="en-IE"/>
        </w:rPr>
        <w:t>In terms of monitoring</w:t>
      </w:r>
      <w:r>
        <w:rPr>
          <w:lang w:val="en-IE"/>
        </w:rPr>
        <w:t>,</w:t>
      </w:r>
      <w:r w:rsidRPr="00362681">
        <w:rPr>
          <w:lang w:val="en-IE"/>
        </w:rPr>
        <w:t xml:space="preserve"> the Contracting Authority</w:t>
      </w:r>
      <w:r>
        <w:rPr>
          <w:lang w:val="en-IE"/>
        </w:rPr>
        <w:t xml:space="preserve"> </w:t>
      </w:r>
      <w:r w:rsidRPr="00362681">
        <w:rPr>
          <w:lang w:val="en-IE"/>
        </w:rPr>
        <w:t>will monitor the projects on a regular basis. Therefore, beneficiaries will have to transmit qualitative and quantitative monitoring data on the results of the activities in yearly reports.</w:t>
      </w:r>
    </w:p>
    <w:p w14:paraId="4108F5ED" w14:textId="77777777" w:rsidR="005C5B6F" w:rsidRDefault="005C5B6F" w:rsidP="005C5B6F">
      <w:pPr>
        <w:pStyle w:val="Zkladntext"/>
        <w:spacing w:before="118"/>
        <w:ind w:right="388"/>
        <w:rPr>
          <w:lang w:val="en-IE"/>
        </w:rPr>
      </w:pPr>
      <w:r w:rsidRPr="00362681">
        <w:rPr>
          <w:lang w:val="en-IE"/>
        </w:rPr>
        <w:t>At final reporting stage, the awarded applicants will be required to provide details about the results produced, including report material, copies of the information, research,</w:t>
      </w:r>
      <w:r>
        <w:rPr>
          <w:lang w:val="en-IE"/>
        </w:rPr>
        <w:t xml:space="preserve"> </w:t>
      </w:r>
      <w:r w:rsidRPr="00362681">
        <w:rPr>
          <w:lang w:val="en-IE"/>
        </w:rPr>
        <w:t>best practices and findings</w:t>
      </w:r>
      <w:r>
        <w:rPr>
          <w:lang w:val="en-IE"/>
        </w:rPr>
        <w:t>, etc. as well as information on</w:t>
      </w:r>
      <w:r w:rsidRPr="00362681">
        <w:rPr>
          <w:lang w:val="en-IE"/>
        </w:rPr>
        <w:t xml:space="preserve"> how interested parties have been involved in the project.</w:t>
      </w:r>
    </w:p>
    <w:p w14:paraId="0FCF6635" w14:textId="77777777" w:rsidR="005C5B6F" w:rsidRPr="0055327C" w:rsidRDefault="005C5B6F" w:rsidP="005C5B6F">
      <w:pPr>
        <w:pStyle w:val="Zkladntext"/>
        <w:spacing w:before="118"/>
        <w:ind w:right="388"/>
        <w:rPr>
          <w:lang w:val="en-IE"/>
        </w:rPr>
      </w:pPr>
      <w:r w:rsidRPr="00362681">
        <w:rPr>
          <w:lang w:val="en-IE"/>
        </w:rPr>
        <w:t>In setting up the action, beneficiaries must foresee the necessary funding for monitoring and reporting to the Contracting Authority.</w:t>
      </w:r>
    </w:p>
    <w:p w14:paraId="2290C251" w14:textId="77777777" w:rsidR="0023018A" w:rsidRPr="00C536CC" w:rsidRDefault="00266BD4" w:rsidP="00C536CC">
      <w:pPr>
        <w:spacing w:after="120" w:line="240" w:lineRule="atLeast"/>
        <w:rPr>
          <w:b/>
          <w:bCs/>
          <w:szCs w:val="22"/>
        </w:rPr>
      </w:pPr>
      <w:r w:rsidRPr="00C536CC">
        <w:rPr>
          <w:b/>
          <w:bCs/>
          <w:szCs w:val="22"/>
        </w:rPr>
        <w:t>Financial support to third parties</w:t>
      </w:r>
      <w:r w:rsidR="0023018A" w:rsidRPr="00C536CC">
        <w:rPr>
          <w:b/>
          <w:bCs/>
          <w:szCs w:val="22"/>
        </w:rPr>
        <w:t xml:space="preserve"> </w:t>
      </w:r>
    </w:p>
    <w:p w14:paraId="267B66B5" w14:textId="77777777" w:rsidR="007E1BE2" w:rsidRPr="00807DAF" w:rsidRDefault="003F04E9" w:rsidP="00C536CC">
      <w:pPr>
        <w:spacing w:after="120" w:line="240" w:lineRule="atLeast"/>
      </w:pPr>
      <w:r>
        <w:t>A</w:t>
      </w:r>
      <w:r w:rsidR="001D0C7B" w:rsidRPr="008503BC">
        <w:t>pplicant</w:t>
      </w:r>
      <w:r>
        <w:t>s</w:t>
      </w:r>
      <w:r w:rsidR="00C70BDE" w:rsidRPr="003970CB">
        <w:t xml:space="preserve"> </w:t>
      </w:r>
      <w:r w:rsidR="007E1BE2" w:rsidRPr="008503BC">
        <w:t>may not</w:t>
      </w:r>
      <w:r w:rsidR="005C5B6F">
        <w:t xml:space="preserve"> </w:t>
      </w:r>
      <w:r w:rsidR="0023018A" w:rsidRPr="008503BC">
        <w:t xml:space="preserve">propose </w:t>
      </w:r>
      <w:r w:rsidR="007E1BE2" w:rsidRPr="008503BC">
        <w:t xml:space="preserve">financial support to third </w:t>
      </w:r>
      <w:r w:rsidR="00107C6D" w:rsidRPr="008503BC">
        <w:t>parties</w:t>
      </w:r>
      <w:r w:rsidR="003477DE" w:rsidRPr="008503BC">
        <w:t>.</w:t>
      </w:r>
    </w:p>
    <w:p w14:paraId="671FF9F4" w14:textId="77777777" w:rsidR="00107C6D" w:rsidRPr="00C536CC" w:rsidRDefault="00107C6D" w:rsidP="00C536CC">
      <w:pPr>
        <w:pStyle w:val="Normal-box"/>
        <w:pBdr>
          <w:top w:val="none" w:sz="0" w:space="0" w:color="auto"/>
          <w:left w:val="none" w:sz="0" w:space="0" w:color="auto"/>
          <w:bottom w:val="none" w:sz="0" w:space="0" w:color="auto"/>
          <w:right w:val="none" w:sz="0" w:space="0" w:color="auto"/>
        </w:pBdr>
        <w:rPr>
          <w:b/>
          <w:lang w:val="en-IE"/>
        </w:rPr>
      </w:pPr>
      <w:r w:rsidRPr="00C536CC">
        <w:rPr>
          <w:b/>
          <w:lang w:val="en-IE"/>
        </w:rPr>
        <w:t>Visibility</w:t>
      </w:r>
    </w:p>
    <w:p w14:paraId="50C4FB6D" w14:textId="77777777" w:rsidR="005C5B6F" w:rsidRDefault="005C5B6F" w:rsidP="005C5B6F">
      <w:pPr>
        <w:pStyle w:val="Zkladntext"/>
        <w:spacing w:before="117"/>
        <w:ind w:right="396"/>
      </w:pPr>
      <w:r>
        <w:t>The applicants must take all necessary steps to ensure the visibility of the European Union as the funder or co-funder of the action, through the correct and prominent display of the EU emblem and relevant funding statement.</w:t>
      </w:r>
      <w:r>
        <w:rPr>
          <w:spacing w:val="40"/>
        </w:rPr>
        <w:t xml:space="preserve"> </w:t>
      </w:r>
      <w:r>
        <w:t>Unless</w:t>
      </w:r>
      <w:r>
        <w:rPr>
          <w:spacing w:val="-2"/>
        </w:rPr>
        <w:t xml:space="preserve"> </w:t>
      </w:r>
      <w:r>
        <w:t>the European Commission</w:t>
      </w:r>
      <w:r>
        <w:rPr>
          <w:spacing w:val="-2"/>
        </w:rPr>
        <w:t xml:space="preserve"> </w:t>
      </w:r>
      <w:r>
        <w:t>agrees otherwise, actions</w:t>
      </w:r>
      <w:r>
        <w:rPr>
          <w:spacing w:val="-2"/>
        </w:rPr>
        <w:t xml:space="preserve"> </w:t>
      </w:r>
      <w:r>
        <w:t>that are wholly or partially funded by the European Union must ensure the visibility of EU financing by displaying the EU emblem in accordance with the guidelines set out in the Operational guidelines for recipients of EU funding, published by the European Commission.</w:t>
      </w:r>
    </w:p>
    <w:p w14:paraId="2FEE731E" w14:textId="77777777" w:rsidR="005C5B6F" w:rsidRDefault="005C5B6F" w:rsidP="005C5B6F">
      <w:pPr>
        <w:pStyle w:val="Zkladntext"/>
        <w:spacing w:before="112" w:line="242" w:lineRule="auto"/>
        <w:ind w:right="387"/>
      </w:pPr>
      <w:r>
        <w:t>All measures and activities relating to visibility and, if applicable, communication, must comply with the latest Communication and Visibility Requirements for EU-funded external action, laid down and published by the European Commission</w:t>
      </w:r>
      <w:r>
        <w:rPr>
          <w:spacing w:val="40"/>
        </w:rPr>
        <w:t xml:space="preserve"> </w:t>
      </w:r>
      <w:hyperlink r:id="rId24">
        <w:r>
          <w:rPr>
            <w:color w:val="0000FF"/>
            <w:u w:val="single" w:color="0000FF"/>
          </w:rPr>
          <w:t>Communication and Visibility Requirements for EU External Actions |</w:t>
        </w:r>
      </w:hyperlink>
      <w:r>
        <w:rPr>
          <w:color w:val="0000FF"/>
        </w:rPr>
        <w:t xml:space="preserve"> </w:t>
      </w:r>
      <w:hyperlink r:id="rId25">
        <w:r>
          <w:rPr>
            <w:color w:val="0000FF"/>
            <w:u w:val="single" w:color="0000FF"/>
          </w:rPr>
          <w:t>International Partnerships (europa.eu)</w:t>
        </w:r>
        <w:r>
          <w:t>.</w:t>
        </w:r>
      </w:hyperlink>
    </w:p>
    <w:p w14:paraId="69C31CAA" w14:textId="77777777" w:rsidR="00F73020" w:rsidRPr="005C5B6F" w:rsidRDefault="005C5B6F" w:rsidP="005C5B6F">
      <w:pPr>
        <w:pStyle w:val="Zkladntext"/>
        <w:spacing w:before="111"/>
        <w:ind w:right="387"/>
      </w:pPr>
      <w:r>
        <w:t>Derogation from contractual visibility obligations is permitted in exceptional situations, which may be required in the framework of this action due to security issues for the staff and beneficiaries, local political sensitivities, when this is in the interest of the beneficiary or the contracting authority. In such cases,</w:t>
      </w:r>
      <w:r>
        <w:rPr>
          <w:spacing w:val="40"/>
        </w:rPr>
        <w:t xml:space="preserve"> </w:t>
      </w:r>
      <w:r>
        <w:t>visibility tools, products, and channels to be used in promoting a given action will be determined on a case- by-case basis, in consultation and agreement with the EU prior to limiting EU visibility. Requests for derogation from contractual visibility obligations should be included in Annex A.2 – Full application form and negotiated as part of the Special Conditions of the contract.</w:t>
      </w:r>
    </w:p>
    <w:p w14:paraId="7D2F8CA2" w14:textId="77777777" w:rsidR="0007408E" w:rsidRPr="00C536CC" w:rsidRDefault="0007408E" w:rsidP="00C536CC">
      <w:pPr>
        <w:spacing w:after="120" w:line="240" w:lineRule="atLeast"/>
        <w:rPr>
          <w:b/>
          <w:bCs/>
        </w:rPr>
      </w:pPr>
      <w:r w:rsidRPr="00C536CC">
        <w:rPr>
          <w:b/>
          <w:bCs/>
        </w:rPr>
        <w:t xml:space="preserve">Number of </w:t>
      </w:r>
      <w:r w:rsidR="006459C5" w:rsidRPr="00C536CC">
        <w:rPr>
          <w:b/>
          <w:bCs/>
        </w:rPr>
        <w:t>application</w:t>
      </w:r>
      <w:r w:rsidRPr="00C536CC">
        <w:rPr>
          <w:b/>
          <w:bCs/>
        </w:rPr>
        <w:t>s and grants per applicant</w:t>
      </w:r>
      <w:r w:rsidR="00FA2479" w:rsidRPr="00C536CC">
        <w:rPr>
          <w:b/>
          <w:bCs/>
        </w:rPr>
        <w:t>s</w:t>
      </w:r>
      <w:r w:rsidR="00646638" w:rsidRPr="00C536CC">
        <w:rPr>
          <w:b/>
          <w:bCs/>
        </w:rPr>
        <w:t xml:space="preserve"> / affiliated entities</w:t>
      </w:r>
    </w:p>
    <w:p w14:paraId="24330BC1" w14:textId="77777777" w:rsidR="005C5B6F" w:rsidRPr="0079530C" w:rsidRDefault="005C5B6F" w:rsidP="005C5B6F">
      <w:pPr>
        <w:pStyle w:val="Zkladntext"/>
        <w:spacing w:before="111"/>
        <w:ind w:right="387"/>
      </w:pPr>
      <w:r w:rsidRPr="0079530C">
        <w:t>The</w:t>
      </w:r>
      <w:r w:rsidRPr="005C5B6F">
        <w:t xml:space="preserve"> </w:t>
      </w:r>
      <w:r w:rsidRPr="0079530C">
        <w:t>lead</w:t>
      </w:r>
      <w:r w:rsidRPr="005C5B6F">
        <w:t xml:space="preserve"> </w:t>
      </w:r>
      <w:r w:rsidRPr="0079530C">
        <w:t>applicant</w:t>
      </w:r>
      <w:r w:rsidRPr="005C5B6F">
        <w:t xml:space="preserve"> </w:t>
      </w:r>
      <w:r w:rsidRPr="0079530C">
        <w:t>may</w:t>
      </w:r>
      <w:r w:rsidRPr="005C5B6F">
        <w:t xml:space="preserve"> </w:t>
      </w:r>
      <w:r w:rsidRPr="0079530C">
        <w:t>not</w:t>
      </w:r>
      <w:r w:rsidRPr="005C5B6F">
        <w:t xml:space="preserve"> </w:t>
      </w:r>
      <w:r w:rsidRPr="0079530C">
        <w:t>submit</w:t>
      </w:r>
      <w:r w:rsidRPr="005C5B6F">
        <w:t xml:space="preserve"> </w:t>
      </w:r>
      <w:r w:rsidRPr="0079530C">
        <w:t>more</w:t>
      </w:r>
      <w:r w:rsidRPr="005C5B6F">
        <w:t xml:space="preserve"> </w:t>
      </w:r>
      <w:r w:rsidRPr="0079530C">
        <w:t>than</w:t>
      </w:r>
      <w:r w:rsidRPr="005C5B6F">
        <w:t xml:space="preserve"> 2 applications per lot (proposals targeting different projects) under this call for proposals.</w:t>
      </w:r>
    </w:p>
    <w:p w14:paraId="5556A9FA" w14:textId="77777777" w:rsidR="005C5B6F" w:rsidRPr="0079530C" w:rsidRDefault="005C5B6F" w:rsidP="005C5B6F">
      <w:pPr>
        <w:pStyle w:val="Zkladntext"/>
        <w:spacing w:before="111"/>
        <w:ind w:right="387"/>
      </w:pPr>
      <w:r w:rsidRPr="0079530C">
        <w:t>The</w:t>
      </w:r>
      <w:r w:rsidRPr="005C5B6F">
        <w:t xml:space="preserve"> </w:t>
      </w:r>
      <w:r w:rsidRPr="0079530C">
        <w:t>lead</w:t>
      </w:r>
      <w:r w:rsidRPr="005C5B6F">
        <w:t xml:space="preserve"> </w:t>
      </w:r>
      <w:r w:rsidRPr="0079530C">
        <w:t>applicant</w:t>
      </w:r>
      <w:r w:rsidRPr="005C5B6F">
        <w:t xml:space="preserve"> </w:t>
      </w:r>
      <w:r w:rsidRPr="0079530C">
        <w:t>may not be</w:t>
      </w:r>
      <w:r w:rsidRPr="005C5B6F">
        <w:t xml:space="preserve"> </w:t>
      </w:r>
      <w:r w:rsidRPr="0079530C">
        <w:t>awarded</w:t>
      </w:r>
      <w:r w:rsidRPr="005C5B6F">
        <w:t xml:space="preserve"> </w:t>
      </w:r>
      <w:r w:rsidRPr="0079530C">
        <w:t>more</w:t>
      </w:r>
      <w:r w:rsidRPr="005C5B6F">
        <w:t xml:space="preserve"> </w:t>
      </w:r>
      <w:r w:rsidRPr="0079530C">
        <w:t>than</w:t>
      </w:r>
      <w:r w:rsidRPr="005C5B6F">
        <w:t xml:space="preserve"> 1 grant per lot and 3 grants in total under this call for proposals.</w:t>
      </w:r>
    </w:p>
    <w:p w14:paraId="78C3C4DE" w14:textId="77777777" w:rsidR="005C5B6F" w:rsidRPr="0079530C" w:rsidRDefault="005C5B6F" w:rsidP="005C5B6F">
      <w:pPr>
        <w:pStyle w:val="Zkladntext"/>
        <w:spacing w:before="111"/>
        <w:ind w:right="387"/>
      </w:pPr>
      <w:r w:rsidRPr="0079530C">
        <w:t>The</w:t>
      </w:r>
      <w:r w:rsidRPr="005C5B6F">
        <w:t xml:space="preserve"> </w:t>
      </w:r>
      <w:r w:rsidRPr="0079530C">
        <w:t>lead</w:t>
      </w:r>
      <w:r w:rsidRPr="005C5B6F">
        <w:t xml:space="preserve"> </w:t>
      </w:r>
      <w:r w:rsidRPr="0079530C">
        <w:t>applicant</w:t>
      </w:r>
      <w:r w:rsidRPr="005C5B6F">
        <w:t xml:space="preserve"> </w:t>
      </w:r>
      <w:r w:rsidRPr="0079530C">
        <w:t>may</w:t>
      </w:r>
      <w:r w:rsidRPr="005C5B6F">
        <w:t xml:space="preserve"> </w:t>
      </w:r>
      <w:r w:rsidRPr="0079530C">
        <w:t>be</w:t>
      </w:r>
      <w:r w:rsidRPr="005C5B6F">
        <w:t xml:space="preserve"> </w:t>
      </w:r>
      <w:r w:rsidRPr="0079530C">
        <w:t>a</w:t>
      </w:r>
      <w:r w:rsidRPr="005C5B6F">
        <w:t xml:space="preserve"> </w:t>
      </w:r>
      <w:r w:rsidRPr="0079530C">
        <w:t>co-applicant</w:t>
      </w:r>
      <w:r w:rsidRPr="005C5B6F">
        <w:t xml:space="preserve"> </w:t>
      </w:r>
      <w:r w:rsidRPr="0079530C">
        <w:t>or</w:t>
      </w:r>
      <w:r w:rsidRPr="005C5B6F">
        <w:t xml:space="preserve"> </w:t>
      </w:r>
      <w:r w:rsidRPr="0079530C">
        <w:t>an</w:t>
      </w:r>
      <w:r w:rsidRPr="005C5B6F">
        <w:t xml:space="preserve"> </w:t>
      </w:r>
      <w:r w:rsidRPr="0079530C">
        <w:t>affiliated</w:t>
      </w:r>
      <w:r w:rsidRPr="005C5B6F">
        <w:t xml:space="preserve"> </w:t>
      </w:r>
      <w:r w:rsidRPr="0079530C">
        <w:t>entity</w:t>
      </w:r>
      <w:r w:rsidRPr="005C5B6F">
        <w:t xml:space="preserve"> </w:t>
      </w:r>
      <w:r w:rsidRPr="0079530C">
        <w:t>in</w:t>
      </w:r>
      <w:r w:rsidRPr="005C5B6F">
        <w:t xml:space="preserve"> </w:t>
      </w:r>
      <w:r w:rsidRPr="0079530C">
        <w:t>other</w:t>
      </w:r>
      <w:r w:rsidRPr="005C5B6F">
        <w:t xml:space="preserve"> </w:t>
      </w:r>
      <w:r w:rsidRPr="0079530C">
        <w:t>applications</w:t>
      </w:r>
      <w:r w:rsidRPr="005C5B6F">
        <w:t xml:space="preserve"> </w:t>
      </w:r>
      <w:r w:rsidRPr="0079530C">
        <w:t>at the same time.</w:t>
      </w:r>
    </w:p>
    <w:p w14:paraId="09646BD1" w14:textId="77777777" w:rsidR="005C5B6F" w:rsidRPr="0079530C" w:rsidRDefault="005C5B6F" w:rsidP="005C5B6F">
      <w:pPr>
        <w:pStyle w:val="Zkladntext"/>
        <w:spacing w:before="111"/>
        <w:ind w:right="387"/>
      </w:pPr>
      <w:r w:rsidRPr="0079530C">
        <w:t>A</w:t>
      </w:r>
      <w:r w:rsidRPr="005C5B6F">
        <w:t xml:space="preserve"> </w:t>
      </w:r>
      <w:r w:rsidRPr="0079530C">
        <w:t>co-applicant/affiliated entity</w:t>
      </w:r>
      <w:r w:rsidRPr="005C5B6F">
        <w:t xml:space="preserve"> </w:t>
      </w:r>
      <w:r w:rsidRPr="0079530C">
        <w:t>may</w:t>
      </w:r>
      <w:r w:rsidRPr="005C5B6F">
        <w:t xml:space="preserve"> </w:t>
      </w:r>
      <w:r w:rsidRPr="0079530C">
        <w:t>not</w:t>
      </w:r>
      <w:r w:rsidRPr="005C5B6F">
        <w:t xml:space="preserve"> </w:t>
      </w:r>
      <w:r w:rsidRPr="0079530C">
        <w:t>be</w:t>
      </w:r>
      <w:r w:rsidRPr="005C5B6F">
        <w:t xml:space="preserve"> </w:t>
      </w:r>
      <w:r w:rsidRPr="0079530C">
        <w:t>the</w:t>
      </w:r>
      <w:r w:rsidRPr="005C5B6F">
        <w:t xml:space="preserve"> </w:t>
      </w:r>
      <w:r w:rsidRPr="0079530C">
        <w:t>co-applicant</w:t>
      </w:r>
      <w:r w:rsidRPr="005C5B6F">
        <w:t xml:space="preserve"> </w:t>
      </w:r>
      <w:r w:rsidRPr="0079530C">
        <w:t>or</w:t>
      </w:r>
      <w:r w:rsidRPr="005C5B6F">
        <w:t xml:space="preserve"> </w:t>
      </w:r>
      <w:r w:rsidRPr="0079530C">
        <w:t>affiliated</w:t>
      </w:r>
      <w:r w:rsidRPr="005C5B6F">
        <w:t xml:space="preserve"> </w:t>
      </w:r>
      <w:r w:rsidRPr="0079530C">
        <w:t>entity in</w:t>
      </w:r>
      <w:r w:rsidRPr="005C5B6F">
        <w:t xml:space="preserve"> </w:t>
      </w:r>
      <w:r w:rsidRPr="0079530C">
        <w:t>more than</w:t>
      </w:r>
      <w:r w:rsidRPr="005C5B6F">
        <w:t xml:space="preserve"> 2 applications per lot under this call for proposals.</w:t>
      </w:r>
    </w:p>
    <w:p w14:paraId="6C88EB71" w14:textId="77777777" w:rsidR="005C5B6F" w:rsidRDefault="005C5B6F" w:rsidP="005C5B6F">
      <w:pPr>
        <w:pStyle w:val="Zkladntext"/>
        <w:spacing w:before="111"/>
        <w:ind w:right="387"/>
      </w:pPr>
      <w:r w:rsidRPr="0079530C">
        <w:t xml:space="preserve">A co-applicant/affiliated entity may be awarded more than </w:t>
      </w:r>
      <w:r w:rsidRPr="005C5B6F">
        <w:t>1 grant per lot, but not more than 3 grants in total under this call for proposals.</w:t>
      </w:r>
    </w:p>
    <w:p w14:paraId="5BBD48EF" w14:textId="77777777" w:rsidR="00E94DBE" w:rsidRPr="00F91AE3" w:rsidRDefault="00E94DBE" w:rsidP="00E94DBE">
      <w:pPr>
        <w:spacing w:after="120" w:line="240" w:lineRule="atLeast"/>
        <w:rPr>
          <w:b/>
          <w:bCs/>
          <w:szCs w:val="22"/>
        </w:rPr>
      </w:pPr>
      <w:r w:rsidRPr="00F91AE3">
        <w:rPr>
          <w:b/>
          <w:bCs/>
          <w:szCs w:val="22"/>
        </w:rPr>
        <w:t>Form of the grant</w:t>
      </w:r>
    </w:p>
    <w:p w14:paraId="07A3CE79" w14:textId="77777777" w:rsidR="00E94DBE" w:rsidRDefault="00E94DBE" w:rsidP="00E94DBE">
      <w:pPr>
        <w:spacing w:after="120" w:line="240" w:lineRule="atLeast"/>
      </w:pPr>
      <w:r>
        <w:t xml:space="preserve">The grants awarded under this call for proposals take </w:t>
      </w:r>
      <w:r w:rsidRPr="00807DAF">
        <w:t>the following form:</w:t>
      </w:r>
    </w:p>
    <w:p w14:paraId="32349CAC" w14:textId="77777777" w:rsidR="007E0C0E" w:rsidRDefault="007E0C0E" w:rsidP="007E0C0E">
      <w:pPr>
        <w:pStyle w:val="Zkladntext"/>
        <w:spacing w:before="122"/>
        <w:ind w:right="185"/>
      </w:pPr>
      <w:r>
        <w:lastRenderedPageBreak/>
        <w:t>Reimbursement</w:t>
      </w:r>
      <w:r w:rsidRPr="00000E88">
        <w:rPr>
          <w:spacing w:val="-5"/>
        </w:rPr>
        <w:t xml:space="preserve"> </w:t>
      </w:r>
      <w:r>
        <w:t>of</w:t>
      </w:r>
      <w:r w:rsidRPr="00000E88">
        <w:rPr>
          <w:spacing w:val="-3"/>
        </w:rPr>
        <w:t xml:space="preserve"> </w:t>
      </w:r>
      <w:r>
        <w:t>eligible</w:t>
      </w:r>
      <w:r w:rsidRPr="00000E88">
        <w:rPr>
          <w:spacing w:val="-5"/>
        </w:rPr>
        <w:t xml:space="preserve"> </w:t>
      </w:r>
      <w:r>
        <w:t>costs</w:t>
      </w:r>
      <w:r w:rsidRPr="00000E88">
        <w:rPr>
          <w:spacing w:val="-3"/>
        </w:rPr>
        <w:t xml:space="preserve"> </w:t>
      </w:r>
      <w:r>
        <w:t xml:space="preserve">that shall be based on one or more simplified cost options, </w:t>
      </w:r>
      <w:r>
        <w:rPr>
          <w:spacing w:val="-2"/>
        </w:rPr>
        <w:t>as per Section 2.1.4</w:t>
      </w:r>
      <w:r w:rsidRPr="00000E88">
        <w:rPr>
          <w:spacing w:val="-2"/>
        </w:rPr>
        <w:t>:</w:t>
      </w:r>
    </w:p>
    <w:p w14:paraId="276B4C7A" w14:textId="77777777" w:rsidR="0007408E" w:rsidRDefault="0007408E" w:rsidP="00816803">
      <w:pPr>
        <w:pStyle w:val="Guidelines3"/>
        <w:numPr>
          <w:ilvl w:val="2"/>
          <w:numId w:val="8"/>
        </w:numPr>
      </w:pPr>
      <w:bookmarkStart w:id="25" w:name="_Toc216688228"/>
      <w:r w:rsidRPr="00807DAF">
        <w:t>Eligibility of costs</w:t>
      </w:r>
      <w:r w:rsidR="008F73EA">
        <w:t xml:space="preserve"> a</w:t>
      </w:r>
      <w:r w:rsidR="008F73EA" w:rsidRPr="00C536CC">
        <w:t xml:space="preserve">nd </w:t>
      </w:r>
      <w:r w:rsidR="009C56AF">
        <w:t>eligibility of results/conditions</w:t>
      </w:r>
      <w:bookmarkEnd w:id="25"/>
      <w:r w:rsidR="00A575A2" w:rsidRPr="00807DAF">
        <w:t xml:space="preserve"> </w:t>
      </w:r>
    </w:p>
    <w:p w14:paraId="5A619D90" w14:textId="77777777" w:rsidR="007E0C0E" w:rsidRDefault="007E0C0E" w:rsidP="007E0C0E">
      <w:pPr>
        <w:pStyle w:val="Zkladntext"/>
        <w:spacing w:before="139"/>
        <w:rPr>
          <w:b/>
        </w:rPr>
      </w:pPr>
      <w:r w:rsidRPr="002A7523">
        <w:rPr>
          <w:b/>
          <w:bCs/>
        </w:rPr>
        <w:t>Reimbursement</w:t>
      </w:r>
      <w:r w:rsidRPr="002A7523">
        <w:rPr>
          <w:b/>
          <w:bCs/>
          <w:spacing w:val="-4"/>
        </w:rPr>
        <w:t xml:space="preserve"> </w:t>
      </w:r>
      <w:r w:rsidRPr="002A7523">
        <w:rPr>
          <w:b/>
          <w:bCs/>
        </w:rPr>
        <w:t>of</w:t>
      </w:r>
      <w:r w:rsidRPr="002A7523">
        <w:rPr>
          <w:b/>
          <w:bCs/>
          <w:spacing w:val="-5"/>
        </w:rPr>
        <w:t xml:space="preserve"> </w:t>
      </w:r>
      <w:r w:rsidRPr="002A7523">
        <w:rPr>
          <w:b/>
          <w:bCs/>
          <w:spacing w:val="-2"/>
        </w:rPr>
        <w:t>costs</w:t>
      </w:r>
    </w:p>
    <w:p w14:paraId="6DE694D2" w14:textId="77777777" w:rsidR="007E0C0E" w:rsidRDefault="007E0C0E" w:rsidP="007E0C0E">
      <w:pPr>
        <w:pStyle w:val="Zkladntext"/>
        <w:spacing w:before="118"/>
        <w:ind w:right="395"/>
      </w:pPr>
      <w:r>
        <w:t>Where the grant takes the form of reimbursement of costs (entirely or partially), only ‘eligible costs’ can be covered by a grant. The categories of costs that are eligible and non-eligible are indicated below. The budget is both a cost estimate and an overall ceiling for ‘eligible costs’.</w:t>
      </w:r>
    </w:p>
    <w:p w14:paraId="41E831A1" w14:textId="77777777" w:rsidR="007E0C0E" w:rsidRDefault="007E0C0E" w:rsidP="007E0C0E">
      <w:pPr>
        <w:pStyle w:val="Zkladntext"/>
        <w:spacing w:before="118"/>
        <w:ind w:right="395"/>
      </w:pPr>
      <w:r w:rsidRPr="007E6448">
        <w:t xml:space="preserve">Eligible costs </w:t>
      </w:r>
      <w:r w:rsidRPr="00642C6E">
        <w:t>are</w:t>
      </w:r>
      <w:r w:rsidRPr="007E6448">
        <w:t xml:space="preserve"> reimbursed as simplified cost options.</w:t>
      </w:r>
      <w:r>
        <w:t xml:space="preserve"> The grant shall take the form of a single lump-sum covering the entire eligible costs of the activities.</w:t>
      </w:r>
    </w:p>
    <w:p w14:paraId="03C4B25A" w14:textId="77777777" w:rsidR="007E0C0E" w:rsidRDefault="007E0C0E" w:rsidP="007E0C0E">
      <w:pPr>
        <w:pStyle w:val="Zkladntext"/>
        <w:spacing w:before="120"/>
        <w:ind w:right="389"/>
      </w:pPr>
      <w:r>
        <w:t>Single lump sums shall be determined in accordance with the methodology set out in the lump sum authorising decision</w:t>
      </w:r>
      <w:r>
        <w:rPr>
          <w:rStyle w:val="Znakapoznpodarou"/>
        </w:rPr>
        <w:footnoteReference w:id="17"/>
      </w:r>
      <w:r>
        <w:t xml:space="preserve"> and on the basis of the estimated budget, which should comply with the principles of economy, efficiency and effectiveness. The detailed cost estimation per work package and per beneficiary and affiliated entity (if any) shall include only costs that would be considered eligible in an actual costs grant. Ineligible costs shall not be included. Compliance with these principles shall be verified ex ante at the time of evaluation of the grant application.</w:t>
      </w:r>
    </w:p>
    <w:p w14:paraId="2BFAD766" w14:textId="77777777" w:rsidR="007E0C0E" w:rsidRDefault="007E0C0E" w:rsidP="007E0C0E">
      <w:pPr>
        <w:pStyle w:val="Zkladntext"/>
        <w:spacing w:before="120"/>
        <w:ind w:right="389"/>
      </w:pPr>
      <w:r>
        <w:t>The methods used by the beneficiary(ies) to determine the amounts shall be clearly described and substantiated in the budget and shall ensure compliance with the principle of co-financing and no double funding. Only costs that are directly linked to the action implementation and can therefore be attributed to it are eligible and can be included. They must not include any indirect costs (e.g. via cost drivers), ineligible costs or costs already declared under another costs item or heading of the budget of this contract.</w:t>
      </w:r>
    </w:p>
    <w:p w14:paraId="51264071" w14:textId="77777777" w:rsidR="007E0C0E" w:rsidRDefault="007E0C0E" w:rsidP="007E0C0E">
      <w:pPr>
        <w:pStyle w:val="Zkladntext"/>
        <w:spacing w:before="120"/>
        <w:ind w:right="389"/>
      </w:pPr>
      <w:r w:rsidRPr="00967BCC">
        <w:rPr>
          <w:lang w:val="en-IE"/>
        </w:rPr>
        <w:t xml:space="preserve">In cases where a grant request includes justification for covering up to 100% of the total eligible costs, beneficiaries must provide </w:t>
      </w:r>
      <w:r w:rsidRPr="00484A30">
        <w:t>detailed reasoning and supporting documentation within their proposals for consideration by the contracting authority. This justification should illustrate the need for full financing while aligning with the overall objectives of the action</w:t>
      </w:r>
      <w:r w:rsidRPr="00984CE3">
        <w:rPr>
          <w:lang w:val="en-IE"/>
        </w:rPr>
        <w:t>.</w:t>
      </w:r>
    </w:p>
    <w:p w14:paraId="43830777" w14:textId="77777777" w:rsidR="007E0C0E" w:rsidRDefault="007E0C0E" w:rsidP="007E0C0E">
      <w:pPr>
        <w:pStyle w:val="Zkladntext"/>
        <w:spacing w:before="120"/>
        <w:ind w:right="389"/>
      </w:pPr>
      <w:r>
        <w:t xml:space="preserve">Additionally in Annex B, in </w:t>
      </w:r>
      <w:r w:rsidRPr="007E6448">
        <w:t xml:space="preserve">the second </w:t>
      </w:r>
      <w:r w:rsidRPr="00642C6E">
        <w:t>column of worksheet no.1b, ‘Justification of the</w:t>
      </w:r>
      <w:r w:rsidRPr="007E6448">
        <w:t xml:space="preserve"> estimated</w:t>
      </w:r>
      <w:r>
        <w:t xml:space="preserve"> costs’ per each of the corresponding budget item or heading, applicants must describe the information and methods used to establish the amounts of lump sums, to which costs they refer.</w:t>
      </w:r>
    </w:p>
    <w:p w14:paraId="14C246F6" w14:textId="77777777" w:rsidR="007E0C0E" w:rsidRDefault="007E0C0E" w:rsidP="007E0C0E">
      <w:pPr>
        <w:pStyle w:val="Zkladntext"/>
        <w:spacing w:before="120"/>
        <w:ind w:right="389"/>
      </w:pPr>
      <w:r>
        <w:t xml:space="preserve">The evaluation committee and the contracting authority decide whether to accept the proposed amounts on the basis of the provisional budget submitted by the applicants, by analysing factual data of grants carried out by the applicants or of similar actions. </w:t>
      </w:r>
    </w:p>
    <w:p w14:paraId="7C28FFF7" w14:textId="77777777" w:rsidR="007E0C0E" w:rsidRPr="00C72842" w:rsidRDefault="007E0C0E" w:rsidP="007E0C0E">
      <w:pPr>
        <w:pStyle w:val="Zkladntext"/>
        <w:spacing w:before="120"/>
        <w:ind w:right="389"/>
        <w:rPr>
          <w:b/>
          <w:bCs/>
        </w:rPr>
      </w:pPr>
      <w:r>
        <w:t xml:space="preserve">Single lump sum action shall take the form of activity-based single lump sum. When using this form of financing, the description of the action shall </w:t>
      </w:r>
      <w:r w:rsidRPr="007E6448">
        <w:t xml:space="preserve">include detailed information on the essential conditions </w:t>
      </w:r>
      <w:r w:rsidRPr="00F223A5">
        <w:t xml:space="preserve">triggering the payment, that shall be the completion of activities. Applicants have to divide their work programme into work packages in the description of the action and, if suitable, they can split working packages along the boundaries of reporting periods to allow activities to be reimbursed at </w:t>
      </w:r>
      <w:r>
        <w:t>interim payments</w:t>
      </w:r>
      <w:r w:rsidRPr="00F223A5">
        <w:t>.</w:t>
      </w:r>
      <w:r>
        <w:t xml:space="preserve"> Under this call for proposals</w:t>
      </w:r>
      <w:r w:rsidRPr="00021835">
        <w:t>, each proposal shall contain</w:t>
      </w:r>
      <w:r w:rsidRPr="00021835">
        <w:rPr>
          <w:b/>
          <w:bCs/>
        </w:rPr>
        <w:t xml:space="preserve"> </w:t>
      </w:r>
      <w:r>
        <w:rPr>
          <w:b/>
          <w:bCs/>
        </w:rPr>
        <w:t>a minimum of 2 and a maximum of 6</w:t>
      </w:r>
      <w:r w:rsidRPr="00021835">
        <w:rPr>
          <w:b/>
          <w:bCs/>
        </w:rPr>
        <w:t xml:space="preserve"> work </w:t>
      </w:r>
      <w:r w:rsidRPr="00C72842">
        <w:rPr>
          <w:b/>
          <w:bCs/>
        </w:rPr>
        <w:t>packages</w:t>
      </w:r>
      <w:r>
        <w:rPr>
          <w:b/>
          <w:bCs/>
        </w:rPr>
        <w:t>.</w:t>
      </w:r>
    </w:p>
    <w:p w14:paraId="4BF09433" w14:textId="77777777" w:rsidR="007E0C0E" w:rsidRDefault="007E0C0E" w:rsidP="007E0C0E">
      <w:pPr>
        <w:pStyle w:val="Zkladntext"/>
        <w:spacing w:before="123"/>
      </w:pPr>
      <w:r>
        <w:rPr>
          <w:u w:val="single"/>
        </w:rPr>
        <w:t>Eligible</w:t>
      </w:r>
      <w:r>
        <w:rPr>
          <w:spacing w:val="-5"/>
          <w:u w:val="single"/>
        </w:rPr>
        <w:t xml:space="preserve"> </w:t>
      </w:r>
      <w:r>
        <w:rPr>
          <w:u w:val="single"/>
        </w:rPr>
        <w:t>direct</w:t>
      </w:r>
      <w:r>
        <w:rPr>
          <w:spacing w:val="-5"/>
          <w:u w:val="single"/>
        </w:rPr>
        <w:t xml:space="preserve"> </w:t>
      </w:r>
      <w:r>
        <w:rPr>
          <w:spacing w:val="-2"/>
          <w:u w:val="single"/>
        </w:rPr>
        <w:t>costs</w:t>
      </w:r>
    </w:p>
    <w:p w14:paraId="677250E6" w14:textId="77777777" w:rsidR="007E0C0E" w:rsidRDefault="007E0C0E" w:rsidP="007E0C0E">
      <w:pPr>
        <w:pStyle w:val="Zkladntext"/>
        <w:spacing w:before="117"/>
        <w:ind w:right="389"/>
      </w:pPr>
      <w:r>
        <w:t>To be eligible under this call for proposals, costs must comply with the provisions of Article 14 of the</w:t>
      </w:r>
      <w:r>
        <w:rPr>
          <w:spacing w:val="40"/>
        </w:rPr>
        <w:t xml:space="preserve"> </w:t>
      </w:r>
      <w:r>
        <w:t>general conditions to the standard grant contract (see Annex G of the guidelines).</w:t>
      </w:r>
    </w:p>
    <w:p w14:paraId="279688BC" w14:textId="77777777" w:rsidR="007E0C0E" w:rsidRDefault="007E0C0E" w:rsidP="007E0C0E">
      <w:pPr>
        <w:pStyle w:val="Zkladntext"/>
        <w:spacing w:before="117"/>
        <w:ind w:right="389"/>
      </w:pPr>
      <w:r w:rsidRPr="003F386A">
        <w:lastRenderedPageBreak/>
        <w:t>Salary costs of the personnel of national administrations may be eligible to the extent that they relate to the cost of activities which the relevant public authority would not carry out if the action were not undertaken</w:t>
      </w:r>
    </w:p>
    <w:p w14:paraId="55084D77" w14:textId="77777777" w:rsidR="007E0C0E" w:rsidRDefault="007E0C0E" w:rsidP="007E0C0E">
      <w:pPr>
        <w:pStyle w:val="Zkladntext"/>
        <w:spacing w:before="116"/>
        <w:ind w:right="400"/>
      </w:pPr>
      <w:r>
        <w:t>Recommendations to award a grant are always subject to the condition that the checks preceding the signing of the grant contract do not reveal problems requiring changes to the budget (such as arithmetical errors, inaccuracies, unrealistic costs and</w:t>
      </w:r>
      <w:r>
        <w:rPr>
          <w:spacing w:val="-1"/>
        </w:rPr>
        <w:t xml:space="preserve"> </w:t>
      </w:r>
      <w:r>
        <w:t>ineligible costs). The checks</w:t>
      </w:r>
      <w:r>
        <w:rPr>
          <w:spacing w:val="-1"/>
        </w:rPr>
        <w:t xml:space="preserve"> </w:t>
      </w:r>
      <w:r>
        <w:t xml:space="preserve">may give rise to requests for clarification and may lead the contracting authority to impose modifications or reductions to address such mistakes or inaccuracies. It is not possible to increase the grant or the percentage of EU co-financing as a result of these </w:t>
      </w:r>
      <w:r>
        <w:rPr>
          <w:spacing w:val="-2"/>
        </w:rPr>
        <w:t>corrections.</w:t>
      </w:r>
    </w:p>
    <w:p w14:paraId="3A90BEC6" w14:textId="77777777" w:rsidR="007E0C0E" w:rsidRDefault="007E0C0E" w:rsidP="00CB2541">
      <w:pPr>
        <w:spacing w:after="0" w:line="352" w:lineRule="auto"/>
        <w:ind w:right="424"/>
      </w:pPr>
      <w:r>
        <w:t>It</w:t>
      </w:r>
      <w:r>
        <w:rPr>
          <w:spacing w:val="-1"/>
        </w:rPr>
        <w:t xml:space="preserve"> </w:t>
      </w:r>
      <w:r>
        <w:t>is</w:t>
      </w:r>
      <w:r>
        <w:rPr>
          <w:spacing w:val="-4"/>
        </w:rPr>
        <w:t xml:space="preserve"> </w:t>
      </w:r>
      <w:r>
        <w:t>therefore</w:t>
      </w:r>
      <w:r>
        <w:rPr>
          <w:spacing w:val="-4"/>
        </w:rPr>
        <w:t xml:space="preserve"> </w:t>
      </w:r>
      <w:r>
        <w:t>in</w:t>
      </w:r>
      <w:r>
        <w:rPr>
          <w:spacing w:val="-5"/>
        </w:rPr>
        <w:t xml:space="preserve"> </w:t>
      </w:r>
      <w:r>
        <w:t>the</w:t>
      </w:r>
      <w:r>
        <w:rPr>
          <w:spacing w:val="-2"/>
        </w:rPr>
        <w:t xml:space="preserve"> </w:t>
      </w:r>
      <w:r>
        <w:t>applicants'</w:t>
      </w:r>
      <w:r>
        <w:rPr>
          <w:spacing w:val="-3"/>
        </w:rPr>
        <w:t xml:space="preserve"> </w:t>
      </w:r>
      <w:r>
        <w:t>interest</w:t>
      </w:r>
      <w:r>
        <w:rPr>
          <w:spacing w:val="-1"/>
        </w:rPr>
        <w:t xml:space="preserve"> </w:t>
      </w:r>
      <w:r>
        <w:t>to</w:t>
      </w:r>
      <w:r>
        <w:rPr>
          <w:spacing w:val="-2"/>
        </w:rPr>
        <w:t xml:space="preserve"> </w:t>
      </w:r>
      <w:r>
        <w:t>provide</w:t>
      </w:r>
      <w:r>
        <w:rPr>
          <w:spacing w:val="-2"/>
        </w:rPr>
        <w:t xml:space="preserve"> </w:t>
      </w:r>
      <w:r>
        <w:t xml:space="preserve">a </w:t>
      </w:r>
      <w:r>
        <w:rPr>
          <w:b/>
        </w:rPr>
        <w:t>realistic</w:t>
      </w:r>
      <w:r>
        <w:rPr>
          <w:b/>
          <w:spacing w:val="-2"/>
        </w:rPr>
        <w:t xml:space="preserve"> </w:t>
      </w:r>
      <w:r>
        <w:rPr>
          <w:b/>
        </w:rPr>
        <w:t>and</w:t>
      </w:r>
      <w:r>
        <w:rPr>
          <w:b/>
          <w:spacing w:val="-5"/>
        </w:rPr>
        <w:t xml:space="preserve"> </w:t>
      </w:r>
      <w:r>
        <w:rPr>
          <w:b/>
        </w:rPr>
        <w:t>cost-effective</w:t>
      </w:r>
      <w:r>
        <w:rPr>
          <w:b/>
          <w:spacing w:val="-2"/>
        </w:rPr>
        <w:t xml:space="preserve"> b</w:t>
      </w:r>
      <w:r>
        <w:rPr>
          <w:b/>
        </w:rPr>
        <w:t>udget</w:t>
      </w:r>
      <w:r>
        <w:t xml:space="preserve">. </w:t>
      </w:r>
    </w:p>
    <w:p w14:paraId="5DF38506" w14:textId="77777777" w:rsidR="007E0C0E" w:rsidRPr="00CB2541" w:rsidRDefault="007E0C0E" w:rsidP="00CB2541">
      <w:pPr>
        <w:pStyle w:val="Zkladntext"/>
        <w:spacing w:before="123"/>
        <w:rPr>
          <w:u w:val="single"/>
        </w:rPr>
      </w:pPr>
      <w:r>
        <w:rPr>
          <w:u w:val="single"/>
        </w:rPr>
        <w:t>Contingency reserve</w:t>
      </w:r>
    </w:p>
    <w:p w14:paraId="624321E0" w14:textId="77777777" w:rsidR="007E0C0E" w:rsidRDefault="007E0C0E" w:rsidP="007E0C0E">
      <w:pPr>
        <w:pStyle w:val="Zkladntext"/>
        <w:ind w:right="392"/>
      </w:pPr>
      <w:r>
        <w:t>The</w:t>
      </w:r>
      <w:r>
        <w:rPr>
          <w:spacing w:val="-12"/>
        </w:rPr>
        <w:t xml:space="preserve"> </w:t>
      </w:r>
      <w:r>
        <w:t>budget</w:t>
      </w:r>
      <w:r>
        <w:rPr>
          <w:spacing w:val="-1"/>
        </w:rPr>
        <w:t xml:space="preserve"> </w:t>
      </w:r>
      <w:r>
        <w:t>may</w:t>
      </w:r>
      <w:r>
        <w:rPr>
          <w:spacing w:val="-2"/>
        </w:rPr>
        <w:t xml:space="preserve"> </w:t>
      </w:r>
      <w:r>
        <w:t>include</w:t>
      </w:r>
      <w:r>
        <w:rPr>
          <w:spacing w:val="-2"/>
        </w:rPr>
        <w:t xml:space="preserve"> </w:t>
      </w:r>
      <w:r>
        <w:t>a contingency reserve not exceeding 5</w:t>
      </w:r>
      <w:r>
        <w:rPr>
          <w:spacing w:val="-14"/>
        </w:rPr>
        <w:t xml:space="preserve"> </w:t>
      </w:r>
      <w:r>
        <w:t>% of the estimated</w:t>
      </w:r>
      <w:r>
        <w:rPr>
          <w:spacing w:val="-1"/>
        </w:rPr>
        <w:t xml:space="preserve"> </w:t>
      </w:r>
      <w:r>
        <w:t>direct</w:t>
      </w:r>
      <w:r>
        <w:rPr>
          <w:spacing w:val="-1"/>
        </w:rPr>
        <w:t xml:space="preserve"> </w:t>
      </w:r>
      <w:r>
        <w:t>eligible</w:t>
      </w:r>
      <w:r>
        <w:rPr>
          <w:spacing w:val="-2"/>
        </w:rPr>
        <w:t xml:space="preserve"> </w:t>
      </w:r>
      <w:r>
        <w:t xml:space="preserve">costs. It can only be used with the </w:t>
      </w:r>
      <w:r>
        <w:rPr>
          <w:b/>
        </w:rPr>
        <w:t xml:space="preserve">prior written authorisation </w:t>
      </w:r>
      <w:r>
        <w:t>of the contracting authority.</w:t>
      </w:r>
    </w:p>
    <w:p w14:paraId="44778164" w14:textId="77777777" w:rsidR="007E0C0E" w:rsidRDefault="007E0C0E" w:rsidP="007E0C0E">
      <w:pPr>
        <w:pStyle w:val="Zkladntext"/>
        <w:spacing w:before="123"/>
      </w:pPr>
      <w:r>
        <w:rPr>
          <w:u w:val="single"/>
        </w:rPr>
        <w:t>Eligible</w:t>
      </w:r>
      <w:r>
        <w:rPr>
          <w:spacing w:val="-7"/>
          <w:u w:val="single"/>
        </w:rPr>
        <w:t xml:space="preserve"> </w:t>
      </w:r>
      <w:r>
        <w:rPr>
          <w:u w:val="single"/>
        </w:rPr>
        <w:t>indirect</w:t>
      </w:r>
      <w:r>
        <w:rPr>
          <w:spacing w:val="-4"/>
          <w:u w:val="single"/>
        </w:rPr>
        <w:t xml:space="preserve"> costs</w:t>
      </w:r>
    </w:p>
    <w:p w14:paraId="37ABAC33" w14:textId="77777777" w:rsidR="007E0C0E" w:rsidRDefault="007E0C0E" w:rsidP="007E0C0E">
      <w:pPr>
        <w:pStyle w:val="Zkladntext"/>
        <w:spacing w:before="117"/>
        <w:ind w:right="388"/>
      </w:pPr>
      <w:r>
        <w:t>The indirect costs incurred in carrying out the action may be eligible for flat-rate funding, but the total must not</w:t>
      </w:r>
      <w:r>
        <w:rPr>
          <w:spacing w:val="-14"/>
        </w:rPr>
        <w:t xml:space="preserve"> </w:t>
      </w:r>
      <w:r>
        <w:t>exceed 7</w:t>
      </w:r>
      <w:r>
        <w:rPr>
          <w:spacing w:val="-14"/>
        </w:rPr>
        <w:t xml:space="preserve"> </w:t>
      </w:r>
      <w:r>
        <w:t>% of the estimated total eligible direct costs (except volunteer costs and project office costs)</w:t>
      </w:r>
      <w:r>
        <w:rPr>
          <w:sz w:val="20"/>
        </w:rPr>
        <w:t xml:space="preserve">. </w:t>
      </w:r>
      <w:r>
        <w:t>Indirect costs are eligible provided that they do not include costs assigned to another budget heading in the standard grant contract. The lead applicant may be asked to justify the percentage requested before the grant contract is signed. However, once the flat rate has been fixed in the special conditions of the grant contract, no supporting documents need to be provided.</w:t>
      </w:r>
    </w:p>
    <w:p w14:paraId="4FF9F652" w14:textId="77777777" w:rsidR="007E0C0E" w:rsidRDefault="007E0C0E" w:rsidP="007E0C0E">
      <w:pPr>
        <w:pStyle w:val="Zkladntext"/>
        <w:spacing w:before="121"/>
        <w:ind w:right="392"/>
      </w:pPr>
      <w:r>
        <w:t>If any of the applicants or affiliated entity(ies) is in receipt of an operating grant financed by the EU, it may not claim indirect costs on its incurred costs within the proposed budget for the action.</w:t>
      </w:r>
    </w:p>
    <w:p w14:paraId="436B80CE" w14:textId="77777777" w:rsidR="007E0C0E" w:rsidRDefault="007E0C0E" w:rsidP="007E0C0E">
      <w:pPr>
        <w:pStyle w:val="Zkladntext"/>
        <w:spacing w:before="122"/>
      </w:pPr>
      <w:r>
        <w:rPr>
          <w:u w:val="single"/>
        </w:rPr>
        <w:t>Contributions</w:t>
      </w:r>
      <w:r>
        <w:rPr>
          <w:spacing w:val="-7"/>
          <w:u w:val="single"/>
        </w:rPr>
        <w:t xml:space="preserve"> </w:t>
      </w:r>
      <w:r>
        <w:rPr>
          <w:u w:val="single"/>
        </w:rPr>
        <w:t>in</w:t>
      </w:r>
      <w:r>
        <w:rPr>
          <w:spacing w:val="-5"/>
          <w:u w:val="single"/>
        </w:rPr>
        <w:t xml:space="preserve"> </w:t>
      </w:r>
      <w:r>
        <w:rPr>
          <w:spacing w:val="-4"/>
          <w:u w:val="single"/>
        </w:rPr>
        <w:t>kind</w:t>
      </w:r>
    </w:p>
    <w:p w14:paraId="0E393096" w14:textId="77777777" w:rsidR="007E0C0E" w:rsidRDefault="007E0C0E" w:rsidP="00CB2541">
      <w:pPr>
        <w:spacing w:before="121"/>
        <w:ind w:right="389"/>
        <w:rPr>
          <w:color w:val="000000"/>
        </w:rPr>
      </w:pPr>
      <w:r w:rsidRPr="003F386A">
        <w:rPr>
          <w:color w:val="000000"/>
        </w:rPr>
        <w:t>Contributions in kind mean the provision of goods or services to beneficiaries or affiliated entities free of charge by a third party. As contributions in kind do not involve any expenditure for beneficiaries or affiliated entities, they are not eligible costs (except for personnel costs for the work carried out by volunteers under an action or an operating grant if so authorised).</w:t>
      </w:r>
    </w:p>
    <w:p w14:paraId="4309A47D" w14:textId="77777777" w:rsidR="007E0C0E" w:rsidRDefault="007E0C0E" w:rsidP="00CB2541">
      <w:pPr>
        <w:spacing w:before="121"/>
        <w:ind w:right="389"/>
      </w:pPr>
      <w:r>
        <w:rPr>
          <w:color w:val="000000"/>
        </w:rPr>
        <w:t xml:space="preserve">Contributions in kind may not be treated as co- </w:t>
      </w:r>
      <w:r>
        <w:rPr>
          <w:color w:val="000000"/>
          <w:spacing w:val="-2"/>
        </w:rPr>
        <w:t>financing.</w:t>
      </w:r>
    </w:p>
    <w:p w14:paraId="63F81983" w14:textId="77777777" w:rsidR="007E0C0E" w:rsidRDefault="007E0C0E" w:rsidP="007E0C0E">
      <w:pPr>
        <w:pStyle w:val="Zkladntext"/>
        <w:spacing w:before="122" w:line="242" w:lineRule="auto"/>
        <w:ind w:right="388"/>
      </w:pPr>
      <w:r>
        <w:t>However,</w:t>
      </w:r>
      <w:r>
        <w:rPr>
          <w:spacing w:val="-2"/>
        </w:rPr>
        <w:t xml:space="preserve"> </w:t>
      </w:r>
      <w:r>
        <w:t>if</w:t>
      </w:r>
      <w:r>
        <w:rPr>
          <w:spacing w:val="-2"/>
        </w:rPr>
        <w:t xml:space="preserve"> </w:t>
      </w:r>
      <w:r>
        <w:t>the</w:t>
      </w:r>
      <w:r>
        <w:rPr>
          <w:spacing w:val="-2"/>
        </w:rPr>
        <w:t xml:space="preserve"> </w:t>
      </w:r>
      <w:r>
        <w:t>description</w:t>
      </w:r>
      <w:r>
        <w:rPr>
          <w:spacing w:val="-4"/>
        </w:rPr>
        <w:t xml:space="preserve"> </w:t>
      </w:r>
      <w:r>
        <w:t>of</w:t>
      </w:r>
      <w:r>
        <w:rPr>
          <w:spacing w:val="-2"/>
        </w:rPr>
        <w:t xml:space="preserve"> </w:t>
      </w:r>
      <w:r>
        <w:t>the</w:t>
      </w:r>
      <w:r>
        <w:rPr>
          <w:spacing w:val="-2"/>
        </w:rPr>
        <w:t xml:space="preserve"> </w:t>
      </w:r>
      <w:r>
        <w:t>action</w:t>
      </w:r>
      <w:r>
        <w:rPr>
          <w:spacing w:val="-2"/>
        </w:rPr>
        <w:t xml:space="preserve"> </w:t>
      </w:r>
      <w:r>
        <w:t>as</w:t>
      </w:r>
      <w:r>
        <w:rPr>
          <w:spacing w:val="-2"/>
        </w:rPr>
        <w:t xml:space="preserve"> </w:t>
      </w:r>
      <w:r>
        <w:t>proposed</w:t>
      </w:r>
      <w:r>
        <w:rPr>
          <w:spacing w:val="-2"/>
        </w:rPr>
        <w:t xml:space="preserve"> </w:t>
      </w:r>
      <w:r>
        <w:t>includes</w:t>
      </w:r>
      <w:r>
        <w:rPr>
          <w:spacing w:val="-1"/>
        </w:rPr>
        <w:t xml:space="preserve"> </w:t>
      </w:r>
      <w:r>
        <w:t>contributions</w:t>
      </w:r>
      <w:r>
        <w:rPr>
          <w:spacing w:val="-2"/>
        </w:rPr>
        <w:t xml:space="preserve"> </w:t>
      </w:r>
      <w:r>
        <w:t>in</w:t>
      </w:r>
      <w:r>
        <w:rPr>
          <w:spacing w:val="-2"/>
        </w:rPr>
        <w:t xml:space="preserve"> </w:t>
      </w:r>
      <w:r>
        <w:t>kind,</w:t>
      </w:r>
      <w:r>
        <w:rPr>
          <w:spacing w:val="-2"/>
        </w:rPr>
        <w:t xml:space="preserve"> </w:t>
      </w:r>
      <w:r>
        <w:t>the</w:t>
      </w:r>
      <w:r>
        <w:rPr>
          <w:spacing w:val="-2"/>
        </w:rPr>
        <w:t xml:space="preserve"> </w:t>
      </w:r>
      <w:r>
        <w:t>contributions</w:t>
      </w:r>
      <w:r>
        <w:rPr>
          <w:spacing w:val="-2"/>
        </w:rPr>
        <w:t xml:space="preserve"> </w:t>
      </w:r>
      <w:r>
        <w:t>have</w:t>
      </w:r>
      <w:r>
        <w:rPr>
          <w:spacing w:val="-2"/>
        </w:rPr>
        <w:t xml:space="preserve"> </w:t>
      </w:r>
      <w:r>
        <w:t>to be made.</w:t>
      </w:r>
    </w:p>
    <w:p w14:paraId="3FF7A915" w14:textId="77777777" w:rsidR="007E0C0E" w:rsidRDefault="007E0C0E" w:rsidP="007E0C0E">
      <w:pPr>
        <w:pStyle w:val="Zkladntext"/>
        <w:spacing w:before="114" w:line="352" w:lineRule="auto"/>
        <w:ind w:right="3207"/>
      </w:pPr>
      <w:r>
        <w:t>Other</w:t>
      </w:r>
      <w:r>
        <w:rPr>
          <w:spacing w:val="-5"/>
        </w:rPr>
        <w:t xml:space="preserve"> </w:t>
      </w:r>
      <w:r>
        <w:t>co-financing</w:t>
      </w:r>
      <w:r>
        <w:rPr>
          <w:spacing w:val="-6"/>
        </w:rPr>
        <w:t xml:space="preserve"> </w:t>
      </w:r>
      <w:r>
        <w:t>shall</w:t>
      </w:r>
      <w:r>
        <w:rPr>
          <w:spacing w:val="-2"/>
        </w:rPr>
        <w:t xml:space="preserve"> </w:t>
      </w:r>
      <w:r>
        <w:t>be</w:t>
      </w:r>
      <w:r>
        <w:rPr>
          <w:spacing w:val="-5"/>
        </w:rPr>
        <w:t xml:space="preserve"> </w:t>
      </w:r>
      <w:r>
        <w:t>based</w:t>
      </w:r>
      <w:r>
        <w:rPr>
          <w:spacing w:val="-5"/>
        </w:rPr>
        <w:t xml:space="preserve"> </w:t>
      </w:r>
      <w:r>
        <w:t>on</w:t>
      </w:r>
      <w:r>
        <w:rPr>
          <w:spacing w:val="-3"/>
        </w:rPr>
        <w:t xml:space="preserve"> </w:t>
      </w:r>
      <w:r>
        <w:t>estimates</w:t>
      </w:r>
      <w:r>
        <w:rPr>
          <w:spacing w:val="-3"/>
        </w:rPr>
        <w:t xml:space="preserve"> </w:t>
      </w:r>
      <w:r>
        <w:t>provided</w:t>
      </w:r>
      <w:r>
        <w:rPr>
          <w:spacing w:val="-3"/>
        </w:rPr>
        <w:t xml:space="preserve"> </w:t>
      </w:r>
      <w:r>
        <w:t>by</w:t>
      </w:r>
      <w:r>
        <w:rPr>
          <w:spacing w:val="-3"/>
        </w:rPr>
        <w:t xml:space="preserve"> </w:t>
      </w:r>
      <w:r>
        <w:t>the</w:t>
      </w:r>
      <w:r>
        <w:rPr>
          <w:spacing w:val="-3"/>
        </w:rPr>
        <w:t xml:space="preserve"> </w:t>
      </w:r>
      <w:r>
        <w:t xml:space="preserve">applicant. </w:t>
      </w:r>
      <w:r>
        <w:rPr>
          <w:u w:val="single"/>
        </w:rPr>
        <w:t>Ineligible costs</w:t>
      </w:r>
    </w:p>
    <w:p w14:paraId="1B1E5316" w14:textId="77777777" w:rsidR="007E0C0E" w:rsidRDefault="007E0C0E" w:rsidP="007E0C0E">
      <w:pPr>
        <w:pStyle w:val="Zkladntext"/>
        <w:spacing w:before="1"/>
        <w:ind w:right="409"/>
      </w:pPr>
      <w:r>
        <w:t>Costs that do not comply with the conditions laid down in the contract are not eligible.</w:t>
      </w:r>
      <w:r>
        <w:rPr>
          <w:spacing w:val="20"/>
        </w:rPr>
        <w:t xml:space="preserve"> </w:t>
      </w:r>
      <w:r>
        <w:t>The following costs are not eligible:</w:t>
      </w:r>
    </w:p>
    <w:p w14:paraId="75663F44" w14:textId="77777777" w:rsidR="007E0C0E" w:rsidRDefault="007E0C0E" w:rsidP="00816803">
      <w:pPr>
        <w:pStyle w:val="Odstavecseseznamem"/>
        <w:widowControl w:val="0"/>
        <w:numPr>
          <w:ilvl w:val="0"/>
          <w:numId w:val="26"/>
        </w:numPr>
        <w:tabs>
          <w:tab w:val="left" w:pos="933"/>
        </w:tabs>
        <w:autoSpaceDE w:val="0"/>
        <w:autoSpaceDN w:val="0"/>
        <w:spacing w:before="121" w:after="0"/>
        <w:jc w:val="left"/>
      </w:pPr>
      <w:r>
        <w:t>debts</w:t>
      </w:r>
      <w:r>
        <w:rPr>
          <w:spacing w:val="-4"/>
        </w:rPr>
        <w:t xml:space="preserve"> </w:t>
      </w:r>
      <w:r>
        <w:t>and</w:t>
      </w:r>
      <w:r>
        <w:rPr>
          <w:spacing w:val="-2"/>
        </w:rPr>
        <w:t xml:space="preserve"> </w:t>
      </w:r>
      <w:r>
        <w:t>debt</w:t>
      </w:r>
      <w:r>
        <w:rPr>
          <w:spacing w:val="-3"/>
        </w:rPr>
        <w:t xml:space="preserve"> </w:t>
      </w:r>
      <w:r>
        <w:t>service</w:t>
      </w:r>
      <w:r>
        <w:rPr>
          <w:spacing w:val="-2"/>
        </w:rPr>
        <w:t xml:space="preserve"> </w:t>
      </w:r>
      <w:r>
        <w:t>charges</w:t>
      </w:r>
      <w:r>
        <w:rPr>
          <w:spacing w:val="1"/>
        </w:rPr>
        <w:t xml:space="preserve"> </w:t>
      </w:r>
      <w:r>
        <w:rPr>
          <w:spacing w:val="-2"/>
        </w:rPr>
        <w:t>(interest);</w:t>
      </w:r>
    </w:p>
    <w:p w14:paraId="6E961075" w14:textId="77777777" w:rsidR="007E0C0E" w:rsidRDefault="007E0C0E" w:rsidP="00816803">
      <w:pPr>
        <w:pStyle w:val="Odstavecseseznamem"/>
        <w:widowControl w:val="0"/>
        <w:numPr>
          <w:ilvl w:val="0"/>
          <w:numId w:val="26"/>
        </w:numPr>
        <w:tabs>
          <w:tab w:val="left" w:pos="933"/>
        </w:tabs>
        <w:autoSpaceDE w:val="0"/>
        <w:autoSpaceDN w:val="0"/>
        <w:spacing w:before="119" w:after="0"/>
        <w:jc w:val="left"/>
      </w:pPr>
      <w:r>
        <w:t>provisions</w:t>
      </w:r>
      <w:r>
        <w:rPr>
          <w:spacing w:val="-6"/>
        </w:rPr>
        <w:t xml:space="preserve"> </w:t>
      </w:r>
      <w:r>
        <w:t>for</w:t>
      </w:r>
      <w:r>
        <w:rPr>
          <w:spacing w:val="-5"/>
        </w:rPr>
        <w:t xml:space="preserve"> </w:t>
      </w:r>
      <w:r>
        <w:t>losses</w:t>
      </w:r>
      <w:r>
        <w:rPr>
          <w:spacing w:val="-3"/>
        </w:rPr>
        <w:t xml:space="preserve"> </w:t>
      </w:r>
      <w:r>
        <w:t>or</w:t>
      </w:r>
      <w:r>
        <w:rPr>
          <w:spacing w:val="-3"/>
        </w:rPr>
        <w:t xml:space="preserve"> </w:t>
      </w:r>
      <w:r>
        <w:t>potential</w:t>
      </w:r>
      <w:r>
        <w:rPr>
          <w:spacing w:val="-5"/>
        </w:rPr>
        <w:t xml:space="preserve"> </w:t>
      </w:r>
      <w:r>
        <w:t>future</w:t>
      </w:r>
      <w:r>
        <w:rPr>
          <w:spacing w:val="-3"/>
        </w:rPr>
        <w:t xml:space="preserve"> </w:t>
      </w:r>
      <w:r>
        <w:rPr>
          <w:spacing w:val="-2"/>
        </w:rPr>
        <w:t>liabilities;</w:t>
      </w:r>
    </w:p>
    <w:p w14:paraId="0E0242FB" w14:textId="77777777" w:rsidR="007E0C0E" w:rsidRDefault="007E0C0E" w:rsidP="00816803">
      <w:pPr>
        <w:pStyle w:val="Odstavecseseznamem"/>
        <w:widowControl w:val="0"/>
        <w:numPr>
          <w:ilvl w:val="0"/>
          <w:numId w:val="26"/>
        </w:numPr>
        <w:tabs>
          <w:tab w:val="left" w:pos="933"/>
        </w:tabs>
        <w:autoSpaceDE w:val="0"/>
        <w:autoSpaceDN w:val="0"/>
        <w:spacing w:before="120" w:after="0"/>
        <w:ind w:right="396"/>
      </w:pPr>
      <w:r>
        <w:t>costs</w:t>
      </w:r>
      <w:r>
        <w:rPr>
          <w:spacing w:val="-1"/>
        </w:rPr>
        <w:t xml:space="preserve"> </w:t>
      </w:r>
      <w:r>
        <w:t>declared</w:t>
      </w:r>
      <w:r>
        <w:rPr>
          <w:spacing w:val="-1"/>
        </w:rPr>
        <w:t xml:space="preserve"> </w:t>
      </w:r>
      <w:r>
        <w:t>by</w:t>
      </w:r>
      <w:r>
        <w:rPr>
          <w:spacing w:val="-1"/>
        </w:rPr>
        <w:t xml:space="preserve"> </w:t>
      </w:r>
      <w:r>
        <w:t>the beneficiary(ies) and</w:t>
      </w:r>
      <w:r>
        <w:rPr>
          <w:spacing w:val="-1"/>
        </w:rPr>
        <w:t xml:space="preserve"> </w:t>
      </w:r>
      <w:r>
        <w:t>financed</w:t>
      </w:r>
      <w:r>
        <w:rPr>
          <w:spacing w:val="-1"/>
        </w:rPr>
        <w:t xml:space="preserve"> </w:t>
      </w:r>
      <w:r>
        <w:t>by</w:t>
      </w:r>
      <w:r>
        <w:rPr>
          <w:spacing w:val="-3"/>
        </w:rPr>
        <w:t xml:space="preserve"> </w:t>
      </w:r>
      <w:r>
        <w:t>another action</w:t>
      </w:r>
      <w:r>
        <w:rPr>
          <w:spacing w:val="-1"/>
        </w:rPr>
        <w:t xml:space="preserve"> </w:t>
      </w:r>
      <w:r>
        <w:t>or work</w:t>
      </w:r>
      <w:r>
        <w:rPr>
          <w:spacing w:val="-1"/>
        </w:rPr>
        <w:t xml:space="preserve"> </w:t>
      </w:r>
      <w:r>
        <w:t>programme</w:t>
      </w:r>
      <w:r>
        <w:rPr>
          <w:spacing w:val="-1"/>
        </w:rPr>
        <w:t xml:space="preserve"> </w:t>
      </w:r>
      <w:r>
        <w:t>receiving</w:t>
      </w:r>
      <w:r>
        <w:rPr>
          <w:spacing w:val="-1"/>
        </w:rPr>
        <w:t xml:space="preserve"> </w:t>
      </w:r>
      <w:r>
        <w:t>a European Union (including through EDF) grant;</w:t>
      </w:r>
    </w:p>
    <w:p w14:paraId="07D04F02" w14:textId="77777777" w:rsidR="00CB2541" w:rsidRDefault="007E0C0E" w:rsidP="00816803">
      <w:pPr>
        <w:pStyle w:val="Odstavecseseznamem"/>
        <w:widowControl w:val="0"/>
        <w:numPr>
          <w:ilvl w:val="0"/>
          <w:numId w:val="26"/>
        </w:numPr>
        <w:tabs>
          <w:tab w:val="left" w:pos="933"/>
        </w:tabs>
        <w:autoSpaceDE w:val="0"/>
        <w:autoSpaceDN w:val="0"/>
        <w:spacing w:before="118" w:after="0"/>
        <w:ind w:right="390"/>
      </w:pPr>
      <w:r>
        <w:t>purchases</w:t>
      </w:r>
      <w:r>
        <w:rPr>
          <w:spacing w:val="-1"/>
        </w:rPr>
        <w:t xml:space="preserve"> </w:t>
      </w:r>
      <w:r>
        <w:t>of land</w:t>
      </w:r>
      <w:r>
        <w:rPr>
          <w:spacing w:val="-1"/>
        </w:rPr>
        <w:t xml:space="preserve"> </w:t>
      </w:r>
      <w:r>
        <w:t>or</w:t>
      </w:r>
      <w:r>
        <w:rPr>
          <w:spacing w:val="-1"/>
        </w:rPr>
        <w:t xml:space="preserve"> </w:t>
      </w:r>
      <w:r>
        <w:t>buildings,</w:t>
      </w:r>
      <w:r>
        <w:rPr>
          <w:spacing w:val="-1"/>
        </w:rPr>
        <w:t xml:space="preserve"> </w:t>
      </w:r>
      <w:r>
        <w:t>except where</w:t>
      </w:r>
      <w:r>
        <w:rPr>
          <w:spacing w:val="-1"/>
        </w:rPr>
        <w:t xml:space="preserve"> </w:t>
      </w:r>
      <w:r>
        <w:t>necessary</w:t>
      </w:r>
      <w:r>
        <w:rPr>
          <w:spacing w:val="-1"/>
        </w:rPr>
        <w:t xml:space="preserve"> </w:t>
      </w:r>
      <w:r>
        <w:t>for</w:t>
      </w:r>
      <w:r>
        <w:rPr>
          <w:spacing w:val="-1"/>
        </w:rPr>
        <w:t xml:space="preserve"> </w:t>
      </w:r>
      <w:r>
        <w:t>the</w:t>
      </w:r>
      <w:r>
        <w:rPr>
          <w:spacing w:val="-1"/>
        </w:rPr>
        <w:t xml:space="preserve"> </w:t>
      </w:r>
      <w:r>
        <w:t>direct</w:t>
      </w:r>
      <w:r>
        <w:rPr>
          <w:spacing w:val="-3"/>
        </w:rPr>
        <w:t xml:space="preserve"> </w:t>
      </w:r>
      <w:r>
        <w:t>implementation</w:t>
      </w:r>
      <w:r>
        <w:rPr>
          <w:spacing w:val="-1"/>
        </w:rPr>
        <w:t xml:space="preserve"> </w:t>
      </w:r>
      <w:r>
        <w:t>of</w:t>
      </w:r>
      <w:r>
        <w:rPr>
          <w:spacing w:val="-1"/>
        </w:rPr>
        <w:t xml:space="preserve"> </w:t>
      </w:r>
      <w:r>
        <w:t>the</w:t>
      </w:r>
      <w:r>
        <w:rPr>
          <w:spacing w:val="-1"/>
        </w:rPr>
        <w:t xml:space="preserve"> </w:t>
      </w:r>
      <w:r>
        <w:t>action,</w:t>
      </w:r>
      <w:r>
        <w:rPr>
          <w:spacing w:val="-1"/>
        </w:rPr>
        <w:t xml:space="preserve"> </w:t>
      </w:r>
      <w:r>
        <w:t>in which case</w:t>
      </w:r>
      <w:r>
        <w:rPr>
          <w:spacing w:val="-2"/>
        </w:rPr>
        <w:t xml:space="preserve"> </w:t>
      </w:r>
      <w:r>
        <w:t>ownership</w:t>
      </w:r>
      <w:r>
        <w:rPr>
          <w:spacing w:val="-2"/>
        </w:rPr>
        <w:t xml:space="preserve"> </w:t>
      </w:r>
      <w:r>
        <w:t>must</w:t>
      </w:r>
      <w:r>
        <w:rPr>
          <w:spacing w:val="-1"/>
        </w:rPr>
        <w:t xml:space="preserve"> </w:t>
      </w:r>
      <w:r>
        <w:t>be transferred in</w:t>
      </w:r>
      <w:r>
        <w:rPr>
          <w:spacing w:val="-2"/>
        </w:rPr>
        <w:t xml:space="preserve"> </w:t>
      </w:r>
      <w:r>
        <w:t>accordance with</w:t>
      </w:r>
      <w:r>
        <w:rPr>
          <w:spacing w:val="-2"/>
        </w:rPr>
        <w:t xml:space="preserve"> </w:t>
      </w:r>
      <w:r>
        <w:t>Article 7.5</w:t>
      </w:r>
      <w:r>
        <w:rPr>
          <w:spacing w:val="-2"/>
        </w:rPr>
        <w:t xml:space="preserve"> </w:t>
      </w:r>
      <w:r>
        <w:t>of</w:t>
      </w:r>
      <w:r>
        <w:rPr>
          <w:spacing w:val="-2"/>
        </w:rPr>
        <w:t xml:space="preserve"> </w:t>
      </w:r>
      <w:r>
        <w:t>the general conditions of the standard grant contract, at the latest at the end of the action;</w:t>
      </w:r>
    </w:p>
    <w:p w14:paraId="5D73BF90" w14:textId="77777777" w:rsidR="007E0C0E" w:rsidRDefault="00CB2541" w:rsidP="00816803">
      <w:pPr>
        <w:pStyle w:val="Odstavecseseznamem"/>
        <w:widowControl w:val="0"/>
        <w:numPr>
          <w:ilvl w:val="0"/>
          <w:numId w:val="26"/>
        </w:numPr>
        <w:tabs>
          <w:tab w:val="left" w:pos="932"/>
        </w:tabs>
        <w:autoSpaceDE w:val="0"/>
        <w:autoSpaceDN w:val="0"/>
        <w:spacing w:before="119" w:after="0"/>
        <w:ind w:left="932" w:hanging="359"/>
      </w:pPr>
      <w:r>
        <w:br w:type="page"/>
      </w:r>
      <w:r w:rsidR="007E0C0E">
        <w:lastRenderedPageBreak/>
        <w:t>currency</w:t>
      </w:r>
      <w:r w:rsidR="007E0C0E" w:rsidRPr="00CB2541">
        <w:t xml:space="preserve"> </w:t>
      </w:r>
      <w:r w:rsidR="007E0C0E">
        <w:t>exchange</w:t>
      </w:r>
      <w:r w:rsidR="007E0C0E" w:rsidRPr="00CB2541">
        <w:t xml:space="preserve"> losses;</w:t>
      </w:r>
    </w:p>
    <w:p w14:paraId="3C88EE39" w14:textId="77777777" w:rsidR="007E0C0E" w:rsidRPr="0066667B" w:rsidRDefault="007E0C0E" w:rsidP="00816803">
      <w:pPr>
        <w:pStyle w:val="Odstavecseseznamem"/>
        <w:widowControl w:val="0"/>
        <w:numPr>
          <w:ilvl w:val="0"/>
          <w:numId w:val="26"/>
        </w:numPr>
        <w:tabs>
          <w:tab w:val="left" w:pos="932"/>
        </w:tabs>
        <w:autoSpaceDE w:val="0"/>
        <w:autoSpaceDN w:val="0"/>
        <w:spacing w:before="119" w:after="0"/>
        <w:ind w:left="932" w:hanging="359"/>
      </w:pPr>
      <w:r w:rsidRPr="0066667B">
        <w:t>in</w:t>
      </w:r>
      <w:r w:rsidRPr="0066667B">
        <w:rPr>
          <w:spacing w:val="-7"/>
        </w:rPr>
        <w:t xml:space="preserve"> </w:t>
      </w:r>
      <w:r w:rsidRPr="0066667B">
        <w:t>kind</w:t>
      </w:r>
      <w:r w:rsidRPr="0066667B">
        <w:rPr>
          <w:spacing w:val="-4"/>
        </w:rPr>
        <w:t xml:space="preserve"> </w:t>
      </w:r>
      <w:r w:rsidRPr="0066667B">
        <w:t>contributions</w:t>
      </w:r>
      <w:r w:rsidRPr="0066667B">
        <w:rPr>
          <w:spacing w:val="-6"/>
        </w:rPr>
        <w:t xml:space="preserve"> </w:t>
      </w:r>
      <w:r w:rsidRPr="0066667B">
        <w:t>(except</w:t>
      </w:r>
      <w:r w:rsidRPr="0066667B">
        <w:rPr>
          <w:spacing w:val="-4"/>
        </w:rPr>
        <w:t xml:space="preserve"> </w:t>
      </w:r>
      <w:r w:rsidRPr="0066667B">
        <w:t>for</w:t>
      </w:r>
      <w:r w:rsidRPr="0066667B">
        <w:rPr>
          <w:spacing w:val="-4"/>
        </w:rPr>
        <w:t xml:space="preserve"> </w:t>
      </w:r>
      <w:r w:rsidRPr="0066667B">
        <w:t>volunteers'</w:t>
      </w:r>
      <w:r w:rsidRPr="0066667B">
        <w:rPr>
          <w:spacing w:val="-5"/>
        </w:rPr>
        <w:t xml:space="preserve"> </w:t>
      </w:r>
      <w:r w:rsidRPr="0066667B">
        <w:rPr>
          <w:spacing w:val="-2"/>
        </w:rPr>
        <w:t>work);</w:t>
      </w:r>
    </w:p>
    <w:p w14:paraId="6C27E4A9" w14:textId="77777777" w:rsidR="007E0C0E" w:rsidRDefault="007E0C0E" w:rsidP="00816803">
      <w:pPr>
        <w:pStyle w:val="Odstavecseseznamem"/>
        <w:widowControl w:val="0"/>
        <w:numPr>
          <w:ilvl w:val="0"/>
          <w:numId w:val="26"/>
        </w:numPr>
        <w:tabs>
          <w:tab w:val="left" w:pos="932"/>
        </w:tabs>
        <w:autoSpaceDE w:val="0"/>
        <w:autoSpaceDN w:val="0"/>
        <w:spacing w:before="120" w:after="0"/>
        <w:ind w:left="932" w:hanging="359"/>
      </w:pPr>
      <w:r>
        <w:t>bonuses</w:t>
      </w:r>
      <w:r>
        <w:rPr>
          <w:spacing w:val="-3"/>
        </w:rPr>
        <w:t xml:space="preserve"> </w:t>
      </w:r>
      <w:r>
        <w:t>included</w:t>
      </w:r>
      <w:r>
        <w:rPr>
          <w:spacing w:val="-4"/>
        </w:rPr>
        <w:t xml:space="preserve"> </w:t>
      </w:r>
      <w:r>
        <w:t>in</w:t>
      </w:r>
      <w:r>
        <w:rPr>
          <w:spacing w:val="-2"/>
        </w:rPr>
        <w:t xml:space="preserve"> </w:t>
      </w:r>
      <w:r>
        <w:t>costs</w:t>
      </w:r>
      <w:r>
        <w:rPr>
          <w:spacing w:val="-2"/>
        </w:rPr>
        <w:t xml:space="preserve"> </w:t>
      </w:r>
      <w:r>
        <w:t>of</w:t>
      </w:r>
      <w:r>
        <w:rPr>
          <w:spacing w:val="-2"/>
        </w:rPr>
        <w:t xml:space="preserve"> staff;</w:t>
      </w:r>
    </w:p>
    <w:p w14:paraId="517C0D12" w14:textId="77777777" w:rsidR="007E0C0E" w:rsidRDefault="007E0C0E" w:rsidP="00816803">
      <w:pPr>
        <w:pStyle w:val="Odstavecseseznamem"/>
        <w:widowControl w:val="0"/>
        <w:numPr>
          <w:ilvl w:val="0"/>
          <w:numId w:val="26"/>
        </w:numPr>
        <w:tabs>
          <w:tab w:val="left" w:pos="932"/>
        </w:tabs>
        <w:autoSpaceDE w:val="0"/>
        <w:autoSpaceDN w:val="0"/>
        <w:spacing w:before="119" w:after="0"/>
        <w:ind w:left="932" w:hanging="359"/>
      </w:pPr>
      <w:r>
        <w:t>negative</w:t>
      </w:r>
      <w:r>
        <w:rPr>
          <w:spacing w:val="-6"/>
        </w:rPr>
        <w:t xml:space="preserve"> </w:t>
      </w:r>
      <w:r>
        <w:t>interest</w:t>
      </w:r>
      <w:r>
        <w:rPr>
          <w:spacing w:val="-2"/>
        </w:rPr>
        <w:t xml:space="preserve"> </w:t>
      </w:r>
      <w:r>
        <w:t>charged</w:t>
      </w:r>
      <w:r>
        <w:rPr>
          <w:spacing w:val="-3"/>
        </w:rPr>
        <w:t xml:space="preserve"> </w:t>
      </w:r>
      <w:r>
        <w:t>by</w:t>
      </w:r>
      <w:r>
        <w:rPr>
          <w:spacing w:val="-4"/>
        </w:rPr>
        <w:t xml:space="preserve"> </w:t>
      </w:r>
      <w:r>
        <w:t>banks</w:t>
      </w:r>
      <w:r>
        <w:rPr>
          <w:spacing w:val="-5"/>
        </w:rPr>
        <w:t xml:space="preserve"> </w:t>
      </w:r>
      <w:r>
        <w:t>or</w:t>
      </w:r>
      <w:r>
        <w:rPr>
          <w:spacing w:val="-3"/>
        </w:rPr>
        <w:t xml:space="preserve"> </w:t>
      </w:r>
      <w:r>
        <w:t>other</w:t>
      </w:r>
      <w:r>
        <w:rPr>
          <w:spacing w:val="-3"/>
        </w:rPr>
        <w:t xml:space="preserve"> </w:t>
      </w:r>
      <w:r>
        <w:t>financial</w:t>
      </w:r>
      <w:r>
        <w:rPr>
          <w:spacing w:val="-5"/>
        </w:rPr>
        <w:t xml:space="preserve"> </w:t>
      </w:r>
      <w:r>
        <w:rPr>
          <w:spacing w:val="-2"/>
        </w:rPr>
        <w:t>institutions;</w:t>
      </w:r>
    </w:p>
    <w:p w14:paraId="1F0E581D" w14:textId="77777777" w:rsidR="007E0C0E" w:rsidRPr="007E0C0E" w:rsidRDefault="007E0C0E" w:rsidP="00816803">
      <w:pPr>
        <w:pStyle w:val="Odstavecseseznamem"/>
        <w:widowControl w:val="0"/>
        <w:numPr>
          <w:ilvl w:val="0"/>
          <w:numId w:val="26"/>
        </w:numPr>
        <w:tabs>
          <w:tab w:val="left" w:pos="933"/>
        </w:tabs>
        <w:autoSpaceDE w:val="0"/>
        <w:autoSpaceDN w:val="0"/>
        <w:spacing w:before="119" w:after="0"/>
        <w:ind w:left="932" w:hanging="359"/>
        <w:rPr>
          <w:color w:val="000000"/>
        </w:rPr>
      </w:pPr>
      <w:r w:rsidRPr="007F5441">
        <w:t>credit</w:t>
      </w:r>
      <w:r w:rsidRPr="007F5441">
        <w:rPr>
          <w:spacing w:val="-5"/>
        </w:rPr>
        <w:t xml:space="preserve"> </w:t>
      </w:r>
      <w:r w:rsidRPr="007F5441">
        <w:t>to</w:t>
      </w:r>
      <w:r w:rsidRPr="007F5441">
        <w:rPr>
          <w:spacing w:val="-3"/>
        </w:rPr>
        <w:t xml:space="preserve"> </w:t>
      </w:r>
      <w:r w:rsidRPr="007F5441">
        <w:t>third</w:t>
      </w:r>
      <w:r w:rsidRPr="007F5441">
        <w:rPr>
          <w:spacing w:val="-3"/>
        </w:rPr>
        <w:t xml:space="preserve"> </w:t>
      </w:r>
      <w:r w:rsidRPr="007F5441">
        <w:t>parties</w:t>
      </w:r>
      <w:r>
        <w:t>.</w:t>
      </w:r>
    </w:p>
    <w:p w14:paraId="04570B95" w14:textId="77777777" w:rsidR="0055557F" w:rsidRPr="00807DAF" w:rsidRDefault="0055557F" w:rsidP="00816803">
      <w:pPr>
        <w:pStyle w:val="Guidelines3"/>
        <w:numPr>
          <w:ilvl w:val="2"/>
          <w:numId w:val="8"/>
        </w:numPr>
      </w:pPr>
      <w:bookmarkStart w:id="26" w:name="_Toc216688229"/>
      <w:r>
        <w:t xml:space="preserve">Ethics </w:t>
      </w:r>
      <w:r w:rsidR="009C56AF">
        <w:t>and values</w:t>
      </w:r>
      <w:bookmarkEnd w:id="26"/>
    </w:p>
    <w:p w14:paraId="1A640BB4" w14:textId="77777777" w:rsidR="00A80223" w:rsidRPr="00C536CC" w:rsidRDefault="00A80223" w:rsidP="00C536CC">
      <w:pPr>
        <w:pStyle w:val="Normal-box"/>
        <w:pBdr>
          <w:top w:val="none" w:sz="0" w:space="0" w:color="auto"/>
          <w:left w:val="none" w:sz="0" w:space="0" w:color="auto"/>
          <w:bottom w:val="none" w:sz="0" w:space="0" w:color="auto"/>
          <w:right w:val="none" w:sz="0" w:space="0" w:color="auto"/>
        </w:pBdr>
        <w:rPr>
          <w:b/>
          <w:lang w:val="en-IE"/>
        </w:rPr>
      </w:pPr>
      <w:r w:rsidRPr="00C536CC">
        <w:rPr>
          <w:b/>
          <w:lang w:val="en-IE"/>
        </w:rPr>
        <w:t>Absence of conflict of interest</w:t>
      </w:r>
    </w:p>
    <w:p w14:paraId="0B21B131" w14:textId="77777777" w:rsidR="00A80223" w:rsidRPr="00CB2541" w:rsidRDefault="00CB2541" w:rsidP="00CB2541">
      <w:pPr>
        <w:pStyle w:val="Zkladntext"/>
        <w:spacing w:before="236"/>
        <w:ind w:right="392"/>
      </w:pPr>
      <w:r>
        <w:t>The applicant must not be affected by any conflict of interest and must have no equivalent relation in that respect with other applicants or parties involved in the actions. Any attempt by an applicant to obtain confidential information, enter into unlawful agreements with competitors or influence the evaluation committee</w:t>
      </w:r>
      <w:r>
        <w:rPr>
          <w:spacing w:val="-2"/>
        </w:rPr>
        <w:t xml:space="preserve"> </w:t>
      </w:r>
      <w:r>
        <w:t>or</w:t>
      </w:r>
      <w:r>
        <w:rPr>
          <w:spacing w:val="-2"/>
        </w:rPr>
        <w:t xml:space="preserve"> </w:t>
      </w:r>
      <w:r>
        <w:t>the</w:t>
      </w:r>
      <w:r>
        <w:rPr>
          <w:spacing w:val="-2"/>
        </w:rPr>
        <w:t xml:space="preserve"> </w:t>
      </w:r>
      <w:r>
        <w:t>contracting</w:t>
      </w:r>
      <w:r>
        <w:rPr>
          <w:spacing w:val="-2"/>
        </w:rPr>
        <w:t xml:space="preserve"> </w:t>
      </w:r>
      <w:r>
        <w:t>authority</w:t>
      </w:r>
      <w:r>
        <w:rPr>
          <w:spacing w:val="-2"/>
        </w:rPr>
        <w:t xml:space="preserve"> </w:t>
      </w:r>
      <w:r>
        <w:t>during</w:t>
      </w:r>
      <w:r>
        <w:rPr>
          <w:spacing w:val="-2"/>
        </w:rPr>
        <w:t xml:space="preserve"> </w:t>
      </w:r>
      <w:r>
        <w:t>the</w:t>
      </w:r>
      <w:r>
        <w:rPr>
          <w:spacing w:val="-2"/>
        </w:rPr>
        <w:t xml:space="preserve"> </w:t>
      </w:r>
      <w:r>
        <w:t>process</w:t>
      </w:r>
      <w:r>
        <w:rPr>
          <w:spacing w:val="-2"/>
        </w:rPr>
        <w:t xml:space="preserve"> </w:t>
      </w:r>
      <w:r>
        <w:t>of</w:t>
      </w:r>
      <w:r>
        <w:rPr>
          <w:spacing w:val="-2"/>
        </w:rPr>
        <w:t xml:space="preserve"> </w:t>
      </w:r>
      <w:r>
        <w:t>examining,</w:t>
      </w:r>
      <w:r>
        <w:rPr>
          <w:spacing w:val="-2"/>
        </w:rPr>
        <w:t xml:space="preserve"> </w:t>
      </w:r>
      <w:r>
        <w:t>clarifying,</w:t>
      </w:r>
      <w:r>
        <w:rPr>
          <w:spacing w:val="-2"/>
        </w:rPr>
        <w:t xml:space="preserve"> </w:t>
      </w:r>
      <w:r>
        <w:t>evaluating</w:t>
      </w:r>
      <w:r>
        <w:rPr>
          <w:spacing w:val="-5"/>
        </w:rPr>
        <w:t xml:space="preserve"> </w:t>
      </w:r>
      <w:r>
        <w:t>and</w:t>
      </w:r>
      <w:r>
        <w:rPr>
          <w:spacing w:val="-2"/>
        </w:rPr>
        <w:t xml:space="preserve"> </w:t>
      </w:r>
      <w:r>
        <w:t>comparing applications will lead to the rejection of its application and may result in exclusion decisions for other award procedures and/or financial penalties according to the Financial Regulation in force.</w:t>
      </w:r>
      <w:r w:rsidR="00A80223" w:rsidRPr="00C536CC">
        <w:rPr>
          <w:lang w:val="en-IE"/>
        </w:rPr>
        <w:t xml:space="preserve"> </w:t>
      </w:r>
    </w:p>
    <w:p w14:paraId="26974C24" w14:textId="77777777" w:rsidR="00A80223" w:rsidRPr="00C536CC" w:rsidRDefault="00A80223" w:rsidP="00C536CC">
      <w:pPr>
        <w:pStyle w:val="Normal-box"/>
        <w:pBdr>
          <w:top w:val="none" w:sz="0" w:space="0" w:color="auto"/>
          <w:left w:val="none" w:sz="0" w:space="0" w:color="auto"/>
          <w:bottom w:val="none" w:sz="0" w:space="0" w:color="auto"/>
          <w:right w:val="none" w:sz="0" w:space="0" w:color="auto"/>
        </w:pBdr>
        <w:rPr>
          <w:b/>
          <w:lang w:val="en-IE"/>
        </w:rPr>
      </w:pPr>
      <w:r w:rsidRPr="00C536CC">
        <w:rPr>
          <w:b/>
          <w:lang w:val="en-IE"/>
        </w:rPr>
        <w:t xml:space="preserve">Respect for environmental legislation and core labour standards </w:t>
      </w:r>
    </w:p>
    <w:p w14:paraId="1550C26B" w14:textId="77777777" w:rsidR="00A80223" w:rsidRPr="00C536CC" w:rsidRDefault="00CB2541" w:rsidP="00C536CC">
      <w:pPr>
        <w:pStyle w:val="Normal-box"/>
        <w:pBdr>
          <w:top w:val="none" w:sz="0" w:space="0" w:color="auto"/>
          <w:left w:val="none" w:sz="0" w:space="0" w:color="auto"/>
          <w:bottom w:val="none" w:sz="0" w:space="0" w:color="auto"/>
          <w:right w:val="none" w:sz="0" w:space="0" w:color="auto"/>
        </w:pBdr>
        <w:rPr>
          <w:lang w:val="en-IE"/>
        </w:rPr>
      </w:pPr>
      <w:r w:rsidRPr="00CB2541">
        <w:rPr>
          <w:lang w:val="en-IE"/>
        </w:rPr>
        <w:t>Applicants who are awarded a grant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r w:rsidR="00A80223" w:rsidRPr="00C536CC">
        <w:rPr>
          <w:lang w:val="en-IE"/>
        </w:rPr>
        <w:t>.</w:t>
      </w:r>
    </w:p>
    <w:p w14:paraId="563F4555" w14:textId="77777777" w:rsidR="009C56AF" w:rsidRDefault="009C56AF" w:rsidP="009C56AF">
      <w:pPr>
        <w:spacing w:after="120" w:line="240" w:lineRule="atLeast"/>
        <w:rPr>
          <w:b/>
        </w:rPr>
      </w:pPr>
      <w:r>
        <w:rPr>
          <w:b/>
        </w:rPr>
        <w:t>Respect of EU values</w:t>
      </w:r>
    </w:p>
    <w:p w14:paraId="5453AC23" w14:textId="77777777" w:rsidR="009C56AF" w:rsidRPr="005E2BB1" w:rsidRDefault="00CB2541" w:rsidP="009C56AF">
      <w:pPr>
        <w:spacing w:after="120" w:line="240" w:lineRule="atLeast"/>
      </w:pPr>
      <w:r>
        <w:t>Applicants who are awarded a grant must commit to and ensure the respect of basic EU values, such as respect for human dignity, freedom, democracy, equality, the rule of law and human rights, including the rights of minorities</w:t>
      </w:r>
      <w:r w:rsidR="009C56AF" w:rsidRPr="00F91AE3">
        <w:t>.</w:t>
      </w:r>
    </w:p>
    <w:p w14:paraId="28FFA7E3" w14:textId="77777777" w:rsidR="00A80223" w:rsidRPr="00C536CC" w:rsidRDefault="00A80223" w:rsidP="00C536CC">
      <w:pPr>
        <w:pStyle w:val="Normal-box"/>
        <w:rPr>
          <w:b/>
          <w:szCs w:val="22"/>
          <w:lang w:val="en-IE"/>
        </w:rPr>
      </w:pPr>
      <w:r w:rsidRPr="00C536CC">
        <w:rPr>
          <w:b/>
          <w:szCs w:val="22"/>
          <w:lang w:val="en-IE"/>
        </w:rPr>
        <w:t>Zero tolerance for sexual exploitation</w:t>
      </w:r>
      <w:r w:rsidR="00172D73" w:rsidRPr="00C536CC">
        <w:rPr>
          <w:b/>
          <w:szCs w:val="22"/>
          <w:lang w:val="en-IE"/>
        </w:rPr>
        <w:t>, abuse</w:t>
      </w:r>
      <w:r w:rsidR="009E6794" w:rsidRPr="00C536CC">
        <w:rPr>
          <w:b/>
          <w:szCs w:val="22"/>
          <w:lang w:val="en-IE"/>
        </w:rPr>
        <w:t xml:space="preserve"> and harassment</w:t>
      </w:r>
      <w:r w:rsidRPr="00C536CC">
        <w:rPr>
          <w:b/>
          <w:szCs w:val="22"/>
          <w:lang w:val="en-IE"/>
        </w:rPr>
        <w:t>:</w:t>
      </w:r>
    </w:p>
    <w:p w14:paraId="72D87BE4" w14:textId="77777777" w:rsidR="00A80223" w:rsidRPr="00C536CC" w:rsidRDefault="00A80223" w:rsidP="00C536CC">
      <w:pPr>
        <w:pStyle w:val="Normal-box"/>
        <w:rPr>
          <w:szCs w:val="22"/>
          <w:lang w:val="en-IE"/>
        </w:rPr>
      </w:pPr>
      <w:r w:rsidRPr="00C536CC">
        <w:rPr>
          <w:szCs w:val="22"/>
          <w:lang w:val="en-IE"/>
        </w:rPr>
        <w:t xml:space="preserve">The European Commission applies a policy of 'zero tolerance' in relation to all wrongful conduct which has an impact on the professional credibility of the </w:t>
      </w:r>
      <w:r w:rsidR="00876E0B" w:rsidRPr="00C536CC">
        <w:rPr>
          <w:szCs w:val="22"/>
          <w:lang w:val="en-IE"/>
        </w:rPr>
        <w:t xml:space="preserve">applicant. </w:t>
      </w:r>
      <w:r w:rsidRPr="00C536CC">
        <w:rPr>
          <w:szCs w:val="22"/>
          <w:lang w:val="en-IE"/>
        </w:rPr>
        <w:t xml:space="preserve"> </w:t>
      </w:r>
    </w:p>
    <w:p w14:paraId="7615BE27" w14:textId="77777777" w:rsidR="00A80223" w:rsidRPr="00C536CC" w:rsidRDefault="00A80223" w:rsidP="00C536CC">
      <w:pPr>
        <w:pStyle w:val="Normal-box"/>
        <w:rPr>
          <w:szCs w:val="22"/>
          <w:lang w:val="en-IE"/>
        </w:rPr>
      </w:pPr>
      <w:r w:rsidRPr="00C536CC">
        <w:rPr>
          <w:szCs w:val="22"/>
          <w:lang w:val="en-IE"/>
        </w:rPr>
        <w:t xml:space="preserve">Physical abuse or punishment, or threats of physical abuse, sexual abuse or exploitation, harassment and verbal abuse, as well as other forms of intimidation shall be prohibited. </w:t>
      </w:r>
    </w:p>
    <w:p w14:paraId="3B2CE6C3" w14:textId="77777777" w:rsidR="000616A3" w:rsidRPr="00C536CC" w:rsidRDefault="00907B07" w:rsidP="00C536CC">
      <w:pPr>
        <w:pStyle w:val="Normal-box"/>
        <w:rPr>
          <w:szCs w:val="22"/>
          <w:lang w:val="en-IE"/>
        </w:rPr>
      </w:pPr>
      <w:r>
        <w:rPr>
          <w:szCs w:val="22"/>
          <w:lang w:val="en-IE"/>
        </w:rPr>
        <w:t>Successful a</w:t>
      </w:r>
      <w:r w:rsidR="000616A3" w:rsidRPr="00C536CC">
        <w:rPr>
          <w:szCs w:val="22"/>
          <w:lang w:val="en-IE"/>
        </w:rPr>
        <w:t>pplicants,</w:t>
      </w:r>
      <w:r w:rsidR="00B43CCA" w:rsidRPr="00C536CC">
        <w:rPr>
          <w:szCs w:val="22"/>
          <w:lang w:val="en-IE"/>
        </w:rPr>
        <w:t xml:space="preserve"> </w:t>
      </w:r>
      <w:r w:rsidR="00336D67" w:rsidRPr="00C536CC">
        <w:rPr>
          <w:szCs w:val="22"/>
          <w:lang w:val="en-IE"/>
        </w:rPr>
        <w:t>(</w:t>
      </w:r>
      <w:r w:rsidR="000616A3" w:rsidRPr="00C536CC">
        <w:rPr>
          <w:szCs w:val="22"/>
          <w:lang w:val="en-IE"/>
        </w:rPr>
        <w:t>and affiliated entities</w:t>
      </w:r>
      <w:r w:rsidR="00336D67" w:rsidRPr="00C536CC">
        <w:rPr>
          <w:szCs w:val="22"/>
          <w:lang w:val="en-IE"/>
        </w:rPr>
        <w:t>)</w:t>
      </w:r>
      <w:r w:rsidR="000616A3" w:rsidRPr="00C536CC">
        <w:rPr>
          <w:szCs w:val="22"/>
          <w:lang w:val="en-IE"/>
        </w:rPr>
        <w:t xml:space="preserve"> other than (i) natural persons (ii) pillar-assessed entities  and (iii) gove</w:t>
      </w:r>
      <w:r w:rsidR="002C59A2" w:rsidRPr="00C536CC">
        <w:rPr>
          <w:szCs w:val="22"/>
          <w:lang w:val="en-IE"/>
        </w:rPr>
        <w:t xml:space="preserve">rnments and other public bodies </w:t>
      </w:r>
      <w:r w:rsidR="000616A3" w:rsidRPr="00C536CC">
        <w:rPr>
          <w:szCs w:val="22"/>
          <w:lang w:val="en-IE"/>
        </w:rPr>
        <w:t xml:space="preserve">shall assess their internal policy </w:t>
      </w:r>
      <w:r w:rsidR="00CD64F4" w:rsidRPr="00C536CC">
        <w:rPr>
          <w:szCs w:val="22"/>
          <w:lang w:val="en-IE"/>
        </w:rPr>
        <w:t>against</w:t>
      </w:r>
      <w:r w:rsidR="000616A3" w:rsidRPr="00C536CC">
        <w:rPr>
          <w:szCs w:val="22"/>
          <w:lang w:val="en-IE"/>
        </w:rPr>
        <w:t xml:space="preserve"> sexual exploitation, abuse and harassment (SEA-H) through a self-ev</w:t>
      </w:r>
      <w:r w:rsidR="00986510" w:rsidRPr="00C536CC">
        <w:rPr>
          <w:szCs w:val="22"/>
          <w:lang w:val="en-IE"/>
        </w:rPr>
        <w:t>aluation questionnaire</w:t>
      </w:r>
      <w:r w:rsidR="005109A9" w:rsidRPr="00C536CC">
        <w:rPr>
          <w:szCs w:val="22"/>
          <w:lang w:val="en-IE"/>
        </w:rPr>
        <w:t xml:space="preserve"> (Annex L)</w:t>
      </w:r>
      <w:r w:rsidR="000616A3" w:rsidRPr="00C536CC">
        <w:rPr>
          <w:szCs w:val="22"/>
          <w:lang w:val="en-IE"/>
        </w:rPr>
        <w:t xml:space="preserve">. For grants of EUR 60 000 or less no self-evaluation is required. Such self-evaluation questionnaire is not part of the evaluation of the application by the contracting authority, but is an administrative requirement. See section </w:t>
      </w:r>
      <w:r w:rsidRPr="00C536CC">
        <w:rPr>
          <w:szCs w:val="22"/>
          <w:lang w:val="en-IE"/>
        </w:rPr>
        <w:t>6.2.10.</w:t>
      </w:r>
      <w:r w:rsidR="000616A3" w:rsidRPr="00C536CC">
        <w:rPr>
          <w:szCs w:val="22"/>
          <w:lang w:val="en-IE"/>
        </w:rPr>
        <w:t xml:space="preserve"> of the </w:t>
      </w:r>
      <w:r w:rsidRPr="00C536CC">
        <w:rPr>
          <w:szCs w:val="22"/>
          <w:lang w:val="en-IE"/>
        </w:rPr>
        <w:t xml:space="preserve"> </w:t>
      </w:r>
      <w:r w:rsidR="006C5556" w:rsidRPr="00C536CC">
        <w:rPr>
          <w:szCs w:val="22"/>
          <w:lang w:val="en-IE"/>
        </w:rPr>
        <w:t>practical guide</w:t>
      </w:r>
      <w:r w:rsidR="000616A3" w:rsidRPr="00C536CC">
        <w:rPr>
          <w:szCs w:val="22"/>
          <w:lang w:val="en-IE"/>
        </w:rPr>
        <w:t xml:space="preserve">. </w:t>
      </w:r>
    </w:p>
    <w:p w14:paraId="449DA5C6" w14:textId="77777777" w:rsidR="00A80223" w:rsidRPr="00C536CC" w:rsidRDefault="00A80223" w:rsidP="00C536CC">
      <w:pPr>
        <w:spacing w:after="120" w:line="240" w:lineRule="atLeast"/>
        <w:rPr>
          <w:b/>
          <w:bCs/>
          <w:szCs w:val="22"/>
        </w:rPr>
      </w:pPr>
      <w:r w:rsidRPr="00C536CC">
        <w:rPr>
          <w:b/>
          <w:bCs/>
          <w:szCs w:val="22"/>
        </w:rPr>
        <w:t xml:space="preserve">Anti-corruption and anti-bribery </w:t>
      </w:r>
    </w:p>
    <w:p w14:paraId="6EED7C16" w14:textId="77777777" w:rsidR="00CB2541" w:rsidRDefault="00A80223" w:rsidP="00C536CC">
      <w:pPr>
        <w:spacing w:after="120" w:line="240" w:lineRule="atLeast"/>
        <w:rPr>
          <w:szCs w:val="22"/>
        </w:rPr>
      </w:pPr>
      <w:r>
        <w:rPr>
          <w:szCs w:val="22"/>
        </w:rPr>
        <w:t>The applicant</w:t>
      </w:r>
      <w:r w:rsidRPr="00417585">
        <w:rPr>
          <w:szCs w:val="22"/>
        </w:rPr>
        <w:t xml:space="preserve"> shall comply with all applicable laws and regulations and codes relating to anti-bribery and anti-corruption</w:t>
      </w:r>
      <w:r>
        <w:rPr>
          <w:szCs w:val="22"/>
        </w:rPr>
        <w:t xml:space="preserve">. </w:t>
      </w:r>
      <w:r w:rsidRPr="00417585">
        <w:rPr>
          <w:szCs w:val="22"/>
        </w:rPr>
        <w:t xml:space="preserve">The </w:t>
      </w:r>
      <w:r w:rsidR="0055557F">
        <w:rPr>
          <w:szCs w:val="22"/>
        </w:rPr>
        <w:t>contracting authority</w:t>
      </w:r>
      <w:r w:rsidRPr="00417585">
        <w:rPr>
          <w:szCs w:val="22"/>
        </w:rPr>
        <w:t xml:space="preserve">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27BE4C0F" w14:textId="77777777" w:rsidR="00A80223" w:rsidRPr="00C536CC" w:rsidRDefault="00CB2541" w:rsidP="00C536CC">
      <w:pPr>
        <w:spacing w:after="120" w:line="240" w:lineRule="atLeast"/>
        <w:rPr>
          <w:b/>
          <w:bCs/>
          <w:szCs w:val="22"/>
        </w:rPr>
      </w:pPr>
      <w:r>
        <w:rPr>
          <w:szCs w:val="22"/>
        </w:rPr>
        <w:br w:type="page"/>
      </w:r>
      <w:r w:rsidR="00A80223" w:rsidRPr="00C536CC">
        <w:rPr>
          <w:b/>
          <w:bCs/>
          <w:szCs w:val="22"/>
        </w:rPr>
        <w:lastRenderedPageBreak/>
        <w:t xml:space="preserve">Unusual commercial expenses </w:t>
      </w:r>
    </w:p>
    <w:p w14:paraId="4A789CDC" w14:textId="77777777" w:rsidR="00A80223" w:rsidRPr="002B370E" w:rsidRDefault="00A80223" w:rsidP="00C536CC">
      <w:pPr>
        <w:spacing w:after="120" w:line="240" w:lineRule="atLeast"/>
        <w:rPr>
          <w:szCs w:val="22"/>
        </w:rPr>
      </w:pPr>
      <w:r>
        <w:rPr>
          <w:szCs w:val="22"/>
        </w:rPr>
        <w:t>Applications</w:t>
      </w:r>
      <w:r w:rsidRPr="002B370E">
        <w:rPr>
          <w:szCs w:val="22"/>
        </w:rPr>
        <w:t xml:space="preserve">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102693B8" w14:textId="77777777" w:rsidR="00A80223" w:rsidRDefault="00876E0B" w:rsidP="00C536CC">
      <w:pPr>
        <w:spacing w:after="120" w:line="240" w:lineRule="atLeast"/>
        <w:rPr>
          <w:szCs w:val="22"/>
        </w:rPr>
      </w:pPr>
      <w:r>
        <w:rPr>
          <w:szCs w:val="22"/>
        </w:rPr>
        <w:t>Grant beneficiaries</w:t>
      </w:r>
      <w:r w:rsidRPr="002B370E">
        <w:rPr>
          <w:szCs w:val="22"/>
        </w:rPr>
        <w:t xml:space="preserve"> </w:t>
      </w:r>
      <w:r w:rsidR="00A80223" w:rsidRPr="002B370E">
        <w:rPr>
          <w:szCs w:val="22"/>
        </w:rPr>
        <w:t>found to have paid unusual commercial expenses on projects funded by the European Union are liable, depending on the seriousness of the facts observed, to have their contracts terminated or to be excluded from receiving EU</w:t>
      </w:r>
      <w:r>
        <w:rPr>
          <w:szCs w:val="22"/>
        </w:rPr>
        <w:t>/EDF</w:t>
      </w:r>
      <w:r w:rsidR="00A80223" w:rsidRPr="002B370E">
        <w:rPr>
          <w:szCs w:val="22"/>
        </w:rPr>
        <w:t xml:space="preserve"> funds.</w:t>
      </w:r>
    </w:p>
    <w:p w14:paraId="32FDAD9F" w14:textId="77777777" w:rsidR="00A80223" w:rsidRPr="00C536CC" w:rsidRDefault="009A0134" w:rsidP="00C536CC">
      <w:pPr>
        <w:spacing w:after="120" w:line="240" w:lineRule="atLeast"/>
        <w:rPr>
          <w:b/>
          <w:bCs/>
          <w:szCs w:val="22"/>
        </w:rPr>
      </w:pPr>
      <w:r w:rsidRPr="00C536CC">
        <w:rPr>
          <w:b/>
          <w:bCs/>
          <w:szCs w:val="22"/>
        </w:rPr>
        <w:t>Breach of obligations</w:t>
      </w:r>
      <w:r w:rsidR="00A80223" w:rsidRPr="00C536CC">
        <w:rPr>
          <w:b/>
          <w:bCs/>
          <w:szCs w:val="22"/>
        </w:rPr>
        <w:t>, irregularities or fraud</w:t>
      </w:r>
    </w:p>
    <w:p w14:paraId="48FA73F2" w14:textId="77777777" w:rsidR="00A80223" w:rsidRPr="00A23E1B" w:rsidRDefault="00A80223" w:rsidP="00C536CC">
      <w:pPr>
        <w:spacing w:after="120" w:line="240" w:lineRule="atLeast"/>
        <w:rPr>
          <w:szCs w:val="22"/>
        </w:rPr>
      </w:pPr>
      <w:r w:rsidRPr="00725462">
        <w:rPr>
          <w:szCs w:val="22"/>
        </w:rPr>
        <w:t xml:space="preserve">The contracting authority reserves the right to suspend or cancel the procedure, where the award procedure proves to have been subject to substantial </w:t>
      </w:r>
      <w:r w:rsidR="009A0134">
        <w:rPr>
          <w:szCs w:val="22"/>
        </w:rPr>
        <w:t>breach of obligations</w:t>
      </w:r>
      <w:r w:rsidRPr="00725462">
        <w:rPr>
          <w:szCs w:val="22"/>
        </w:rPr>
        <w:t xml:space="preserve">, irregularities or fraud. If substantial </w:t>
      </w:r>
      <w:r w:rsidR="009A0134">
        <w:rPr>
          <w:szCs w:val="22"/>
        </w:rPr>
        <w:t>breach of obligations</w:t>
      </w:r>
      <w:r w:rsidRPr="00725462">
        <w:rPr>
          <w:szCs w:val="22"/>
        </w:rPr>
        <w:t>, irregularities or fraud are discovered after the award of the contract, the contracting authority may refrain from concluding the contract.</w:t>
      </w:r>
    </w:p>
    <w:p w14:paraId="4B3ED3D2" w14:textId="77777777" w:rsidR="00357CC0" w:rsidRPr="00807DAF" w:rsidRDefault="0009588C" w:rsidP="00816803">
      <w:pPr>
        <w:pStyle w:val="Guidelines2"/>
        <w:numPr>
          <w:ilvl w:val="1"/>
          <w:numId w:val="8"/>
        </w:numPr>
      </w:pPr>
      <w:bookmarkStart w:id="27" w:name="_Toc519003420"/>
      <w:bookmarkStart w:id="28" w:name="_Toc216688230"/>
      <w:r w:rsidRPr="00807DAF">
        <w:t>H</w:t>
      </w:r>
      <w:r w:rsidR="00357CC0" w:rsidRPr="00807DAF">
        <w:t>ow to apply and the procedures to follow</w:t>
      </w:r>
      <w:bookmarkEnd w:id="27"/>
      <w:bookmarkEnd w:id="28"/>
    </w:p>
    <w:p w14:paraId="4450EF03" w14:textId="77777777" w:rsidR="0007408E" w:rsidRPr="0055557F" w:rsidRDefault="0007408E" w:rsidP="00816803">
      <w:pPr>
        <w:pStyle w:val="Guidelines3"/>
        <w:numPr>
          <w:ilvl w:val="2"/>
          <w:numId w:val="10"/>
        </w:numPr>
      </w:pPr>
      <w:bookmarkStart w:id="29" w:name="_Toc216688231"/>
      <w:r w:rsidRPr="006769D7">
        <w:t>Application for</w:t>
      </w:r>
      <w:r w:rsidR="005D7AF3" w:rsidRPr="006769D7">
        <w:t>ms</w:t>
      </w:r>
      <w:bookmarkEnd w:id="29"/>
      <w:r w:rsidR="005D7AF3" w:rsidRPr="006769D7">
        <w:t xml:space="preserve"> </w:t>
      </w:r>
      <w:r w:rsidRPr="0055557F">
        <w:t xml:space="preserve"> </w:t>
      </w:r>
    </w:p>
    <w:p w14:paraId="6FEE2A1E" w14:textId="77777777" w:rsidR="00ED0ED0" w:rsidRDefault="00ED0ED0" w:rsidP="00ED0ED0">
      <w:pPr>
        <w:spacing w:after="120" w:line="240" w:lineRule="atLeast"/>
      </w:pPr>
      <w:r>
        <w:t>Applications must be submitted in accordance with the instructions on the concept note and the full applications in the grant application form annexed to these guidelines (Annex A). Lead applicants should then keep strictly to the format of the grant application form and fill in the paragraphs and pages in order.</w:t>
      </w:r>
    </w:p>
    <w:p w14:paraId="1ED2AD8C" w14:textId="77777777" w:rsidR="00ED0ED0" w:rsidRDefault="00ED0ED0" w:rsidP="00ED0ED0">
      <w:pPr>
        <w:spacing w:after="120" w:line="240" w:lineRule="atLeast"/>
      </w:pPr>
      <w:r>
        <w:t xml:space="preserve">Applicants must apply in English. </w:t>
      </w:r>
      <w:r>
        <w:tab/>
      </w:r>
    </w:p>
    <w:p w14:paraId="13589606" w14:textId="77777777" w:rsidR="00ED0ED0" w:rsidRDefault="00ED0ED0" w:rsidP="00ED0ED0">
      <w:pPr>
        <w:spacing w:after="120" w:line="240" w:lineRule="atLeast"/>
      </w:pPr>
      <w:r w:rsidRPr="00ED0ED0">
        <w:rPr>
          <w:b/>
          <w:bCs/>
        </w:rPr>
        <w:t>The maximum length for the concept note is 6 pages, and for the full proposal 40 pages.</w:t>
      </w:r>
      <w:r>
        <w:t xml:space="preserve"> </w:t>
      </w:r>
    </w:p>
    <w:p w14:paraId="48802691" w14:textId="77777777" w:rsidR="00ED0ED0" w:rsidRPr="00187207" w:rsidRDefault="00ED0ED0" w:rsidP="00ED0ED0">
      <w:pPr>
        <w:pStyle w:val="Zkladntext"/>
        <w:spacing w:before="113"/>
        <w:ind w:right="387"/>
      </w:pPr>
      <w:r w:rsidRPr="00187207">
        <w:rPr>
          <w:color w:val="000000"/>
        </w:rPr>
        <w:t>Candidates may add annexes to their full proposals, but those should only be illustrative and not contain essential required information.</w:t>
      </w:r>
    </w:p>
    <w:p w14:paraId="77545FF7" w14:textId="77777777" w:rsidR="00ED0ED0" w:rsidRDefault="00ED0ED0" w:rsidP="00ED0ED0">
      <w:pPr>
        <w:pStyle w:val="Zkladntext"/>
        <w:spacing w:before="124"/>
      </w:pPr>
      <w:r>
        <w:t>Please</w:t>
      </w:r>
      <w:r>
        <w:rPr>
          <w:spacing w:val="-5"/>
        </w:rPr>
        <w:t xml:space="preserve"> </w:t>
      </w:r>
      <w:r>
        <w:t>complete</w:t>
      </w:r>
      <w:r>
        <w:rPr>
          <w:spacing w:val="-5"/>
        </w:rPr>
        <w:t xml:space="preserve"> </w:t>
      </w:r>
      <w:r>
        <w:t>the application</w:t>
      </w:r>
      <w:r>
        <w:rPr>
          <w:spacing w:val="-6"/>
        </w:rPr>
        <w:t xml:space="preserve"> </w:t>
      </w:r>
      <w:r>
        <w:t>form</w:t>
      </w:r>
      <w:r>
        <w:rPr>
          <w:spacing w:val="-4"/>
        </w:rPr>
        <w:t xml:space="preserve"> </w:t>
      </w:r>
      <w:r>
        <w:t>carefully</w:t>
      </w:r>
      <w:r>
        <w:rPr>
          <w:spacing w:val="-3"/>
        </w:rPr>
        <w:t xml:space="preserve"> </w:t>
      </w:r>
      <w:r>
        <w:t>and</w:t>
      </w:r>
      <w:r>
        <w:rPr>
          <w:spacing w:val="-5"/>
        </w:rPr>
        <w:t xml:space="preserve"> </w:t>
      </w:r>
      <w:r>
        <w:t>as</w:t>
      </w:r>
      <w:r>
        <w:rPr>
          <w:spacing w:val="-2"/>
        </w:rPr>
        <w:t xml:space="preserve"> </w:t>
      </w:r>
      <w:r>
        <w:t>clearly</w:t>
      </w:r>
      <w:r>
        <w:rPr>
          <w:spacing w:val="-6"/>
        </w:rPr>
        <w:t xml:space="preserve"> </w:t>
      </w:r>
      <w:r>
        <w:t>as</w:t>
      </w:r>
      <w:r>
        <w:rPr>
          <w:spacing w:val="-2"/>
        </w:rPr>
        <w:t xml:space="preserve"> </w:t>
      </w:r>
      <w:r>
        <w:t>possible</w:t>
      </w:r>
      <w:r>
        <w:rPr>
          <w:spacing w:val="-3"/>
        </w:rPr>
        <w:t xml:space="preserve"> </w:t>
      </w:r>
      <w:r>
        <w:t>so</w:t>
      </w:r>
      <w:r>
        <w:rPr>
          <w:spacing w:val="-5"/>
        </w:rPr>
        <w:t xml:space="preserve"> </w:t>
      </w:r>
      <w:r>
        <w:t>that</w:t>
      </w:r>
      <w:r>
        <w:rPr>
          <w:spacing w:val="-2"/>
        </w:rPr>
        <w:t xml:space="preserve"> </w:t>
      </w:r>
      <w:r>
        <w:t>it</w:t>
      </w:r>
      <w:r>
        <w:rPr>
          <w:spacing w:val="-5"/>
        </w:rPr>
        <w:t xml:space="preserve"> </w:t>
      </w:r>
      <w:r>
        <w:t>can</w:t>
      </w:r>
      <w:r>
        <w:rPr>
          <w:spacing w:val="-2"/>
        </w:rPr>
        <w:t xml:space="preserve"> </w:t>
      </w:r>
      <w:r>
        <w:t>be</w:t>
      </w:r>
      <w:r>
        <w:rPr>
          <w:spacing w:val="-5"/>
        </w:rPr>
        <w:t xml:space="preserve"> </w:t>
      </w:r>
      <w:r>
        <w:t>assessed</w:t>
      </w:r>
      <w:r>
        <w:rPr>
          <w:spacing w:val="-2"/>
        </w:rPr>
        <w:t xml:space="preserve"> properly.</w:t>
      </w:r>
    </w:p>
    <w:p w14:paraId="7AF27805" w14:textId="77777777" w:rsidR="00DE3794" w:rsidRPr="00092AB2" w:rsidRDefault="00DE3794" w:rsidP="00DE3794">
      <w:pPr>
        <w:pStyle w:val="Normal-box"/>
        <w:spacing w:before="0" w:line="240" w:lineRule="atLeast"/>
        <w:rPr>
          <w:b/>
          <w:lang w:val="en-IE" w:eastAsia="en-GB"/>
        </w:rPr>
      </w:pPr>
      <w:r w:rsidRPr="00092AB2">
        <w:rPr>
          <w:b/>
          <w:lang w:val="en-IE" w:eastAsia="en-GB"/>
        </w:rPr>
        <w:t>WARNING</w:t>
      </w:r>
    </w:p>
    <w:p w14:paraId="42F34A3B" w14:textId="77777777" w:rsidR="00DE3794" w:rsidRPr="00667948" w:rsidRDefault="00DE3794" w:rsidP="00DE3794">
      <w:pPr>
        <w:pStyle w:val="Normal-box"/>
        <w:spacing w:before="0" w:line="240" w:lineRule="atLeast"/>
        <w:rPr>
          <w:lang w:val="en-IE" w:eastAsia="en-GB"/>
        </w:rPr>
      </w:pPr>
      <w:r w:rsidRPr="00667948">
        <w:rPr>
          <w:lang w:val="en-IE" w:eastAsia="en-GB"/>
        </w:rPr>
        <w:t xml:space="preserve">The title of your proposal will become, if selected, the subject matter of the grant contract that will be signed with your organisation. </w:t>
      </w:r>
    </w:p>
    <w:p w14:paraId="0A73A15D" w14:textId="77777777" w:rsidR="00DE3794" w:rsidRPr="00092AB2" w:rsidRDefault="00DE3794" w:rsidP="00DE3794">
      <w:pPr>
        <w:pStyle w:val="Normal-box"/>
        <w:spacing w:before="0" w:line="240" w:lineRule="atLeast"/>
        <w:rPr>
          <w:lang w:val="en-IE" w:eastAsia="en-GB"/>
        </w:rPr>
      </w:pPr>
      <w:r w:rsidRPr="00667948">
        <w:rPr>
          <w:lang w:val="en-IE" w:eastAsia="en-GB"/>
        </w:rPr>
        <w:t xml:space="preserve">On the </w:t>
      </w:r>
      <w:hyperlink r:id="rId26" w:history="1">
        <w:r w:rsidRPr="00F83818">
          <w:rPr>
            <w:rStyle w:val="Hypertextovodkaz"/>
            <w:lang w:val="en-IE" w:eastAsia="en-GB"/>
          </w:rPr>
          <w:t>Europa website</w:t>
        </w:r>
      </w:hyperlink>
      <w:r w:rsidRPr="00667948">
        <w:rPr>
          <w:lang w:val="en-IE" w:eastAsia="en-GB"/>
        </w:rPr>
        <w:t xml:space="preserve">, the field ‘Public subject’, using the title of the selected proposal, is used for publication in the Financial Transparency System (FTS) of all EU grants. </w:t>
      </w:r>
      <w:r w:rsidRPr="00092AB2">
        <w:rPr>
          <w:lang w:val="en-IE" w:eastAsia="en-GB"/>
        </w:rPr>
        <w:t>This field, being intended for the general public, should provide general and clear information on the purpose of the expenditure.</w:t>
      </w:r>
    </w:p>
    <w:p w14:paraId="11021DCB" w14:textId="77777777" w:rsidR="00DE3794" w:rsidRPr="00092AB2" w:rsidRDefault="00DE3794" w:rsidP="00DE3794">
      <w:pPr>
        <w:pStyle w:val="Normal-box"/>
        <w:spacing w:before="0" w:line="240" w:lineRule="atLeast"/>
        <w:rPr>
          <w:lang w:val="en-IE" w:eastAsia="en-GB"/>
        </w:rPr>
      </w:pPr>
      <w:r w:rsidRPr="00092AB2">
        <w:rPr>
          <w:lang w:val="en-IE" w:eastAsia="en-GB"/>
        </w:rPr>
        <w:t>We therefore recommend to define the subject matter of your proposal along the following indications.</w:t>
      </w:r>
    </w:p>
    <w:p w14:paraId="193DA048" w14:textId="77777777" w:rsidR="00DE3794" w:rsidRPr="00092AB2" w:rsidRDefault="00DE3794" w:rsidP="00DE3794">
      <w:pPr>
        <w:pStyle w:val="Normal-box"/>
        <w:spacing w:before="0" w:line="240" w:lineRule="atLeast"/>
        <w:rPr>
          <w:lang w:val="en-IE" w:eastAsia="en-GB"/>
        </w:rPr>
      </w:pPr>
      <w:r w:rsidRPr="00092AB2">
        <w:rPr>
          <w:lang w:val="en-IE" w:eastAsia="en-GB"/>
        </w:rPr>
        <w:t xml:space="preserve">An appropriate subject: </w:t>
      </w:r>
    </w:p>
    <w:p w14:paraId="6C3AB216" w14:textId="77777777" w:rsidR="00DE3794" w:rsidRPr="00092AB2" w:rsidRDefault="00DE3794" w:rsidP="00DE3794">
      <w:pPr>
        <w:pStyle w:val="Normal-box"/>
        <w:spacing w:before="0" w:line="240" w:lineRule="atLeast"/>
        <w:rPr>
          <w:lang w:val="en-IE" w:eastAsia="en-GB"/>
        </w:rPr>
      </w:pPr>
      <w:r w:rsidRPr="00066C30">
        <w:rPr>
          <w:lang w:val="en-IE" w:eastAsia="en-GB"/>
        </w:rPr>
        <w:t>•</w:t>
      </w:r>
      <w:r>
        <w:rPr>
          <w:lang w:val="en-IE" w:eastAsia="en-GB"/>
        </w:rPr>
        <w:tab/>
      </w:r>
      <w:r w:rsidRPr="00092AB2">
        <w:rPr>
          <w:lang w:val="en-IE" w:eastAsia="en-GB"/>
        </w:rPr>
        <w:t>refers to the content of the project or its objective</w:t>
      </w:r>
      <w:r>
        <w:rPr>
          <w:lang w:val="en-IE" w:eastAsia="en-GB"/>
        </w:rPr>
        <w:t>;</w:t>
      </w:r>
    </w:p>
    <w:p w14:paraId="22CEDE38" w14:textId="77777777" w:rsidR="00DE3794" w:rsidRPr="00092AB2" w:rsidRDefault="00DE3794" w:rsidP="00DE3794">
      <w:pPr>
        <w:pStyle w:val="Normal-box"/>
        <w:spacing w:before="0" w:line="240" w:lineRule="atLeast"/>
        <w:ind w:left="720" w:hanging="720"/>
        <w:rPr>
          <w:lang w:val="en-IE" w:eastAsia="en-GB"/>
        </w:rPr>
      </w:pPr>
      <w:r w:rsidRPr="00066C30">
        <w:rPr>
          <w:lang w:val="en-IE" w:eastAsia="en-GB"/>
        </w:rPr>
        <w:t>•</w:t>
      </w:r>
      <w:r>
        <w:rPr>
          <w:lang w:val="en-IE" w:eastAsia="en-GB"/>
        </w:rPr>
        <w:tab/>
      </w:r>
      <w:r w:rsidRPr="00092AB2">
        <w:rPr>
          <w:lang w:val="en-IE" w:eastAsia="en-GB"/>
        </w:rPr>
        <w:t>does not repeat information available in other fields such as the recipient's name, the programme, the year</w:t>
      </w:r>
      <w:r>
        <w:rPr>
          <w:lang w:val="en-IE" w:eastAsia="en-GB"/>
        </w:rPr>
        <w:t>;</w:t>
      </w:r>
    </w:p>
    <w:p w14:paraId="752FD74B" w14:textId="77777777" w:rsidR="00DE3794" w:rsidRPr="00092AB2" w:rsidRDefault="00DE3794" w:rsidP="00DE3794">
      <w:pPr>
        <w:pStyle w:val="Normal-box"/>
        <w:spacing w:before="0" w:line="240" w:lineRule="atLeast"/>
        <w:rPr>
          <w:lang w:val="en-IE" w:eastAsia="en-GB"/>
        </w:rPr>
      </w:pPr>
      <w:r w:rsidRPr="00066C30">
        <w:rPr>
          <w:lang w:val="en-IE" w:eastAsia="en-GB"/>
        </w:rPr>
        <w:t>•</w:t>
      </w:r>
      <w:r>
        <w:rPr>
          <w:lang w:val="en-IE" w:eastAsia="en-GB"/>
        </w:rPr>
        <w:tab/>
      </w:r>
      <w:r w:rsidRPr="00092AB2">
        <w:rPr>
          <w:lang w:val="en-IE" w:eastAsia="en-GB"/>
        </w:rPr>
        <w:t>is preferably written in English</w:t>
      </w:r>
      <w:r>
        <w:rPr>
          <w:lang w:val="en-IE" w:eastAsia="en-GB"/>
        </w:rPr>
        <w:t>;</w:t>
      </w:r>
    </w:p>
    <w:p w14:paraId="476346FD" w14:textId="77777777" w:rsidR="00DE3794" w:rsidRPr="00092AB2" w:rsidRDefault="00DE3794" w:rsidP="00DE3794">
      <w:pPr>
        <w:pStyle w:val="Normal-box"/>
        <w:spacing w:before="0" w:line="240" w:lineRule="atLeast"/>
        <w:rPr>
          <w:lang w:val="en-IE" w:eastAsia="en-GB"/>
        </w:rPr>
      </w:pPr>
      <w:r w:rsidRPr="00066C30">
        <w:rPr>
          <w:lang w:val="en-IE" w:eastAsia="en-GB"/>
        </w:rPr>
        <w:t>•</w:t>
      </w:r>
      <w:r>
        <w:rPr>
          <w:lang w:val="en-IE" w:eastAsia="en-GB"/>
        </w:rPr>
        <w:tab/>
      </w:r>
      <w:r w:rsidRPr="00092AB2">
        <w:rPr>
          <w:lang w:val="en-IE" w:eastAsia="en-GB"/>
        </w:rPr>
        <w:t>may contain acronyms if relevant for the citizens</w:t>
      </w:r>
      <w:r>
        <w:rPr>
          <w:lang w:val="en-IE" w:eastAsia="en-GB"/>
        </w:rPr>
        <w:t>;</w:t>
      </w:r>
    </w:p>
    <w:p w14:paraId="46A743BB" w14:textId="77777777" w:rsidR="00DE3794" w:rsidRPr="00092AB2" w:rsidRDefault="00DE3794" w:rsidP="00DE3794">
      <w:pPr>
        <w:pStyle w:val="Normal-box"/>
        <w:spacing w:before="0" w:line="240" w:lineRule="atLeast"/>
        <w:rPr>
          <w:lang w:val="en-IE" w:eastAsia="en-GB"/>
        </w:rPr>
      </w:pPr>
      <w:r w:rsidRPr="00066C30">
        <w:rPr>
          <w:lang w:val="en-IE" w:eastAsia="en-GB"/>
        </w:rPr>
        <w:t>•</w:t>
      </w:r>
      <w:r>
        <w:rPr>
          <w:lang w:val="en-IE" w:eastAsia="en-GB"/>
        </w:rPr>
        <w:tab/>
      </w:r>
      <w:r w:rsidRPr="00092AB2">
        <w:rPr>
          <w:lang w:val="en-IE" w:eastAsia="en-GB"/>
        </w:rPr>
        <w:t>may contain the reference to the project or programme</w:t>
      </w:r>
      <w:r>
        <w:rPr>
          <w:lang w:val="en-IE" w:eastAsia="en-GB"/>
        </w:rPr>
        <w:t>.</w:t>
      </w:r>
    </w:p>
    <w:p w14:paraId="19DE4563" w14:textId="77777777" w:rsidR="0007408E" w:rsidRPr="006769D7" w:rsidRDefault="000C6140" w:rsidP="00C536CC">
      <w:pPr>
        <w:spacing w:after="120" w:line="240" w:lineRule="atLeast"/>
        <w:rPr>
          <w:color w:val="000000"/>
        </w:rPr>
      </w:pPr>
      <w:r w:rsidRPr="006769D7">
        <w:rPr>
          <w:color w:val="000000"/>
        </w:rPr>
        <w:t xml:space="preserve">Any </w:t>
      </w:r>
      <w:r w:rsidR="0067762C" w:rsidRPr="006769D7">
        <w:rPr>
          <w:color w:val="000000"/>
        </w:rPr>
        <w:t>error</w:t>
      </w:r>
      <w:r w:rsidR="000745FC" w:rsidRPr="006769D7">
        <w:rPr>
          <w:color w:val="000000"/>
        </w:rPr>
        <w:t xml:space="preserve"> </w:t>
      </w:r>
      <w:r w:rsidR="00C5520A" w:rsidRPr="006769D7">
        <w:rPr>
          <w:color w:val="000000"/>
        </w:rPr>
        <w:t xml:space="preserve">or major discrepancy </w:t>
      </w:r>
      <w:r w:rsidR="001E3BA7" w:rsidRPr="006769D7">
        <w:rPr>
          <w:color w:val="000000"/>
        </w:rPr>
        <w:t xml:space="preserve">related to the points listed in the </w:t>
      </w:r>
      <w:r w:rsidR="00C5520A" w:rsidRPr="006769D7">
        <w:rPr>
          <w:color w:val="000000"/>
        </w:rPr>
        <w:t xml:space="preserve">instructions on the </w:t>
      </w:r>
      <w:r w:rsidR="00661830" w:rsidRPr="006769D7">
        <w:rPr>
          <w:color w:val="000000"/>
        </w:rPr>
        <w:t>c</w:t>
      </w:r>
      <w:r w:rsidR="00C5520A" w:rsidRPr="006769D7">
        <w:rPr>
          <w:color w:val="000000"/>
        </w:rPr>
        <w:t xml:space="preserve">oncept </w:t>
      </w:r>
      <w:r w:rsidR="00661830" w:rsidRPr="006769D7">
        <w:rPr>
          <w:color w:val="000000"/>
        </w:rPr>
        <w:t>n</w:t>
      </w:r>
      <w:r w:rsidR="00C5520A" w:rsidRPr="006769D7">
        <w:rPr>
          <w:color w:val="000000"/>
        </w:rPr>
        <w:t>ote</w:t>
      </w:r>
      <w:r w:rsidR="001E3BA7" w:rsidRPr="006769D7">
        <w:rPr>
          <w:color w:val="000000"/>
        </w:rPr>
        <w:t xml:space="preserve"> or any major inconsistency </w:t>
      </w:r>
      <w:r w:rsidRPr="006769D7">
        <w:rPr>
          <w:color w:val="000000"/>
        </w:rPr>
        <w:t xml:space="preserve">in the </w:t>
      </w:r>
      <w:r w:rsidR="001E3BA7" w:rsidRPr="006769D7">
        <w:rPr>
          <w:color w:val="000000"/>
        </w:rPr>
        <w:t xml:space="preserve">application </w:t>
      </w:r>
      <w:r w:rsidR="005913EB" w:rsidRPr="006769D7">
        <w:rPr>
          <w:color w:val="000000"/>
        </w:rPr>
        <w:t>e.g.</w:t>
      </w:r>
      <w:r w:rsidR="00DB4235" w:rsidRPr="006769D7">
        <w:rPr>
          <w:color w:val="000000"/>
        </w:rPr>
        <w:t xml:space="preserve"> </w:t>
      </w:r>
      <w:r w:rsidR="00A030A6" w:rsidRPr="006769D7">
        <w:rPr>
          <w:color w:val="000000"/>
        </w:rPr>
        <w:t xml:space="preserve">if </w:t>
      </w:r>
      <w:r w:rsidR="005913EB" w:rsidRPr="006769D7">
        <w:rPr>
          <w:color w:val="000000"/>
        </w:rPr>
        <w:t xml:space="preserve">the amounts in the budget </w:t>
      </w:r>
      <w:r w:rsidR="00AD5C5F" w:rsidRPr="006769D7">
        <w:rPr>
          <w:color w:val="000000"/>
        </w:rPr>
        <w:t>worksheets are inconsistent</w:t>
      </w:r>
      <w:r w:rsidR="005913EB" w:rsidRPr="006769D7">
        <w:rPr>
          <w:color w:val="000000"/>
        </w:rPr>
        <w:t>)</w:t>
      </w:r>
      <w:r w:rsidR="001E3BA7" w:rsidRPr="006769D7">
        <w:rPr>
          <w:color w:val="000000"/>
        </w:rPr>
        <w:t xml:space="preserve"> </w:t>
      </w:r>
      <w:r w:rsidR="005847BF" w:rsidRPr="006769D7">
        <w:rPr>
          <w:color w:val="000000"/>
        </w:rPr>
        <w:t>may</w:t>
      </w:r>
      <w:r w:rsidR="006D5029" w:rsidRPr="006769D7">
        <w:rPr>
          <w:color w:val="000000"/>
        </w:rPr>
        <w:t xml:space="preserve"> lead to the rejection of the </w:t>
      </w:r>
      <w:r w:rsidR="006459C5" w:rsidRPr="006769D7">
        <w:rPr>
          <w:color w:val="000000"/>
        </w:rPr>
        <w:t>application</w:t>
      </w:r>
      <w:r w:rsidR="006D5029" w:rsidRPr="006769D7">
        <w:rPr>
          <w:color w:val="000000"/>
        </w:rPr>
        <w:t>.</w:t>
      </w:r>
    </w:p>
    <w:p w14:paraId="7F18A261" w14:textId="77777777" w:rsidR="00DE3794" w:rsidRDefault="00606C25" w:rsidP="006C5556">
      <w:pPr>
        <w:spacing w:after="120" w:line="240" w:lineRule="atLeast"/>
        <w:rPr>
          <w:color w:val="000000"/>
        </w:rPr>
      </w:pPr>
      <w:r w:rsidRPr="006769D7">
        <w:rPr>
          <w:color w:val="000000"/>
        </w:rPr>
        <w:t xml:space="preserve">Clarifications will only be requested when </w:t>
      </w:r>
      <w:r w:rsidR="00A030A6" w:rsidRPr="006769D7">
        <w:rPr>
          <w:color w:val="000000"/>
        </w:rPr>
        <w:t xml:space="preserve">the </w:t>
      </w:r>
      <w:r w:rsidRPr="006769D7">
        <w:rPr>
          <w:color w:val="000000"/>
        </w:rPr>
        <w:t>information provided is unclear</w:t>
      </w:r>
      <w:r w:rsidR="00A030A6" w:rsidRPr="006769D7">
        <w:rPr>
          <w:color w:val="000000"/>
        </w:rPr>
        <w:t xml:space="preserve"> and</w:t>
      </w:r>
      <w:r w:rsidRPr="006769D7">
        <w:rPr>
          <w:color w:val="000000"/>
        </w:rPr>
        <w:t xml:space="preserve"> thus prevent</w:t>
      </w:r>
      <w:r w:rsidR="00A030A6" w:rsidRPr="006769D7">
        <w:rPr>
          <w:color w:val="000000"/>
        </w:rPr>
        <w:t>s</w:t>
      </w:r>
      <w:r w:rsidRPr="006769D7">
        <w:rPr>
          <w:color w:val="000000"/>
        </w:rPr>
        <w:t xml:space="preserve"> the Contracting Authority from conducting an objective assessment.</w:t>
      </w:r>
      <w:r w:rsidR="00AD7820">
        <w:rPr>
          <w:color w:val="000000"/>
        </w:rPr>
        <w:t xml:space="preserve"> </w:t>
      </w:r>
    </w:p>
    <w:p w14:paraId="6F1A6503" w14:textId="77777777" w:rsidR="00E16F20" w:rsidRDefault="0001485A" w:rsidP="006C5556">
      <w:pPr>
        <w:spacing w:after="120" w:line="240" w:lineRule="atLeast"/>
        <w:rPr>
          <w:b/>
          <w:color w:val="000000"/>
          <w:lang w:eastAsia="en-GB"/>
        </w:rPr>
      </w:pPr>
      <w:r w:rsidRPr="006769D7">
        <w:rPr>
          <w:color w:val="000000"/>
          <w:lang w:eastAsia="en-GB"/>
        </w:rPr>
        <w:lastRenderedPageBreak/>
        <w:t xml:space="preserve">Please note that only the </w:t>
      </w:r>
      <w:r w:rsidR="00661830" w:rsidRPr="006769D7">
        <w:rPr>
          <w:color w:val="000000"/>
          <w:lang w:eastAsia="en-GB"/>
        </w:rPr>
        <w:t xml:space="preserve">grant </w:t>
      </w:r>
      <w:r w:rsidRPr="006769D7">
        <w:rPr>
          <w:color w:val="000000"/>
          <w:lang w:eastAsia="en-GB"/>
        </w:rPr>
        <w:t xml:space="preserve">application form and the </w:t>
      </w:r>
      <w:r w:rsidR="000745FC" w:rsidRPr="006769D7">
        <w:rPr>
          <w:color w:val="000000"/>
          <w:lang w:eastAsia="en-GB"/>
        </w:rPr>
        <w:t xml:space="preserve">published </w:t>
      </w:r>
      <w:r w:rsidRPr="006769D7">
        <w:rPr>
          <w:color w:val="000000"/>
          <w:lang w:eastAsia="en-GB"/>
        </w:rPr>
        <w:t>annexes</w:t>
      </w:r>
      <w:r w:rsidR="000745FC" w:rsidRPr="006769D7">
        <w:rPr>
          <w:color w:val="000000"/>
          <w:lang w:eastAsia="en-GB"/>
        </w:rPr>
        <w:t xml:space="preserve"> which have to be filled in</w:t>
      </w:r>
      <w:r w:rsidRPr="006769D7">
        <w:rPr>
          <w:color w:val="000000"/>
          <w:lang w:eastAsia="en-GB"/>
        </w:rPr>
        <w:t xml:space="preserve"> (budget, logical framework) will be</w:t>
      </w:r>
      <w:r w:rsidR="006E2FAE" w:rsidRPr="006769D7">
        <w:rPr>
          <w:color w:val="000000"/>
          <w:lang w:eastAsia="en-GB"/>
        </w:rPr>
        <w:t xml:space="preserve"> </w:t>
      </w:r>
      <w:r w:rsidR="00C5520A" w:rsidRPr="006769D7">
        <w:rPr>
          <w:color w:val="000000"/>
          <w:lang w:eastAsia="en-GB"/>
        </w:rPr>
        <w:t>evaluated</w:t>
      </w:r>
      <w:r w:rsidRPr="006769D7">
        <w:rPr>
          <w:color w:val="000000"/>
          <w:lang w:eastAsia="en-GB"/>
        </w:rPr>
        <w:t xml:space="preserve">. It is therefore of utmost importance that these documents contain ALL </w:t>
      </w:r>
      <w:r w:rsidR="00A030A6" w:rsidRPr="006769D7">
        <w:rPr>
          <w:color w:val="000000"/>
          <w:lang w:eastAsia="en-GB"/>
        </w:rPr>
        <w:t xml:space="preserve">the </w:t>
      </w:r>
      <w:r w:rsidRPr="006769D7">
        <w:rPr>
          <w:color w:val="000000"/>
          <w:lang w:eastAsia="en-GB"/>
        </w:rPr>
        <w:t>relevant information concerning the action.</w:t>
      </w:r>
      <w:r w:rsidRPr="006769D7">
        <w:rPr>
          <w:b/>
          <w:color w:val="000000"/>
          <w:lang w:eastAsia="en-GB"/>
        </w:rPr>
        <w:t xml:space="preserve"> </w:t>
      </w:r>
    </w:p>
    <w:p w14:paraId="62A21501" w14:textId="77777777" w:rsidR="00BA29DF" w:rsidRDefault="00623801" w:rsidP="00C536CC">
      <w:pPr>
        <w:spacing w:after="120" w:line="240" w:lineRule="atLeast"/>
        <w:rPr>
          <w:b/>
          <w:szCs w:val="22"/>
          <w:lang w:eastAsia="en-GB"/>
        </w:rPr>
      </w:pPr>
      <w:r>
        <w:rPr>
          <w:b/>
          <w:u w:val="single"/>
        </w:rPr>
        <w:t>Please note that i</w:t>
      </w:r>
      <w:r w:rsidRPr="000972BD">
        <w:rPr>
          <w:b/>
          <w:u w:val="single"/>
        </w:rPr>
        <w:t>ncomplete applications may be rejected.</w:t>
      </w:r>
      <w:r w:rsidRPr="009E1933">
        <w:rPr>
          <w:b/>
        </w:rPr>
        <w:t xml:space="preserve"> </w:t>
      </w:r>
      <w:r>
        <w:rPr>
          <w:b/>
        </w:rPr>
        <w:t>Lead a</w:t>
      </w:r>
      <w:r w:rsidRPr="000972BD">
        <w:rPr>
          <w:b/>
        </w:rPr>
        <w:t xml:space="preserve">pplicants </w:t>
      </w:r>
      <w:r>
        <w:rPr>
          <w:b/>
        </w:rPr>
        <w:t>are advised to</w:t>
      </w:r>
      <w:r w:rsidRPr="000972BD">
        <w:rPr>
          <w:b/>
        </w:rPr>
        <w:t xml:space="preserve"> verify that their application is complete using the checklist (</w:t>
      </w:r>
      <w:r>
        <w:rPr>
          <w:b/>
        </w:rPr>
        <w:t>Annexes A.1 and A.2</w:t>
      </w:r>
      <w:r w:rsidRPr="000972BD">
        <w:rPr>
          <w:b/>
        </w:rPr>
        <w:t>).</w:t>
      </w:r>
      <w:r w:rsidR="008E68C2">
        <w:rPr>
          <w:b/>
        </w:rPr>
        <w:t xml:space="preserve"> </w:t>
      </w:r>
      <w:r w:rsidR="000C1E8F" w:rsidRPr="000C1E8F">
        <w:rPr>
          <w:b/>
          <w:szCs w:val="22"/>
          <w:lang w:eastAsia="en-GB"/>
        </w:rPr>
        <w:t>If it is impossible to register online in PADOR for technical reason</w:t>
      </w:r>
      <w:r w:rsidR="003F1512">
        <w:rPr>
          <w:b/>
          <w:szCs w:val="22"/>
          <w:lang w:eastAsia="en-GB"/>
        </w:rPr>
        <w:t>s,</w:t>
      </w:r>
      <w:r w:rsidR="00872555">
        <w:rPr>
          <w:b/>
          <w:szCs w:val="22"/>
          <w:lang w:eastAsia="en-GB"/>
        </w:rPr>
        <w:t xml:space="preserve"> </w:t>
      </w:r>
      <w:r w:rsidR="00DE3794">
        <w:rPr>
          <w:b/>
          <w:szCs w:val="22"/>
          <w:lang w:eastAsia="en-GB"/>
        </w:rPr>
        <w:t>or for confidentiality and security concerns,</w:t>
      </w:r>
      <w:r w:rsidR="006607B8">
        <w:rPr>
          <w:b/>
          <w:szCs w:val="22"/>
          <w:lang w:eastAsia="en-GB"/>
        </w:rPr>
        <w:t xml:space="preserve"> </w:t>
      </w:r>
      <w:r w:rsidR="00872555">
        <w:rPr>
          <w:b/>
          <w:szCs w:val="22"/>
          <w:lang w:eastAsia="en-GB"/>
        </w:rPr>
        <w:t>the</w:t>
      </w:r>
      <w:r w:rsidR="00E16F20" w:rsidRPr="006769D7">
        <w:rPr>
          <w:b/>
          <w:szCs w:val="22"/>
          <w:lang w:eastAsia="en-GB"/>
        </w:rPr>
        <w:t xml:space="preserve"> lead applicant has to submit </w:t>
      </w:r>
      <w:r w:rsidR="000C1E8F">
        <w:rPr>
          <w:b/>
          <w:szCs w:val="22"/>
          <w:lang w:eastAsia="en-GB"/>
        </w:rPr>
        <w:t>w</w:t>
      </w:r>
      <w:r w:rsidR="000C1E8F" w:rsidRPr="008B2755">
        <w:rPr>
          <w:b/>
          <w:szCs w:val="22"/>
          <w:lang w:eastAsia="en-GB"/>
        </w:rPr>
        <w:t xml:space="preserve">ith the application </w:t>
      </w:r>
      <w:r w:rsidR="00EE2CAF" w:rsidRPr="006769D7">
        <w:rPr>
          <w:b/>
          <w:szCs w:val="22"/>
          <w:lang w:eastAsia="en-GB"/>
        </w:rPr>
        <w:t xml:space="preserve">the </w:t>
      </w:r>
      <w:r w:rsidR="00E16F20" w:rsidRPr="006769D7">
        <w:rPr>
          <w:b/>
          <w:szCs w:val="22"/>
          <w:lang w:eastAsia="en-GB"/>
        </w:rPr>
        <w:t xml:space="preserve">completed </w:t>
      </w:r>
      <w:r w:rsidR="00EE2CAF" w:rsidRPr="006769D7">
        <w:rPr>
          <w:b/>
          <w:szCs w:val="22"/>
          <w:lang w:eastAsia="en-GB"/>
        </w:rPr>
        <w:t xml:space="preserve">PADOR registration </w:t>
      </w:r>
      <w:r w:rsidR="00221350" w:rsidRPr="006769D7">
        <w:rPr>
          <w:b/>
          <w:szCs w:val="22"/>
          <w:lang w:eastAsia="en-GB"/>
        </w:rPr>
        <w:t>f</w:t>
      </w:r>
      <w:r w:rsidR="000176DE" w:rsidRPr="006769D7">
        <w:rPr>
          <w:b/>
          <w:szCs w:val="22"/>
          <w:lang w:eastAsia="en-GB"/>
        </w:rPr>
        <w:t>orm</w:t>
      </w:r>
      <w:r w:rsidR="00E16F20" w:rsidRPr="006769D7">
        <w:rPr>
          <w:b/>
          <w:szCs w:val="22"/>
          <w:lang w:eastAsia="en-GB"/>
        </w:rPr>
        <w:t xml:space="preserve"> (Annex F) for the lead applicant, each co-applicant </w:t>
      </w:r>
      <w:r w:rsidR="00B90B44" w:rsidRPr="009F4FDE">
        <w:rPr>
          <w:b/>
          <w:szCs w:val="22"/>
          <w:lang w:eastAsia="en-GB"/>
        </w:rPr>
        <w:t xml:space="preserve">(if any) </w:t>
      </w:r>
      <w:r w:rsidR="00E16F20" w:rsidRPr="006769D7">
        <w:rPr>
          <w:b/>
          <w:szCs w:val="22"/>
          <w:lang w:eastAsia="en-GB"/>
        </w:rPr>
        <w:t>and each affiliated entit</w:t>
      </w:r>
      <w:r w:rsidR="001862EE">
        <w:rPr>
          <w:b/>
          <w:szCs w:val="22"/>
          <w:lang w:eastAsia="en-GB"/>
        </w:rPr>
        <w:t>y</w:t>
      </w:r>
      <w:r w:rsidR="000616A3" w:rsidRPr="006769D7">
        <w:rPr>
          <w:b/>
          <w:szCs w:val="22"/>
          <w:lang w:eastAsia="en-GB"/>
        </w:rPr>
        <w:t xml:space="preserve"> </w:t>
      </w:r>
      <w:r w:rsidR="00B90B44" w:rsidRPr="00A1702D">
        <w:rPr>
          <w:b/>
          <w:szCs w:val="22"/>
          <w:lang w:eastAsia="en-GB"/>
        </w:rPr>
        <w:t>(if any)</w:t>
      </w:r>
      <w:r w:rsidR="009F3B53">
        <w:rPr>
          <w:b/>
          <w:szCs w:val="22"/>
          <w:lang w:eastAsia="en-GB"/>
        </w:rPr>
        <w:t xml:space="preserve">. </w:t>
      </w:r>
    </w:p>
    <w:p w14:paraId="7F0CBD5F" w14:textId="77777777" w:rsidR="006F3C79" w:rsidRDefault="006F3C79" w:rsidP="006F3C79">
      <w:pPr>
        <w:pStyle w:val="Zkladntext"/>
        <w:spacing w:before="120"/>
        <w:ind w:right="389"/>
      </w:pPr>
      <w:r>
        <w:t>In addition, the following documents shall be submitted by the application deadline together with the application form:</w:t>
      </w:r>
    </w:p>
    <w:p w14:paraId="26C9E8F0" w14:textId="77777777" w:rsidR="006F3C79" w:rsidRDefault="006F3C79" w:rsidP="00816803">
      <w:pPr>
        <w:pStyle w:val="Odstavecseseznamem"/>
        <w:widowControl w:val="0"/>
        <w:numPr>
          <w:ilvl w:val="0"/>
          <w:numId w:val="27"/>
        </w:numPr>
        <w:tabs>
          <w:tab w:val="left" w:pos="779"/>
        </w:tabs>
        <w:autoSpaceDE w:val="0"/>
        <w:autoSpaceDN w:val="0"/>
        <w:spacing w:before="118" w:after="0"/>
        <w:ind w:right="387"/>
      </w:pPr>
      <w:r>
        <w:t>The statutes</w:t>
      </w:r>
      <w:r>
        <w:rPr>
          <w:spacing w:val="-1"/>
        </w:rPr>
        <w:t xml:space="preserve"> </w:t>
      </w:r>
      <w:r>
        <w:t>or articles of association of the lead applicant,</w:t>
      </w:r>
      <w:r>
        <w:rPr>
          <w:spacing w:val="-1"/>
        </w:rPr>
        <w:t xml:space="preserve"> </w:t>
      </w:r>
      <w:r>
        <w:t>(if any) of</w:t>
      </w:r>
      <w:r>
        <w:rPr>
          <w:spacing w:val="-1"/>
        </w:rPr>
        <w:t xml:space="preserve"> </w:t>
      </w:r>
      <w:r>
        <w:t>each co-applicant and</w:t>
      </w:r>
      <w:r>
        <w:rPr>
          <w:spacing w:val="-1"/>
        </w:rPr>
        <w:t xml:space="preserve"> </w:t>
      </w:r>
      <w:r>
        <w:t>(if any) of each affiliated entity. Where the contracting authority has recognised the lead applicant’s, or the co- applicant(s)’s, or their affiliated entity(ies)’s eligibility for another call for proposals under the same budget line within 2 years before the deadline for receipt of applications, it</w:t>
      </w:r>
      <w:r>
        <w:rPr>
          <w:spacing w:val="36"/>
        </w:rPr>
        <w:t xml:space="preserve"> </w:t>
      </w:r>
      <w:r>
        <w:t>shall submit instead, a</w:t>
      </w:r>
      <w:r>
        <w:rPr>
          <w:spacing w:val="40"/>
        </w:rPr>
        <w:t xml:space="preserve"> </w:t>
      </w:r>
      <w:r>
        <w:t>copy of the document proving their eligibility in a former call (e.g. a copy of the special conditions of</w:t>
      </w:r>
      <w:r>
        <w:rPr>
          <w:spacing w:val="40"/>
        </w:rPr>
        <w:t xml:space="preserve"> </w:t>
      </w:r>
      <w:r>
        <w:t>a grant contract received during the reference period), unless a change in legal status has occurred in the meantime.</w:t>
      </w:r>
      <w:r>
        <w:rPr>
          <w:spacing w:val="80"/>
        </w:rPr>
        <w:t xml:space="preserve"> </w:t>
      </w:r>
      <w:r>
        <w:t>This obligation does not apply to international organisations which have been subject of a pillar assessment.</w:t>
      </w:r>
    </w:p>
    <w:p w14:paraId="2AFA09BE" w14:textId="77777777" w:rsidR="006F3C79" w:rsidRDefault="006F3C79" w:rsidP="00816803">
      <w:pPr>
        <w:pStyle w:val="Odstavecseseznamem"/>
        <w:widowControl w:val="0"/>
        <w:numPr>
          <w:ilvl w:val="0"/>
          <w:numId w:val="27"/>
        </w:numPr>
        <w:tabs>
          <w:tab w:val="left" w:pos="779"/>
        </w:tabs>
        <w:autoSpaceDE w:val="0"/>
        <w:autoSpaceDN w:val="0"/>
        <w:spacing w:before="81" w:after="0" w:line="256" w:lineRule="auto"/>
        <w:ind w:right="419"/>
      </w:pPr>
      <w:r>
        <w:t>The</w:t>
      </w:r>
      <w:r w:rsidRPr="003D675F">
        <w:rPr>
          <w:spacing w:val="-1"/>
        </w:rPr>
        <w:t xml:space="preserve"> </w:t>
      </w:r>
      <w:r>
        <w:t>declaration</w:t>
      </w:r>
      <w:r w:rsidRPr="003D675F">
        <w:rPr>
          <w:spacing w:val="-1"/>
        </w:rPr>
        <w:t xml:space="preserve"> </w:t>
      </w:r>
      <w:r>
        <w:t>on</w:t>
      </w:r>
      <w:r w:rsidRPr="003D675F">
        <w:rPr>
          <w:spacing w:val="-1"/>
        </w:rPr>
        <w:t xml:space="preserve"> </w:t>
      </w:r>
      <w:r>
        <w:t>honour</w:t>
      </w:r>
      <w:r w:rsidRPr="003D675F">
        <w:rPr>
          <w:spacing w:val="-3"/>
        </w:rPr>
        <w:t xml:space="preserve"> </w:t>
      </w:r>
      <w:r>
        <w:t>(Annex</w:t>
      </w:r>
      <w:r w:rsidRPr="003D675F">
        <w:rPr>
          <w:spacing w:val="-1"/>
        </w:rPr>
        <w:t xml:space="preserve"> </w:t>
      </w:r>
      <w:r>
        <w:t>H</w:t>
      </w:r>
      <w:r w:rsidRPr="003D675F">
        <w:rPr>
          <w:spacing w:val="-1"/>
        </w:rPr>
        <w:t xml:space="preserve"> </w:t>
      </w:r>
      <w:r>
        <w:t>to</w:t>
      </w:r>
      <w:r w:rsidRPr="003D675F">
        <w:rPr>
          <w:spacing w:val="-1"/>
        </w:rPr>
        <w:t xml:space="preserve"> </w:t>
      </w:r>
      <w:r>
        <w:t>these</w:t>
      </w:r>
      <w:r w:rsidRPr="003D675F">
        <w:rPr>
          <w:spacing w:val="-1"/>
        </w:rPr>
        <w:t xml:space="preserve"> </w:t>
      </w:r>
      <w:r>
        <w:t>guidelines)</w:t>
      </w:r>
      <w:r w:rsidRPr="003D675F">
        <w:rPr>
          <w:spacing w:val="-1"/>
        </w:rPr>
        <w:t xml:space="preserve"> </w:t>
      </w:r>
      <w:r>
        <w:t>signed</w:t>
      </w:r>
      <w:r w:rsidRPr="003D675F">
        <w:rPr>
          <w:spacing w:val="-1"/>
        </w:rPr>
        <w:t xml:space="preserve"> </w:t>
      </w:r>
      <w:r>
        <w:t>by</w:t>
      </w:r>
      <w:r w:rsidRPr="003D675F">
        <w:rPr>
          <w:spacing w:val="-3"/>
        </w:rPr>
        <w:t xml:space="preserve"> </w:t>
      </w:r>
      <w:r>
        <w:t>the</w:t>
      </w:r>
      <w:r w:rsidRPr="003D675F">
        <w:rPr>
          <w:spacing w:val="-1"/>
        </w:rPr>
        <w:t xml:space="preserve"> </w:t>
      </w:r>
      <w:r>
        <w:t>lead</w:t>
      </w:r>
      <w:r w:rsidRPr="003D675F">
        <w:rPr>
          <w:spacing w:val="-1"/>
        </w:rPr>
        <w:t xml:space="preserve"> </w:t>
      </w:r>
      <w:r>
        <w:t>applicant as</w:t>
      </w:r>
      <w:r w:rsidRPr="003D675F">
        <w:rPr>
          <w:spacing w:val="-1"/>
        </w:rPr>
        <w:t xml:space="preserve"> </w:t>
      </w:r>
      <w:r>
        <w:t>well as</w:t>
      </w:r>
      <w:r w:rsidRPr="003D675F">
        <w:rPr>
          <w:spacing w:val="-1"/>
        </w:rPr>
        <w:t xml:space="preserve"> </w:t>
      </w:r>
      <w:r>
        <w:t>all co- applicants and affiliated entities certifying that they are not in one of the exclusion situations (see Section 2.4.2 of the practical guide) where the amount of the grant exceeds EUR 15 000.</w:t>
      </w:r>
    </w:p>
    <w:p w14:paraId="55548D99" w14:textId="77777777" w:rsidR="006F3C79" w:rsidRDefault="006F3C79" w:rsidP="00816803">
      <w:pPr>
        <w:pStyle w:val="Odstavecseseznamem"/>
        <w:widowControl w:val="0"/>
        <w:numPr>
          <w:ilvl w:val="0"/>
          <w:numId w:val="27"/>
        </w:numPr>
        <w:tabs>
          <w:tab w:val="left" w:pos="779"/>
        </w:tabs>
        <w:autoSpaceDE w:val="0"/>
        <w:autoSpaceDN w:val="0"/>
        <w:spacing w:before="81" w:after="0" w:line="256" w:lineRule="auto"/>
        <w:ind w:right="419"/>
      </w:pPr>
      <w:r>
        <w:t>In</w:t>
      </w:r>
      <w:r w:rsidRPr="003D675F">
        <w:rPr>
          <w:spacing w:val="-3"/>
        </w:rPr>
        <w:t xml:space="preserve"> </w:t>
      </w:r>
      <w:r>
        <w:t>addition,</w:t>
      </w:r>
      <w:r w:rsidRPr="003D675F">
        <w:rPr>
          <w:spacing w:val="-5"/>
        </w:rPr>
        <w:t xml:space="preserve"> </w:t>
      </w:r>
      <w:r>
        <w:t>for</w:t>
      </w:r>
      <w:r w:rsidRPr="003D675F">
        <w:rPr>
          <w:spacing w:val="-3"/>
        </w:rPr>
        <w:t xml:space="preserve"> </w:t>
      </w:r>
      <w:r>
        <w:t>the</w:t>
      </w:r>
      <w:r w:rsidRPr="003D675F">
        <w:rPr>
          <w:spacing w:val="-3"/>
        </w:rPr>
        <w:t xml:space="preserve"> </w:t>
      </w:r>
      <w:r>
        <w:t>purpose</w:t>
      </w:r>
      <w:r w:rsidRPr="003D675F">
        <w:rPr>
          <w:spacing w:val="-6"/>
        </w:rPr>
        <w:t xml:space="preserve"> </w:t>
      </w:r>
      <w:r>
        <w:t>of</w:t>
      </w:r>
      <w:r w:rsidRPr="003D675F">
        <w:rPr>
          <w:spacing w:val="-3"/>
        </w:rPr>
        <w:t xml:space="preserve"> </w:t>
      </w:r>
      <w:r>
        <w:t>the</w:t>
      </w:r>
      <w:r w:rsidRPr="003D675F">
        <w:rPr>
          <w:spacing w:val="-3"/>
        </w:rPr>
        <w:t xml:space="preserve"> </w:t>
      </w:r>
      <w:r>
        <w:t>evaluation</w:t>
      </w:r>
      <w:r w:rsidRPr="003D675F">
        <w:rPr>
          <w:spacing w:val="-3"/>
        </w:rPr>
        <w:t xml:space="preserve"> </w:t>
      </w:r>
      <w:r>
        <w:t>of</w:t>
      </w:r>
      <w:r w:rsidRPr="003D675F">
        <w:rPr>
          <w:spacing w:val="-3"/>
        </w:rPr>
        <w:t xml:space="preserve"> </w:t>
      </w:r>
      <w:r>
        <w:t>the</w:t>
      </w:r>
      <w:r w:rsidRPr="003D675F">
        <w:rPr>
          <w:spacing w:val="-3"/>
        </w:rPr>
        <w:t xml:space="preserve"> </w:t>
      </w:r>
      <w:r>
        <w:t>financial</w:t>
      </w:r>
      <w:r w:rsidRPr="003D675F">
        <w:rPr>
          <w:spacing w:val="-2"/>
        </w:rPr>
        <w:t xml:space="preserve"> </w:t>
      </w:r>
      <w:r>
        <w:t>capacity,</w:t>
      </w:r>
      <w:r w:rsidRPr="003D675F">
        <w:rPr>
          <w:spacing w:val="-3"/>
        </w:rPr>
        <w:t xml:space="preserve"> </w:t>
      </w:r>
      <w:r>
        <w:t>the</w:t>
      </w:r>
      <w:r w:rsidRPr="003D675F">
        <w:rPr>
          <w:spacing w:val="-3"/>
        </w:rPr>
        <w:t xml:space="preserve"> </w:t>
      </w:r>
      <w:r>
        <w:t>following</w:t>
      </w:r>
      <w:r w:rsidRPr="003D675F">
        <w:rPr>
          <w:spacing w:val="-3"/>
        </w:rPr>
        <w:t xml:space="preserve"> </w:t>
      </w:r>
      <w:r>
        <w:t>documents</w:t>
      </w:r>
      <w:r w:rsidRPr="003D675F">
        <w:rPr>
          <w:spacing w:val="-3"/>
        </w:rPr>
        <w:t xml:space="preserve"> </w:t>
      </w:r>
      <w:r>
        <w:t>should be submitted</w:t>
      </w:r>
      <w:r>
        <w:rPr>
          <w:rStyle w:val="Znakapoznpodarou"/>
        </w:rPr>
        <w:footnoteReference w:id="18"/>
      </w:r>
      <w:r>
        <w:t>:</w:t>
      </w:r>
    </w:p>
    <w:p w14:paraId="27C8FCAD" w14:textId="77777777" w:rsidR="006F3C79" w:rsidRDefault="006F3C79" w:rsidP="00816803">
      <w:pPr>
        <w:pStyle w:val="Odstavecseseznamem"/>
        <w:widowControl w:val="0"/>
        <w:numPr>
          <w:ilvl w:val="1"/>
          <w:numId w:val="27"/>
        </w:numPr>
        <w:tabs>
          <w:tab w:val="left" w:pos="1346"/>
        </w:tabs>
        <w:autoSpaceDE w:val="0"/>
        <w:autoSpaceDN w:val="0"/>
        <w:spacing w:before="107" w:after="0"/>
        <w:ind w:right="397"/>
      </w:pPr>
      <w:r>
        <w:t>For action grants exceeding</w:t>
      </w:r>
      <w:r>
        <w:rPr>
          <w:spacing w:val="-2"/>
        </w:rPr>
        <w:t xml:space="preserve"> </w:t>
      </w:r>
      <w:r>
        <w:t>EUR 750 000, the lead</w:t>
      </w:r>
      <w:r>
        <w:rPr>
          <w:spacing w:val="-3"/>
        </w:rPr>
        <w:t xml:space="preserve"> </w:t>
      </w:r>
      <w:r>
        <w:t>applicant must</w:t>
      </w:r>
      <w:r>
        <w:rPr>
          <w:spacing w:val="-1"/>
        </w:rPr>
        <w:t xml:space="preserve"> </w:t>
      </w:r>
      <w:r>
        <w:t>provide</w:t>
      </w:r>
      <w:r>
        <w:rPr>
          <w:spacing w:val="-2"/>
        </w:rPr>
        <w:t xml:space="preserve"> </w:t>
      </w:r>
      <w:r>
        <w:t>an</w:t>
      </w:r>
      <w:r>
        <w:rPr>
          <w:spacing w:val="-1"/>
        </w:rPr>
        <w:t xml:space="preserve"> </w:t>
      </w:r>
      <w:r>
        <w:t>audit report produced</w:t>
      </w:r>
      <w:r>
        <w:rPr>
          <w:spacing w:val="-1"/>
        </w:rPr>
        <w:t xml:space="preserve"> </w:t>
      </w:r>
      <w:r>
        <w:t>by</w:t>
      </w:r>
      <w:r>
        <w:rPr>
          <w:spacing w:val="-1"/>
        </w:rPr>
        <w:t xml:space="preserve"> </w:t>
      </w:r>
      <w:r>
        <w:t>an</w:t>
      </w:r>
      <w:r>
        <w:rPr>
          <w:spacing w:val="-1"/>
        </w:rPr>
        <w:t xml:space="preserve"> </w:t>
      </w:r>
      <w:r>
        <w:t>approved</w:t>
      </w:r>
      <w:r>
        <w:rPr>
          <w:spacing w:val="-2"/>
        </w:rPr>
        <w:t xml:space="preserve"> </w:t>
      </w:r>
      <w:r>
        <w:t>external</w:t>
      </w:r>
      <w:r>
        <w:rPr>
          <w:spacing w:val="-1"/>
        </w:rPr>
        <w:t xml:space="preserve"> </w:t>
      </w:r>
      <w:r>
        <w:t>auditor where</w:t>
      </w:r>
      <w:r>
        <w:rPr>
          <w:spacing w:val="-2"/>
        </w:rPr>
        <w:t xml:space="preserve"> </w:t>
      </w:r>
      <w:r>
        <w:t>it is available, and always in cases where a statutory audit is required by EU or national law. That report shall certify the lead applicant accounts for up to the last 3 available financial years.</w:t>
      </w:r>
      <w:r w:rsidRPr="004D3CEB">
        <w:t xml:space="preserve"> </w:t>
      </w:r>
      <w:r>
        <w:t>For s</w:t>
      </w:r>
      <w:r w:rsidRPr="004D3CEB">
        <w:t>tart-ups established within the last three years</w:t>
      </w:r>
      <w:r>
        <w:t>, the accounts of all available financial years shall be certified.</w:t>
      </w:r>
    </w:p>
    <w:p w14:paraId="6492475F" w14:textId="77777777" w:rsidR="006F3C79" w:rsidRDefault="006F3C79" w:rsidP="006F3C79">
      <w:pPr>
        <w:pStyle w:val="Zkladntext"/>
        <w:spacing w:before="121"/>
        <w:ind w:left="1346" w:right="389"/>
      </w:pPr>
      <w:r>
        <w:t>In all other cases, the lead applicant shall provide a self-declaration signed by its authorised representative certifying the validity of its accounts for up to the last 3 available financial years. This</w:t>
      </w:r>
      <w:r>
        <w:rPr>
          <w:spacing w:val="-1"/>
        </w:rPr>
        <w:t xml:space="preserve"> </w:t>
      </w:r>
      <w:r>
        <w:t>requirement</w:t>
      </w:r>
      <w:r>
        <w:rPr>
          <w:spacing w:val="-1"/>
        </w:rPr>
        <w:t xml:space="preserve"> </w:t>
      </w:r>
      <w:r>
        <w:t>shall</w:t>
      </w:r>
      <w:r>
        <w:rPr>
          <w:spacing w:val="-1"/>
        </w:rPr>
        <w:t xml:space="preserve"> </w:t>
      </w:r>
      <w:r>
        <w:t>apply only</w:t>
      </w:r>
      <w:r>
        <w:rPr>
          <w:spacing w:val="-2"/>
        </w:rPr>
        <w:t xml:space="preserve"> </w:t>
      </w:r>
      <w:r>
        <w:t>to</w:t>
      </w:r>
      <w:r>
        <w:rPr>
          <w:spacing w:val="-3"/>
        </w:rPr>
        <w:t xml:space="preserve"> </w:t>
      </w:r>
      <w:r>
        <w:t>the</w:t>
      </w:r>
      <w:r>
        <w:rPr>
          <w:spacing w:val="-2"/>
        </w:rPr>
        <w:t xml:space="preserve"> </w:t>
      </w:r>
      <w:r>
        <w:t>first application made</w:t>
      </w:r>
      <w:r>
        <w:rPr>
          <w:spacing w:val="-2"/>
        </w:rPr>
        <w:t xml:space="preserve"> </w:t>
      </w:r>
      <w:r>
        <w:t>by</w:t>
      </w:r>
      <w:r>
        <w:rPr>
          <w:spacing w:val="-3"/>
        </w:rPr>
        <w:t xml:space="preserve"> </w:t>
      </w:r>
      <w:r>
        <w:t>an</w:t>
      </w:r>
      <w:r>
        <w:rPr>
          <w:spacing w:val="-2"/>
        </w:rPr>
        <w:t xml:space="preserve"> </w:t>
      </w:r>
      <w:r>
        <w:t>applicant</w:t>
      </w:r>
      <w:r>
        <w:rPr>
          <w:spacing w:val="-1"/>
        </w:rPr>
        <w:t xml:space="preserve"> </w:t>
      </w:r>
      <w:r>
        <w:t>to</w:t>
      </w:r>
      <w:r>
        <w:rPr>
          <w:spacing w:val="-3"/>
        </w:rPr>
        <w:t xml:space="preserve"> </w:t>
      </w:r>
      <w:r>
        <w:t>the contracting authority in any one financial year.</w:t>
      </w:r>
    </w:p>
    <w:p w14:paraId="5AC8EF23" w14:textId="77777777" w:rsidR="006F3C79" w:rsidRDefault="006F3C79" w:rsidP="006F3C79">
      <w:pPr>
        <w:pStyle w:val="Zkladntext"/>
        <w:spacing w:before="118" w:line="244" w:lineRule="auto"/>
        <w:ind w:left="1346" w:right="394"/>
      </w:pPr>
      <w:r>
        <w:t>The external audit report as well as the self-declaration certifying the validity of the accounts</w:t>
      </w:r>
      <w:r>
        <w:rPr>
          <w:spacing w:val="80"/>
        </w:rPr>
        <w:t xml:space="preserve"> </w:t>
      </w:r>
      <w:r>
        <w:t>are not required from the co-applicant(s) or affiliated entities (if any).</w:t>
      </w:r>
    </w:p>
    <w:p w14:paraId="698AF392" w14:textId="77777777" w:rsidR="006F3C79" w:rsidRDefault="006F3C79" w:rsidP="006F3C79">
      <w:pPr>
        <w:pStyle w:val="Zkladntext"/>
        <w:spacing w:before="110" w:line="244" w:lineRule="auto"/>
        <w:ind w:left="1346" w:right="392"/>
      </w:pPr>
      <w:r>
        <w:rPr>
          <w:color w:val="000000"/>
        </w:rPr>
        <w:t>This obligation does not apply to secondary and higher education establishments.</w:t>
      </w:r>
    </w:p>
    <w:p w14:paraId="12AF0A6C" w14:textId="77777777" w:rsidR="006F3C79" w:rsidRDefault="006F3C79" w:rsidP="00816803">
      <w:pPr>
        <w:pStyle w:val="Odstavecseseznamem"/>
        <w:widowControl w:val="0"/>
        <w:numPr>
          <w:ilvl w:val="1"/>
          <w:numId w:val="27"/>
        </w:numPr>
        <w:tabs>
          <w:tab w:val="left" w:pos="1346"/>
        </w:tabs>
        <w:autoSpaceDE w:val="0"/>
        <w:autoSpaceDN w:val="0"/>
        <w:spacing w:before="111" w:after="0" w:line="242" w:lineRule="auto"/>
        <w:ind w:right="399"/>
      </w:pPr>
      <w:r>
        <w:t>A copy of the lead applicant’s latest accounts (the profit and loss account and the balance sheet for the last financial year for which</w:t>
      </w:r>
      <w:r>
        <w:rPr>
          <w:spacing w:val="-2"/>
        </w:rPr>
        <w:t xml:space="preserve"> </w:t>
      </w:r>
      <w:r>
        <w:t>the accounts have</w:t>
      </w:r>
      <w:r>
        <w:rPr>
          <w:spacing w:val="-2"/>
        </w:rPr>
        <w:t xml:space="preserve"> </w:t>
      </w:r>
      <w:r>
        <w:t>been closed). A</w:t>
      </w:r>
      <w:r>
        <w:rPr>
          <w:spacing w:val="-1"/>
        </w:rPr>
        <w:t xml:space="preserve"> </w:t>
      </w:r>
      <w:r>
        <w:t>copy</w:t>
      </w:r>
      <w:r>
        <w:rPr>
          <w:spacing w:val="-2"/>
        </w:rPr>
        <w:t xml:space="preserve"> </w:t>
      </w:r>
      <w:r>
        <w:t>of the</w:t>
      </w:r>
      <w:r>
        <w:rPr>
          <w:spacing w:val="-2"/>
        </w:rPr>
        <w:t xml:space="preserve"> </w:t>
      </w:r>
      <w:r>
        <w:t>latest</w:t>
      </w:r>
      <w:r>
        <w:rPr>
          <w:spacing w:val="-1"/>
        </w:rPr>
        <w:t xml:space="preserve"> </w:t>
      </w:r>
      <w:r>
        <w:t>account is neither required from the co-applicant(s) (if any) nor from affiliated entity(ies) (if any).</w:t>
      </w:r>
    </w:p>
    <w:p w14:paraId="602F97AA" w14:textId="77777777" w:rsidR="006F3C79" w:rsidRDefault="006F3C79" w:rsidP="006F3C79">
      <w:pPr>
        <w:pStyle w:val="Zkladntext"/>
        <w:spacing w:before="112" w:line="244" w:lineRule="auto"/>
        <w:ind w:right="390"/>
      </w:pPr>
      <w:r>
        <w:lastRenderedPageBreak/>
        <w:t>These documents must be supplied in the form of originals (blue ink signature or by applying a qualified electronic signature (QES)</w:t>
      </w:r>
      <w:r>
        <w:rPr>
          <w:rStyle w:val="Znakapoznpodarou"/>
        </w:rPr>
        <w:footnoteReference w:id="19"/>
      </w:r>
      <w:r>
        <w:t>), photocopies or scanned versions of blue-ink originals (i.e. showing legible stamps, signatures and dates). Where photocopies or scanned copies are provided, originals shall be kept on file</w:t>
      </w:r>
      <w:r>
        <w:rPr>
          <w:spacing w:val="-1"/>
        </w:rPr>
        <w:t xml:space="preserve"> </w:t>
      </w:r>
      <w:r>
        <w:t>for</w:t>
      </w:r>
      <w:r>
        <w:rPr>
          <w:spacing w:val="-1"/>
        </w:rPr>
        <w:t xml:space="preserve"> </w:t>
      </w:r>
      <w:r>
        <w:t>controls in</w:t>
      </w:r>
      <w:r>
        <w:rPr>
          <w:spacing w:val="-1"/>
        </w:rPr>
        <w:t xml:space="preserve"> </w:t>
      </w:r>
      <w:r>
        <w:t>accordance with</w:t>
      </w:r>
      <w:r>
        <w:rPr>
          <w:spacing w:val="-1"/>
        </w:rPr>
        <w:t xml:space="preserve"> </w:t>
      </w:r>
      <w:r>
        <w:t>the</w:t>
      </w:r>
      <w:r>
        <w:rPr>
          <w:spacing w:val="-1"/>
        </w:rPr>
        <w:t xml:space="preserve"> </w:t>
      </w:r>
      <w:r>
        <w:t>record</w:t>
      </w:r>
      <w:r>
        <w:rPr>
          <w:spacing w:val="-1"/>
        </w:rPr>
        <w:t xml:space="preserve"> </w:t>
      </w:r>
      <w:r>
        <w:t>keeping</w:t>
      </w:r>
      <w:r>
        <w:rPr>
          <w:spacing w:val="-4"/>
        </w:rPr>
        <w:t xml:space="preserve"> </w:t>
      </w:r>
      <w:r>
        <w:t>obligations laid</w:t>
      </w:r>
      <w:r>
        <w:rPr>
          <w:spacing w:val="-2"/>
        </w:rPr>
        <w:t xml:space="preserve"> </w:t>
      </w:r>
      <w:r>
        <w:t>down</w:t>
      </w:r>
      <w:r>
        <w:rPr>
          <w:spacing w:val="-1"/>
        </w:rPr>
        <w:t xml:space="preserve"> </w:t>
      </w:r>
      <w:r>
        <w:t xml:space="preserve">in Section 2.5.5. of the practical </w:t>
      </w:r>
      <w:r>
        <w:rPr>
          <w:spacing w:val="-2"/>
        </w:rPr>
        <w:t>guide.</w:t>
      </w:r>
    </w:p>
    <w:p w14:paraId="1CDA4B12" w14:textId="77777777" w:rsidR="006F3C79" w:rsidRDefault="006F3C79" w:rsidP="006F3C79">
      <w:pPr>
        <w:pStyle w:val="Zkladntext"/>
        <w:spacing w:before="119"/>
        <w:ind w:right="389"/>
      </w:pPr>
      <w:r>
        <w:t>Where such documents are not in one of the official languages of the European Union, a translation into English</w:t>
      </w:r>
      <w:r>
        <w:rPr>
          <w:color w:val="000000"/>
        </w:rPr>
        <w:t xml:space="preserve"> of the relevant parts of these documents proving the lead applicant's and, where applicable, co- applicants' and affiliated entity(ies)' eligibility, must be submitted for the purpose of analysing the</w:t>
      </w:r>
      <w:r>
        <w:rPr>
          <w:color w:val="000000"/>
          <w:spacing w:val="40"/>
        </w:rPr>
        <w:t xml:space="preserve"> </w:t>
      </w:r>
      <w:r>
        <w:rPr>
          <w:color w:val="000000"/>
          <w:spacing w:val="-2"/>
        </w:rPr>
        <w:t>application.</w:t>
      </w:r>
    </w:p>
    <w:p w14:paraId="7D7EC41B" w14:textId="77777777" w:rsidR="006F3C79" w:rsidRDefault="006F3C79" w:rsidP="006F3C79">
      <w:pPr>
        <w:pStyle w:val="Zkladntext"/>
        <w:spacing w:before="120"/>
        <w:ind w:right="392"/>
      </w:pPr>
      <w:r>
        <w:t>Where these documents are in an official language of the European Union other than English</w:t>
      </w:r>
      <w:r>
        <w:rPr>
          <w:color w:val="000000"/>
        </w:rPr>
        <w:t>, it is strongly recommended, in order to facilitate the evaluation, to provide a translation of the relevant parts of the documents, proving the lead applicant's and, where applicable, co-applicants' and affiliated entity(ies)' eligibility, into English.</w:t>
      </w:r>
    </w:p>
    <w:p w14:paraId="03364675" w14:textId="77777777" w:rsidR="006F3C79" w:rsidRDefault="006F3C79" w:rsidP="006F3C79">
      <w:pPr>
        <w:pStyle w:val="Zkladntext"/>
        <w:spacing w:before="120" w:line="242" w:lineRule="auto"/>
        <w:ind w:right="400"/>
      </w:pPr>
      <w:r>
        <w:t>Applicants have to take into consideration the time necessary to obtain official documents from national competent authorities and to translate such documents in the authorised languages while registering their</w:t>
      </w:r>
      <w:r>
        <w:rPr>
          <w:spacing w:val="40"/>
        </w:rPr>
        <w:t xml:space="preserve"> </w:t>
      </w:r>
      <w:r>
        <w:t>data in PADOR.</w:t>
      </w:r>
    </w:p>
    <w:p w14:paraId="5439B9B7" w14:textId="77777777" w:rsidR="001B53C9" w:rsidRPr="006F3C79" w:rsidRDefault="006F3C79" w:rsidP="006F3C79">
      <w:pPr>
        <w:pStyle w:val="Zkladntext"/>
        <w:spacing w:before="112" w:line="244" w:lineRule="auto"/>
        <w:ind w:right="391"/>
      </w:pPr>
      <w:r>
        <w:t>If the abovementioned supporting documents are not provided by the deadline for the submission of the application form, the application may be rejected.</w:t>
      </w:r>
    </w:p>
    <w:p w14:paraId="459678B3" w14:textId="77777777" w:rsidR="0007408E" w:rsidRPr="006769D7" w:rsidRDefault="0007408E" w:rsidP="00816803">
      <w:pPr>
        <w:pStyle w:val="Guidelines3"/>
        <w:numPr>
          <w:ilvl w:val="2"/>
          <w:numId w:val="8"/>
        </w:numPr>
      </w:pPr>
      <w:bookmarkStart w:id="30" w:name="_Toc216688232"/>
      <w:r w:rsidRPr="006769D7">
        <w:t xml:space="preserve">Where and how to send </w:t>
      </w:r>
      <w:r w:rsidR="00661830" w:rsidRPr="006769D7">
        <w:t>a</w:t>
      </w:r>
      <w:r w:rsidRPr="006769D7">
        <w:t>pplications</w:t>
      </w:r>
      <w:bookmarkEnd w:id="30"/>
    </w:p>
    <w:p w14:paraId="38A145FE" w14:textId="77777777" w:rsidR="008B520E" w:rsidRPr="00AE50CF" w:rsidRDefault="008B520E" w:rsidP="00C536CC">
      <w:pPr>
        <w:spacing w:after="120" w:line="240" w:lineRule="atLeast"/>
        <w:rPr>
          <w:lang w:eastAsia="en-GB"/>
        </w:rPr>
      </w:pPr>
      <w:r w:rsidRPr="000972BD">
        <w:rPr>
          <w:lang w:eastAsia="en-GB"/>
        </w:rPr>
        <w:t xml:space="preserve">Applications </w:t>
      </w:r>
      <w:r w:rsidRPr="00011648">
        <w:rPr>
          <w:b/>
          <w:lang w:eastAsia="en-GB"/>
        </w:rPr>
        <w:t>must be submitted online</w:t>
      </w:r>
      <w:r w:rsidRPr="001A5F03">
        <w:rPr>
          <w:lang w:eastAsia="en-GB"/>
        </w:rPr>
        <w:t xml:space="preserve"> via PROSPECT</w:t>
      </w:r>
      <w:r w:rsidRPr="000972BD">
        <w:rPr>
          <w:lang w:eastAsia="en-GB"/>
        </w:rPr>
        <w:t xml:space="preserve"> </w:t>
      </w:r>
      <w:hyperlink r:id="rId27" w:history="1">
        <w:r w:rsidR="004C7598" w:rsidRPr="00BC70CE">
          <w:rPr>
            <w:rStyle w:val="Hypertextovodkaz"/>
          </w:rPr>
          <w:t>https://webgate.ec.europa.eu/prospect</w:t>
        </w:r>
      </w:hyperlink>
      <w:r w:rsidR="004C7598">
        <w:t xml:space="preserve"> </w:t>
      </w:r>
      <w:r w:rsidRPr="000972BD">
        <w:rPr>
          <w:lang w:eastAsia="en-GB"/>
        </w:rPr>
        <w:t>following the instructions given in the</w:t>
      </w:r>
      <w:r>
        <w:rPr>
          <w:lang w:eastAsia="en-GB"/>
        </w:rPr>
        <w:t xml:space="preserve"> PROSPECT</w:t>
      </w:r>
      <w:r w:rsidRPr="000972BD">
        <w:rPr>
          <w:lang w:eastAsia="en-GB"/>
        </w:rPr>
        <w:t xml:space="preserve"> user manual.</w:t>
      </w:r>
    </w:p>
    <w:p w14:paraId="1E06E862" w14:textId="77777777" w:rsidR="00C042CD" w:rsidRDefault="008B520E" w:rsidP="006C5556">
      <w:pPr>
        <w:spacing w:after="120" w:line="240" w:lineRule="atLeast"/>
        <w:rPr>
          <w:lang w:eastAsia="en-GB"/>
        </w:rPr>
      </w:pPr>
      <w:r w:rsidRPr="000972BD">
        <w:rPr>
          <w:lang w:eastAsia="en-GB"/>
        </w:rPr>
        <w:t xml:space="preserve">Upon submission of the application online, </w:t>
      </w:r>
      <w:r>
        <w:rPr>
          <w:lang w:eastAsia="en-GB"/>
        </w:rPr>
        <w:t>the lead applicant</w:t>
      </w:r>
      <w:r w:rsidRPr="000972BD">
        <w:rPr>
          <w:lang w:eastAsia="en-GB"/>
        </w:rPr>
        <w:t xml:space="preserve"> will receive an automatic confirmation of receipt in </w:t>
      </w:r>
      <w:r>
        <w:rPr>
          <w:lang w:eastAsia="en-GB"/>
        </w:rPr>
        <w:t>its</w:t>
      </w:r>
      <w:r w:rsidRPr="000972BD">
        <w:rPr>
          <w:lang w:eastAsia="en-GB"/>
        </w:rPr>
        <w:t xml:space="preserve"> PROSPECT profile.</w:t>
      </w:r>
      <w:r w:rsidRPr="006E5747">
        <w:rPr>
          <w:lang w:eastAsia="en-GB"/>
        </w:rPr>
        <w:t xml:space="preserve"> </w:t>
      </w:r>
    </w:p>
    <w:p w14:paraId="0A0DB98B" w14:textId="77777777" w:rsidR="004842A5" w:rsidRDefault="004842A5" w:rsidP="00C536CC">
      <w:pPr>
        <w:spacing w:after="120" w:line="240" w:lineRule="atLeast"/>
        <w:rPr>
          <w:lang w:eastAsia="en-GB"/>
        </w:rPr>
      </w:pPr>
      <w:r>
        <w:t>The other supporting documents, except the declaration on honour on exclusion criteria, shall be uploaded in PADOR.</w:t>
      </w:r>
    </w:p>
    <w:p w14:paraId="4B93B6FA" w14:textId="77777777" w:rsidR="008B520E" w:rsidRPr="000972BD" w:rsidRDefault="008B520E" w:rsidP="00816803">
      <w:pPr>
        <w:pStyle w:val="Guidelines3"/>
        <w:numPr>
          <w:ilvl w:val="2"/>
          <w:numId w:val="8"/>
        </w:numPr>
      </w:pPr>
      <w:bookmarkStart w:id="31" w:name="_Toc424219186"/>
      <w:bookmarkStart w:id="32" w:name="_Toc216688233"/>
      <w:r w:rsidRPr="000972BD">
        <w:t xml:space="preserve">Deadline for submission of </w:t>
      </w:r>
      <w:r>
        <w:t>a</w:t>
      </w:r>
      <w:r w:rsidRPr="000972BD">
        <w:t>pplications</w:t>
      </w:r>
      <w:bookmarkEnd w:id="31"/>
      <w:bookmarkEnd w:id="32"/>
    </w:p>
    <w:p w14:paraId="7CDF7879" w14:textId="77777777" w:rsidR="00BA4427" w:rsidRDefault="008B520E" w:rsidP="00C536CC">
      <w:pPr>
        <w:spacing w:after="120" w:line="240" w:lineRule="atLeast"/>
        <w:rPr>
          <w:b/>
          <w:szCs w:val="32"/>
        </w:rPr>
      </w:pPr>
      <w:r w:rsidRPr="000972BD">
        <w:t xml:space="preserve">The deadline for the submission of applications </w:t>
      </w:r>
      <w:r w:rsidR="00A30C98" w:rsidRPr="000972BD">
        <w:t>is</w:t>
      </w:r>
      <w:r w:rsidR="00A30C98" w:rsidRPr="00AE50CF">
        <w:t xml:space="preserve"> </w:t>
      </w:r>
      <w:r w:rsidRPr="00E62012">
        <w:rPr>
          <w:noProof/>
        </w:rPr>
        <w:t>16/03/2026</w:t>
      </w:r>
      <w:r w:rsidRPr="00E62012">
        <w:t xml:space="preserve"> at </w:t>
      </w:r>
      <w:r w:rsidRPr="00E62012">
        <w:rPr>
          <w:noProof/>
        </w:rPr>
        <w:t>12:00</w:t>
      </w:r>
      <w:r w:rsidRPr="00086457">
        <w:t xml:space="preserve"> (Brussels date and time). </w:t>
      </w:r>
      <w:r w:rsidRPr="0040468C">
        <w:rPr>
          <w:szCs w:val="32"/>
        </w:rPr>
        <w:t>In order to convert this deadline to local time you can use an</w:t>
      </w:r>
      <w:r>
        <w:rPr>
          <w:szCs w:val="32"/>
        </w:rPr>
        <w:t>y</w:t>
      </w:r>
      <w:r w:rsidRPr="0040468C">
        <w:rPr>
          <w:szCs w:val="32"/>
        </w:rPr>
        <w:t xml:space="preserve"> online time converter tool that takes into account timezones and winter/summer time changes </w:t>
      </w:r>
      <w:r>
        <w:rPr>
          <w:szCs w:val="32"/>
        </w:rPr>
        <w:t>(example available</w:t>
      </w:r>
      <w:r w:rsidRPr="005F491D">
        <w:rPr>
          <w:b/>
          <w:szCs w:val="32"/>
        </w:rPr>
        <w:t xml:space="preserve"> </w:t>
      </w:r>
      <w:hyperlink r:id="rId28" w:history="1">
        <w:r w:rsidRPr="00286BF6">
          <w:rPr>
            <w:rStyle w:val="Hypertextovodkaz"/>
            <w:b/>
            <w:szCs w:val="32"/>
          </w:rPr>
          <w:t>here</w:t>
        </w:r>
      </w:hyperlink>
      <w:r>
        <w:rPr>
          <w:b/>
          <w:szCs w:val="32"/>
        </w:rPr>
        <w:t>)</w:t>
      </w:r>
      <w:r>
        <w:rPr>
          <w:rStyle w:val="Znakapoznpodarou"/>
          <w:b/>
          <w:szCs w:val="32"/>
        </w:rPr>
        <w:footnoteReference w:id="20"/>
      </w:r>
      <w:r>
        <w:rPr>
          <w:b/>
          <w:szCs w:val="32"/>
        </w:rPr>
        <w:t xml:space="preserve">. </w:t>
      </w:r>
    </w:p>
    <w:p w14:paraId="241DAA20" w14:textId="77777777" w:rsidR="008B520E" w:rsidRPr="00AE50CF" w:rsidRDefault="008B520E" w:rsidP="00C536CC">
      <w:pPr>
        <w:spacing w:after="120" w:line="240" w:lineRule="atLeast"/>
      </w:pPr>
      <w:r>
        <w:rPr>
          <w:b/>
        </w:rPr>
        <w:t>Lead a</w:t>
      </w:r>
      <w:r w:rsidRPr="00011648">
        <w:rPr>
          <w:b/>
        </w:rPr>
        <w:t>pplicants are strongly advised not to wait until the last day to submit their applications</w:t>
      </w:r>
      <w:r w:rsidRPr="000972BD">
        <w:t>, since heavy Internet traffic or a fault with the Internet connection (including electricity failure, etc.) could lead to d</w:t>
      </w:r>
      <w:r>
        <w:t>ifficulties in submission. The c</w:t>
      </w:r>
      <w:r w:rsidRPr="000972BD">
        <w:t xml:space="preserve">ontacting </w:t>
      </w:r>
      <w:r>
        <w:t>a</w:t>
      </w:r>
      <w:r w:rsidRPr="000972BD">
        <w:t>uthority cannot be held responsible for any delay due to such aforementioned difficulties.</w:t>
      </w:r>
    </w:p>
    <w:p w14:paraId="21146452" w14:textId="77777777" w:rsidR="006F3C79" w:rsidRDefault="008B520E" w:rsidP="00C536CC">
      <w:pPr>
        <w:spacing w:after="120" w:line="240" w:lineRule="atLeast"/>
        <w:rPr>
          <w:lang w:bidi="kn-IN"/>
        </w:rPr>
      </w:pPr>
      <w:r w:rsidRPr="000972BD">
        <w:t>Any application submitted after the deadline will be rejected.</w:t>
      </w:r>
      <w:r w:rsidRPr="00807DAF">
        <w:rPr>
          <w:lang w:bidi="kn-IN"/>
        </w:rPr>
        <w:t xml:space="preserve"> </w:t>
      </w:r>
    </w:p>
    <w:p w14:paraId="26595756" w14:textId="77777777" w:rsidR="0007408E" w:rsidRPr="006F3C79" w:rsidRDefault="006F3C79" w:rsidP="00816803">
      <w:pPr>
        <w:pStyle w:val="Guidelines3"/>
        <w:numPr>
          <w:ilvl w:val="2"/>
          <w:numId w:val="8"/>
        </w:numPr>
      </w:pPr>
      <w:r>
        <w:rPr>
          <w:lang w:bidi="kn-IN"/>
        </w:rPr>
        <w:br w:type="page"/>
      </w:r>
      <w:bookmarkStart w:id="33" w:name="_Toc216688234"/>
      <w:r w:rsidR="008E4FA0" w:rsidRPr="006769D7">
        <w:lastRenderedPageBreak/>
        <w:t xml:space="preserve">Further information </w:t>
      </w:r>
      <w:r w:rsidR="0009588C" w:rsidRPr="006769D7">
        <w:t>about</w:t>
      </w:r>
      <w:r w:rsidR="008E4FA0" w:rsidRPr="006769D7">
        <w:t xml:space="preserve"> </w:t>
      </w:r>
      <w:r w:rsidR="00693805" w:rsidRPr="006769D7">
        <w:t>a</w:t>
      </w:r>
      <w:r w:rsidR="008E4FA0" w:rsidRPr="006769D7">
        <w:t>pplication</w:t>
      </w:r>
      <w:r w:rsidR="0009588C" w:rsidRPr="006769D7">
        <w:t>s</w:t>
      </w:r>
      <w:bookmarkEnd w:id="33"/>
      <w:r w:rsidR="008E4FA0" w:rsidRPr="006769D7">
        <w:t xml:space="preserve"> </w:t>
      </w:r>
    </w:p>
    <w:tbl>
      <w:tblPr>
        <w:tblStyle w:val="Mkatabulky"/>
        <w:tblW w:w="0" w:type="auto"/>
        <w:tblInd w:w="212" w:type="dxa"/>
        <w:tblLook w:val="0600" w:firstRow="0" w:lastRow="0" w:firstColumn="0" w:lastColumn="0" w:noHBand="1" w:noVBand="1"/>
      </w:tblPr>
      <w:tblGrid>
        <w:gridCol w:w="9416"/>
      </w:tblGrid>
      <w:tr w:rsidR="006F3C79" w:rsidRPr="00096C8B" w14:paraId="5E4D4C61" w14:textId="77777777" w:rsidTr="00EE6D6F">
        <w:tc>
          <w:tcPr>
            <w:tcW w:w="10254" w:type="dxa"/>
          </w:tcPr>
          <w:p w14:paraId="4C7844E6" w14:textId="77777777" w:rsidR="006F3C79" w:rsidRPr="006F3C79" w:rsidRDefault="006F3C79" w:rsidP="00EE6D6F">
            <w:pPr>
              <w:pStyle w:val="Zkladntext"/>
              <w:spacing w:before="120"/>
              <w:rPr>
                <w:b/>
                <w:bCs/>
                <w:szCs w:val="22"/>
              </w:rPr>
            </w:pPr>
            <w:bookmarkStart w:id="34" w:name="_Hlk213670985"/>
            <w:r w:rsidRPr="006F3C79">
              <w:rPr>
                <w:b/>
                <w:bCs/>
                <w:szCs w:val="22"/>
              </w:rPr>
              <w:t>Information session</w:t>
            </w:r>
          </w:p>
          <w:p w14:paraId="3CF81069" w14:textId="77777777" w:rsidR="006F3C79" w:rsidRPr="006F3C79" w:rsidRDefault="006F3C79" w:rsidP="00EE6D6F">
            <w:pPr>
              <w:pStyle w:val="Zkladntext"/>
              <w:rPr>
                <w:szCs w:val="22"/>
              </w:rPr>
            </w:pPr>
            <w:r w:rsidRPr="006F3C79">
              <w:rPr>
                <w:szCs w:val="22"/>
              </w:rPr>
              <w:t xml:space="preserve">To help applicants familiarize themselves with this call before the online submission, </w:t>
            </w:r>
            <w:r w:rsidRPr="006F3C79">
              <w:rPr>
                <w:b/>
                <w:bCs/>
                <w:szCs w:val="22"/>
              </w:rPr>
              <w:t xml:space="preserve">a virtual information session </w:t>
            </w:r>
            <w:r w:rsidRPr="006F3C79">
              <w:rPr>
                <w:szCs w:val="22"/>
              </w:rPr>
              <w:t>will be organised on 20/01/2026 from 11:00 to 13:00 Brussels time.</w:t>
            </w:r>
          </w:p>
          <w:p w14:paraId="139A525B" w14:textId="77777777" w:rsidR="006F3C79" w:rsidRPr="006F3C79" w:rsidRDefault="006F3C79" w:rsidP="00EE6D6F">
            <w:pPr>
              <w:pStyle w:val="Zkladntext"/>
              <w:rPr>
                <w:szCs w:val="22"/>
              </w:rPr>
            </w:pPr>
            <w:r w:rsidRPr="006F3C79">
              <w:rPr>
                <w:szCs w:val="22"/>
              </w:rPr>
              <w:t xml:space="preserve">Should you be interested in this session, please register by 16/01/2026 in </w:t>
            </w:r>
            <w:hyperlink r:id="rId29" w:history="1">
              <w:r w:rsidRPr="006F3C79">
                <w:rPr>
                  <w:rStyle w:val="Hypertextovodkaz"/>
                  <w:b/>
                  <w:bCs/>
                  <w:szCs w:val="22"/>
                  <w:lang w:val="en-US"/>
                </w:rPr>
                <w:t>this link</w:t>
              </w:r>
            </w:hyperlink>
            <w:r w:rsidRPr="006F3C79">
              <w:rPr>
                <w:szCs w:val="22"/>
              </w:rPr>
              <w:t xml:space="preserve"> (max. two participants per organisation).</w:t>
            </w:r>
          </w:p>
          <w:p w14:paraId="2256281B" w14:textId="77777777" w:rsidR="006F3C79" w:rsidRPr="00096C8B" w:rsidRDefault="006F3C79" w:rsidP="00EE6D6F">
            <w:pPr>
              <w:pStyle w:val="Zkladntext"/>
            </w:pPr>
            <w:r w:rsidRPr="006F3C79">
              <w:rPr>
                <w:szCs w:val="22"/>
                <w:lang w:val="en-US"/>
              </w:rPr>
              <w:t>No costs incurred by the applicants for attending this information session are reimbursable.</w:t>
            </w:r>
            <w:r w:rsidRPr="006F3C79" w:rsidDel="0044675C">
              <w:rPr>
                <w:b/>
                <w:szCs w:val="22"/>
                <w:lang w:val="en-US"/>
              </w:rPr>
              <w:t xml:space="preserve"> </w:t>
            </w:r>
          </w:p>
        </w:tc>
      </w:tr>
      <w:bookmarkEnd w:id="34"/>
    </w:tbl>
    <w:p w14:paraId="56780465" w14:textId="77777777" w:rsidR="00346742" w:rsidRPr="00807DAF" w:rsidRDefault="00346742" w:rsidP="00C536CC">
      <w:pPr>
        <w:spacing w:after="120" w:line="240" w:lineRule="atLeast"/>
      </w:pPr>
    </w:p>
    <w:p w14:paraId="554D8AC1" w14:textId="77777777" w:rsidR="0007408E" w:rsidRPr="007B1B61" w:rsidRDefault="0007408E" w:rsidP="00C536CC">
      <w:pPr>
        <w:spacing w:after="120" w:line="240" w:lineRule="atLeast"/>
      </w:pPr>
      <w:r w:rsidRPr="006769D7">
        <w:t>Questions may be sent by e-mail</w:t>
      </w:r>
      <w:r w:rsidR="000603C3" w:rsidRPr="006769D7">
        <w:t xml:space="preserve"> </w:t>
      </w:r>
      <w:r w:rsidRPr="006769D7">
        <w:t xml:space="preserve">no later than 21 days before the deadline for the </w:t>
      </w:r>
      <w:r w:rsidR="006548FC" w:rsidRPr="006769D7">
        <w:t xml:space="preserve">submission </w:t>
      </w:r>
      <w:r w:rsidRPr="006769D7">
        <w:t xml:space="preserve">of </w:t>
      </w:r>
      <w:r w:rsidR="006459C5" w:rsidRPr="006769D7">
        <w:t>application</w:t>
      </w:r>
      <w:r w:rsidRPr="006769D7">
        <w:t xml:space="preserve">s to the </w:t>
      </w:r>
      <w:r w:rsidR="00C5520A" w:rsidRPr="006769D7">
        <w:t xml:space="preserve">below </w:t>
      </w:r>
      <w:r w:rsidR="00CA5801" w:rsidRPr="006769D7">
        <w:t>address</w:t>
      </w:r>
      <w:r w:rsidR="00ED1EE1" w:rsidRPr="006769D7">
        <w:t>(</w:t>
      </w:r>
      <w:r w:rsidR="00F91FAA" w:rsidRPr="006769D7">
        <w:t>e</w:t>
      </w:r>
      <w:r w:rsidRPr="006769D7">
        <w:t>s</w:t>
      </w:r>
      <w:r w:rsidR="00ED1EE1" w:rsidRPr="006769D7">
        <w:t>)</w:t>
      </w:r>
      <w:r w:rsidRPr="006769D7">
        <w:t xml:space="preserve">, indicating clearly the reference of the </w:t>
      </w:r>
      <w:r w:rsidR="00693805" w:rsidRPr="006769D7">
        <w:t>c</w:t>
      </w:r>
      <w:r w:rsidR="001D0C7B" w:rsidRPr="006769D7">
        <w:t xml:space="preserve">all for </w:t>
      </w:r>
      <w:r w:rsidR="00693805" w:rsidRPr="006769D7">
        <w:t>p</w:t>
      </w:r>
      <w:r w:rsidR="001D0C7B" w:rsidRPr="006769D7">
        <w:t>roposals</w:t>
      </w:r>
      <w:r w:rsidRPr="006769D7">
        <w:t>:</w:t>
      </w:r>
    </w:p>
    <w:p w14:paraId="1AD0F5D1" w14:textId="77777777" w:rsidR="0007408E" w:rsidRPr="007B1B61" w:rsidRDefault="0007408E" w:rsidP="00C536CC">
      <w:pPr>
        <w:spacing w:after="120" w:line="240" w:lineRule="atLeast"/>
        <w:ind w:left="567"/>
      </w:pPr>
      <w:r w:rsidRPr="006769D7">
        <w:t>E-mail address:</w:t>
      </w:r>
      <w:r w:rsidR="002F3F27" w:rsidRPr="006769D7">
        <w:t xml:space="preserve"> </w:t>
      </w:r>
      <w:bookmarkStart w:id="35" w:name="_Hlk216689058"/>
      <w:r w:rsidR="001E4055" w:rsidRPr="007B1B61">
        <w:rPr>
          <w:b/>
          <w:noProof/>
          <w:szCs w:val="22"/>
        </w:rPr>
        <w:t>INTPA-184659@ec.europa.eu</w:t>
      </w:r>
    </w:p>
    <w:p w14:paraId="5D731563" w14:textId="77777777" w:rsidR="006F3C79" w:rsidRDefault="006F3C79" w:rsidP="006F3C79">
      <w:pPr>
        <w:pStyle w:val="Zkladntext"/>
        <w:spacing w:before="122" w:line="352" w:lineRule="auto"/>
        <w:ind w:right="409"/>
      </w:pPr>
      <w:bookmarkStart w:id="36" w:name="_Hlk164276284"/>
      <w:bookmarkEnd w:id="35"/>
      <w:r>
        <w:t>The</w:t>
      </w:r>
      <w:r>
        <w:rPr>
          <w:spacing w:val="-2"/>
        </w:rPr>
        <w:t xml:space="preserve"> </w:t>
      </w:r>
      <w:r>
        <w:t>contracting</w:t>
      </w:r>
      <w:r>
        <w:rPr>
          <w:spacing w:val="-4"/>
        </w:rPr>
        <w:t xml:space="preserve"> </w:t>
      </w:r>
      <w:r>
        <w:t>authority</w:t>
      </w:r>
      <w:r>
        <w:rPr>
          <w:spacing w:val="-5"/>
        </w:rPr>
        <w:t xml:space="preserve"> </w:t>
      </w:r>
      <w:r>
        <w:t>has</w:t>
      </w:r>
      <w:r>
        <w:rPr>
          <w:spacing w:val="-2"/>
        </w:rPr>
        <w:t xml:space="preserve"> </w:t>
      </w:r>
      <w:r>
        <w:t>no</w:t>
      </w:r>
      <w:r>
        <w:rPr>
          <w:spacing w:val="-2"/>
        </w:rPr>
        <w:t xml:space="preserve"> </w:t>
      </w:r>
      <w:r>
        <w:t>obligation</w:t>
      </w:r>
      <w:r>
        <w:rPr>
          <w:spacing w:val="-5"/>
        </w:rPr>
        <w:t xml:space="preserve"> </w:t>
      </w:r>
      <w:r>
        <w:t>to</w:t>
      </w:r>
      <w:r>
        <w:rPr>
          <w:spacing w:val="-2"/>
        </w:rPr>
        <w:t xml:space="preserve"> </w:t>
      </w:r>
      <w:r>
        <w:t>provide</w:t>
      </w:r>
      <w:r>
        <w:rPr>
          <w:spacing w:val="-4"/>
        </w:rPr>
        <w:t xml:space="preserve"> </w:t>
      </w:r>
      <w:r>
        <w:t>clarifications</w:t>
      </w:r>
      <w:r>
        <w:rPr>
          <w:spacing w:val="-4"/>
        </w:rPr>
        <w:t xml:space="preserve"> </w:t>
      </w:r>
      <w:r>
        <w:t>to</w:t>
      </w:r>
      <w:r>
        <w:rPr>
          <w:spacing w:val="-5"/>
        </w:rPr>
        <w:t xml:space="preserve"> </w:t>
      </w:r>
      <w:r>
        <w:t>questions</w:t>
      </w:r>
      <w:r>
        <w:rPr>
          <w:spacing w:val="-4"/>
        </w:rPr>
        <w:t xml:space="preserve"> </w:t>
      </w:r>
      <w:r>
        <w:t>received</w:t>
      </w:r>
      <w:r>
        <w:rPr>
          <w:spacing w:val="-2"/>
        </w:rPr>
        <w:t xml:space="preserve"> </w:t>
      </w:r>
      <w:r>
        <w:t>after</w:t>
      </w:r>
      <w:r>
        <w:rPr>
          <w:spacing w:val="-4"/>
        </w:rPr>
        <w:t xml:space="preserve"> </w:t>
      </w:r>
      <w:r>
        <w:t>this</w:t>
      </w:r>
      <w:r>
        <w:rPr>
          <w:spacing w:val="-2"/>
        </w:rPr>
        <w:t xml:space="preserve"> </w:t>
      </w:r>
      <w:r>
        <w:t>date. Replies will be given no later than 11 days before the deadline for the submission of applications.</w:t>
      </w:r>
    </w:p>
    <w:p w14:paraId="2308553A" w14:textId="77777777" w:rsidR="006F3C79" w:rsidRDefault="006F3C79" w:rsidP="006F3C79">
      <w:pPr>
        <w:pStyle w:val="Zkladntext"/>
      </w:pPr>
      <w:r>
        <w:t>To</w:t>
      </w:r>
      <w:r>
        <w:rPr>
          <w:spacing w:val="40"/>
        </w:rPr>
        <w:t xml:space="preserve"> </w:t>
      </w:r>
      <w:r>
        <w:t>ensure</w:t>
      </w:r>
      <w:r>
        <w:rPr>
          <w:spacing w:val="40"/>
        </w:rPr>
        <w:t xml:space="preserve"> </w:t>
      </w:r>
      <w:r>
        <w:t>equal</w:t>
      </w:r>
      <w:r>
        <w:rPr>
          <w:spacing w:val="40"/>
        </w:rPr>
        <w:t xml:space="preserve"> </w:t>
      </w:r>
      <w:r>
        <w:t>treatment</w:t>
      </w:r>
      <w:r>
        <w:rPr>
          <w:spacing w:val="40"/>
        </w:rPr>
        <w:t xml:space="preserve"> </w:t>
      </w:r>
      <w:r>
        <w:t>of</w:t>
      </w:r>
      <w:r>
        <w:rPr>
          <w:spacing w:val="40"/>
        </w:rPr>
        <w:t xml:space="preserve"> </w:t>
      </w:r>
      <w:r>
        <w:t>applicants,</w:t>
      </w:r>
      <w:r>
        <w:rPr>
          <w:spacing w:val="40"/>
        </w:rPr>
        <w:t xml:space="preserve"> </w:t>
      </w:r>
      <w:r>
        <w:t>the</w:t>
      </w:r>
      <w:r>
        <w:rPr>
          <w:spacing w:val="40"/>
        </w:rPr>
        <w:t xml:space="preserve"> </w:t>
      </w:r>
      <w:r>
        <w:t>contracting</w:t>
      </w:r>
      <w:r>
        <w:rPr>
          <w:spacing w:val="40"/>
        </w:rPr>
        <w:t xml:space="preserve"> </w:t>
      </w:r>
      <w:r>
        <w:t>authority</w:t>
      </w:r>
      <w:r>
        <w:rPr>
          <w:spacing w:val="40"/>
        </w:rPr>
        <w:t xml:space="preserve"> </w:t>
      </w:r>
      <w:r>
        <w:t>cannot</w:t>
      </w:r>
      <w:r>
        <w:rPr>
          <w:spacing w:val="40"/>
        </w:rPr>
        <w:t xml:space="preserve"> </w:t>
      </w:r>
      <w:r>
        <w:t>give</w:t>
      </w:r>
      <w:r>
        <w:rPr>
          <w:spacing w:val="40"/>
        </w:rPr>
        <w:t xml:space="preserve"> </w:t>
      </w:r>
      <w:r>
        <w:t>a</w:t>
      </w:r>
      <w:r>
        <w:rPr>
          <w:spacing w:val="40"/>
        </w:rPr>
        <w:t xml:space="preserve"> </w:t>
      </w:r>
      <w:r>
        <w:t>prior</w:t>
      </w:r>
      <w:r>
        <w:rPr>
          <w:spacing w:val="40"/>
        </w:rPr>
        <w:t xml:space="preserve"> </w:t>
      </w:r>
      <w:r>
        <w:t>opinion</w:t>
      </w:r>
      <w:r>
        <w:rPr>
          <w:spacing w:val="40"/>
        </w:rPr>
        <w:t xml:space="preserve"> </w:t>
      </w:r>
      <w:r>
        <w:t>on</w:t>
      </w:r>
      <w:r>
        <w:rPr>
          <w:spacing w:val="40"/>
        </w:rPr>
        <w:t xml:space="preserve"> </w:t>
      </w:r>
      <w:r>
        <w:t>the</w:t>
      </w:r>
      <w:r>
        <w:rPr>
          <w:spacing w:val="40"/>
        </w:rPr>
        <w:t xml:space="preserve"> </w:t>
      </w:r>
      <w:r>
        <w:t>eligibility of lead applicants, co-applicants, affiliated entity(ies), an action or specific activities.</w:t>
      </w:r>
    </w:p>
    <w:p w14:paraId="11BA58E1" w14:textId="77777777" w:rsidR="006F3C79" w:rsidRDefault="006F3C79" w:rsidP="006F3C79">
      <w:pPr>
        <w:pStyle w:val="Zkladntext"/>
        <w:spacing w:before="118"/>
        <w:ind w:right="387"/>
      </w:pPr>
      <w:r>
        <w:t>No individual replies will be given to questions. All questions</w:t>
      </w:r>
      <w:r>
        <w:rPr>
          <w:spacing w:val="-1"/>
        </w:rPr>
        <w:t xml:space="preserve"> </w:t>
      </w:r>
      <w:r>
        <w:t xml:space="preserve">and answers as well as other important notices to applicants during the course of the evaluation procedure will be published on the website where the call was published: website DG International Partnerships </w:t>
      </w:r>
      <w:hyperlink r:id="rId30">
        <w:r>
          <w:rPr>
            <w:color w:val="0000FF"/>
            <w:u w:val="single" w:color="0000FF"/>
          </w:rPr>
          <w:t>https://ec.europa.eu/international-</w:t>
        </w:r>
      </w:hyperlink>
      <w:r>
        <w:rPr>
          <w:color w:val="0000FF"/>
        </w:rPr>
        <w:t xml:space="preserve"> </w:t>
      </w:r>
      <w:hyperlink r:id="rId31">
        <w:r>
          <w:rPr>
            <w:color w:val="0000FF"/>
            <w:u w:val="single" w:color="0000FF"/>
          </w:rPr>
          <w:t>partnerships/home_fr</w:t>
        </w:r>
      </w:hyperlink>
      <w:r>
        <w:rPr>
          <w:color w:val="0000FF"/>
          <w:spacing w:val="-2"/>
        </w:rPr>
        <w:t xml:space="preserve"> </w:t>
      </w:r>
      <w:r>
        <w:t>and/or</w:t>
      </w:r>
      <w:r>
        <w:rPr>
          <w:spacing w:val="-2"/>
        </w:rPr>
        <w:t xml:space="preserve"> </w:t>
      </w:r>
      <w:r>
        <w:t>Funding</w:t>
      </w:r>
      <w:r>
        <w:rPr>
          <w:spacing w:val="-5"/>
        </w:rPr>
        <w:t xml:space="preserve"> </w:t>
      </w:r>
      <w:r>
        <w:t>&amp;</w:t>
      </w:r>
      <w:r>
        <w:rPr>
          <w:spacing w:val="-2"/>
        </w:rPr>
        <w:t xml:space="preserve"> </w:t>
      </w:r>
      <w:r>
        <w:t>Tender</w:t>
      </w:r>
      <w:r>
        <w:rPr>
          <w:spacing w:val="-3"/>
        </w:rPr>
        <w:t xml:space="preserve"> </w:t>
      </w:r>
      <w:r>
        <w:t>opportunities</w:t>
      </w:r>
      <w:r>
        <w:rPr>
          <w:spacing w:val="-3"/>
        </w:rPr>
        <w:t xml:space="preserve"> </w:t>
      </w:r>
      <w:r>
        <w:t>(F&amp;T</w:t>
      </w:r>
      <w:r>
        <w:rPr>
          <w:spacing w:val="-3"/>
        </w:rPr>
        <w:t xml:space="preserve"> </w:t>
      </w:r>
      <w:r>
        <w:t>Portal)</w:t>
      </w:r>
      <w:hyperlink r:id="rId32">
        <w:r>
          <w:rPr>
            <w:color w:val="0000FF"/>
            <w:spacing w:val="-3"/>
            <w:u w:val="single" w:color="0000FF"/>
          </w:rPr>
          <w:t xml:space="preserve"> </w:t>
        </w:r>
        <w:r>
          <w:rPr>
            <w:color w:val="0000FF"/>
            <w:u w:val="single" w:color="0000FF"/>
          </w:rPr>
          <w:t>https://ec.europa.eu/info/funding-</w:t>
        </w:r>
      </w:hyperlink>
      <w:r>
        <w:rPr>
          <w:color w:val="0000FF"/>
        </w:rPr>
        <w:t xml:space="preserve"> </w:t>
      </w:r>
      <w:hyperlink r:id="rId33">
        <w:r>
          <w:rPr>
            <w:color w:val="0000FF"/>
            <w:u w:val="single" w:color="0000FF"/>
          </w:rPr>
          <w:t>tenders/opportunities/portal/screen/home</w:t>
        </w:r>
      </w:hyperlink>
      <w:r>
        <w:rPr>
          <w:color w:val="0000FF"/>
        </w:rPr>
        <w:t xml:space="preserve">. </w:t>
      </w:r>
      <w:r>
        <w:rPr>
          <w:color w:val="000000"/>
        </w:rPr>
        <w:t>It is</w:t>
      </w:r>
      <w:r>
        <w:rPr>
          <w:color w:val="000000"/>
          <w:spacing w:val="-1"/>
        </w:rPr>
        <w:t xml:space="preserve"> </w:t>
      </w:r>
      <w:r>
        <w:rPr>
          <w:color w:val="000000"/>
        </w:rPr>
        <w:t>therefore</w:t>
      </w:r>
      <w:r>
        <w:rPr>
          <w:color w:val="000000"/>
          <w:spacing w:val="-1"/>
        </w:rPr>
        <w:t xml:space="preserve"> </w:t>
      </w:r>
      <w:r>
        <w:rPr>
          <w:color w:val="000000"/>
        </w:rPr>
        <w:t>advisable</w:t>
      </w:r>
      <w:r>
        <w:rPr>
          <w:color w:val="000000"/>
          <w:spacing w:val="-1"/>
        </w:rPr>
        <w:t xml:space="preserve"> </w:t>
      </w:r>
      <w:r>
        <w:rPr>
          <w:color w:val="000000"/>
        </w:rPr>
        <w:t xml:space="preserve">to consult the abovementioned website(s) regularly in order to be informed of the questions and answers </w:t>
      </w:r>
      <w:r>
        <w:rPr>
          <w:color w:val="000000"/>
          <w:spacing w:val="-2"/>
        </w:rPr>
        <w:t>published.</w:t>
      </w:r>
    </w:p>
    <w:p w14:paraId="34F07C2B" w14:textId="77777777" w:rsidR="006F3C79" w:rsidRDefault="006F3C79" w:rsidP="006F3C79">
      <w:pPr>
        <w:pStyle w:val="Zkladntext"/>
        <w:spacing w:before="121"/>
        <w:ind w:right="390"/>
      </w:pPr>
      <w:r>
        <w:t>All</w:t>
      </w:r>
      <w:r>
        <w:rPr>
          <w:spacing w:val="-1"/>
        </w:rPr>
        <w:t xml:space="preserve"> </w:t>
      </w:r>
      <w:r>
        <w:t>questions</w:t>
      </w:r>
      <w:r>
        <w:rPr>
          <w:spacing w:val="-2"/>
        </w:rPr>
        <w:t xml:space="preserve"> </w:t>
      </w:r>
      <w:r>
        <w:t>related</w:t>
      </w:r>
      <w:r>
        <w:rPr>
          <w:spacing w:val="-4"/>
        </w:rPr>
        <w:t xml:space="preserve"> </w:t>
      </w:r>
      <w:r>
        <w:t>to registration</w:t>
      </w:r>
      <w:r>
        <w:rPr>
          <w:spacing w:val="-5"/>
        </w:rPr>
        <w:t xml:space="preserve"> </w:t>
      </w:r>
      <w:r>
        <w:t>in</w:t>
      </w:r>
      <w:r>
        <w:rPr>
          <w:spacing w:val="-1"/>
        </w:rPr>
        <w:t xml:space="preserve"> </w:t>
      </w:r>
      <w:r>
        <w:t>PADOR</w:t>
      </w:r>
      <w:r>
        <w:rPr>
          <w:spacing w:val="-3"/>
        </w:rPr>
        <w:t xml:space="preserve"> </w:t>
      </w:r>
      <w:r>
        <w:t>or</w:t>
      </w:r>
      <w:r>
        <w:rPr>
          <w:spacing w:val="-1"/>
        </w:rPr>
        <w:t xml:space="preserve"> </w:t>
      </w:r>
      <w:r>
        <w:t>the</w:t>
      </w:r>
      <w:r>
        <w:rPr>
          <w:spacing w:val="-2"/>
        </w:rPr>
        <w:t xml:space="preserve"> </w:t>
      </w:r>
      <w:r>
        <w:t>online</w:t>
      </w:r>
      <w:r>
        <w:rPr>
          <w:spacing w:val="-2"/>
        </w:rPr>
        <w:t xml:space="preserve"> </w:t>
      </w:r>
      <w:r>
        <w:t>submission</w:t>
      </w:r>
      <w:r>
        <w:rPr>
          <w:spacing w:val="-2"/>
        </w:rPr>
        <w:t xml:space="preserve"> </w:t>
      </w:r>
      <w:r>
        <w:t>via</w:t>
      </w:r>
      <w:r>
        <w:rPr>
          <w:spacing w:val="-2"/>
        </w:rPr>
        <w:t xml:space="preserve"> </w:t>
      </w:r>
      <w:r>
        <w:t>PROSPECT</w:t>
      </w:r>
      <w:r>
        <w:rPr>
          <w:spacing w:val="-2"/>
        </w:rPr>
        <w:t xml:space="preserve"> </w:t>
      </w:r>
      <w:r>
        <w:t>should</w:t>
      </w:r>
      <w:r>
        <w:rPr>
          <w:spacing w:val="-5"/>
        </w:rPr>
        <w:t xml:space="preserve"> </w:t>
      </w:r>
      <w:r>
        <w:t>be</w:t>
      </w:r>
      <w:r>
        <w:rPr>
          <w:spacing w:val="-2"/>
        </w:rPr>
        <w:t xml:space="preserve"> </w:t>
      </w:r>
      <w:r>
        <w:t>addressed to</w:t>
      </w:r>
      <w:r>
        <w:rPr>
          <w:spacing w:val="-3"/>
        </w:rPr>
        <w:t xml:space="preserve"> </w:t>
      </w:r>
      <w:r>
        <w:t>the</w:t>
      </w:r>
      <w:r>
        <w:rPr>
          <w:spacing w:val="-3"/>
        </w:rPr>
        <w:t xml:space="preserve"> </w:t>
      </w:r>
      <w:r>
        <w:t>IT</w:t>
      </w:r>
      <w:r>
        <w:rPr>
          <w:spacing w:val="-3"/>
        </w:rPr>
        <w:t xml:space="preserve"> </w:t>
      </w:r>
      <w:r>
        <w:t>helpdesk</w:t>
      </w:r>
      <w:r>
        <w:rPr>
          <w:spacing w:val="-2"/>
        </w:rPr>
        <w:t xml:space="preserve"> </w:t>
      </w:r>
      <w:r>
        <w:t>at</w:t>
      </w:r>
      <w:r>
        <w:rPr>
          <w:spacing w:val="-2"/>
        </w:rPr>
        <w:t xml:space="preserve"> </w:t>
      </w:r>
      <w:hyperlink r:id="rId34">
        <w:r>
          <w:rPr>
            <w:color w:val="0000FF"/>
            <w:u w:val="single" w:color="0000FF"/>
          </w:rPr>
          <w:t>ec-external-relations-application-support@ec.europa.eu</w:t>
        </w:r>
      </w:hyperlink>
      <w:r>
        <w:rPr>
          <w:color w:val="0000FF"/>
          <w:spacing w:val="-2"/>
        </w:rPr>
        <w:t xml:space="preserve"> </w:t>
      </w:r>
      <w:r>
        <w:rPr>
          <w:b/>
        </w:rPr>
        <w:t>via</w:t>
      </w:r>
      <w:r>
        <w:rPr>
          <w:b/>
          <w:spacing w:val="-3"/>
        </w:rPr>
        <w:t xml:space="preserve"> </w:t>
      </w:r>
      <w:r>
        <w:rPr>
          <w:b/>
        </w:rPr>
        <w:t>the</w:t>
      </w:r>
      <w:r>
        <w:rPr>
          <w:b/>
          <w:spacing w:val="-3"/>
        </w:rPr>
        <w:t xml:space="preserve"> </w:t>
      </w:r>
      <w:r>
        <w:rPr>
          <w:b/>
        </w:rPr>
        <w:t>online</w:t>
      </w:r>
      <w:r>
        <w:rPr>
          <w:b/>
          <w:spacing w:val="-3"/>
        </w:rPr>
        <w:t xml:space="preserve"> </w:t>
      </w:r>
      <w:r>
        <w:rPr>
          <w:b/>
        </w:rPr>
        <w:t>support</w:t>
      </w:r>
      <w:r>
        <w:rPr>
          <w:b/>
          <w:spacing w:val="-3"/>
        </w:rPr>
        <w:t xml:space="preserve"> </w:t>
      </w:r>
      <w:r>
        <w:rPr>
          <w:b/>
        </w:rPr>
        <w:t>form</w:t>
      </w:r>
      <w:r>
        <w:rPr>
          <w:b/>
          <w:spacing w:val="-3"/>
        </w:rPr>
        <w:t xml:space="preserve"> </w:t>
      </w:r>
      <w:r>
        <w:rPr>
          <w:b/>
        </w:rPr>
        <w:t xml:space="preserve">in PROSPECT: </w:t>
      </w:r>
      <w:r>
        <w:t>please note that the working languages of the IT support are English, French and Spanish. Therefore, users are invited to send their questions in in English, French or Spanish should they wish to benefit from an optimum response time.</w:t>
      </w:r>
    </w:p>
    <w:p w14:paraId="08D83B97" w14:textId="77777777" w:rsidR="006F3C79" w:rsidRDefault="006F3C79" w:rsidP="006F3C79">
      <w:pPr>
        <w:pStyle w:val="Zkladntext"/>
        <w:spacing w:before="119" w:line="244" w:lineRule="auto"/>
        <w:ind w:right="401"/>
      </w:pPr>
      <w:r>
        <w:t>Please note that the contracting authority may decide to cancel the call for proposals procedure at any stage according to the conditions set out in Section 6.5.9 of the practical guide.</w:t>
      </w:r>
    </w:p>
    <w:p w14:paraId="6A72CBA5" w14:textId="77777777" w:rsidR="0007408E" w:rsidRPr="00807DAF" w:rsidRDefault="0007408E" w:rsidP="00816803">
      <w:pPr>
        <w:pStyle w:val="Guidelines2"/>
        <w:numPr>
          <w:ilvl w:val="1"/>
          <w:numId w:val="8"/>
        </w:numPr>
        <w:rPr>
          <w:i/>
        </w:rPr>
      </w:pPr>
      <w:bookmarkStart w:id="37" w:name="_Toc216688235"/>
      <w:bookmarkStart w:id="38" w:name="_Toc40507653"/>
      <w:bookmarkStart w:id="39" w:name="_Toc519003421"/>
      <w:bookmarkEnd w:id="36"/>
      <w:r w:rsidRPr="00807DAF">
        <w:t>Evaluation</w:t>
      </w:r>
      <w:bookmarkEnd w:id="37"/>
      <w:r w:rsidRPr="00807DAF">
        <w:t xml:space="preserve"> </w:t>
      </w:r>
      <w:bookmarkEnd w:id="38"/>
      <w:bookmarkEnd w:id="39"/>
    </w:p>
    <w:p w14:paraId="50FB7732" w14:textId="77777777" w:rsidR="0007408E" w:rsidRPr="00807DAF" w:rsidRDefault="0007408E" w:rsidP="00C536CC">
      <w:pPr>
        <w:spacing w:after="120" w:line="240" w:lineRule="atLeast"/>
      </w:pPr>
      <w:r w:rsidRPr="00807DAF">
        <w:t xml:space="preserve">Applications will be examined and evaluated by the </w:t>
      </w:r>
      <w:r w:rsidR="00221350">
        <w:t>c</w:t>
      </w:r>
      <w:r w:rsidRPr="00807DAF">
        <w:t xml:space="preserve">ontracting </w:t>
      </w:r>
      <w:r w:rsidR="00221350">
        <w:t>a</w:t>
      </w:r>
      <w:r w:rsidRPr="00807DAF">
        <w:t xml:space="preserve">uthority with the possible assistance of external assessors. </w:t>
      </w:r>
      <w:r w:rsidR="007C4578">
        <w:t xml:space="preserve">All applications </w:t>
      </w:r>
      <w:r w:rsidRPr="00807DAF">
        <w:t xml:space="preserve">will be assessed according to the following </w:t>
      </w:r>
      <w:r w:rsidR="00C67E04" w:rsidRPr="00807DAF">
        <w:t>steps</w:t>
      </w:r>
      <w:r w:rsidR="00671019" w:rsidRPr="00807DAF">
        <w:t xml:space="preserve"> and criteria</w:t>
      </w:r>
      <w:r w:rsidR="00E17C2A" w:rsidRPr="00807DAF">
        <w:t>.</w:t>
      </w:r>
    </w:p>
    <w:p w14:paraId="5A189579" w14:textId="77777777" w:rsidR="0063082A" w:rsidRPr="00807DAF" w:rsidRDefault="00050E48" w:rsidP="00C536CC">
      <w:pPr>
        <w:spacing w:after="120" w:line="240" w:lineRule="atLeast"/>
      </w:pPr>
      <w:r w:rsidRPr="00807DAF">
        <w:t xml:space="preserve">If the examination of the application reveals that the proposed action does not meet the </w:t>
      </w:r>
      <w:r w:rsidRPr="00807DAF">
        <w:rPr>
          <w:u w:val="single"/>
        </w:rPr>
        <w:t>eligibility criteria</w:t>
      </w:r>
      <w:r w:rsidRPr="00807DAF">
        <w:t xml:space="preserve"> stated in </w:t>
      </w:r>
      <w:r w:rsidR="00221350">
        <w:t>S</w:t>
      </w:r>
      <w:r w:rsidR="007C4578">
        <w:t>ection</w:t>
      </w:r>
      <w:r w:rsidR="007C4578" w:rsidRPr="00807DAF">
        <w:t xml:space="preserve"> </w:t>
      </w:r>
      <w:r w:rsidRPr="00807DAF">
        <w:t xml:space="preserve">2.1, the application </w:t>
      </w:r>
      <w:r w:rsidR="001151FE" w:rsidRPr="00807DAF">
        <w:t xml:space="preserve">will </w:t>
      </w:r>
      <w:r w:rsidRPr="00807DAF">
        <w:t>be rejected on this sole basis.</w:t>
      </w:r>
      <w:r w:rsidR="00B71C4B">
        <w:t xml:space="preserve"> </w:t>
      </w:r>
    </w:p>
    <w:p w14:paraId="7C2B3AC4" w14:textId="77777777" w:rsidR="0063082A" w:rsidRDefault="0063082A" w:rsidP="00816803">
      <w:pPr>
        <w:pStyle w:val="Guidelines3"/>
        <w:numPr>
          <w:ilvl w:val="2"/>
          <w:numId w:val="8"/>
        </w:numPr>
      </w:pPr>
      <w:bookmarkStart w:id="40" w:name="_Toc216688236"/>
      <w:r w:rsidRPr="00807DAF">
        <w:t>STEP 1:</w:t>
      </w:r>
      <w:r>
        <w:t xml:space="preserve"> </w:t>
      </w:r>
      <w:r w:rsidRPr="00807DAF">
        <w:t>ADMINISTRATIVE CHECKS AND CONCEPT NOTE EVALUATION</w:t>
      </w:r>
      <w:bookmarkEnd w:id="40"/>
    </w:p>
    <w:p w14:paraId="217A5C0E" w14:textId="77777777" w:rsidR="00402677" w:rsidRPr="00807DAF" w:rsidRDefault="007C4578" w:rsidP="00C536CC">
      <w:pPr>
        <w:tabs>
          <w:tab w:val="left" w:pos="426"/>
          <w:tab w:val="left" w:pos="1418"/>
        </w:tabs>
        <w:spacing w:after="120" w:line="240" w:lineRule="atLeast"/>
        <w:jc w:val="left"/>
      </w:pPr>
      <w:r>
        <w:t>During the administrative check t</w:t>
      </w:r>
      <w:r w:rsidR="0059080E" w:rsidRPr="00807DAF">
        <w:t>he following will be assessed:</w:t>
      </w:r>
    </w:p>
    <w:p w14:paraId="6E2A3975" w14:textId="77777777" w:rsidR="00603DD7" w:rsidRDefault="00603DD7" w:rsidP="00816803">
      <w:pPr>
        <w:pStyle w:val="Odstavecseseznamem"/>
        <w:widowControl w:val="0"/>
        <w:numPr>
          <w:ilvl w:val="0"/>
          <w:numId w:val="28"/>
        </w:numPr>
        <w:tabs>
          <w:tab w:val="left" w:pos="933"/>
        </w:tabs>
        <w:autoSpaceDE w:val="0"/>
        <w:autoSpaceDN w:val="0"/>
        <w:spacing w:before="117" w:after="0"/>
        <w:ind w:right="389"/>
      </w:pPr>
      <w:r>
        <w:t xml:space="preserve">If the application satisfies all the criteria specified in the checklist in Annex A.2. This includes also an assessment of the eligibility of the action. If any of the requested information is missing or is incorrect, the application may be rejected on that </w:t>
      </w:r>
      <w:r>
        <w:rPr>
          <w:b/>
          <w:u w:val="single"/>
        </w:rPr>
        <w:t>sole</w:t>
      </w:r>
      <w:r>
        <w:rPr>
          <w:b/>
        </w:rPr>
        <w:t xml:space="preserve"> </w:t>
      </w:r>
      <w:r>
        <w:t>basis and the application will not be evaluated further.</w:t>
      </w:r>
    </w:p>
    <w:p w14:paraId="64EB3C6E" w14:textId="77777777" w:rsidR="00603DD7" w:rsidRDefault="00603DD7" w:rsidP="00603DD7">
      <w:pPr>
        <w:pStyle w:val="Odstavecseseznamem"/>
        <w:widowControl w:val="0"/>
        <w:tabs>
          <w:tab w:val="left" w:pos="933"/>
        </w:tabs>
        <w:autoSpaceDE w:val="0"/>
        <w:autoSpaceDN w:val="0"/>
        <w:spacing w:before="117" w:after="0"/>
        <w:ind w:left="573" w:right="389"/>
      </w:pPr>
    </w:p>
    <w:p w14:paraId="2F7A3CC7" w14:textId="77777777" w:rsidR="00FE5F57" w:rsidRDefault="00FE5F57" w:rsidP="00FE5F57">
      <w:pPr>
        <w:pStyle w:val="Zkladntext"/>
        <w:spacing w:before="123"/>
      </w:pPr>
      <w:r>
        <w:t>The</w:t>
      </w:r>
      <w:r>
        <w:rPr>
          <w:spacing w:val="-3"/>
        </w:rPr>
        <w:t xml:space="preserve"> </w:t>
      </w:r>
      <w:r>
        <w:t>concept</w:t>
      </w:r>
      <w:r>
        <w:rPr>
          <w:spacing w:val="-1"/>
        </w:rPr>
        <w:t xml:space="preserve"> </w:t>
      </w:r>
      <w:r>
        <w:t>notes</w:t>
      </w:r>
      <w:r>
        <w:rPr>
          <w:spacing w:val="-5"/>
        </w:rPr>
        <w:t xml:space="preserve"> </w:t>
      </w:r>
      <w:r>
        <w:t>that</w:t>
      </w:r>
      <w:r>
        <w:rPr>
          <w:spacing w:val="-1"/>
        </w:rPr>
        <w:t xml:space="preserve"> </w:t>
      </w:r>
      <w:r>
        <w:t>pass</w:t>
      </w:r>
      <w:r>
        <w:rPr>
          <w:spacing w:val="-4"/>
        </w:rPr>
        <w:t xml:space="preserve"> </w:t>
      </w:r>
      <w:r>
        <w:t>this</w:t>
      </w:r>
      <w:r>
        <w:rPr>
          <w:spacing w:val="-1"/>
        </w:rPr>
        <w:t xml:space="preserve"> </w:t>
      </w:r>
      <w:r>
        <w:t>check</w:t>
      </w:r>
      <w:r>
        <w:rPr>
          <w:spacing w:val="-3"/>
        </w:rPr>
        <w:t xml:space="preserve"> </w:t>
      </w:r>
      <w:r>
        <w:t>will</w:t>
      </w:r>
      <w:r>
        <w:rPr>
          <w:spacing w:val="-3"/>
        </w:rPr>
        <w:t xml:space="preserve"> </w:t>
      </w:r>
      <w:r>
        <w:t>be</w:t>
      </w:r>
      <w:r>
        <w:rPr>
          <w:spacing w:val="-3"/>
        </w:rPr>
        <w:t xml:space="preserve"> </w:t>
      </w:r>
      <w:r>
        <w:t>evaluated</w:t>
      </w:r>
      <w:r>
        <w:rPr>
          <w:spacing w:val="-2"/>
        </w:rPr>
        <w:t xml:space="preserve"> </w:t>
      </w:r>
      <w:r>
        <w:t>on</w:t>
      </w:r>
      <w:r>
        <w:rPr>
          <w:spacing w:val="-2"/>
        </w:rPr>
        <w:t xml:space="preserve"> </w:t>
      </w:r>
      <w:r>
        <w:t>the</w:t>
      </w:r>
      <w:r>
        <w:rPr>
          <w:spacing w:val="-3"/>
        </w:rPr>
        <w:t xml:space="preserve"> </w:t>
      </w:r>
      <w:r>
        <w:t>relevance</w:t>
      </w:r>
      <w:r>
        <w:rPr>
          <w:spacing w:val="-1"/>
        </w:rPr>
        <w:t xml:space="preserve"> </w:t>
      </w:r>
      <w:r>
        <w:t>and</w:t>
      </w:r>
      <w:r>
        <w:rPr>
          <w:spacing w:val="-5"/>
        </w:rPr>
        <w:t xml:space="preserve"> </w:t>
      </w:r>
      <w:r>
        <w:t>maturity</w:t>
      </w:r>
      <w:r>
        <w:rPr>
          <w:spacing w:val="-2"/>
        </w:rPr>
        <w:t xml:space="preserve"> </w:t>
      </w:r>
      <w:r>
        <w:t>of</w:t>
      </w:r>
      <w:r>
        <w:rPr>
          <w:spacing w:val="-5"/>
        </w:rPr>
        <w:t xml:space="preserve"> </w:t>
      </w:r>
      <w:r>
        <w:t>the</w:t>
      </w:r>
      <w:r>
        <w:rPr>
          <w:spacing w:val="-1"/>
        </w:rPr>
        <w:t xml:space="preserve"> </w:t>
      </w:r>
      <w:r>
        <w:t>proposed</w:t>
      </w:r>
      <w:r>
        <w:rPr>
          <w:spacing w:val="-4"/>
        </w:rPr>
        <w:t xml:space="preserve"> </w:t>
      </w:r>
      <w:r>
        <w:rPr>
          <w:spacing w:val="-2"/>
        </w:rPr>
        <w:t>action.</w:t>
      </w:r>
    </w:p>
    <w:p w14:paraId="7F7A5895" w14:textId="77777777" w:rsidR="00400B42" w:rsidRPr="00807DAF" w:rsidRDefault="00400B42" w:rsidP="00C536CC">
      <w:pPr>
        <w:spacing w:after="120" w:line="240" w:lineRule="atLeast"/>
      </w:pPr>
      <w:r w:rsidRPr="00807DAF">
        <w:lastRenderedPageBreak/>
        <w:t xml:space="preserve">The </w:t>
      </w:r>
      <w:r w:rsidR="00717ADB">
        <w:t>c</w:t>
      </w:r>
      <w:r w:rsidRPr="00807DAF">
        <w:t xml:space="preserve">oncept </w:t>
      </w:r>
      <w:r w:rsidR="00717ADB">
        <w:t>n</w:t>
      </w:r>
      <w:r w:rsidRPr="00807DAF">
        <w:t>ote</w:t>
      </w:r>
      <w:r w:rsidR="00E80733">
        <w:t>s</w:t>
      </w:r>
      <w:r w:rsidRPr="00807DAF">
        <w:t xml:space="preserve"> will </w:t>
      </w:r>
      <w:r w:rsidR="00B83541" w:rsidRPr="00807DAF">
        <w:t>receive</w:t>
      </w:r>
      <w:r w:rsidRPr="00807DAF">
        <w:t xml:space="preserve"> an overall score out of 50 </w:t>
      </w:r>
      <w:r w:rsidR="00B83541" w:rsidRPr="00807DAF">
        <w:t>using</w:t>
      </w:r>
      <w:r w:rsidRPr="00807DAF">
        <w:t xml:space="preserve"> the breakdown in the </w:t>
      </w:r>
      <w:r w:rsidR="00B83541" w:rsidRPr="00807DAF">
        <w:t>e</w:t>
      </w:r>
      <w:r w:rsidRPr="00807DAF">
        <w:t xml:space="preserve">valuation </w:t>
      </w:r>
      <w:r w:rsidR="00B83541" w:rsidRPr="00807DAF">
        <w:t>g</w:t>
      </w:r>
      <w:r w:rsidRPr="00807DAF">
        <w:t xml:space="preserve">rid below. The evaluation </w:t>
      </w:r>
      <w:r w:rsidR="00B83541" w:rsidRPr="00807DAF">
        <w:t xml:space="preserve">will </w:t>
      </w:r>
      <w:r w:rsidRPr="00807DAF">
        <w:t xml:space="preserve">also </w:t>
      </w:r>
      <w:r w:rsidR="00B83541" w:rsidRPr="00807DAF">
        <w:t>check on</w:t>
      </w:r>
      <w:r w:rsidRPr="00807DAF">
        <w:t xml:space="preserve"> compliance with the </w:t>
      </w:r>
      <w:r w:rsidR="007B5847" w:rsidRPr="00807DAF">
        <w:t xml:space="preserve">instructions on </w:t>
      </w:r>
      <w:r w:rsidR="00990BD8">
        <w:t xml:space="preserve">how to complete </w:t>
      </w:r>
      <w:r w:rsidR="007B5847" w:rsidRPr="00807DAF">
        <w:t xml:space="preserve">the </w:t>
      </w:r>
      <w:r w:rsidR="00717ADB">
        <w:t>c</w:t>
      </w:r>
      <w:r w:rsidRPr="00807DAF">
        <w:t xml:space="preserve">oncept </w:t>
      </w:r>
      <w:r w:rsidR="00717ADB">
        <w:t>n</w:t>
      </w:r>
      <w:r w:rsidRPr="00807DAF">
        <w:t>ote</w:t>
      </w:r>
      <w:r w:rsidR="007B5847" w:rsidRPr="00807DAF">
        <w:t xml:space="preserve">, which can be found </w:t>
      </w:r>
      <w:r w:rsidR="008B1EA7" w:rsidRPr="00807DAF">
        <w:t xml:space="preserve">in </w:t>
      </w:r>
      <w:r w:rsidR="00380139">
        <w:t>Annex</w:t>
      </w:r>
      <w:r w:rsidR="007B3870">
        <w:t xml:space="preserve"> </w:t>
      </w:r>
      <w:r w:rsidR="008B1EA7" w:rsidRPr="00807DAF">
        <w:t>A</w:t>
      </w:r>
      <w:r w:rsidR="00380139">
        <w:t>.1</w:t>
      </w:r>
      <w:r w:rsidR="007B5847" w:rsidRPr="00807DAF">
        <w:t>.</w:t>
      </w:r>
    </w:p>
    <w:p w14:paraId="13A55879" w14:textId="77777777" w:rsidR="00603DD7" w:rsidRDefault="00ED5802" w:rsidP="00603DD7">
      <w:pPr>
        <w:pStyle w:val="Zkladntext"/>
        <w:spacing w:before="112" w:line="244" w:lineRule="auto"/>
        <w:ind w:right="396"/>
      </w:pPr>
      <w:bookmarkStart w:id="41" w:name="_Toc159211906"/>
      <w:bookmarkStart w:id="42" w:name="_Toc159212662"/>
      <w:bookmarkStart w:id="43" w:name="_Toc159212881"/>
      <w:bookmarkStart w:id="44" w:name="_Toc159213197"/>
      <w:r w:rsidRPr="00807DAF">
        <w:t xml:space="preserve">The </w:t>
      </w:r>
      <w:r w:rsidRPr="00807DAF">
        <w:rPr>
          <w:u w:val="single"/>
        </w:rPr>
        <w:t>evaluation criteria</w:t>
      </w:r>
      <w:r w:rsidRPr="00807DAF">
        <w:t xml:space="preserve"> are divided into headings and subheadings. </w:t>
      </w:r>
      <w:r w:rsidR="00603DD7">
        <w:t>Each subheading will be scored on a scale proportional to its maximum score, as follows:</w:t>
      </w:r>
    </w:p>
    <w:p w14:paraId="493FD5AD" w14:textId="77777777" w:rsidR="00603DD7" w:rsidRDefault="00603DD7" w:rsidP="00603DD7">
      <w:pPr>
        <w:pStyle w:val="Zkladntext"/>
        <w:spacing w:before="112" w:line="244" w:lineRule="auto"/>
        <w:ind w:left="720" w:right="396"/>
      </w:pPr>
      <w:r>
        <w:t xml:space="preserve">0–20% of the maximum score </w:t>
      </w:r>
      <w:r>
        <w:rPr>
          <w:lang w:val="en-IE"/>
        </w:rPr>
        <w:t>= V</w:t>
      </w:r>
      <w:r>
        <w:t>ery poor</w:t>
      </w:r>
    </w:p>
    <w:p w14:paraId="30F51EC5" w14:textId="77777777" w:rsidR="00603DD7" w:rsidRDefault="00603DD7" w:rsidP="00603DD7">
      <w:pPr>
        <w:pStyle w:val="Zkladntext"/>
        <w:spacing w:before="112" w:line="244" w:lineRule="auto"/>
        <w:ind w:left="720" w:right="396"/>
      </w:pPr>
      <w:r>
        <w:t>21–40% of the maximum score = Poor</w:t>
      </w:r>
    </w:p>
    <w:p w14:paraId="46AA4C00" w14:textId="77777777" w:rsidR="00603DD7" w:rsidRDefault="00603DD7" w:rsidP="00603DD7">
      <w:pPr>
        <w:pStyle w:val="Zkladntext"/>
        <w:spacing w:before="112" w:line="244" w:lineRule="auto"/>
        <w:ind w:left="720" w:right="396"/>
      </w:pPr>
      <w:r>
        <w:t>41–60% of the maximum score = Adequate</w:t>
      </w:r>
    </w:p>
    <w:p w14:paraId="0E326D13" w14:textId="77777777" w:rsidR="00603DD7" w:rsidRDefault="00603DD7" w:rsidP="00603DD7">
      <w:pPr>
        <w:pStyle w:val="Zkladntext"/>
        <w:spacing w:before="112" w:line="244" w:lineRule="auto"/>
        <w:ind w:left="720" w:right="396"/>
      </w:pPr>
      <w:r>
        <w:t>61–80% of the maximum score = Good</w:t>
      </w:r>
    </w:p>
    <w:p w14:paraId="3F8F39E9" w14:textId="77777777" w:rsidR="00603DD7" w:rsidRDefault="00603DD7" w:rsidP="00603DD7">
      <w:pPr>
        <w:pStyle w:val="Zkladntext"/>
        <w:spacing w:before="112" w:line="244" w:lineRule="auto"/>
        <w:ind w:left="720" w:right="396"/>
      </w:pPr>
      <w:r>
        <w:t>81–100% of the maximum score = Very good</w:t>
      </w:r>
    </w:p>
    <w:bookmarkEnd w:id="41"/>
    <w:bookmarkEnd w:id="42"/>
    <w:bookmarkEnd w:id="43"/>
    <w:bookmarkEnd w:id="44"/>
    <w:p w14:paraId="74AD6879" w14:textId="77777777" w:rsidR="00D179BB" w:rsidRPr="00807DAF" w:rsidRDefault="00D179BB" w:rsidP="00C536CC">
      <w:pPr>
        <w:spacing w:after="120" w:line="240" w:lineRule="atLeast"/>
        <w:rPr>
          <w:b/>
        </w:rPr>
      </w:pPr>
      <w:r w:rsidRPr="004234A8">
        <w:rPr>
          <w:b/>
        </w:rPr>
        <w:t>Evaluation Grid</w:t>
      </w:r>
    </w:p>
    <w:tbl>
      <w:tblPr>
        <w:tblW w:w="9997" w:type="dxa"/>
        <w:tblLayout w:type="fixed"/>
        <w:tblLook w:val="01E0" w:firstRow="1" w:lastRow="1" w:firstColumn="1" w:lastColumn="1" w:noHBand="0" w:noVBand="0"/>
      </w:tblPr>
      <w:tblGrid>
        <w:gridCol w:w="8688"/>
        <w:gridCol w:w="1309"/>
      </w:tblGrid>
      <w:tr w:rsidR="00D179BB" w:rsidRPr="00807DAF" w14:paraId="29053CDE" w14:textId="77777777" w:rsidTr="00D179BB">
        <w:tc>
          <w:tcPr>
            <w:tcW w:w="8688" w:type="dxa"/>
            <w:tcBorders>
              <w:top w:val="single" w:sz="4" w:space="0" w:color="auto"/>
              <w:left w:val="single" w:sz="4" w:space="0" w:color="auto"/>
              <w:bottom w:val="single" w:sz="4" w:space="0" w:color="auto"/>
              <w:right w:val="single" w:sz="4" w:space="0" w:color="auto"/>
            </w:tcBorders>
            <w:shd w:val="clear" w:color="auto" w:fill="FFFFFF"/>
            <w:vAlign w:val="center"/>
          </w:tcPr>
          <w:p w14:paraId="3B8DD914" w14:textId="77777777" w:rsidR="00D179BB" w:rsidRPr="00F75093" w:rsidRDefault="00D179BB" w:rsidP="00C536CC">
            <w:pPr>
              <w:spacing w:after="120" w:line="240" w:lineRule="atLeast"/>
              <w:rPr>
                <w:b/>
                <w:szCs w:val="22"/>
              </w:rPr>
            </w:pPr>
            <w:r w:rsidRPr="00F75093">
              <w:rPr>
                <w:b/>
                <w:szCs w:val="22"/>
              </w:rPr>
              <w:t>Section</w:t>
            </w:r>
          </w:p>
        </w:tc>
        <w:tc>
          <w:tcPr>
            <w:tcW w:w="1309" w:type="dxa"/>
            <w:tcBorders>
              <w:top w:val="single" w:sz="4" w:space="0" w:color="auto"/>
              <w:left w:val="single" w:sz="4" w:space="0" w:color="auto"/>
              <w:bottom w:val="single" w:sz="4" w:space="0" w:color="auto"/>
              <w:right w:val="single" w:sz="4" w:space="0" w:color="auto"/>
            </w:tcBorders>
            <w:shd w:val="clear" w:color="auto" w:fill="FFFFFF"/>
            <w:vAlign w:val="center"/>
          </w:tcPr>
          <w:p w14:paraId="4BCD9621" w14:textId="77777777" w:rsidR="00D179BB" w:rsidRPr="00F75093" w:rsidRDefault="00D179BB" w:rsidP="00C536CC">
            <w:pPr>
              <w:spacing w:after="120" w:line="240" w:lineRule="atLeast"/>
              <w:jc w:val="center"/>
              <w:rPr>
                <w:b/>
                <w:szCs w:val="22"/>
              </w:rPr>
            </w:pPr>
            <w:r w:rsidRPr="00F75093">
              <w:rPr>
                <w:b/>
                <w:szCs w:val="22"/>
              </w:rPr>
              <w:t>Maximum Score</w:t>
            </w:r>
          </w:p>
        </w:tc>
      </w:tr>
      <w:tr w:rsidR="00D179BB" w:rsidRPr="00807DAF" w14:paraId="541F19A9" w14:textId="77777777" w:rsidTr="00D179BB">
        <w:tc>
          <w:tcPr>
            <w:tcW w:w="8688" w:type="dxa"/>
            <w:tcBorders>
              <w:top w:val="single" w:sz="4" w:space="0" w:color="auto"/>
              <w:left w:val="single" w:sz="4" w:space="0" w:color="auto"/>
              <w:bottom w:val="single" w:sz="4" w:space="0" w:color="auto"/>
              <w:right w:val="single" w:sz="4" w:space="0" w:color="auto"/>
            </w:tcBorders>
            <w:shd w:val="clear" w:color="auto" w:fill="D9D9D9"/>
            <w:vAlign w:val="center"/>
          </w:tcPr>
          <w:p w14:paraId="48FCD210" w14:textId="77777777" w:rsidR="00D179BB" w:rsidRPr="008F32AC" w:rsidRDefault="00D179BB" w:rsidP="00C536CC">
            <w:pPr>
              <w:spacing w:after="120" w:line="240" w:lineRule="atLeast"/>
              <w:jc w:val="left"/>
              <w:rPr>
                <w:b/>
                <w:szCs w:val="22"/>
              </w:rPr>
            </w:pPr>
            <w:r w:rsidRPr="008F32AC">
              <w:rPr>
                <w:b/>
                <w:szCs w:val="22"/>
              </w:rPr>
              <w:t>1. Relevance of the action</w:t>
            </w:r>
          </w:p>
        </w:tc>
        <w:tc>
          <w:tcPr>
            <w:tcW w:w="1309" w:type="dxa"/>
            <w:tcBorders>
              <w:top w:val="single" w:sz="4" w:space="0" w:color="auto"/>
              <w:left w:val="single" w:sz="4" w:space="0" w:color="auto"/>
              <w:bottom w:val="single" w:sz="4" w:space="0" w:color="auto"/>
              <w:right w:val="single" w:sz="4" w:space="0" w:color="auto"/>
            </w:tcBorders>
            <w:shd w:val="clear" w:color="auto" w:fill="D9D9D9"/>
          </w:tcPr>
          <w:p w14:paraId="2613793E" w14:textId="77777777" w:rsidR="00D179BB" w:rsidRPr="008F32AC" w:rsidRDefault="00D179BB" w:rsidP="00C536CC">
            <w:pPr>
              <w:spacing w:after="120" w:line="240" w:lineRule="atLeast"/>
              <w:jc w:val="center"/>
              <w:rPr>
                <w:b/>
                <w:szCs w:val="22"/>
              </w:rPr>
            </w:pPr>
            <w:r w:rsidRPr="008F32AC">
              <w:rPr>
                <w:b/>
                <w:noProof/>
                <w:szCs w:val="22"/>
              </w:rPr>
              <w:t>25</w:t>
            </w:r>
          </w:p>
        </w:tc>
      </w:tr>
      <w:tr w:rsidR="00D179BB" w:rsidRPr="00807DAF" w14:paraId="1771A33B" w14:textId="77777777" w:rsidTr="00CA2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688" w:type="dxa"/>
          </w:tcPr>
          <w:p w14:paraId="482855F1" w14:textId="77777777" w:rsidR="00D179BB" w:rsidRPr="008F32AC" w:rsidRDefault="00D179BB" w:rsidP="00C536CC">
            <w:pPr>
              <w:spacing w:after="120" w:line="240" w:lineRule="atLeast"/>
              <w:ind w:left="340" w:hanging="340"/>
              <w:rPr>
                <w:szCs w:val="22"/>
              </w:rPr>
            </w:pPr>
            <w:r w:rsidRPr="008F32AC">
              <w:rPr>
                <w:noProof/>
                <w:szCs w:val="22"/>
              </w:rPr>
              <w:t>1.1. Consistency with the objectives of the call: How relevant is the proposal to the objectives and priorities of the call for proposals? Are the expected results of the action aligned with the priorities defined in the guidelines for applicants (Section 1.2), including alignment with EU interest? Is the proposal aligned with the needs and priorities of the final beneficiary (local administration, partner country...)? Does the proposal demonstrate the integration of specific EU know-how or standards in the action, or alignment with established EU practices?</w:t>
            </w:r>
          </w:p>
        </w:tc>
        <w:tc>
          <w:tcPr>
            <w:tcW w:w="1309" w:type="dxa"/>
          </w:tcPr>
          <w:p w14:paraId="4E75C775" w14:textId="77777777" w:rsidR="00D179BB" w:rsidRPr="008F32AC" w:rsidRDefault="00D179BB" w:rsidP="00C536CC">
            <w:pPr>
              <w:spacing w:after="120" w:line="240" w:lineRule="atLeast"/>
              <w:jc w:val="center"/>
              <w:rPr>
                <w:szCs w:val="22"/>
                <w:u w:val="single"/>
              </w:rPr>
            </w:pPr>
            <w:r w:rsidRPr="008F32AC">
              <w:rPr>
                <w:noProof/>
                <w:szCs w:val="22"/>
              </w:rPr>
              <w:t>20</w:t>
            </w:r>
          </w:p>
        </w:tc>
      </w:tr>
      <w:tr w:rsidR="00D179BB" w:rsidRPr="00807DAF" w14:paraId="5D1C1318" w14:textId="77777777" w:rsidTr="00CA2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688" w:type="dxa"/>
          </w:tcPr>
          <w:p w14:paraId="7D8FCC19" w14:textId="77777777" w:rsidR="00D179BB" w:rsidRPr="008F32AC" w:rsidRDefault="00D179BB" w:rsidP="00C536CC">
            <w:pPr>
              <w:spacing w:after="120" w:line="240" w:lineRule="atLeast"/>
              <w:ind w:left="340" w:hanging="340"/>
              <w:rPr>
                <w:szCs w:val="22"/>
              </w:rPr>
            </w:pPr>
            <w:r w:rsidRPr="008F32AC">
              <w:rPr>
                <w:noProof/>
                <w:szCs w:val="22"/>
              </w:rPr>
              <w:t>1.2. Added value elements: Does the proposal contain particular added-value elements (e.g. innovation, best practices, potential to have a strong Team Europe component, etc.)? Does the proposal clearly outline how/if the action adds value beyond existing initiatives?</w:t>
            </w:r>
          </w:p>
        </w:tc>
        <w:tc>
          <w:tcPr>
            <w:tcW w:w="1309" w:type="dxa"/>
          </w:tcPr>
          <w:p w14:paraId="1095C7BB" w14:textId="77777777" w:rsidR="00D179BB" w:rsidRPr="008F32AC" w:rsidRDefault="00D179BB" w:rsidP="00C536CC">
            <w:pPr>
              <w:spacing w:after="120" w:line="240" w:lineRule="atLeast"/>
              <w:jc w:val="center"/>
              <w:rPr>
                <w:szCs w:val="22"/>
                <w:u w:val="single"/>
              </w:rPr>
            </w:pPr>
            <w:r w:rsidRPr="008F32AC">
              <w:rPr>
                <w:noProof/>
                <w:szCs w:val="22"/>
              </w:rPr>
              <w:t>5</w:t>
            </w:r>
          </w:p>
        </w:tc>
      </w:tr>
      <w:tr w:rsidR="00D179BB" w:rsidRPr="00807DAF" w14:paraId="2023C165" w14:textId="77777777" w:rsidTr="00CA2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88" w:type="dxa"/>
            <w:shd w:val="clear" w:color="auto" w:fill="D9D9D9"/>
            <w:vAlign w:val="center"/>
          </w:tcPr>
          <w:p w14:paraId="19156879" w14:textId="77777777" w:rsidR="00D179BB" w:rsidRPr="008F32AC" w:rsidRDefault="00D179BB" w:rsidP="00C536CC">
            <w:pPr>
              <w:spacing w:after="120" w:line="240" w:lineRule="atLeast"/>
              <w:jc w:val="left"/>
              <w:rPr>
                <w:b/>
                <w:szCs w:val="22"/>
              </w:rPr>
            </w:pPr>
            <w:r w:rsidRPr="008F32AC">
              <w:rPr>
                <w:b/>
                <w:szCs w:val="22"/>
              </w:rPr>
              <w:t xml:space="preserve">2. </w:t>
            </w:r>
            <w:r w:rsidRPr="008F32AC">
              <w:rPr>
                <w:b/>
                <w:noProof/>
                <w:szCs w:val="22"/>
              </w:rPr>
              <w:t>Maturity and expected impact of the action</w:t>
            </w:r>
          </w:p>
        </w:tc>
        <w:tc>
          <w:tcPr>
            <w:tcW w:w="1309" w:type="dxa"/>
            <w:shd w:val="clear" w:color="auto" w:fill="D9D9D9"/>
          </w:tcPr>
          <w:p w14:paraId="65559AE2" w14:textId="77777777" w:rsidR="00D179BB" w:rsidRPr="008F32AC" w:rsidRDefault="00D179BB" w:rsidP="00C536CC">
            <w:pPr>
              <w:spacing w:after="120" w:line="240" w:lineRule="atLeast"/>
              <w:jc w:val="center"/>
              <w:rPr>
                <w:b/>
                <w:szCs w:val="22"/>
              </w:rPr>
            </w:pPr>
            <w:r w:rsidRPr="00436E58">
              <w:rPr>
                <w:b/>
                <w:bCs/>
                <w:noProof/>
                <w:szCs w:val="22"/>
              </w:rPr>
              <w:t>25</w:t>
            </w:r>
          </w:p>
        </w:tc>
      </w:tr>
      <w:tr w:rsidR="00D179BB" w:rsidRPr="00807DAF" w14:paraId="3994E4C6" w14:textId="77777777" w:rsidTr="00CA2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688" w:type="dxa"/>
          </w:tcPr>
          <w:p w14:paraId="16BF0BBF" w14:textId="77777777" w:rsidR="00D179BB" w:rsidRPr="008F32AC" w:rsidRDefault="00D179BB" w:rsidP="00C536CC">
            <w:pPr>
              <w:spacing w:after="120" w:line="240" w:lineRule="atLeast"/>
              <w:rPr>
                <w:szCs w:val="22"/>
              </w:rPr>
            </w:pPr>
            <w:r w:rsidRPr="008F32AC">
              <w:rPr>
                <w:noProof/>
                <w:szCs w:val="22"/>
              </w:rPr>
              <w:t>2.1. Level of maturity and local engagement: Has specific and relevant concrete groundwork already been carried out by the applicant (description of preparatory work concluded)? How advanced is the proposed initiative in terms of concept development, planning, and implementation readiness (including technical readiness)? How effectively are local actors engaged and committed (i.e. demonstration of local ownership, stakeholder participation, local presence in the partner country, letter of interest to justify endorsement by the local authorities, etc.)? Is there any previous engagement or involvement in the form of Team Europe dialogues around the proposal?</w:t>
            </w:r>
          </w:p>
        </w:tc>
        <w:tc>
          <w:tcPr>
            <w:tcW w:w="1309" w:type="dxa"/>
          </w:tcPr>
          <w:p w14:paraId="3A325FE0" w14:textId="77777777" w:rsidR="00D179BB" w:rsidRPr="008F32AC" w:rsidRDefault="00D179BB" w:rsidP="00C536CC">
            <w:pPr>
              <w:spacing w:after="120" w:line="240" w:lineRule="atLeast"/>
              <w:jc w:val="center"/>
              <w:rPr>
                <w:szCs w:val="22"/>
                <w:u w:val="single"/>
              </w:rPr>
            </w:pPr>
            <w:r w:rsidRPr="008F32AC">
              <w:rPr>
                <w:noProof/>
                <w:szCs w:val="22"/>
              </w:rPr>
              <w:t>10</w:t>
            </w:r>
          </w:p>
        </w:tc>
      </w:tr>
      <w:tr w:rsidR="00D179BB" w:rsidRPr="00807DAF" w14:paraId="1BF66121" w14:textId="77777777" w:rsidTr="00CA2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688" w:type="dxa"/>
          </w:tcPr>
          <w:p w14:paraId="201955F3" w14:textId="77777777" w:rsidR="00D179BB" w:rsidRPr="008F32AC" w:rsidRDefault="00D179BB" w:rsidP="00C536CC">
            <w:pPr>
              <w:spacing w:after="120" w:line="240" w:lineRule="atLeast"/>
              <w:rPr>
                <w:szCs w:val="22"/>
              </w:rPr>
            </w:pPr>
            <w:r w:rsidRPr="008F32AC">
              <w:rPr>
                <w:noProof/>
                <w:szCs w:val="22"/>
              </w:rPr>
              <w:t>2.2. Expected impact and viability: Does the proposal demonstrate significant potential to generate new opportunities for future EU private sector investments? Does the proposal demonstrate significant financial involvement and commitment from EU private sector in the next stages of the project? Does the requested EU support have a catalytic effect on the project, such as overcoming financial gaps, mobilising additional investment, improving project quality, or accelerating implementation? Is the proposal part of a project that has significant economic, social, environmental (including progressing towards the EU Green Deal objectives) impact or other relevant positive externalities?</w:t>
            </w:r>
          </w:p>
        </w:tc>
        <w:tc>
          <w:tcPr>
            <w:tcW w:w="1309" w:type="dxa"/>
          </w:tcPr>
          <w:p w14:paraId="070312D6" w14:textId="77777777" w:rsidR="00D179BB" w:rsidRPr="008F32AC" w:rsidRDefault="00D179BB" w:rsidP="00C536CC">
            <w:pPr>
              <w:spacing w:after="120" w:line="240" w:lineRule="atLeast"/>
              <w:jc w:val="center"/>
              <w:rPr>
                <w:szCs w:val="22"/>
                <w:u w:val="single"/>
              </w:rPr>
            </w:pPr>
            <w:r w:rsidRPr="008F32AC">
              <w:rPr>
                <w:noProof/>
                <w:szCs w:val="22"/>
              </w:rPr>
              <w:t>10</w:t>
            </w:r>
          </w:p>
        </w:tc>
      </w:tr>
      <w:tr w:rsidR="00D179BB" w:rsidRPr="00807DAF" w14:paraId="4F476828" w14:textId="77777777" w:rsidTr="00CA2F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688" w:type="dxa"/>
          </w:tcPr>
          <w:p w14:paraId="55F8EA1B" w14:textId="77777777" w:rsidR="00D179BB" w:rsidRPr="008F32AC" w:rsidRDefault="00D179BB" w:rsidP="00C536CC">
            <w:pPr>
              <w:spacing w:after="120" w:line="240" w:lineRule="atLeast"/>
              <w:rPr>
                <w:szCs w:val="22"/>
              </w:rPr>
            </w:pPr>
            <w:r w:rsidRPr="008F32AC">
              <w:rPr>
                <w:noProof/>
                <w:szCs w:val="22"/>
              </w:rPr>
              <w:t>2.3. Cross-cutting issues: To which extent does the proposal integrate relevant cross-cutting elements such as environmental/climate change issues, promotion of gender equality and equal opportunities, needs of disabled people, inequality reduction, building local capacities, etc.?</w:t>
            </w:r>
          </w:p>
        </w:tc>
        <w:tc>
          <w:tcPr>
            <w:tcW w:w="1309" w:type="dxa"/>
          </w:tcPr>
          <w:p w14:paraId="4939F3B6" w14:textId="77777777" w:rsidR="00D179BB" w:rsidRPr="008F32AC" w:rsidRDefault="00D179BB" w:rsidP="00C536CC">
            <w:pPr>
              <w:spacing w:after="120" w:line="240" w:lineRule="atLeast"/>
              <w:jc w:val="center"/>
              <w:rPr>
                <w:szCs w:val="22"/>
                <w:u w:val="single"/>
              </w:rPr>
            </w:pPr>
            <w:r w:rsidRPr="008F32AC">
              <w:rPr>
                <w:noProof/>
                <w:szCs w:val="22"/>
              </w:rPr>
              <w:t>5</w:t>
            </w:r>
          </w:p>
        </w:tc>
      </w:tr>
      <w:tr w:rsidR="00D179BB" w:rsidRPr="00807DAF" w14:paraId="37B5A9A2" w14:textId="77777777" w:rsidTr="00D17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688" w:type="dxa"/>
            <w:shd w:val="clear" w:color="auto" w:fill="D9D9D9"/>
            <w:vAlign w:val="center"/>
          </w:tcPr>
          <w:p w14:paraId="0173949C" w14:textId="77777777" w:rsidR="00D179BB" w:rsidRPr="008F32AC" w:rsidRDefault="00D179BB" w:rsidP="00C536CC">
            <w:pPr>
              <w:spacing w:after="120" w:line="240" w:lineRule="atLeast"/>
              <w:jc w:val="left"/>
              <w:rPr>
                <w:szCs w:val="22"/>
              </w:rPr>
            </w:pPr>
            <w:r w:rsidRPr="00F75093">
              <w:rPr>
                <w:b/>
                <w:szCs w:val="22"/>
              </w:rPr>
              <w:t>Maximum total score</w:t>
            </w:r>
          </w:p>
        </w:tc>
        <w:tc>
          <w:tcPr>
            <w:tcW w:w="1309" w:type="dxa"/>
            <w:shd w:val="clear" w:color="auto" w:fill="D9D9D9"/>
          </w:tcPr>
          <w:p w14:paraId="4A18E27D" w14:textId="77777777" w:rsidR="00D179BB" w:rsidRPr="008F32AC" w:rsidRDefault="00D179BB" w:rsidP="00C536CC">
            <w:pPr>
              <w:spacing w:after="120" w:line="240" w:lineRule="atLeast"/>
              <w:jc w:val="center"/>
              <w:rPr>
                <w:szCs w:val="22"/>
              </w:rPr>
            </w:pPr>
            <w:r w:rsidRPr="008F32AC">
              <w:rPr>
                <w:b/>
                <w:noProof/>
                <w:szCs w:val="22"/>
              </w:rPr>
              <w:t>50</w:t>
            </w:r>
          </w:p>
        </w:tc>
      </w:tr>
    </w:tbl>
    <w:p w14:paraId="4F397116" w14:textId="77777777" w:rsidR="00603DD7" w:rsidRDefault="00603DD7" w:rsidP="00C536CC">
      <w:pPr>
        <w:spacing w:after="120" w:line="240" w:lineRule="atLeast"/>
        <w:rPr>
          <w:highlight w:val="yellow"/>
        </w:rPr>
      </w:pPr>
    </w:p>
    <w:p w14:paraId="69B42C89" w14:textId="77777777" w:rsidR="00603DD7" w:rsidRDefault="00603DD7" w:rsidP="00603DD7">
      <w:pPr>
        <w:pStyle w:val="Zkladntext"/>
        <w:spacing w:before="120"/>
        <w:ind w:right="391"/>
      </w:pPr>
      <w:r w:rsidRPr="008A4202">
        <w:lastRenderedPageBreak/>
        <w:t>Once all concept notes have been assessed, a list will be drawn up with the proposed actions ranked according to their total score.</w:t>
      </w:r>
    </w:p>
    <w:p w14:paraId="401D71EA" w14:textId="77777777" w:rsidR="00603DD7" w:rsidRDefault="00603DD7" w:rsidP="00603DD7">
      <w:pPr>
        <w:pStyle w:val="Zkladntext"/>
        <w:spacing w:before="120"/>
        <w:ind w:right="391"/>
        <w:rPr>
          <w:spacing w:val="-2"/>
        </w:rPr>
      </w:pPr>
      <w:r>
        <w:t xml:space="preserve">Firstly, only the concept notes with a score of at least </w:t>
      </w:r>
      <w:r w:rsidR="000B694A" w:rsidRPr="00807DAF">
        <w:t xml:space="preserve"> </w:t>
      </w:r>
      <w:r w:rsidRPr="00881548">
        <w:rPr>
          <w:lang w:val="en-IE"/>
        </w:rPr>
        <w:t xml:space="preserve"> </w:t>
      </w:r>
      <w:r>
        <w:t xml:space="preserve">will be considered for </w:t>
      </w:r>
      <w:r>
        <w:rPr>
          <w:spacing w:val="-2"/>
        </w:rPr>
        <w:t xml:space="preserve">pre-selection. </w:t>
      </w:r>
      <w:r w:rsidRPr="005825DB">
        <w:rPr>
          <w:spacing w:val="-2"/>
        </w:rPr>
        <w:t>If the score for at least one of the subsections is less than 20% of the maximum score, the application will also be rejected</w:t>
      </w:r>
      <w:r>
        <w:rPr>
          <w:spacing w:val="-2"/>
        </w:rPr>
        <w:t>.</w:t>
      </w:r>
    </w:p>
    <w:p w14:paraId="44A7F84C" w14:textId="77777777" w:rsidR="00603DD7" w:rsidRDefault="00603DD7" w:rsidP="00603DD7">
      <w:pPr>
        <w:pStyle w:val="Zkladntext"/>
        <w:spacing w:before="120"/>
        <w:ind w:right="391"/>
      </w:pPr>
      <w:r>
        <w:t>Secondly, the number of concept notes will be reduced, taking account of the ranking, to the number of concept notes whose total aggregate</w:t>
      </w:r>
      <w:r>
        <w:rPr>
          <w:spacing w:val="-2"/>
        </w:rPr>
        <w:t xml:space="preserve"> </w:t>
      </w:r>
      <w:r>
        <w:t>amount of</w:t>
      </w:r>
      <w:r>
        <w:rPr>
          <w:spacing w:val="-2"/>
        </w:rPr>
        <w:t xml:space="preserve"> </w:t>
      </w:r>
      <w:r>
        <w:t>requested contributions</w:t>
      </w:r>
      <w:r>
        <w:rPr>
          <w:spacing w:val="-2"/>
        </w:rPr>
        <w:t xml:space="preserve"> </w:t>
      </w:r>
      <w:r>
        <w:t>is equal to 200% of the available budget</w:t>
      </w:r>
      <w:r>
        <w:rPr>
          <w:color w:val="000000"/>
        </w:rPr>
        <w:t xml:space="preserve"> for this call for proposals. The amount of requested contributions of each concept note will be based on the indicative financial envelopes for each lot, where relevant.</w:t>
      </w:r>
    </w:p>
    <w:p w14:paraId="7AED50BA" w14:textId="77777777" w:rsidR="000F17F3" w:rsidRDefault="006C3C8A" w:rsidP="00C536CC">
      <w:pPr>
        <w:spacing w:after="120" w:line="240" w:lineRule="atLeast"/>
      </w:pPr>
      <w:r>
        <w:t>Lead applicants will receive a letter indicating the reference number of their application and the respective results. This letter will automatically appear online</w:t>
      </w:r>
      <w:r w:rsidRPr="000972BD">
        <w:t xml:space="preserve"> in the PROSPECT profile of the</w:t>
      </w:r>
      <w:r>
        <w:t xml:space="preserve"> lead</w:t>
      </w:r>
      <w:r w:rsidRPr="000972BD">
        <w:t xml:space="preserve"> applicant. </w:t>
      </w:r>
    </w:p>
    <w:p w14:paraId="7D3ED698" w14:textId="77777777" w:rsidR="00400B42" w:rsidRDefault="00400B42" w:rsidP="006C5556">
      <w:pPr>
        <w:spacing w:after="120" w:line="240" w:lineRule="atLeast"/>
      </w:pPr>
      <w:r w:rsidRPr="00251339">
        <w:t xml:space="preserve">The </w:t>
      </w:r>
      <w:r w:rsidR="00717ADB" w:rsidRPr="00251339">
        <w:t>e</w:t>
      </w:r>
      <w:r w:rsidRPr="00251339">
        <w:t xml:space="preserve">valuation </w:t>
      </w:r>
      <w:r w:rsidR="00717ADB" w:rsidRPr="00251339">
        <w:t>c</w:t>
      </w:r>
      <w:r w:rsidRPr="00251339">
        <w:t xml:space="preserve">ommittee will </w:t>
      </w:r>
      <w:r w:rsidR="00A36BA3" w:rsidRPr="00251339">
        <w:t xml:space="preserve">then </w:t>
      </w:r>
      <w:r w:rsidRPr="00251339">
        <w:t xml:space="preserve">proceed with the </w:t>
      </w:r>
      <w:r w:rsidR="00B114D9" w:rsidRPr="00251339">
        <w:t>lead a</w:t>
      </w:r>
      <w:r w:rsidR="001B2484" w:rsidRPr="00251339">
        <w:t>pplicants whose proposals have been pre-selected</w:t>
      </w:r>
      <w:r w:rsidRPr="00251339">
        <w:t>.</w:t>
      </w:r>
    </w:p>
    <w:p w14:paraId="6EBB7C21" w14:textId="77777777" w:rsidR="006210D6" w:rsidRPr="00807DAF" w:rsidRDefault="006210D6" w:rsidP="00816803">
      <w:pPr>
        <w:pStyle w:val="Guidelines3"/>
        <w:numPr>
          <w:ilvl w:val="2"/>
          <w:numId w:val="8"/>
        </w:numPr>
      </w:pPr>
      <w:bookmarkStart w:id="45" w:name="_Toc216688237"/>
      <w:r w:rsidRPr="00807DAF">
        <w:t>STEP 2: EVALUATION OF THE FULL APPLICATIO</w:t>
      </w:r>
      <w:r>
        <w:t>N</w:t>
      </w:r>
      <w:bookmarkEnd w:id="45"/>
    </w:p>
    <w:p w14:paraId="2995E205" w14:textId="77777777" w:rsidR="00882D9A" w:rsidRDefault="00882D9A" w:rsidP="00882D9A">
      <w:pPr>
        <w:pStyle w:val="Zkladntext"/>
        <w:spacing w:before="120"/>
        <w:ind w:right="390"/>
      </w:pPr>
      <w:bookmarkStart w:id="46" w:name="_Hlk522124650"/>
      <w:r>
        <w:t>If the applications pass the opening and administrative checks along the instructions of the Step 1, they will be further evaluated on their quality, including the proposed budget and capacity of the applicants and affiliated entity(ies). They will be evaluated using the evaluation criteria in the evaluation grid below. There are two types of evaluation criteria: selection and award criteria.</w:t>
      </w:r>
    </w:p>
    <w:p w14:paraId="760CA02C" w14:textId="77777777" w:rsidR="00882D9A" w:rsidRDefault="00882D9A" w:rsidP="00882D9A">
      <w:pPr>
        <w:pStyle w:val="Zkladntext"/>
        <w:spacing w:before="119" w:line="244" w:lineRule="auto"/>
        <w:ind w:right="389"/>
      </w:pPr>
      <w:r>
        <w:rPr>
          <w:b/>
          <w:u w:val="single"/>
        </w:rPr>
        <w:t>The selection criteria</w:t>
      </w:r>
      <w:r>
        <w:rPr>
          <w:b/>
        </w:rPr>
        <w:t xml:space="preserve"> </w:t>
      </w:r>
      <w:r>
        <w:t>help to evaluate the applicant(s)'s and affiliated entity(ies)'s operational capacity and the lead applicant's financial capacity and are used to verify that they:</w:t>
      </w:r>
    </w:p>
    <w:p w14:paraId="5D69A754" w14:textId="77777777" w:rsidR="00882D9A" w:rsidRPr="00F065A4" w:rsidRDefault="00882D9A" w:rsidP="00816803">
      <w:pPr>
        <w:pStyle w:val="Odstavecseseznamem"/>
        <w:widowControl w:val="0"/>
        <w:numPr>
          <w:ilvl w:val="0"/>
          <w:numId w:val="29"/>
        </w:numPr>
        <w:tabs>
          <w:tab w:val="left" w:pos="933"/>
        </w:tabs>
        <w:autoSpaceDE w:val="0"/>
        <w:autoSpaceDN w:val="0"/>
        <w:spacing w:before="111" w:after="0"/>
        <w:ind w:right="389"/>
        <w:jc w:val="left"/>
        <w:rPr>
          <w:lang w:val="en-IE"/>
        </w:rPr>
      </w:pPr>
      <w:r>
        <w:t xml:space="preserve">(only for lead applicants) </w:t>
      </w:r>
      <w:r w:rsidRPr="00256984">
        <w:t>have stable and sufficient resources to successfully implement the projects</w:t>
      </w:r>
      <w:r>
        <w:t xml:space="preserve"> in the </w:t>
      </w:r>
      <w:r w:rsidRPr="000C6CD7">
        <w:t>field and contribute their share</w:t>
      </w:r>
      <w:r w:rsidRPr="00256984">
        <w:t xml:space="preserve"> (measured by an average annual turnover of</w:t>
      </w:r>
      <w:r w:rsidRPr="00F065A4">
        <w:rPr>
          <w:lang w:val="en-IE"/>
        </w:rPr>
        <w:t xml:space="preserve"> the candidate for the last three years, for which the accounts have been closed, that must exceed the annualised grant amount requested</w:t>
      </w:r>
      <w:r>
        <w:rPr>
          <w:rStyle w:val="Znakapoznpodarou"/>
          <w:lang w:val="en-IE"/>
        </w:rPr>
        <w:footnoteReference w:id="21"/>
      </w:r>
      <w:r w:rsidRPr="00F065A4">
        <w:rPr>
          <w:lang w:val="en-IE"/>
        </w:rPr>
        <w:t xml:space="preserve">, </w:t>
      </w:r>
      <w:r w:rsidRPr="009764EA">
        <w:t>The average is calculated as the sum of the annual turnover of the candidate for each year divided by 3</w:t>
      </w:r>
      <w:r w:rsidRPr="00F065A4">
        <w:rPr>
          <w:lang w:val="en-IE"/>
        </w:rPr>
        <w:t xml:space="preserve">). </w:t>
      </w:r>
    </w:p>
    <w:p w14:paraId="3945185C" w14:textId="77777777" w:rsidR="00882D9A" w:rsidRPr="00256984" w:rsidRDefault="00882D9A" w:rsidP="00882D9A">
      <w:pPr>
        <w:pStyle w:val="Odstavecseseznamem"/>
        <w:tabs>
          <w:tab w:val="left" w:pos="933"/>
        </w:tabs>
        <w:spacing w:before="111"/>
        <w:ind w:left="720" w:right="389"/>
        <w:rPr>
          <w:lang w:val="en-IE"/>
        </w:rPr>
      </w:pPr>
      <w:r>
        <w:rPr>
          <w:lang w:val="en-IE"/>
        </w:rPr>
        <w:t>S</w:t>
      </w:r>
      <w:r w:rsidRPr="009F70B1">
        <w:rPr>
          <w:lang w:val="en-IE"/>
        </w:rPr>
        <w:t>tart-ups established within the last three years are exempt from this requirement. Instead of average annual turnover, start-ups may demonstrate their financial capacity through alternative documentation such as recent financial statements (if available), proof of funding or investment (such as venture capital or angel investment), or a solid business plan or financial projection for the next three years</w:t>
      </w:r>
      <w:r>
        <w:rPr>
          <w:lang w:val="en-IE"/>
        </w:rPr>
        <w:t>;</w:t>
      </w:r>
      <w:r w:rsidRPr="00256984">
        <w:rPr>
          <w:lang w:val="en-IE"/>
        </w:rPr>
        <w:t xml:space="preserve"> </w:t>
      </w:r>
      <w:r>
        <w:rPr>
          <w:b/>
          <w:bCs/>
          <w:lang w:val="en-IE"/>
        </w:rPr>
        <w:t>AND</w:t>
      </w:r>
    </w:p>
    <w:p w14:paraId="2AC448E8" w14:textId="77777777" w:rsidR="00882D9A" w:rsidRDefault="00882D9A" w:rsidP="00816803">
      <w:pPr>
        <w:pStyle w:val="Odstavecseseznamem"/>
        <w:widowControl w:val="0"/>
        <w:numPr>
          <w:ilvl w:val="0"/>
          <w:numId w:val="29"/>
        </w:numPr>
        <w:tabs>
          <w:tab w:val="left" w:pos="933"/>
        </w:tabs>
        <w:autoSpaceDE w:val="0"/>
        <w:autoSpaceDN w:val="0"/>
        <w:spacing w:after="0"/>
        <w:ind w:right="391"/>
        <w:rPr>
          <w:lang w:val="en-IE"/>
        </w:rPr>
      </w:pPr>
      <w:r w:rsidRPr="00C32116">
        <w:rPr>
          <w:lang w:val="en-IE"/>
        </w:rPr>
        <w:t>(only for led applicants)</w:t>
      </w:r>
      <w:r>
        <w:rPr>
          <w:lang w:val="en-IE"/>
        </w:rPr>
        <w:t xml:space="preserve"> </w:t>
      </w:r>
      <w:r w:rsidRPr="00642C6E">
        <w:t>have</w:t>
      </w:r>
      <w:r w:rsidRPr="00256984">
        <w:rPr>
          <w:lang w:val="en-IE"/>
        </w:rPr>
        <w:t xml:space="preserve"> the know-how</w:t>
      </w:r>
      <w:r>
        <w:rPr>
          <w:lang w:val="en-IE"/>
        </w:rPr>
        <w:t xml:space="preserve"> </w:t>
      </w:r>
      <w:r w:rsidRPr="00256984">
        <w:rPr>
          <w:lang w:val="en-IE"/>
        </w:rPr>
        <w:t>and resources to successfully implement the projects and contribute their share</w:t>
      </w:r>
      <w:r>
        <w:rPr>
          <w:lang w:val="en-IE"/>
        </w:rPr>
        <w:t xml:space="preserve"> measured by:</w:t>
      </w:r>
    </w:p>
    <w:p w14:paraId="472DAAB2" w14:textId="77777777" w:rsidR="00882D9A" w:rsidRDefault="00882D9A" w:rsidP="00882D9A">
      <w:pPr>
        <w:pStyle w:val="Odstavecseseznamem"/>
        <w:tabs>
          <w:tab w:val="left" w:pos="933"/>
        </w:tabs>
        <w:ind w:right="391"/>
        <w:rPr>
          <w:lang w:val="en-IE"/>
        </w:rPr>
      </w:pPr>
      <w:r w:rsidRPr="00256984">
        <w:rPr>
          <w:lang w:val="en-IE"/>
        </w:rPr>
        <w:t xml:space="preserve"> </w:t>
      </w:r>
      <w:r>
        <w:rPr>
          <w:lang w:val="en-IE"/>
        </w:rPr>
        <w:t xml:space="preserve">a)  </w:t>
      </w:r>
      <w:r w:rsidRPr="000C6CD7">
        <w:rPr>
          <w:lang w:val="en-IE"/>
        </w:rPr>
        <w:t xml:space="preserve">demonstrating experience in at least 2 projects of comparable size and nature during the last three years, </w:t>
      </w:r>
      <w:r w:rsidRPr="00154CE8">
        <w:rPr>
          <w:b/>
          <w:bCs/>
          <w:lang w:val="en-IE"/>
        </w:rPr>
        <w:t>and</w:t>
      </w:r>
    </w:p>
    <w:p w14:paraId="3DFA5444" w14:textId="77777777" w:rsidR="00882D9A" w:rsidRDefault="00882D9A" w:rsidP="00882D9A">
      <w:pPr>
        <w:pStyle w:val="Odstavecseseznamem"/>
        <w:tabs>
          <w:tab w:val="left" w:pos="933"/>
        </w:tabs>
        <w:ind w:right="391"/>
        <w:rPr>
          <w:lang w:val="en-IE"/>
        </w:rPr>
      </w:pPr>
      <w:r>
        <w:rPr>
          <w:lang w:val="en-IE"/>
        </w:rPr>
        <w:t xml:space="preserve">b) </w:t>
      </w:r>
      <w:r w:rsidRPr="001E64B6">
        <w:rPr>
          <w:lang w:val="en-IE"/>
        </w:rPr>
        <w:t>having at least five permanent contract staff that are/have been working as in-house staff (permanent staff on the pay roll) for the candidate in related fields during the last three years.</w:t>
      </w:r>
    </w:p>
    <w:p w14:paraId="477F9A3B" w14:textId="77777777" w:rsidR="00882D9A" w:rsidRPr="001E64B6" w:rsidRDefault="00882D9A" w:rsidP="00882D9A">
      <w:pPr>
        <w:tabs>
          <w:tab w:val="left" w:pos="933"/>
        </w:tabs>
        <w:spacing w:before="111"/>
        <w:ind w:left="720" w:right="391"/>
        <w:rPr>
          <w:lang w:val="en-IE"/>
        </w:rPr>
      </w:pPr>
      <w:r w:rsidRPr="001E64B6">
        <w:rPr>
          <w:lang w:val="en-IE"/>
        </w:rPr>
        <w:t>Start-ups with less than five permanent staff may qualify if they can demonstrate sufficient expertise</w:t>
      </w:r>
      <w:r>
        <w:rPr>
          <w:rStyle w:val="Znakapoznpodarou"/>
          <w:lang w:val="en-IE"/>
        </w:rPr>
        <w:footnoteReference w:id="22"/>
      </w:r>
      <w:r w:rsidRPr="001E64B6">
        <w:rPr>
          <w:lang w:val="en-IE"/>
        </w:rPr>
        <w:t xml:space="preserve"> and capacity through the experience of their core team members; </w:t>
      </w:r>
      <w:r>
        <w:rPr>
          <w:b/>
          <w:bCs/>
          <w:lang w:val="en-IE"/>
        </w:rPr>
        <w:t>AND</w:t>
      </w:r>
    </w:p>
    <w:p w14:paraId="054CA7FF" w14:textId="77777777" w:rsidR="00882D9A" w:rsidRPr="00882D9A" w:rsidRDefault="00882D9A" w:rsidP="00816803">
      <w:pPr>
        <w:pStyle w:val="Odstavecseseznamem"/>
        <w:widowControl w:val="0"/>
        <w:numPr>
          <w:ilvl w:val="0"/>
          <w:numId w:val="29"/>
        </w:numPr>
        <w:tabs>
          <w:tab w:val="left" w:pos="933"/>
        </w:tabs>
        <w:autoSpaceDE w:val="0"/>
        <w:autoSpaceDN w:val="0"/>
        <w:spacing w:after="0"/>
        <w:ind w:right="391"/>
      </w:pPr>
      <w:r w:rsidRPr="00882D9A">
        <w:rPr>
          <w:color w:val="000000"/>
          <w:lang w:val="en-IE"/>
        </w:rPr>
        <w:t>(</w:t>
      </w:r>
      <w:r w:rsidRPr="00882D9A">
        <w:rPr>
          <w:b/>
          <w:bCs/>
          <w:color w:val="000000"/>
          <w:lang w:val="en-IE"/>
        </w:rPr>
        <w:t xml:space="preserve">only for </w:t>
      </w:r>
      <w:r w:rsidRPr="00F065A4">
        <w:rPr>
          <w:b/>
          <w:bCs/>
        </w:rPr>
        <w:t>lead applicants</w:t>
      </w:r>
      <w:r w:rsidRPr="00882D9A">
        <w:rPr>
          <w:b/>
          <w:bCs/>
          <w:color w:val="000000"/>
          <w:lang w:val="en-IE"/>
        </w:rPr>
        <w:t xml:space="preserve"> of lot 5</w:t>
      </w:r>
      <w:r w:rsidRPr="00882D9A">
        <w:rPr>
          <w:color w:val="000000"/>
          <w:lang w:val="en-IE"/>
        </w:rPr>
        <w:t xml:space="preserve">) have an open office on the country of the project or, at least, a regional office that covers the country having already developed engineering projects. </w:t>
      </w:r>
      <w:r w:rsidRPr="00882D9A">
        <w:rPr>
          <w:color w:val="000000"/>
          <w:lang w:val="en-IE"/>
        </w:rPr>
        <w:lastRenderedPageBreak/>
        <w:t>Additionally, having experience leading railway projects in Europe.</w:t>
      </w:r>
    </w:p>
    <w:p w14:paraId="68D59DF4" w14:textId="77777777" w:rsidR="00882D9A" w:rsidRPr="00642C6E" w:rsidRDefault="00882D9A" w:rsidP="00882D9A">
      <w:pPr>
        <w:pStyle w:val="Odstavecseseznamem"/>
        <w:widowControl w:val="0"/>
        <w:tabs>
          <w:tab w:val="left" w:pos="933"/>
        </w:tabs>
        <w:autoSpaceDE w:val="0"/>
        <w:autoSpaceDN w:val="0"/>
        <w:spacing w:after="0"/>
        <w:ind w:left="720" w:right="391"/>
      </w:pPr>
    </w:p>
    <w:bookmarkEnd w:id="46"/>
    <w:p w14:paraId="66197BF2" w14:textId="77777777" w:rsidR="00882D9A" w:rsidRDefault="00882D9A" w:rsidP="00882D9A">
      <w:pPr>
        <w:pStyle w:val="Zkladntext"/>
        <w:spacing w:before="117"/>
        <w:ind w:right="393"/>
      </w:pPr>
      <w:r>
        <w:t>For the purpose of the evaluation of the financial capacity, lead applicants must ensure that the relevant information and documents (i.e. accounts of the latest financial year and external audit report, where applicable) are up to date, either in their PADOR profile or when submitting the requested documents with the PADOR registration form</w:t>
      </w:r>
      <w:r>
        <w:rPr>
          <w:b/>
        </w:rPr>
        <w:t xml:space="preserve">. </w:t>
      </w:r>
      <w:r>
        <w:t>If the information and documents requested are outdated and do not allow for a proper evaluation of the financial capacity, the application may be rejected.</w:t>
      </w:r>
    </w:p>
    <w:p w14:paraId="7AB4D8BD" w14:textId="77777777" w:rsidR="00882D9A" w:rsidRDefault="00882D9A" w:rsidP="00882D9A">
      <w:pPr>
        <w:pStyle w:val="Zkladntext"/>
        <w:spacing w:before="120"/>
        <w:ind w:right="389"/>
      </w:pPr>
      <w:r>
        <w:rPr>
          <w:b/>
          <w:u w:val="single"/>
        </w:rPr>
        <w:t>The award criteria</w:t>
      </w:r>
      <w:r>
        <w:rPr>
          <w:b/>
        </w:rPr>
        <w:t xml:space="preserve"> </w:t>
      </w:r>
      <w:r>
        <w:t>help to evaluate the quality of the applications in relation to the objectives and priorities set forth in the guidelines, and to award grants to projects which maximise the overall effectiveness of the</w:t>
      </w:r>
      <w:r>
        <w:rPr>
          <w:spacing w:val="40"/>
        </w:rPr>
        <w:t xml:space="preserve"> </w:t>
      </w:r>
      <w:r>
        <w:t>call for proposals. They help to select applications which the contracting authority can be confident will comply with its objectives and priorities. They cover the relevance of the action, its consistency with the objectives of the call for proposals, quality, expected impact, sustainability and cost-effectiveness.</w:t>
      </w:r>
    </w:p>
    <w:p w14:paraId="06EBC519" w14:textId="77777777" w:rsidR="00ED5802" w:rsidRPr="006769D7" w:rsidRDefault="00ED5802" w:rsidP="00C536CC">
      <w:pPr>
        <w:spacing w:after="120" w:line="240" w:lineRule="atLeast"/>
        <w:rPr>
          <w:b/>
          <w:i/>
        </w:rPr>
      </w:pPr>
      <w:r w:rsidRPr="006769D7">
        <w:rPr>
          <w:b/>
          <w:i/>
        </w:rPr>
        <w:t>Scoring:</w:t>
      </w:r>
    </w:p>
    <w:p w14:paraId="1DF4FC11" w14:textId="77777777" w:rsidR="00882D9A" w:rsidRDefault="00882D9A" w:rsidP="00882D9A">
      <w:pPr>
        <w:pStyle w:val="Zkladntext"/>
        <w:spacing w:before="116" w:line="244" w:lineRule="auto"/>
        <w:ind w:right="452"/>
      </w:pPr>
      <w:r>
        <w:t>The evaluation grid is divided into sections and subsections. Each subsection will be scored on a scale proportional to its maximum score, as follows:</w:t>
      </w:r>
    </w:p>
    <w:p w14:paraId="5A76E38D" w14:textId="77777777" w:rsidR="00882D9A" w:rsidRDefault="00882D9A" w:rsidP="00882D9A">
      <w:pPr>
        <w:pStyle w:val="Zkladntext"/>
        <w:spacing w:before="116" w:line="244" w:lineRule="auto"/>
        <w:ind w:right="452"/>
      </w:pPr>
      <w:r>
        <w:t>0–20% of the maximum score = Very poor</w:t>
      </w:r>
    </w:p>
    <w:p w14:paraId="1E048E16" w14:textId="77777777" w:rsidR="00882D9A" w:rsidRDefault="00882D9A" w:rsidP="00882D9A">
      <w:pPr>
        <w:pStyle w:val="Zkladntext"/>
        <w:spacing w:before="116" w:line="244" w:lineRule="auto"/>
        <w:ind w:right="452"/>
      </w:pPr>
      <w:r>
        <w:t>21–40% of the maximum score = Poor</w:t>
      </w:r>
    </w:p>
    <w:p w14:paraId="2FCBB11E" w14:textId="77777777" w:rsidR="00882D9A" w:rsidRDefault="00882D9A" w:rsidP="00882D9A">
      <w:pPr>
        <w:pStyle w:val="Zkladntext"/>
        <w:spacing w:before="116" w:line="244" w:lineRule="auto"/>
        <w:ind w:right="452"/>
      </w:pPr>
      <w:r>
        <w:t>41–60% of the maximum score = Adequate</w:t>
      </w:r>
    </w:p>
    <w:p w14:paraId="34569E8C" w14:textId="77777777" w:rsidR="00882D9A" w:rsidRDefault="00882D9A" w:rsidP="00882D9A">
      <w:pPr>
        <w:pStyle w:val="Zkladntext"/>
        <w:spacing w:before="116" w:line="244" w:lineRule="auto"/>
        <w:ind w:right="452"/>
      </w:pPr>
      <w:r>
        <w:t>61–80% of the maximum score = Good</w:t>
      </w:r>
    </w:p>
    <w:p w14:paraId="7A0D21BE" w14:textId="77777777" w:rsidR="00882D9A" w:rsidRDefault="00882D9A" w:rsidP="00882D9A">
      <w:pPr>
        <w:pStyle w:val="Zkladntext"/>
        <w:spacing w:before="116" w:line="244" w:lineRule="auto"/>
        <w:ind w:right="452"/>
      </w:pPr>
      <w:r>
        <w:t>81–100% of the maximum score = Very good</w:t>
      </w:r>
    </w:p>
    <w:p w14:paraId="64D481C3" w14:textId="77777777" w:rsidR="0007408E" w:rsidRPr="00807DAF" w:rsidRDefault="0007408E" w:rsidP="00C536CC">
      <w:pPr>
        <w:spacing w:after="120" w:line="240" w:lineRule="atLeast"/>
        <w:rPr>
          <w:b/>
        </w:rPr>
      </w:pPr>
      <w:r w:rsidRPr="00807DAF">
        <w:rPr>
          <w:b/>
        </w:rPr>
        <w:t xml:space="preserve">Evaluation </w:t>
      </w:r>
      <w:r w:rsidR="00A11755">
        <w:rPr>
          <w:b/>
        </w:rPr>
        <w:t>g</w:t>
      </w:r>
      <w:r w:rsidRPr="00807DAF">
        <w:rPr>
          <w:b/>
        </w:rPr>
        <w:t>rid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D179BB" w:rsidRPr="00807DAF" w14:paraId="5EAD83D9" w14:textId="77777777" w:rsidTr="00D179BB">
        <w:tc>
          <w:tcPr>
            <w:tcW w:w="8472" w:type="dxa"/>
            <w:shd w:val="clear" w:color="auto" w:fill="FFFFFF"/>
            <w:vAlign w:val="center"/>
          </w:tcPr>
          <w:p w14:paraId="47830CE7" w14:textId="77777777" w:rsidR="00D179BB" w:rsidRPr="00F75093" w:rsidRDefault="00D179BB" w:rsidP="00C536CC">
            <w:pPr>
              <w:spacing w:after="120" w:line="240" w:lineRule="atLeast"/>
              <w:rPr>
                <w:b/>
                <w:szCs w:val="22"/>
              </w:rPr>
            </w:pPr>
            <w:r w:rsidRPr="00F75093">
              <w:rPr>
                <w:b/>
                <w:szCs w:val="22"/>
              </w:rPr>
              <w:t>Section</w:t>
            </w:r>
          </w:p>
        </w:tc>
        <w:tc>
          <w:tcPr>
            <w:tcW w:w="1275" w:type="dxa"/>
            <w:shd w:val="clear" w:color="auto" w:fill="FFFFFF"/>
            <w:vAlign w:val="center"/>
          </w:tcPr>
          <w:p w14:paraId="0992C573" w14:textId="77777777" w:rsidR="00D179BB" w:rsidRPr="00F75093" w:rsidRDefault="00D179BB" w:rsidP="00C536CC">
            <w:pPr>
              <w:spacing w:after="120" w:line="240" w:lineRule="atLeast"/>
              <w:jc w:val="center"/>
              <w:rPr>
                <w:b/>
                <w:szCs w:val="22"/>
              </w:rPr>
            </w:pPr>
            <w:r w:rsidRPr="00F75093">
              <w:rPr>
                <w:b/>
                <w:szCs w:val="22"/>
              </w:rPr>
              <w:t>Maximum Score</w:t>
            </w:r>
          </w:p>
        </w:tc>
      </w:tr>
      <w:tr w:rsidR="00D179BB" w:rsidRPr="00807DAF" w14:paraId="1BA58E9B" w14:textId="77777777" w:rsidTr="00CA2F31">
        <w:tc>
          <w:tcPr>
            <w:tcW w:w="8472" w:type="dxa"/>
            <w:shd w:val="clear" w:color="auto" w:fill="D9D9D9"/>
            <w:vAlign w:val="center"/>
          </w:tcPr>
          <w:p w14:paraId="41A80914" w14:textId="77777777" w:rsidR="00D179BB" w:rsidRPr="00F75093" w:rsidRDefault="00D179BB" w:rsidP="00C536CC">
            <w:pPr>
              <w:spacing w:after="120" w:line="240" w:lineRule="atLeast"/>
              <w:rPr>
                <w:szCs w:val="22"/>
              </w:rPr>
            </w:pPr>
            <w:r w:rsidRPr="00F75093">
              <w:rPr>
                <w:b/>
                <w:szCs w:val="22"/>
              </w:rPr>
              <w:t xml:space="preserve">1. </w:t>
            </w:r>
            <w:r w:rsidRPr="00F75093">
              <w:rPr>
                <w:b/>
                <w:noProof/>
                <w:szCs w:val="22"/>
              </w:rPr>
              <w:t>Financial and operational capacity</w:t>
            </w:r>
          </w:p>
        </w:tc>
        <w:tc>
          <w:tcPr>
            <w:tcW w:w="1275" w:type="dxa"/>
            <w:shd w:val="clear" w:color="auto" w:fill="D9D9D9"/>
            <w:vAlign w:val="center"/>
          </w:tcPr>
          <w:p w14:paraId="667117A9" w14:textId="77777777" w:rsidR="00D179BB" w:rsidRPr="00F75093" w:rsidRDefault="00D179BB" w:rsidP="00C536CC">
            <w:pPr>
              <w:spacing w:after="120" w:line="240" w:lineRule="atLeast"/>
              <w:jc w:val="center"/>
              <w:rPr>
                <w:b/>
                <w:szCs w:val="22"/>
              </w:rPr>
            </w:pPr>
            <w:r w:rsidRPr="00F75093">
              <w:rPr>
                <w:b/>
                <w:noProof/>
                <w:szCs w:val="22"/>
              </w:rPr>
              <w:t>10</w:t>
            </w:r>
          </w:p>
        </w:tc>
      </w:tr>
      <w:tr w:rsidR="00D179BB" w:rsidRPr="00807DAF" w14:paraId="64A26601" w14:textId="77777777" w:rsidTr="00CA2F31">
        <w:tc>
          <w:tcPr>
            <w:tcW w:w="8472" w:type="dxa"/>
          </w:tcPr>
          <w:p w14:paraId="395C8C7A" w14:textId="77777777" w:rsidR="00D179BB" w:rsidRPr="00F75093" w:rsidRDefault="00D179BB" w:rsidP="00C536CC">
            <w:pPr>
              <w:spacing w:after="120" w:line="240" w:lineRule="atLeast"/>
              <w:ind w:left="340" w:hanging="340"/>
              <w:rPr>
                <w:szCs w:val="22"/>
              </w:rPr>
            </w:pPr>
            <w:r w:rsidRPr="00F75093">
              <w:rPr>
                <w:noProof/>
                <w:szCs w:val="22"/>
              </w:rPr>
              <w:t>1.1. Do the applicants and, if applicable, their affiliated entity(ies) have sufficient technical expertise in the domain and region of the proposal? (including knowledge of the issues to be addressed and staff, equipment and ability to handle the budget for the action)?</w:t>
            </w:r>
          </w:p>
        </w:tc>
        <w:tc>
          <w:tcPr>
            <w:tcW w:w="1275" w:type="dxa"/>
          </w:tcPr>
          <w:p w14:paraId="2E85F8B1" w14:textId="77777777" w:rsidR="00D179BB" w:rsidRPr="00F75093" w:rsidRDefault="00D179BB" w:rsidP="00C536CC">
            <w:pPr>
              <w:spacing w:after="120" w:line="240" w:lineRule="atLeast"/>
              <w:jc w:val="center"/>
              <w:rPr>
                <w:szCs w:val="22"/>
              </w:rPr>
            </w:pPr>
            <w:r w:rsidRPr="00F75093">
              <w:rPr>
                <w:noProof/>
                <w:szCs w:val="22"/>
              </w:rPr>
              <w:t>5</w:t>
            </w:r>
          </w:p>
        </w:tc>
      </w:tr>
      <w:tr w:rsidR="00D179BB" w:rsidRPr="00807DAF" w14:paraId="52BDE33C" w14:textId="77777777" w:rsidTr="00CA2F31">
        <w:tc>
          <w:tcPr>
            <w:tcW w:w="8472" w:type="dxa"/>
          </w:tcPr>
          <w:p w14:paraId="45302E0C" w14:textId="77777777" w:rsidR="00D179BB" w:rsidRPr="00F75093" w:rsidRDefault="00D179BB" w:rsidP="00C536CC">
            <w:pPr>
              <w:spacing w:after="120" w:line="240" w:lineRule="atLeast"/>
              <w:ind w:left="340" w:hanging="340"/>
              <w:rPr>
                <w:szCs w:val="22"/>
              </w:rPr>
            </w:pPr>
            <w:r w:rsidRPr="00F75093">
              <w:rPr>
                <w:noProof/>
                <w:szCs w:val="22"/>
              </w:rPr>
              <w:t>1.2. Does the lead applicant have stable and sufficient sources of finance?</w:t>
            </w:r>
          </w:p>
        </w:tc>
        <w:tc>
          <w:tcPr>
            <w:tcW w:w="1275" w:type="dxa"/>
          </w:tcPr>
          <w:p w14:paraId="64635B99" w14:textId="77777777" w:rsidR="00D179BB" w:rsidRPr="00F75093" w:rsidRDefault="00D179BB" w:rsidP="00C536CC">
            <w:pPr>
              <w:spacing w:after="120" w:line="240" w:lineRule="atLeast"/>
              <w:jc w:val="center"/>
              <w:rPr>
                <w:szCs w:val="22"/>
              </w:rPr>
            </w:pPr>
            <w:r w:rsidRPr="00F75093">
              <w:rPr>
                <w:noProof/>
                <w:szCs w:val="22"/>
              </w:rPr>
              <w:t>5</w:t>
            </w:r>
          </w:p>
        </w:tc>
      </w:tr>
      <w:tr w:rsidR="00D179BB" w:rsidRPr="00807DAF" w14:paraId="42645E62" w14:textId="77777777" w:rsidTr="00CA2F31">
        <w:tc>
          <w:tcPr>
            <w:tcW w:w="8472" w:type="dxa"/>
            <w:shd w:val="clear" w:color="auto" w:fill="D9D9D9"/>
            <w:vAlign w:val="center"/>
          </w:tcPr>
          <w:p w14:paraId="59C348CA" w14:textId="77777777" w:rsidR="00D179BB" w:rsidRPr="00F75093" w:rsidRDefault="00D179BB" w:rsidP="00C536CC">
            <w:pPr>
              <w:spacing w:after="120" w:line="240" w:lineRule="atLeast"/>
              <w:jc w:val="left"/>
              <w:rPr>
                <w:szCs w:val="22"/>
              </w:rPr>
            </w:pPr>
            <w:r w:rsidRPr="00F75093">
              <w:rPr>
                <w:b/>
                <w:szCs w:val="22"/>
              </w:rPr>
              <w:t xml:space="preserve">2. </w:t>
            </w:r>
            <w:r w:rsidRPr="00F75093">
              <w:rPr>
                <w:b/>
                <w:noProof/>
                <w:szCs w:val="22"/>
              </w:rPr>
              <w:t>Relevance of the action</w:t>
            </w:r>
          </w:p>
        </w:tc>
        <w:tc>
          <w:tcPr>
            <w:tcW w:w="1275" w:type="dxa"/>
            <w:shd w:val="clear" w:color="auto" w:fill="D9D9D9"/>
            <w:vAlign w:val="center"/>
          </w:tcPr>
          <w:p w14:paraId="33CC5EFA" w14:textId="77777777" w:rsidR="00D179BB" w:rsidRPr="00F75093" w:rsidRDefault="00D179BB" w:rsidP="00C536CC">
            <w:pPr>
              <w:spacing w:after="120" w:line="240" w:lineRule="atLeast"/>
              <w:jc w:val="center"/>
              <w:rPr>
                <w:b/>
                <w:szCs w:val="22"/>
              </w:rPr>
            </w:pPr>
            <w:r w:rsidRPr="00F75093">
              <w:rPr>
                <w:b/>
                <w:noProof/>
                <w:szCs w:val="22"/>
              </w:rPr>
              <w:t>25</w:t>
            </w:r>
          </w:p>
        </w:tc>
      </w:tr>
      <w:tr w:rsidR="00D179BB" w:rsidRPr="00807DAF" w14:paraId="2B8D1335" w14:textId="77777777" w:rsidTr="00CA2F31">
        <w:tc>
          <w:tcPr>
            <w:tcW w:w="8472" w:type="dxa"/>
            <w:shd w:val="clear" w:color="auto" w:fill="FFFFFF"/>
          </w:tcPr>
          <w:p w14:paraId="1F85ACF8" w14:textId="77777777" w:rsidR="00D179BB" w:rsidRPr="00F75093" w:rsidRDefault="00D179BB" w:rsidP="00C536CC">
            <w:pPr>
              <w:spacing w:after="120" w:line="240" w:lineRule="atLeast"/>
              <w:rPr>
                <w:i/>
                <w:szCs w:val="22"/>
              </w:rPr>
            </w:pPr>
            <w:r w:rsidRPr="00F75093">
              <w:rPr>
                <w:noProof/>
                <w:szCs w:val="22"/>
              </w:rPr>
              <w:t>2.1. Consistency with the objectives of the call: How relevant is the proposal to the objectives and priorities of the call for proposals? Are the expected results of the action aligned with the priorities defined in the guidelines for applicants (Section 1.2), including alignment with EU interest? Is the proposal aligned with the needs and priorities of the final beneficiary (local administration, partner country...)? Does the proposal demonstrate the integration of specific EU know-how or standards in the action, or alignment with established EU practices?</w:t>
            </w:r>
          </w:p>
        </w:tc>
        <w:tc>
          <w:tcPr>
            <w:tcW w:w="1275" w:type="dxa"/>
            <w:shd w:val="clear" w:color="auto" w:fill="FFFFFF"/>
            <w:vAlign w:val="center"/>
          </w:tcPr>
          <w:p w14:paraId="664977FD" w14:textId="77777777" w:rsidR="00D179BB" w:rsidRPr="00F75093" w:rsidRDefault="00D179BB" w:rsidP="00C536CC">
            <w:pPr>
              <w:spacing w:after="120" w:line="240" w:lineRule="atLeast"/>
              <w:jc w:val="center"/>
              <w:rPr>
                <w:b/>
                <w:szCs w:val="22"/>
              </w:rPr>
            </w:pPr>
            <w:r w:rsidRPr="00F75093">
              <w:rPr>
                <w:noProof/>
                <w:szCs w:val="22"/>
              </w:rPr>
              <w:t>20</w:t>
            </w:r>
          </w:p>
        </w:tc>
      </w:tr>
      <w:tr w:rsidR="00D179BB" w:rsidRPr="00807DAF" w14:paraId="5395BCB4" w14:textId="77777777" w:rsidTr="00CA2F31">
        <w:tc>
          <w:tcPr>
            <w:tcW w:w="8472" w:type="dxa"/>
            <w:shd w:val="clear" w:color="auto" w:fill="FFFFFF"/>
          </w:tcPr>
          <w:p w14:paraId="5E269A1D" w14:textId="77777777" w:rsidR="00D179BB" w:rsidRPr="00F75093" w:rsidRDefault="00D179BB" w:rsidP="00C536CC">
            <w:pPr>
              <w:spacing w:after="120" w:line="240" w:lineRule="atLeast"/>
              <w:rPr>
                <w:i/>
                <w:szCs w:val="22"/>
              </w:rPr>
            </w:pPr>
            <w:r w:rsidRPr="00F75093">
              <w:rPr>
                <w:noProof/>
                <w:szCs w:val="22"/>
              </w:rPr>
              <w:t>2.2. Added value elements: Does the proposal contain particular added-value elements (e.g. innovation, best practices, potential to have a strong Team Europe component, etc.)? Does the proposal clearly outline how/if the action adds value beyond existing initiatives?</w:t>
            </w:r>
          </w:p>
        </w:tc>
        <w:tc>
          <w:tcPr>
            <w:tcW w:w="1275" w:type="dxa"/>
            <w:shd w:val="clear" w:color="auto" w:fill="FFFFFF"/>
            <w:vAlign w:val="center"/>
          </w:tcPr>
          <w:p w14:paraId="09F33DC7" w14:textId="77777777" w:rsidR="00D179BB" w:rsidRPr="00F75093" w:rsidRDefault="00D179BB" w:rsidP="00C536CC">
            <w:pPr>
              <w:spacing w:after="120" w:line="240" w:lineRule="atLeast"/>
              <w:jc w:val="center"/>
              <w:rPr>
                <w:b/>
                <w:szCs w:val="22"/>
              </w:rPr>
            </w:pPr>
            <w:r w:rsidRPr="00F75093">
              <w:rPr>
                <w:noProof/>
                <w:szCs w:val="22"/>
              </w:rPr>
              <w:t>5</w:t>
            </w:r>
          </w:p>
        </w:tc>
      </w:tr>
      <w:tr w:rsidR="00D179BB" w:rsidRPr="00807DAF" w14:paraId="1674D32A" w14:textId="77777777" w:rsidTr="00CA2F31">
        <w:tc>
          <w:tcPr>
            <w:tcW w:w="8472" w:type="dxa"/>
            <w:shd w:val="clear" w:color="auto" w:fill="D9D9D9"/>
            <w:vAlign w:val="center"/>
          </w:tcPr>
          <w:p w14:paraId="3275352F" w14:textId="77777777" w:rsidR="00D179BB" w:rsidRPr="00F75093" w:rsidRDefault="00D179BB" w:rsidP="00C536CC">
            <w:pPr>
              <w:spacing w:after="120" w:line="240" w:lineRule="atLeast"/>
              <w:rPr>
                <w:szCs w:val="22"/>
              </w:rPr>
            </w:pPr>
            <w:r w:rsidRPr="00F75093">
              <w:rPr>
                <w:b/>
                <w:szCs w:val="22"/>
              </w:rPr>
              <w:t xml:space="preserve">3. </w:t>
            </w:r>
            <w:r w:rsidRPr="00F75093">
              <w:rPr>
                <w:b/>
                <w:noProof/>
                <w:szCs w:val="22"/>
              </w:rPr>
              <w:t>Quality of the action</w:t>
            </w:r>
          </w:p>
        </w:tc>
        <w:tc>
          <w:tcPr>
            <w:tcW w:w="1275" w:type="dxa"/>
            <w:shd w:val="clear" w:color="auto" w:fill="D9D9D9"/>
            <w:vAlign w:val="center"/>
          </w:tcPr>
          <w:p w14:paraId="55862636" w14:textId="77777777" w:rsidR="00D179BB" w:rsidRPr="00F75093" w:rsidRDefault="00D179BB" w:rsidP="00C536CC">
            <w:pPr>
              <w:spacing w:after="120" w:line="240" w:lineRule="atLeast"/>
              <w:jc w:val="center"/>
              <w:rPr>
                <w:b/>
                <w:szCs w:val="22"/>
              </w:rPr>
            </w:pPr>
            <w:r w:rsidRPr="00F75093">
              <w:rPr>
                <w:b/>
                <w:noProof/>
                <w:szCs w:val="22"/>
              </w:rPr>
              <w:t>20</w:t>
            </w:r>
          </w:p>
        </w:tc>
      </w:tr>
      <w:tr w:rsidR="00D179BB" w:rsidRPr="00807DAF" w14:paraId="28DDC637" w14:textId="77777777" w:rsidTr="00CA2F31">
        <w:tc>
          <w:tcPr>
            <w:tcW w:w="8472" w:type="dxa"/>
          </w:tcPr>
          <w:p w14:paraId="1AD5BB2A" w14:textId="77777777" w:rsidR="00D179BB" w:rsidRPr="00F75093" w:rsidRDefault="00D179BB" w:rsidP="00C536CC">
            <w:pPr>
              <w:spacing w:after="120" w:line="240" w:lineRule="atLeast"/>
              <w:ind w:left="340" w:hanging="340"/>
              <w:rPr>
                <w:szCs w:val="22"/>
              </w:rPr>
            </w:pPr>
            <w:r w:rsidRPr="00F75093">
              <w:rPr>
                <w:noProof/>
                <w:szCs w:val="22"/>
              </w:rPr>
              <w:t>3.1. Context and risk analysis: Does the design of the action include a robust analysis of the overall project, including the capacities of the relevant stakeholders? Does the risk analysis consider ESG risks specific to the region and industry, such as corruption or labor rights? Are the potential risks associated with the project comprehensively identified and risk mitigations strategies proposed?</w:t>
            </w:r>
          </w:p>
        </w:tc>
        <w:tc>
          <w:tcPr>
            <w:tcW w:w="1275" w:type="dxa"/>
          </w:tcPr>
          <w:p w14:paraId="147A09FC" w14:textId="77777777" w:rsidR="00D179BB" w:rsidRPr="00F75093" w:rsidRDefault="00D179BB" w:rsidP="00C536CC">
            <w:pPr>
              <w:spacing w:after="120" w:line="240" w:lineRule="atLeast"/>
              <w:jc w:val="center"/>
              <w:rPr>
                <w:szCs w:val="22"/>
              </w:rPr>
            </w:pPr>
            <w:r w:rsidRPr="00F75093">
              <w:rPr>
                <w:noProof/>
                <w:szCs w:val="22"/>
              </w:rPr>
              <w:t>5</w:t>
            </w:r>
          </w:p>
        </w:tc>
      </w:tr>
      <w:tr w:rsidR="00D179BB" w:rsidRPr="00807DAF" w14:paraId="5EE3334B" w14:textId="77777777" w:rsidTr="00CA2F31">
        <w:tc>
          <w:tcPr>
            <w:tcW w:w="8472" w:type="dxa"/>
          </w:tcPr>
          <w:p w14:paraId="5F09F243" w14:textId="77777777" w:rsidR="00D179BB" w:rsidRPr="00F75093" w:rsidRDefault="00D179BB" w:rsidP="00C536CC">
            <w:pPr>
              <w:spacing w:after="120" w:line="240" w:lineRule="atLeast"/>
              <w:ind w:left="340" w:hanging="340"/>
              <w:rPr>
                <w:szCs w:val="22"/>
              </w:rPr>
            </w:pPr>
            <w:r w:rsidRPr="00F75093">
              <w:rPr>
                <w:noProof/>
                <w:szCs w:val="22"/>
              </w:rPr>
              <w:lastRenderedPageBreak/>
              <w:t>3.2. Action design: Does the proposal indicate the expected results (outputs/outcomes/impacts) to be achieved by the action? Is the action plan for implementing the proposal coherent, clear and feasible? Are types of activities clearly clustered by working packages? Is the timeline realistic? Does each result (output, outcome, impact) include an adequate number of indicators that are sufficient in scope to measure its achievement?</w:t>
            </w:r>
          </w:p>
        </w:tc>
        <w:tc>
          <w:tcPr>
            <w:tcW w:w="1275" w:type="dxa"/>
          </w:tcPr>
          <w:p w14:paraId="1B9FDCB8" w14:textId="77777777" w:rsidR="00D179BB" w:rsidRPr="00F75093" w:rsidRDefault="00D179BB" w:rsidP="00C536CC">
            <w:pPr>
              <w:spacing w:after="120" w:line="240" w:lineRule="atLeast"/>
              <w:jc w:val="center"/>
              <w:rPr>
                <w:szCs w:val="22"/>
              </w:rPr>
            </w:pPr>
            <w:r w:rsidRPr="00F75093">
              <w:rPr>
                <w:noProof/>
                <w:szCs w:val="22"/>
              </w:rPr>
              <w:t>10</w:t>
            </w:r>
          </w:p>
        </w:tc>
      </w:tr>
      <w:tr w:rsidR="00D179BB" w:rsidRPr="00807DAF" w14:paraId="2C6359D7" w14:textId="77777777" w:rsidTr="00CA2F31">
        <w:tc>
          <w:tcPr>
            <w:tcW w:w="8472" w:type="dxa"/>
          </w:tcPr>
          <w:p w14:paraId="4D33A3C7" w14:textId="77777777" w:rsidR="00D179BB" w:rsidRPr="00F75093" w:rsidRDefault="00D179BB" w:rsidP="00C536CC">
            <w:pPr>
              <w:spacing w:after="120" w:line="240" w:lineRule="atLeast"/>
              <w:ind w:left="340" w:hanging="340"/>
              <w:rPr>
                <w:szCs w:val="22"/>
              </w:rPr>
            </w:pPr>
            <w:r w:rsidRPr="00F75093">
              <w:rPr>
                <w:noProof/>
                <w:szCs w:val="22"/>
              </w:rPr>
              <w:t>3.3. Organizational and implementation structure: Are there clear roles and responsibilities delineated among team members, including co-applicants? Does the proposal include mechanisms for coordination and communication within the implementation team? Is a multidisciplinary approach assured in the proposal</w:t>
            </w:r>
          </w:p>
        </w:tc>
        <w:tc>
          <w:tcPr>
            <w:tcW w:w="1275" w:type="dxa"/>
          </w:tcPr>
          <w:p w14:paraId="511EF9D6" w14:textId="77777777" w:rsidR="00D179BB" w:rsidRPr="00F75093" w:rsidRDefault="00D179BB" w:rsidP="00C536CC">
            <w:pPr>
              <w:spacing w:after="120" w:line="240" w:lineRule="atLeast"/>
              <w:jc w:val="center"/>
              <w:rPr>
                <w:szCs w:val="22"/>
              </w:rPr>
            </w:pPr>
            <w:r w:rsidRPr="00F75093">
              <w:rPr>
                <w:noProof/>
                <w:szCs w:val="22"/>
              </w:rPr>
              <w:t>5</w:t>
            </w:r>
          </w:p>
        </w:tc>
      </w:tr>
      <w:tr w:rsidR="00D179BB" w:rsidRPr="00807DAF" w14:paraId="458D5456" w14:textId="77777777" w:rsidTr="00CA2F31">
        <w:tc>
          <w:tcPr>
            <w:tcW w:w="8472" w:type="dxa"/>
            <w:shd w:val="clear" w:color="auto" w:fill="D9D9D9"/>
            <w:vAlign w:val="center"/>
          </w:tcPr>
          <w:p w14:paraId="7A7A5170" w14:textId="77777777" w:rsidR="00D179BB" w:rsidRPr="00F75093" w:rsidRDefault="00D179BB" w:rsidP="00C536CC">
            <w:pPr>
              <w:spacing w:after="120" w:line="240" w:lineRule="atLeast"/>
              <w:rPr>
                <w:szCs w:val="22"/>
              </w:rPr>
            </w:pPr>
            <w:r w:rsidRPr="00F75093">
              <w:rPr>
                <w:szCs w:val="22"/>
              </w:rPr>
              <w:br w:type="page"/>
            </w:r>
            <w:r w:rsidRPr="00F75093">
              <w:rPr>
                <w:b/>
                <w:szCs w:val="22"/>
              </w:rPr>
              <w:t xml:space="preserve">4. </w:t>
            </w:r>
            <w:r w:rsidRPr="00F75093">
              <w:rPr>
                <w:b/>
                <w:noProof/>
                <w:szCs w:val="22"/>
              </w:rPr>
              <w:t>Impact and sustainability of the action</w:t>
            </w:r>
          </w:p>
        </w:tc>
        <w:tc>
          <w:tcPr>
            <w:tcW w:w="1275" w:type="dxa"/>
            <w:shd w:val="clear" w:color="auto" w:fill="D9D9D9"/>
            <w:vAlign w:val="center"/>
          </w:tcPr>
          <w:p w14:paraId="419328B4" w14:textId="77777777" w:rsidR="00D179BB" w:rsidRPr="00F75093" w:rsidRDefault="00D179BB" w:rsidP="00C536CC">
            <w:pPr>
              <w:spacing w:after="120" w:line="240" w:lineRule="atLeast"/>
              <w:jc w:val="center"/>
              <w:rPr>
                <w:b/>
                <w:szCs w:val="22"/>
              </w:rPr>
            </w:pPr>
            <w:r w:rsidRPr="00F75093">
              <w:rPr>
                <w:b/>
                <w:noProof/>
                <w:szCs w:val="22"/>
              </w:rPr>
              <w:t>25</w:t>
            </w:r>
          </w:p>
        </w:tc>
      </w:tr>
      <w:tr w:rsidR="00D179BB" w:rsidRPr="00807DAF" w14:paraId="676A4919" w14:textId="77777777" w:rsidTr="00CA2F31">
        <w:tc>
          <w:tcPr>
            <w:tcW w:w="8472" w:type="dxa"/>
          </w:tcPr>
          <w:p w14:paraId="59E94401" w14:textId="77777777" w:rsidR="00D179BB" w:rsidRPr="00F75093" w:rsidRDefault="00D179BB" w:rsidP="00C536CC">
            <w:pPr>
              <w:spacing w:after="120" w:line="240" w:lineRule="atLeast"/>
              <w:ind w:left="340" w:hanging="340"/>
              <w:rPr>
                <w:szCs w:val="22"/>
              </w:rPr>
            </w:pPr>
            <w:r w:rsidRPr="00F75093">
              <w:rPr>
                <w:noProof/>
                <w:szCs w:val="22"/>
              </w:rPr>
              <w:t>4.1. Multiplier effects: Is the action likely to have multiplier effects for the EU industry, including scope for replication, extension, cross-fertilization of experience and knowledge sharing? Does the proposal demonstrate potential for significant impact and outline a clear plan for scaling the initiative to achieve broader reach and effectiveness? Does the proposed action leverage EU private sector expertise and resources, including in green technologies, sustainable solutions, and climate-resilient practices, to enhance outcomes, create added value, and maximize environmental and socio-economic impact?</w:t>
            </w:r>
          </w:p>
        </w:tc>
        <w:tc>
          <w:tcPr>
            <w:tcW w:w="1275" w:type="dxa"/>
          </w:tcPr>
          <w:p w14:paraId="64E2AF41" w14:textId="77777777" w:rsidR="00D179BB" w:rsidRPr="00F75093" w:rsidRDefault="00D179BB" w:rsidP="00C536CC">
            <w:pPr>
              <w:spacing w:after="120" w:line="240" w:lineRule="atLeast"/>
              <w:jc w:val="center"/>
              <w:rPr>
                <w:szCs w:val="22"/>
              </w:rPr>
            </w:pPr>
            <w:r w:rsidRPr="00F75093">
              <w:rPr>
                <w:noProof/>
                <w:szCs w:val="22"/>
              </w:rPr>
              <w:t>10</w:t>
            </w:r>
          </w:p>
        </w:tc>
      </w:tr>
      <w:tr w:rsidR="00D179BB" w:rsidRPr="00807DAF" w14:paraId="7EF2D2F2" w14:textId="77777777" w:rsidTr="00CA2F31">
        <w:tc>
          <w:tcPr>
            <w:tcW w:w="8472" w:type="dxa"/>
          </w:tcPr>
          <w:p w14:paraId="738320EA" w14:textId="77777777" w:rsidR="00D179BB" w:rsidRPr="00F75093" w:rsidRDefault="00D179BB" w:rsidP="00C536CC">
            <w:pPr>
              <w:spacing w:after="120" w:line="240" w:lineRule="atLeast"/>
              <w:ind w:left="340" w:hanging="340"/>
              <w:rPr>
                <w:szCs w:val="22"/>
              </w:rPr>
            </w:pPr>
            <w:r w:rsidRPr="00F75093">
              <w:rPr>
                <w:noProof/>
                <w:szCs w:val="22"/>
              </w:rPr>
              <w:t>4.2. Development impact and sustainability. Does the proposal demonstrate the project's development additionality? Including:-</w:t>
            </w:r>
            <w:r w:rsidRPr="00F75093">
              <w:rPr>
                <w:noProof/>
                <w:szCs w:val="22"/>
              </w:rPr>
              <w:tab/>
              <w:t>Contribution to the SDGs, reduction of inequalities, gender equality, climate change mitigation and adaptation, etc. -</w:t>
            </w:r>
            <w:r w:rsidRPr="00F75093">
              <w:rPr>
                <w:noProof/>
                <w:szCs w:val="22"/>
              </w:rPr>
              <w:tab/>
              <w:t>Institutional sustainability: Which institutional arrangements allow for maintaining the expected benefits the project? Is there any measure in place to ensure local ownership? Are there mechanisms in place to facilitate knowledge transfer and strengthen local private sector?-</w:t>
            </w:r>
            <w:r w:rsidRPr="00F75093">
              <w:rPr>
                <w:noProof/>
                <w:szCs w:val="22"/>
              </w:rPr>
              <w:tab/>
              <w:t>Environmental sustainability: Does the proposal actively contribute to the green transition, going beyond a “do no harm” approach? Does it integrate climate mitigation and adaptation, circular economy, and biodiversity protection into its outcomes? Does it apply innovative EU green technologies and solutions to enhance decarbonisation, resource efficiency, and sustainable systems? Does the proposal demonstrate how these can be transferred to partner countries to strengthen sustainable trade, investment, and convergence with EU standards?</w:t>
            </w:r>
          </w:p>
        </w:tc>
        <w:tc>
          <w:tcPr>
            <w:tcW w:w="1275" w:type="dxa"/>
          </w:tcPr>
          <w:p w14:paraId="0892B33D" w14:textId="77777777" w:rsidR="00D179BB" w:rsidRPr="00F75093" w:rsidRDefault="00D179BB" w:rsidP="00C536CC">
            <w:pPr>
              <w:spacing w:after="120" w:line="240" w:lineRule="atLeast"/>
              <w:jc w:val="center"/>
              <w:rPr>
                <w:szCs w:val="22"/>
              </w:rPr>
            </w:pPr>
            <w:r w:rsidRPr="00F75093">
              <w:rPr>
                <w:noProof/>
                <w:szCs w:val="22"/>
              </w:rPr>
              <w:t>15</w:t>
            </w:r>
          </w:p>
        </w:tc>
      </w:tr>
      <w:tr w:rsidR="00D179BB" w:rsidRPr="00807DAF" w14:paraId="30B8CCE5" w14:textId="77777777" w:rsidTr="00CA2F31">
        <w:tc>
          <w:tcPr>
            <w:tcW w:w="8472" w:type="dxa"/>
            <w:shd w:val="clear" w:color="auto" w:fill="D9D9D9"/>
            <w:vAlign w:val="center"/>
          </w:tcPr>
          <w:p w14:paraId="44937910" w14:textId="77777777" w:rsidR="00D179BB" w:rsidRPr="00F75093" w:rsidRDefault="00D179BB" w:rsidP="00C536CC">
            <w:pPr>
              <w:spacing w:after="120" w:line="240" w:lineRule="atLeast"/>
              <w:rPr>
                <w:szCs w:val="22"/>
              </w:rPr>
            </w:pPr>
            <w:r w:rsidRPr="00F75093">
              <w:rPr>
                <w:szCs w:val="22"/>
              </w:rPr>
              <w:br w:type="page"/>
            </w:r>
            <w:r w:rsidRPr="00F75093">
              <w:rPr>
                <w:b/>
                <w:szCs w:val="22"/>
              </w:rPr>
              <w:t xml:space="preserve">5. </w:t>
            </w:r>
            <w:r w:rsidRPr="00F75093">
              <w:rPr>
                <w:b/>
                <w:noProof/>
                <w:szCs w:val="22"/>
              </w:rPr>
              <w:t>Budget and efficiency of the action</w:t>
            </w:r>
          </w:p>
        </w:tc>
        <w:tc>
          <w:tcPr>
            <w:tcW w:w="1275" w:type="dxa"/>
            <w:shd w:val="clear" w:color="auto" w:fill="D9D9D9"/>
            <w:vAlign w:val="center"/>
          </w:tcPr>
          <w:p w14:paraId="68982B0F" w14:textId="77777777" w:rsidR="00D179BB" w:rsidRPr="00F75093" w:rsidRDefault="00D179BB" w:rsidP="00C536CC">
            <w:pPr>
              <w:spacing w:after="120" w:line="240" w:lineRule="atLeast"/>
              <w:jc w:val="center"/>
              <w:rPr>
                <w:b/>
                <w:szCs w:val="22"/>
              </w:rPr>
            </w:pPr>
            <w:r w:rsidRPr="00F75093">
              <w:rPr>
                <w:b/>
                <w:noProof/>
                <w:szCs w:val="22"/>
              </w:rPr>
              <w:t>20</w:t>
            </w:r>
          </w:p>
        </w:tc>
      </w:tr>
      <w:tr w:rsidR="00D179BB" w:rsidRPr="00807DAF" w14:paraId="01BACCCF" w14:textId="77777777" w:rsidTr="00D179BB">
        <w:trPr>
          <w:trHeight w:val="1299"/>
        </w:trPr>
        <w:tc>
          <w:tcPr>
            <w:tcW w:w="8472" w:type="dxa"/>
          </w:tcPr>
          <w:p w14:paraId="3C993CFE" w14:textId="77777777" w:rsidR="00D179BB" w:rsidRPr="00F75093" w:rsidRDefault="00D179BB" w:rsidP="00C536CC">
            <w:pPr>
              <w:spacing w:after="120" w:line="240" w:lineRule="atLeast"/>
              <w:ind w:left="340" w:hanging="340"/>
              <w:rPr>
                <w:szCs w:val="22"/>
              </w:rPr>
            </w:pPr>
            <w:r w:rsidRPr="00F75093">
              <w:rPr>
                <w:noProof/>
                <w:szCs w:val="22"/>
              </w:rPr>
              <w:t>5.1. Budget: Are the activities appropriately reflected in the budget? In addition, are the estimated costs for every work package (breakdown of costs in tab 1a of the budget) eligible?</w:t>
            </w:r>
          </w:p>
        </w:tc>
        <w:tc>
          <w:tcPr>
            <w:tcW w:w="1275" w:type="dxa"/>
          </w:tcPr>
          <w:p w14:paraId="5DC5A0E8" w14:textId="77777777" w:rsidR="00D179BB" w:rsidRPr="00F75093" w:rsidRDefault="00D179BB" w:rsidP="00C536CC">
            <w:pPr>
              <w:spacing w:after="120" w:line="240" w:lineRule="atLeast"/>
              <w:jc w:val="center"/>
              <w:rPr>
                <w:szCs w:val="22"/>
              </w:rPr>
            </w:pPr>
            <w:r w:rsidRPr="00F75093">
              <w:rPr>
                <w:noProof/>
                <w:szCs w:val="22"/>
              </w:rPr>
              <w:t>5</w:t>
            </w:r>
          </w:p>
        </w:tc>
      </w:tr>
      <w:tr w:rsidR="00D179BB" w:rsidRPr="00807DAF" w14:paraId="7155A8F3" w14:textId="77777777" w:rsidTr="00D179BB">
        <w:trPr>
          <w:trHeight w:val="1299"/>
        </w:trPr>
        <w:tc>
          <w:tcPr>
            <w:tcW w:w="8472" w:type="dxa"/>
          </w:tcPr>
          <w:p w14:paraId="764FE395" w14:textId="77777777" w:rsidR="00D179BB" w:rsidRPr="00F75093" w:rsidRDefault="00D179BB" w:rsidP="00C536CC">
            <w:pPr>
              <w:spacing w:after="120" w:line="240" w:lineRule="atLeast"/>
              <w:ind w:left="340" w:hanging="340"/>
              <w:rPr>
                <w:szCs w:val="22"/>
              </w:rPr>
            </w:pPr>
            <w:r w:rsidRPr="00F75093">
              <w:rPr>
                <w:noProof/>
                <w:szCs w:val="22"/>
              </w:rPr>
              <w:t>5.2. Cost-effectiveness and budget clarity:Does the proposal demonstrate value for money through a well-justified and cost-efficient budget? Is there a clear and detailed cost breakdown aligned with the deliverables, and possibly with the lump sum(s)? Is the relation between the estimated amounts as per budget and the expected results adequate?</w:t>
            </w:r>
          </w:p>
        </w:tc>
        <w:tc>
          <w:tcPr>
            <w:tcW w:w="1275" w:type="dxa"/>
          </w:tcPr>
          <w:p w14:paraId="71DAC8C9" w14:textId="77777777" w:rsidR="00D179BB" w:rsidRPr="00F75093" w:rsidRDefault="00D179BB" w:rsidP="00C536CC">
            <w:pPr>
              <w:spacing w:after="120" w:line="240" w:lineRule="atLeast"/>
              <w:jc w:val="center"/>
              <w:rPr>
                <w:szCs w:val="22"/>
              </w:rPr>
            </w:pPr>
            <w:r w:rsidRPr="00F75093">
              <w:rPr>
                <w:noProof/>
                <w:szCs w:val="22"/>
              </w:rPr>
              <w:t>15</w:t>
            </w:r>
          </w:p>
        </w:tc>
      </w:tr>
      <w:tr w:rsidR="00D179BB" w:rsidRPr="00807DAF" w14:paraId="2A545FA2" w14:textId="77777777" w:rsidTr="00D179BB">
        <w:trPr>
          <w:trHeight w:val="428"/>
        </w:trPr>
        <w:tc>
          <w:tcPr>
            <w:tcW w:w="8472" w:type="dxa"/>
            <w:shd w:val="clear" w:color="auto" w:fill="D9D9D9"/>
            <w:vAlign w:val="center"/>
          </w:tcPr>
          <w:p w14:paraId="7E3F5BB3" w14:textId="77777777" w:rsidR="00D179BB" w:rsidRPr="00F75093" w:rsidRDefault="00D179BB" w:rsidP="00C536CC">
            <w:pPr>
              <w:spacing w:after="120" w:line="240" w:lineRule="atLeast"/>
              <w:rPr>
                <w:b/>
                <w:szCs w:val="22"/>
              </w:rPr>
            </w:pPr>
            <w:r w:rsidRPr="00F75093">
              <w:rPr>
                <w:b/>
                <w:szCs w:val="22"/>
              </w:rPr>
              <w:t>Maximum total score</w:t>
            </w:r>
          </w:p>
        </w:tc>
        <w:tc>
          <w:tcPr>
            <w:tcW w:w="1275" w:type="dxa"/>
            <w:shd w:val="clear" w:color="auto" w:fill="D9D9D9"/>
            <w:vAlign w:val="center"/>
          </w:tcPr>
          <w:p w14:paraId="5FADD1BE" w14:textId="77777777" w:rsidR="00D179BB" w:rsidRPr="00F75093" w:rsidRDefault="00D179BB" w:rsidP="00C536CC">
            <w:pPr>
              <w:keepNext/>
              <w:spacing w:after="120" w:line="240" w:lineRule="atLeast"/>
              <w:jc w:val="center"/>
              <w:rPr>
                <w:b/>
                <w:szCs w:val="22"/>
              </w:rPr>
            </w:pPr>
            <w:r w:rsidRPr="00F75093">
              <w:rPr>
                <w:b/>
                <w:noProof/>
                <w:szCs w:val="22"/>
              </w:rPr>
              <w:t>100</w:t>
            </w:r>
          </w:p>
        </w:tc>
      </w:tr>
    </w:tbl>
    <w:p w14:paraId="01E59C20" w14:textId="77777777" w:rsidR="00882D9A" w:rsidRDefault="00882D9A" w:rsidP="00C536CC">
      <w:pPr>
        <w:spacing w:after="120" w:line="240" w:lineRule="atLeast"/>
      </w:pPr>
    </w:p>
    <w:p w14:paraId="60A33C08" w14:textId="77777777" w:rsidR="00882D9A" w:rsidRPr="00A26B71" w:rsidRDefault="00882D9A" w:rsidP="00882D9A">
      <w:pPr>
        <w:pStyle w:val="Zkladntext"/>
        <w:spacing w:before="117" w:line="242" w:lineRule="auto"/>
        <w:ind w:right="391"/>
        <w:rPr>
          <w:spacing w:val="-2"/>
        </w:rPr>
      </w:pPr>
      <w:r w:rsidRPr="00A26B71">
        <w:t xml:space="preserve">If the total score for Section 1 (financial and operational capacity) is less than 6 points, the application will be rejected. If the score for at least one of the subsections under Section 1 is 1, the application will also be </w:t>
      </w:r>
      <w:r w:rsidRPr="00A26B71">
        <w:rPr>
          <w:spacing w:val="-2"/>
        </w:rPr>
        <w:t>rejected.</w:t>
      </w:r>
    </w:p>
    <w:p w14:paraId="7142F8E4" w14:textId="77777777" w:rsidR="00882D9A" w:rsidRDefault="00882D9A" w:rsidP="00882D9A">
      <w:pPr>
        <w:spacing w:before="122"/>
        <w:ind w:left="212"/>
        <w:rPr>
          <w:i/>
        </w:rPr>
      </w:pPr>
      <w:r w:rsidRPr="00A26B71">
        <w:rPr>
          <w:i/>
        </w:rPr>
        <w:t>Provisional</w:t>
      </w:r>
      <w:r w:rsidRPr="00A26B71">
        <w:rPr>
          <w:i/>
          <w:spacing w:val="-6"/>
        </w:rPr>
        <w:t xml:space="preserve"> </w:t>
      </w:r>
      <w:r w:rsidRPr="00A26B71">
        <w:rPr>
          <w:i/>
          <w:spacing w:val="-2"/>
        </w:rPr>
        <w:t>selection</w:t>
      </w:r>
    </w:p>
    <w:p w14:paraId="31532895" w14:textId="77777777" w:rsidR="00ED5802" w:rsidRDefault="00882D9A" w:rsidP="00882D9A">
      <w:pPr>
        <w:pStyle w:val="Zkladntext"/>
        <w:spacing w:before="117"/>
        <w:ind w:right="387"/>
      </w:pPr>
      <w:r>
        <w:t>After the evaluation, a table will be drawn up listing the applications ranked according to their score. The highest scoring applications will be provisionally selected until the available budget for this call for</w:t>
      </w:r>
      <w:r>
        <w:rPr>
          <w:spacing w:val="80"/>
        </w:rPr>
        <w:t xml:space="preserve"> </w:t>
      </w:r>
      <w:r>
        <w:lastRenderedPageBreak/>
        <w:t>proposals is reached. In addition, a reserve list will be drawn up following the same criteria. This list will be used if more funds become available during the 12 months validity period of the reserve list. The contracting authority informs those lead applicants provisionally selected and those placed on the reserve list, that they will be subject to the final eligibility check.</w:t>
      </w:r>
      <w:r w:rsidR="00A55A0C">
        <w:t xml:space="preserve"> </w:t>
      </w:r>
    </w:p>
    <w:p w14:paraId="5E48A961" w14:textId="77777777" w:rsidR="006210D6" w:rsidRPr="00807DAF" w:rsidRDefault="006210D6" w:rsidP="00816803">
      <w:pPr>
        <w:pStyle w:val="Guidelines3"/>
        <w:numPr>
          <w:ilvl w:val="2"/>
          <w:numId w:val="8"/>
        </w:numPr>
      </w:pPr>
      <w:bookmarkStart w:id="47" w:name="_Toc216688238"/>
      <w:r w:rsidRPr="00807DAF">
        <w:t>STEP 3:</w:t>
      </w:r>
      <w:r>
        <w:t xml:space="preserve"> </w:t>
      </w:r>
      <w:r w:rsidRPr="00807DAF">
        <w:t>VERIFICATION OF ELIGIBILITY OF THE APPLICANTS AND AFFILIATED ENTITY(IES)</w:t>
      </w:r>
      <w:r w:rsidR="000F443F">
        <w:t xml:space="preserve"> AND OTHER SUPPORTING DOCUMENTS</w:t>
      </w:r>
      <w:bookmarkEnd w:id="47"/>
    </w:p>
    <w:p w14:paraId="2496D27F" w14:textId="77777777" w:rsidR="00882D9A" w:rsidRDefault="00882D9A" w:rsidP="00882D9A">
      <w:pPr>
        <w:pStyle w:val="Zkladntext"/>
        <w:spacing w:before="120"/>
        <w:ind w:right="386"/>
      </w:pPr>
      <w:bookmarkStart w:id="48" w:name="_Toc40507654"/>
      <w:bookmarkStart w:id="49" w:name="_Toc519003422"/>
      <w:r>
        <w:t xml:space="preserve">The eligibility verification will be performed on the basis of the supporting documents requested by the contracting authority (see Section 2.2.1). It will by default </w:t>
      </w:r>
      <w:r>
        <w:rPr>
          <w:u w:val="single"/>
        </w:rPr>
        <w:t>only</w:t>
      </w:r>
      <w:r>
        <w:t xml:space="preserve"> be performed for the applications that have been provisionally</w:t>
      </w:r>
      <w:r>
        <w:rPr>
          <w:spacing w:val="-1"/>
        </w:rPr>
        <w:t xml:space="preserve"> </w:t>
      </w:r>
      <w:r>
        <w:t>selected</w:t>
      </w:r>
      <w:r>
        <w:rPr>
          <w:spacing w:val="-1"/>
        </w:rPr>
        <w:t xml:space="preserve"> </w:t>
      </w:r>
      <w:r>
        <w:t>(including</w:t>
      </w:r>
      <w:r>
        <w:rPr>
          <w:spacing w:val="-4"/>
        </w:rPr>
        <w:t xml:space="preserve"> </w:t>
      </w:r>
      <w:r>
        <w:t>those</w:t>
      </w:r>
      <w:r>
        <w:rPr>
          <w:spacing w:val="-1"/>
        </w:rPr>
        <w:t xml:space="preserve"> </w:t>
      </w:r>
      <w:r>
        <w:t>placed</w:t>
      </w:r>
      <w:r>
        <w:rPr>
          <w:spacing w:val="-1"/>
        </w:rPr>
        <w:t xml:space="preserve"> </w:t>
      </w:r>
      <w:r>
        <w:t>on</w:t>
      </w:r>
      <w:r>
        <w:rPr>
          <w:spacing w:val="-4"/>
        </w:rPr>
        <w:t xml:space="preserve"> </w:t>
      </w:r>
      <w:r>
        <w:t>the</w:t>
      </w:r>
      <w:r>
        <w:rPr>
          <w:spacing w:val="-1"/>
        </w:rPr>
        <w:t xml:space="preserve"> </w:t>
      </w:r>
      <w:r>
        <w:t>reserve</w:t>
      </w:r>
      <w:r>
        <w:rPr>
          <w:spacing w:val="-1"/>
        </w:rPr>
        <w:t xml:space="preserve"> </w:t>
      </w:r>
      <w:r>
        <w:t>list) according</w:t>
      </w:r>
      <w:r>
        <w:rPr>
          <w:spacing w:val="-4"/>
        </w:rPr>
        <w:t xml:space="preserve"> </w:t>
      </w:r>
      <w:r>
        <w:t>to</w:t>
      </w:r>
      <w:r>
        <w:rPr>
          <w:spacing w:val="-4"/>
        </w:rPr>
        <w:t xml:space="preserve"> </w:t>
      </w:r>
      <w:r>
        <w:t>their</w:t>
      </w:r>
      <w:r>
        <w:rPr>
          <w:spacing w:val="-1"/>
        </w:rPr>
        <w:t xml:space="preserve"> </w:t>
      </w:r>
      <w:r>
        <w:t>score</w:t>
      </w:r>
      <w:r>
        <w:rPr>
          <w:spacing w:val="-1"/>
        </w:rPr>
        <w:t xml:space="preserve"> </w:t>
      </w:r>
      <w:r>
        <w:t>and</w:t>
      </w:r>
      <w:r>
        <w:rPr>
          <w:spacing w:val="-1"/>
        </w:rPr>
        <w:t xml:space="preserve"> </w:t>
      </w:r>
      <w:r>
        <w:t>within</w:t>
      </w:r>
      <w:r>
        <w:rPr>
          <w:spacing w:val="-4"/>
        </w:rPr>
        <w:t xml:space="preserve"> </w:t>
      </w:r>
      <w:r>
        <w:t>the available budget for this call for proposals. In this case:</w:t>
      </w:r>
    </w:p>
    <w:p w14:paraId="491606F6" w14:textId="77777777" w:rsidR="00882D9A" w:rsidRDefault="00882D9A" w:rsidP="00816803">
      <w:pPr>
        <w:pStyle w:val="Odstavecseseznamem"/>
        <w:widowControl w:val="0"/>
        <w:numPr>
          <w:ilvl w:val="3"/>
          <w:numId w:val="17"/>
        </w:numPr>
        <w:tabs>
          <w:tab w:val="left" w:pos="933"/>
        </w:tabs>
        <w:autoSpaceDE w:val="0"/>
        <w:autoSpaceDN w:val="0"/>
        <w:spacing w:before="120" w:after="0"/>
        <w:ind w:left="933" w:right="389" w:hanging="360"/>
      </w:pPr>
      <w:r>
        <w:t>The declaration by the lead applicant (Section 5 of Annex A.2) will be cross-checked with the supporting documents provided by the lead applicant. Any missing supporting document or any incoherence between</w:t>
      </w:r>
      <w:r>
        <w:rPr>
          <w:spacing w:val="-2"/>
        </w:rPr>
        <w:t xml:space="preserve"> </w:t>
      </w:r>
      <w:r>
        <w:t>the declaration by the lead applicant and the supporting documents may lead to the rejection of the application on that sole basis.</w:t>
      </w:r>
    </w:p>
    <w:p w14:paraId="6D15E760" w14:textId="77777777" w:rsidR="00882D9A" w:rsidRDefault="00882D9A" w:rsidP="00816803">
      <w:pPr>
        <w:pStyle w:val="Odstavecseseznamem"/>
        <w:widowControl w:val="0"/>
        <w:numPr>
          <w:ilvl w:val="3"/>
          <w:numId w:val="17"/>
        </w:numPr>
        <w:tabs>
          <w:tab w:val="left" w:pos="933"/>
        </w:tabs>
        <w:autoSpaceDE w:val="0"/>
        <w:autoSpaceDN w:val="0"/>
        <w:spacing w:before="121" w:after="0"/>
        <w:ind w:left="933" w:right="390" w:hanging="360"/>
      </w:pPr>
      <w:r>
        <w:t>The eligibility of applicants and the affiliated entity(ies) will be verified according to the criteria set out in Section 2.1.1. including exclusion criteria.</w:t>
      </w:r>
    </w:p>
    <w:p w14:paraId="7C5A502C" w14:textId="77777777" w:rsidR="00882D9A" w:rsidRDefault="00882D9A" w:rsidP="00882D9A">
      <w:pPr>
        <w:pStyle w:val="Zkladntext"/>
        <w:spacing w:before="117"/>
        <w:ind w:right="394"/>
      </w:pPr>
      <w:r>
        <w:t>Any rejected application will be replaced by the next best placed application on the reserve list that falls within the available budget for this call for proposals.</w:t>
      </w:r>
    </w:p>
    <w:p w14:paraId="2FC2A365" w14:textId="77777777" w:rsidR="00882D9A" w:rsidRDefault="00882D9A" w:rsidP="00882D9A">
      <w:pPr>
        <w:pStyle w:val="Zkladntext"/>
        <w:spacing w:before="121"/>
        <w:ind w:right="392"/>
      </w:pPr>
      <w:r>
        <w:t>In the eventuality that the evaluation committee is not satisfied with the strength, solidity, and guarantee offered by the structural link between one of the applicants and its affiliated entity, it can require the submission of the missing documents allowing for its conversion into co-applicant. If all the missing documents for co-applicants are submitted, and provided all necessary eligibility criteria are fulfilled, the above mentioned entity becomes a co-applicant for all purposes. The lead applicant has to submit the application form revised accordingly.</w:t>
      </w:r>
    </w:p>
    <w:p w14:paraId="59031376" w14:textId="77777777" w:rsidR="0007408E" w:rsidRPr="00807DAF" w:rsidRDefault="006210D6" w:rsidP="00816803">
      <w:pPr>
        <w:pStyle w:val="Guidelines2"/>
        <w:numPr>
          <w:ilvl w:val="1"/>
          <w:numId w:val="8"/>
        </w:numPr>
      </w:pPr>
      <w:bookmarkStart w:id="50" w:name="_Toc216688239"/>
      <w:r>
        <w:t>Award decision</w:t>
      </w:r>
      <w:bookmarkEnd w:id="50"/>
      <w:r w:rsidR="00B67806" w:rsidRPr="00807DAF">
        <w:t xml:space="preserve"> </w:t>
      </w:r>
      <w:bookmarkEnd w:id="48"/>
      <w:bookmarkEnd w:id="49"/>
    </w:p>
    <w:p w14:paraId="660E716D" w14:textId="77777777" w:rsidR="00882D9A" w:rsidRDefault="00882D9A" w:rsidP="00882D9A">
      <w:pPr>
        <w:pStyle w:val="Zkladntext"/>
        <w:spacing w:before="119" w:line="244" w:lineRule="auto"/>
      </w:pPr>
      <w:bookmarkStart w:id="51" w:name="_Toc519003423"/>
      <w:r>
        <w:t>After</w:t>
      </w:r>
      <w:r>
        <w:rPr>
          <w:spacing w:val="78"/>
          <w:w w:val="150"/>
        </w:rPr>
        <w:t xml:space="preserve"> </w:t>
      </w:r>
      <w:r>
        <w:t>verifying</w:t>
      </w:r>
      <w:r>
        <w:rPr>
          <w:spacing w:val="80"/>
        </w:rPr>
        <w:t xml:space="preserve"> </w:t>
      </w:r>
      <w:r>
        <w:t>the</w:t>
      </w:r>
      <w:r>
        <w:rPr>
          <w:spacing w:val="78"/>
          <w:w w:val="150"/>
        </w:rPr>
        <w:t xml:space="preserve"> </w:t>
      </w:r>
      <w:r>
        <w:t>supporting</w:t>
      </w:r>
      <w:r>
        <w:rPr>
          <w:spacing w:val="80"/>
        </w:rPr>
        <w:t xml:space="preserve"> </w:t>
      </w:r>
      <w:r>
        <w:t>documents</w:t>
      </w:r>
      <w:r>
        <w:rPr>
          <w:spacing w:val="80"/>
          <w:w w:val="150"/>
        </w:rPr>
        <w:t xml:space="preserve"> </w:t>
      </w:r>
      <w:r>
        <w:t>(step</w:t>
      </w:r>
      <w:r>
        <w:rPr>
          <w:spacing w:val="80"/>
        </w:rPr>
        <w:t xml:space="preserve"> </w:t>
      </w:r>
      <w:r>
        <w:t>3),</w:t>
      </w:r>
      <w:r>
        <w:rPr>
          <w:spacing w:val="80"/>
        </w:rPr>
        <w:t xml:space="preserve"> </w:t>
      </w:r>
      <w:r>
        <w:t>the</w:t>
      </w:r>
      <w:r>
        <w:rPr>
          <w:spacing w:val="77"/>
          <w:w w:val="150"/>
        </w:rPr>
        <w:t xml:space="preserve"> </w:t>
      </w:r>
      <w:r>
        <w:t>evaluation</w:t>
      </w:r>
      <w:r>
        <w:rPr>
          <w:spacing w:val="80"/>
        </w:rPr>
        <w:t xml:space="preserve"> </w:t>
      </w:r>
      <w:r>
        <w:t>committee</w:t>
      </w:r>
      <w:r>
        <w:rPr>
          <w:spacing w:val="78"/>
          <w:w w:val="150"/>
        </w:rPr>
        <w:t xml:space="preserve"> </w:t>
      </w:r>
      <w:r>
        <w:t>will</w:t>
      </w:r>
      <w:r>
        <w:rPr>
          <w:spacing w:val="80"/>
        </w:rPr>
        <w:t xml:space="preserve"> </w:t>
      </w:r>
      <w:r>
        <w:t>make</w:t>
      </w:r>
      <w:r>
        <w:rPr>
          <w:spacing w:val="80"/>
        </w:rPr>
        <w:t xml:space="preserve"> </w:t>
      </w:r>
      <w:r>
        <w:t>a</w:t>
      </w:r>
      <w:r>
        <w:rPr>
          <w:spacing w:val="80"/>
        </w:rPr>
        <w:t xml:space="preserve"> </w:t>
      </w:r>
      <w:r>
        <w:t>final recommendation to the contracting authority, which will decide on the award of grants.</w:t>
      </w:r>
    </w:p>
    <w:p w14:paraId="53226173" w14:textId="77777777" w:rsidR="00882D9A" w:rsidRDefault="00882D9A" w:rsidP="00882D9A">
      <w:pPr>
        <w:pStyle w:val="Zkladntext"/>
        <w:spacing w:before="111"/>
      </w:pPr>
      <w:r>
        <w:t>The</w:t>
      </w:r>
      <w:r>
        <w:rPr>
          <w:spacing w:val="36"/>
        </w:rPr>
        <w:t xml:space="preserve"> </w:t>
      </w:r>
      <w:r>
        <w:t>contracting</w:t>
      </w:r>
      <w:r>
        <w:rPr>
          <w:spacing w:val="33"/>
        </w:rPr>
        <w:t xml:space="preserve"> </w:t>
      </w:r>
      <w:r>
        <w:t>authority</w:t>
      </w:r>
      <w:r>
        <w:rPr>
          <w:spacing w:val="31"/>
        </w:rPr>
        <w:t xml:space="preserve"> </w:t>
      </w:r>
      <w:r>
        <w:t>may</w:t>
      </w:r>
      <w:r>
        <w:rPr>
          <w:spacing w:val="34"/>
        </w:rPr>
        <w:t xml:space="preserve"> </w:t>
      </w:r>
      <w:r>
        <w:t>decide</w:t>
      </w:r>
      <w:r>
        <w:rPr>
          <w:spacing w:val="34"/>
        </w:rPr>
        <w:t xml:space="preserve"> </w:t>
      </w:r>
      <w:r>
        <w:t>not</w:t>
      </w:r>
      <w:r>
        <w:rPr>
          <w:spacing w:val="34"/>
        </w:rPr>
        <w:t xml:space="preserve"> </w:t>
      </w:r>
      <w:r>
        <w:t>to</w:t>
      </w:r>
      <w:r>
        <w:rPr>
          <w:spacing w:val="33"/>
        </w:rPr>
        <w:t xml:space="preserve"> </w:t>
      </w:r>
      <w:r>
        <w:t>award</w:t>
      </w:r>
      <w:r>
        <w:rPr>
          <w:spacing w:val="33"/>
        </w:rPr>
        <w:t xml:space="preserve"> </w:t>
      </w:r>
      <w:r>
        <w:t>any</w:t>
      </w:r>
      <w:r>
        <w:rPr>
          <w:spacing w:val="36"/>
        </w:rPr>
        <w:t xml:space="preserve"> </w:t>
      </w:r>
      <w:r>
        <w:t>grants</w:t>
      </w:r>
      <w:r>
        <w:rPr>
          <w:spacing w:val="34"/>
        </w:rPr>
        <w:t xml:space="preserve"> </w:t>
      </w:r>
      <w:r>
        <w:t>and</w:t>
      </w:r>
      <w:r>
        <w:rPr>
          <w:spacing w:val="34"/>
        </w:rPr>
        <w:t xml:space="preserve"> </w:t>
      </w:r>
      <w:r>
        <w:t>cancel</w:t>
      </w:r>
      <w:r>
        <w:rPr>
          <w:spacing w:val="34"/>
        </w:rPr>
        <w:t xml:space="preserve"> </w:t>
      </w:r>
      <w:r>
        <w:t>the</w:t>
      </w:r>
      <w:r>
        <w:rPr>
          <w:spacing w:val="34"/>
        </w:rPr>
        <w:t xml:space="preserve"> </w:t>
      </w:r>
      <w:r>
        <w:t>call</w:t>
      </w:r>
      <w:r>
        <w:rPr>
          <w:spacing w:val="35"/>
        </w:rPr>
        <w:t xml:space="preserve"> </w:t>
      </w:r>
      <w:r>
        <w:t>for</w:t>
      </w:r>
      <w:r>
        <w:rPr>
          <w:spacing w:val="34"/>
        </w:rPr>
        <w:t xml:space="preserve"> </w:t>
      </w:r>
      <w:r>
        <w:t>proposals</w:t>
      </w:r>
      <w:r>
        <w:rPr>
          <w:spacing w:val="34"/>
        </w:rPr>
        <w:t xml:space="preserve"> </w:t>
      </w:r>
      <w:r>
        <w:t>without having the applicants any right to compensation.</w:t>
      </w:r>
    </w:p>
    <w:p w14:paraId="69016678" w14:textId="77777777" w:rsidR="00882D9A" w:rsidRDefault="00882D9A" w:rsidP="00882D9A">
      <w:pPr>
        <w:pStyle w:val="Zkladntext"/>
        <w:spacing w:before="120"/>
      </w:pPr>
      <w:r>
        <w:t>The</w:t>
      </w:r>
      <w:r>
        <w:rPr>
          <w:spacing w:val="38"/>
        </w:rPr>
        <w:t xml:space="preserve"> </w:t>
      </w:r>
      <w:r>
        <w:t>award</w:t>
      </w:r>
      <w:r>
        <w:rPr>
          <w:spacing w:val="39"/>
        </w:rPr>
        <w:t xml:space="preserve"> </w:t>
      </w:r>
      <w:r>
        <w:t>decision</w:t>
      </w:r>
      <w:r>
        <w:rPr>
          <w:spacing w:val="38"/>
        </w:rPr>
        <w:t xml:space="preserve"> </w:t>
      </w:r>
      <w:r>
        <w:t>shall</w:t>
      </w:r>
      <w:r>
        <w:rPr>
          <w:spacing w:val="39"/>
        </w:rPr>
        <w:t xml:space="preserve"> </w:t>
      </w:r>
      <w:r>
        <w:t>indicate</w:t>
      </w:r>
      <w:r>
        <w:rPr>
          <w:spacing w:val="39"/>
        </w:rPr>
        <w:t xml:space="preserve"> </w:t>
      </w:r>
      <w:r>
        <w:t>the</w:t>
      </w:r>
      <w:r>
        <w:rPr>
          <w:spacing w:val="39"/>
        </w:rPr>
        <w:t xml:space="preserve"> </w:t>
      </w:r>
      <w:r>
        <w:t>successful</w:t>
      </w:r>
      <w:r>
        <w:rPr>
          <w:spacing w:val="39"/>
        </w:rPr>
        <w:t xml:space="preserve"> </w:t>
      </w:r>
      <w:r>
        <w:t>applicants,</w:t>
      </w:r>
      <w:r>
        <w:rPr>
          <w:spacing w:val="39"/>
        </w:rPr>
        <w:t xml:space="preserve"> </w:t>
      </w:r>
      <w:r>
        <w:t>the</w:t>
      </w:r>
      <w:r>
        <w:rPr>
          <w:spacing w:val="39"/>
        </w:rPr>
        <w:t xml:space="preserve"> </w:t>
      </w:r>
      <w:r>
        <w:t>names</w:t>
      </w:r>
      <w:r>
        <w:rPr>
          <w:spacing w:val="39"/>
        </w:rPr>
        <w:t xml:space="preserve"> </w:t>
      </w:r>
      <w:r>
        <w:t>of</w:t>
      </w:r>
      <w:r>
        <w:rPr>
          <w:spacing w:val="37"/>
        </w:rPr>
        <w:t xml:space="preserve"> </w:t>
      </w:r>
      <w:r>
        <w:t>the</w:t>
      </w:r>
      <w:r>
        <w:rPr>
          <w:spacing w:val="36"/>
        </w:rPr>
        <w:t xml:space="preserve"> </w:t>
      </w:r>
      <w:r>
        <w:t>applicants</w:t>
      </w:r>
      <w:r>
        <w:rPr>
          <w:spacing w:val="39"/>
        </w:rPr>
        <w:t xml:space="preserve"> </w:t>
      </w:r>
      <w:r>
        <w:t>rejected,</w:t>
      </w:r>
      <w:r>
        <w:rPr>
          <w:spacing w:val="38"/>
        </w:rPr>
        <w:t xml:space="preserve"> </w:t>
      </w:r>
      <w:r>
        <w:t>and</w:t>
      </w:r>
      <w:r>
        <w:rPr>
          <w:spacing w:val="39"/>
        </w:rPr>
        <w:t xml:space="preserve"> </w:t>
      </w:r>
      <w:r>
        <w:t>a reserve list (if any).</w:t>
      </w:r>
    </w:p>
    <w:p w14:paraId="75C506CC" w14:textId="77777777" w:rsidR="009348D1" w:rsidRPr="00807DAF" w:rsidRDefault="00B67806" w:rsidP="00816803">
      <w:pPr>
        <w:pStyle w:val="Guidelines2"/>
        <w:numPr>
          <w:ilvl w:val="1"/>
          <w:numId w:val="8"/>
        </w:numPr>
      </w:pPr>
      <w:bookmarkStart w:id="52" w:name="_Toc216688240"/>
      <w:r w:rsidRPr="00807DAF">
        <w:t>Notification of the Contracting Authority’s decision</w:t>
      </w:r>
      <w:bookmarkEnd w:id="51"/>
      <w:bookmarkEnd w:id="52"/>
    </w:p>
    <w:p w14:paraId="22A2ADF5" w14:textId="77777777" w:rsidR="00882D9A" w:rsidRDefault="00882D9A" w:rsidP="00882D9A">
      <w:pPr>
        <w:pStyle w:val="Zkladntext"/>
        <w:spacing w:before="120"/>
        <w:ind w:right="392"/>
      </w:pPr>
      <w:bookmarkStart w:id="53" w:name="_Hlk164324858"/>
      <w:r>
        <w:t xml:space="preserve">The lead applicants will be informed in writing of the contracting authority’s decision concerning their </w:t>
      </w:r>
      <w:r>
        <w:rPr>
          <w:spacing w:val="-2"/>
        </w:rPr>
        <w:t>application.</w:t>
      </w:r>
    </w:p>
    <w:p w14:paraId="55F84E91" w14:textId="77777777" w:rsidR="00882D9A" w:rsidRDefault="00882D9A" w:rsidP="00882D9A">
      <w:pPr>
        <w:pStyle w:val="Zkladntext"/>
        <w:spacing w:before="118"/>
        <w:ind w:right="391"/>
      </w:pPr>
      <w:r>
        <w:t>In case of rejection, they will be informed about the reasons for the negative decision. For the avoidance of doubt, please note that for applications rejected for reasons such as non-compliance with the admissibility requirements (for example, if the application was sent after the deadline), with the eligibility (the entity or person is not part of the predefined eligible population of entities or persons), the selection (the entity does not have financial capacity or professional or operational capacity) and the award criteria (the proposal does not comply with the predefined requirements such as quality, cost/efficiency), no prior adversarial procedure is required.</w:t>
      </w:r>
    </w:p>
    <w:bookmarkEnd w:id="53"/>
    <w:p w14:paraId="31EB0437" w14:textId="77777777" w:rsidR="00882D9A" w:rsidRDefault="00882D9A" w:rsidP="00882D9A">
      <w:pPr>
        <w:pStyle w:val="Zkladntext"/>
        <w:spacing w:before="118"/>
        <w:ind w:right="391"/>
      </w:pPr>
      <w:r>
        <w:t>Applicants placed on the reserve list will also be informed. The applicable terms to the reserve list are laid down in Section 6.5. of the practical guide.</w:t>
      </w:r>
    </w:p>
    <w:p w14:paraId="200D8F45" w14:textId="77777777" w:rsidR="00882D9A" w:rsidRDefault="00882D9A" w:rsidP="00882D9A">
      <w:pPr>
        <w:pStyle w:val="Zkladntext"/>
        <w:spacing w:before="118"/>
        <w:ind w:right="386"/>
      </w:pPr>
      <w:r>
        <w:lastRenderedPageBreak/>
        <w:t>The successful applicants shall also be informed, and will be requested to provide some information and documents, including (for grants exceeding EUR 60 000) the self evaluation questionnaire on SEA-H. The lead applicant as well as all co-applicants and affiliated entities other than (i) natural persons (ii) pillar- assessed entities and (iii) governments and other public bodies shall fill in the self-evaluation questionnaire assessing the organisation’s</w:t>
      </w:r>
      <w:r>
        <w:rPr>
          <w:spacing w:val="-2"/>
        </w:rPr>
        <w:t xml:space="preserve"> </w:t>
      </w:r>
      <w:r>
        <w:t>internal policy and procedures against sexual exploitation, abuse and harassment (SEA-H) (Annex L) (see Section 6.2.10 of the practical guide).</w:t>
      </w:r>
    </w:p>
    <w:p w14:paraId="433E0303" w14:textId="77777777" w:rsidR="00882D9A" w:rsidRDefault="00882D9A" w:rsidP="00882D9A">
      <w:pPr>
        <w:pStyle w:val="Zkladntext"/>
        <w:spacing w:before="121"/>
        <w:ind w:right="389"/>
      </w:pPr>
      <w:r>
        <w:t>This letter will be sent by e-mail and will appear online automatically in the PROSPECT profile of the user who submitted the application. Lead applicants who, in exceptional cases (see section 2.2), had to submit their application by post, private courier or hand-delivery will be informed by e-mail or by post if they did not provide any e-mail address. Therefore, please check regularly your PROSPECT profile, taking into account the indicative timetable below. Please note that the lead applicant is the intermediary for all communications between applicants and the contracting authority during the procedure.</w:t>
      </w:r>
    </w:p>
    <w:p w14:paraId="3D0665BA" w14:textId="77777777" w:rsidR="00882D9A" w:rsidRDefault="00882D9A" w:rsidP="00882D9A">
      <w:pPr>
        <w:pStyle w:val="Zkladntext"/>
        <w:spacing w:before="119" w:line="242" w:lineRule="auto"/>
        <w:ind w:right="389"/>
      </w:pPr>
      <w:r>
        <w:t>Successful applicants will also be informed if the first instalment of pre-financing is subject to the validation of a financial guarantee by the contracting authority. In this case, the applicant will be requested to send the guarantee in</w:t>
      </w:r>
      <w:r>
        <w:rPr>
          <w:spacing w:val="-4"/>
        </w:rPr>
        <w:t xml:space="preserve"> </w:t>
      </w:r>
      <w:r>
        <w:t>time</w:t>
      </w:r>
      <w:r>
        <w:rPr>
          <w:spacing w:val="-3"/>
        </w:rPr>
        <w:t xml:space="preserve"> </w:t>
      </w:r>
      <w:r>
        <w:t>to</w:t>
      </w:r>
      <w:r>
        <w:rPr>
          <w:spacing w:val="-1"/>
        </w:rPr>
        <w:t xml:space="preserve"> </w:t>
      </w:r>
      <w:r>
        <w:t>proceed</w:t>
      </w:r>
      <w:r>
        <w:rPr>
          <w:spacing w:val="-1"/>
        </w:rPr>
        <w:t xml:space="preserve"> </w:t>
      </w:r>
      <w:r>
        <w:t>to</w:t>
      </w:r>
      <w:r>
        <w:rPr>
          <w:spacing w:val="-1"/>
        </w:rPr>
        <w:t xml:space="preserve"> </w:t>
      </w:r>
      <w:r>
        <w:t>the</w:t>
      </w:r>
      <w:r>
        <w:rPr>
          <w:spacing w:val="-1"/>
        </w:rPr>
        <w:t xml:space="preserve"> </w:t>
      </w:r>
      <w:r>
        <w:t>payment of</w:t>
      </w:r>
      <w:r>
        <w:rPr>
          <w:spacing w:val="-1"/>
        </w:rPr>
        <w:t xml:space="preserve"> </w:t>
      </w:r>
      <w:r>
        <w:t>the</w:t>
      </w:r>
      <w:r>
        <w:rPr>
          <w:spacing w:val="-1"/>
        </w:rPr>
        <w:t xml:space="preserve"> </w:t>
      </w:r>
      <w:r>
        <w:t>first</w:t>
      </w:r>
      <w:r>
        <w:rPr>
          <w:spacing w:val="-3"/>
        </w:rPr>
        <w:t xml:space="preserve"> </w:t>
      </w:r>
      <w:r>
        <w:t>instalment</w:t>
      </w:r>
      <w:r>
        <w:rPr>
          <w:spacing w:val="-3"/>
        </w:rPr>
        <w:t xml:space="preserve"> </w:t>
      </w:r>
      <w:r>
        <w:t>in</w:t>
      </w:r>
      <w:r>
        <w:rPr>
          <w:spacing w:val="-1"/>
        </w:rPr>
        <w:t xml:space="preserve"> </w:t>
      </w:r>
      <w:r>
        <w:t>accordance</w:t>
      </w:r>
      <w:r>
        <w:rPr>
          <w:spacing w:val="-1"/>
        </w:rPr>
        <w:t xml:space="preserve"> </w:t>
      </w:r>
      <w:r>
        <w:t>with</w:t>
      </w:r>
      <w:r>
        <w:rPr>
          <w:spacing w:val="-4"/>
        </w:rPr>
        <w:t xml:space="preserve"> </w:t>
      </w:r>
      <w:r>
        <w:t>the</w:t>
      </w:r>
      <w:r>
        <w:rPr>
          <w:spacing w:val="-1"/>
        </w:rPr>
        <w:t xml:space="preserve"> </w:t>
      </w:r>
      <w:r>
        <w:t>payment provisions of the grant contract.</w:t>
      </w:r>
    </w:p>
    <w:p w14:paraId="39797008" w14:textId="77777777" w:rsidR="00882D9A" w:rsidRDefault="00882D9A" w:rsidP="00882D9A">
      <w:pPr>
        <w:pStyle w:val="Zkladntext"/>
        <w:spacing w:before="112"/>
        <w:ind w:right="395"/>
      </w:pPr>
      <w:r>
        <w:t>An applicant believing that it has been harmed by an error or irregularity during the award process may</w:t>
      </w:r>
      <w:r>
        <w:rPr>
          <w:spacing w:val="80"/>
        </w:rPr>
        <w:t xml:space="preserve"> </w:t>
      </w:r>
      <w:r>
        <w:t>lodge a complaint. See Section 2.12 of the practical guide.</w:t>
      </w:r>
    </w:p>
    <w:p w14:paraId="02CBA61F" w14:textId="77777777" w:rsidR="006210D6" w:rsidRPr="006210D6" w:rsidRDefault="006210D6" w:rsidP="00816803">
      <w:pPr>
        <w:pStyle w:val="Guidelines2"/>
        <w:numPr>
          <w:ilvl w:val="1"/>
          <w:numId w:val="8"/>
        </w:numPr>
      </w:pPr>
      <w:bookmarkStart w:id="54" w:name="_Toc216688241"/>
      <w:bookmarkStart w:id="55" w:name="_Hlk163756364"/>
      <w:bookmarkStart w:id="56" w:name="_Toc74830969"/>
      <w:bookmarkStart w:id="57" w:name="_Hlk163815791"/>
      <w:r w:rsidRPr="006210D6">
        <w:t>Signature of the grant contract</w:t>
      </w:r>
      <w:bookmarkEnd w:id="54"/>
    </w:p>
    <w:bookmarkEnd w:id="55"/>
    <w:bookmarkEnd w:id="56"/>
    <w:bookmarkEnd w:id="57"/>
    <w:p w14:paraId="59B0A41D" w14:textId="77777777" w:rsidR="00882D9A" w:rsidRDefault="00882D9A" w:rsidP="00882D9A">
      <w:pPr>
        <w:pStyle w:val="Zkladntext"/>
        <w:spacing w:before="119"/>
        <w:ind w:right="398"/>
      </w:pPr>
      <w:r>
        <w:t>Following the decision to award a grant, the beneficiary(ies) will be offered a contract based on the standard grant contract (see Annex G of these guidelines). By signing the application form (Annex A of these guidelines),</w:t>
      </w:r>
      <w:r>
        <w:rPr>
          <w:spacing w:val="-2"/>
        </w:rPr>
        <w:t xml:space="preserve"> </w:t>
      </w:r>
      <w:r>
        <w:t>the</w:t>
      </w:r>
      <w:r>
        <w:rPr>
          <w:spacing w:val="-2"/>
        </w:rPr>
        <w:t xml:space="preserve"> </w:t>
      </w:r>
      <w:r>
        <w:t>applicants</w:t>
      </w:r>
      <w:r>
        <w:rPr>
          <w:spacing w:val="-4"/>
        </w:rPr>
        <w:t xml:space="preserve"> </w:t>
      </w:r>
      <w:r>
        <w:t>agree,</w:t>
      </w:r>
      <w:r>
        <w:rPr>
          <w:spacing w:val="-2"/>
        </w:rPr>
        <w:t xml:space="preserve"> </w:t>
      </w:r>
      <w:r>
        <w:t>if</w:t>
      </w:r>
      <w:r>
        <w:rPr>
          <w:spacing w:val="-2"/>
        </w:rPr>
        <w:t xml:space="preserve"> </w:t>
      </w:r>
      <w:r>
        <w:t>awarded</w:t>
      </w:r>
      <w:r>
        <w:rPr>
          <w:spacing w:val="-2"/>
        </w:rPr>
        <w:t xml:space="preserve"> </w:t>
      </w:r>
      <w:r>
        <w:t>a</w:t>
      </w:r>
      <w:r>
        <w:rPr>
          <w:spacing w:val="-2"/>
        </w:rPr>
        <w:t xml:space="preserve"> </w:t>
      </w:r>
      <w:r>
        <w:t>grant,</w:t>
      </w:r>
      <w:r>
        <w:rPr>
          <w:spacing w:val="-5"/>
        </w:rPr>
        <w:t xml:space="preserve"> </w:t>
      </w:r>
      <w:r>
        <w:t>to</w:t>
      </w:r>
      <w:r>
        <w:rPr>
          <w:spacing w:val="-2"/>
        </w:rPr>
        <w:t xml:space="preserve"> </w:t>
      </w:r>
      <w:r>
        <w:t>accept</w:t>
      </w:r>
      <w:r>
        <w:rPr>
          <w:spacing w:val="-4"/>
        </w:rPr>
        <w:t xml:space="preserve"> </w:t>
      </w:r>
      <w:r>
        <w:t>the</w:t>
      </w:r>
      <w:r>
        <w:rPr>
          <w:spacing w:val="-2"/>
        </w:rPr>
        <w:t xml:space="preserve"> </w:t>
      </w:r>
      <w:r>
        <w:t>contractual</w:t>
      </w:r>
      <w:r>
        <w:rPr>
          <w:spacing w:val="-1"/>
        </w:rPr>
        <w:t xml:space="preserve"> </w:t>
      </w:r>
      <w:r>
        <w:t>conditions</w:t>
      </w:r>
      <w:r>
        <w:rPr>
          <w:spacing w:val="-2"/>
        </w:rPr>
        <w:t xml:space="preserve"> </w:t>
      </w:r>
      <w:r>
        <w:t>of</w:t>
      </w:r>
      <w:r>
        <w:rPr>
          <w:spacing w:val="-4"/>
        </w:rPr>
        <w:t xml:space="preserve"> </w:t>
      </w:r>
      <w:r>
        <w:t>the</w:t>
      </w:r>
      <w:r>
        <w:rPr>
          <w:spacing w:val="-2"/>
        </w:rPr>
        <w:t xml:space="preserve"> </w:t>
      </w:r>
      <w:r>
        <w:t>standard</w:t>
      </w:r>
      <w:r>
        <w:rPr>
          <w:spacing w:val="-2"/>
        </w:rPr>
        <w:t xml:space="preserve"> </w:t>
      </w:r>
      <w:r>
        <w:t>grant contract. Where the coordinator is an organisation whose pillars have been positively assessed, it will sign a contribution agreement based on the contribution agreement template. In this case, references to provisions</w:t>
      </w:r>
      <w:r>
        <w:rPr>
          <w:spacing w:val="40"/>
        </w:rPr>
        <w:t xml:space="preserve"> </w:t>
      </w:r>
      <w:r>
        <w:t>of the standard grant contract and its annexes shall not apply. References in these guidelines to the grant contract shall be understood as references to the relevant provisions of the contribution agreement.</w:t>
      </w:r>
    </w:p>
    <w:p w14:paraId="6894D6DC" w14:textId="77777777" w:rsidR="00882D9A" w:rsidRPr="006210D6" w:rsidRDefault="00882D9A" w:rsidP="00882D9A">
      <w:pPr>
        <w:pStyle w:val="Zkladntext"/>
        <w:spacing w:before="119"/>
        <w:ind w:right="398"/>
        <w:rPr>
          <w:lang w:eastAsia="en-GB"/>
        </w:rPr>
      </w:pPr>
      <w:r>
        <w:t xml:space="preserve">The budget proposed for the action by the successful applicants at the call for proposals stage must be corrected to remove any obvious arithmetical errors or ineligible costs prior to signing the contract. The description of the action is corrected accordingly if need be. </w:t>
      </w:r>
      <w:r>
        <w:rPr>
          <w:lang w:eastAsia="en-GB"/>
        </w:rPr>
        <w:t xml:space="preserve">Please note that the same applies when the grant takes form of single lump sum, but only to the costs included in the </w:t>
      </w:r>
      <w:r>
        <w:t>worksheet</w:t>
      </w:r>
      <w:r>
        <w:rPr>
          <w:lang w:eastAsia="en-GB"/>
        </w:rPr>
        <w:t xml:space="preserve">s “proposal design” of the budget template (Annex B). The budget annexed to the contract </w:t>
      </w:r>
      <w:r w:rsidRPr="00886FB9">
        <w:rPr>
          <w:lang w:eastAsia="en-GB"/>
        </w:rPr>
        <w:t xml:space="preserve">will consist only in </w:t>
      </w:r>
      <w:r>
        <w:t>worksheet</w:t>
      </w:r>
      <w:r w:rsidRPr="00886FB9">
        <w:rPr>
          <w:lang w:eastAsia="en-GB"/>
        </w:rPr>
        <w:t xml:space="preserve"> 2 </w:t>
      </w:r>
      <w:r>
        <w:rPr>
          <w:lang w:eastAsia="en-GB"/>
        </w:rPr>
        <w:t xml:space="preserve">(“consolidated budget”, with consolidated amounts per work packages). </w:t>
      </w:r>
      <w:r w:rsidRPr="00886FB9">
        <w:rPr>
          <w:lang w:eastAsia="en-GB"/>
        </w:rPr>
        <w:t xml:space="preserve">and </w:t>
      </w:r>
      <w:r>
        <w:t>worksheet</w:t>
      </w:r>
      <w:r w:rsidRPr="00886FB9">
        <w:rPr>
          <w:lang w:eastAsia="en-GB"/>
        </w:rPr>
        <w:t xml:space="preserve"> 3 </w:t>
      </w:r>
      <w:r>
        <w:rPr>
          <w:lang w:eastAsia="en-GB"/>
        </w:rPr>
        <w:t xml:space="preserve">(“expected sources of funding”) </w:t>
      </w:r>
      <w:r w:rsidRPr="00886FB9">
        <w:rPr>
          <w:lang w:eastAsia="en-GB"/>
        </w:rPr>
        <w:t xml:space="preserve">of </w:t>
      </w:r>
      <w:r>
        <w:rPr>
          <w:lang w:eastAsia="en-GB"/>
        </w:rPr>
        <w:t>Annex B.</w:t>
      </w:r>
    </w:p>
    <w:p w14:paraId="31039D19" w14:textId="77777777" w:rsidR="00882D9A" w:rsidRDefault="00882D9A" w:rsidP="00882D9A">
      <w:pPr>
        <w:pStyle w:val="Zkladntext"/>
        <w:spacing w:before="119" w:line="242" w:lineRule="auto"/>
        <w:ind w:right="399"/>
      </w:pPr>
      <w:r>
        <w:t>The contracting authority may decide that other clarifications or minor corrections may be made to the description of the action or to the budget in so far as they do not call into question the grant award decision, do not conflict with equal treatment of applicants, and:</w:t>
      </w:r>
    </w:p>
    <w:p w14:paraId="72AEA67D" w14:textId="77777777" w:rsidR="00882D9A" w:rsidRDefault="00882D9A" w:rsidP="00816803">
      <w:pPr>
        <w:pStyle w:val="Odstavecseseznamem"/>
        <w:widowControl w:val="0"/>
        <w:numPr>
          <w:ilvl w:val="0"/>
          <w:numId w:val="30"/>
        </w:numPr>
        <w:tabs>
          <w:tab w:val="left" w:pos="920"/>
        </w:tabs>
        <w:autoSpaceDE w:val="0"/>
        <w:autoSpaceDN w:val="0"/>
        <w:spacing w:before="113" w:after="0"/>
        <w:ind w:left="920" w:hanging="359"/>
      </w:pPr>
      <w:r>
        <w:t>relate</w:t>
      </w:r>
      <w:r>
        <w:rPr>
          <w:spacing w:val="-5"/>
        </w:rPr>
        <w:t xml:space="preserve"> </w:t>
      </w:r>
      <w:r>
        <w:t>to</w:t>
      </w:r>
      <w:r>
        <w:rPr>
          <w:spacing w:val="-6"/>
        </w:rPr>
        <w:t xml:space="preserve"> </w:t>
      </w:r>
      <w:r>
        <w:t>matters</w:t>
      </w:r>
      <w:r>
        <w:rPr>
          <w:spacing w:val="-5"/>
        </w:rPr>
        <w:t xml:space="preserve"> </w:t>
      </w:r>
      <w:r>
        <w:t>clearly</w:t>
      </w:r>
      <w:r>
        <w:rPr>
          <w:spacing w:val="-6"/>
        </w:rPr>
        <w:t xml:space="preserve"> </w:t>
      </w:r>
      <w:r>
        <w:t>identified</w:t>
      </w:r>
      <w:r>
        <w:rPr>
          <w:spacing w:val="-3"/>
        </w:rPr>
        <w:t xml:space="preserve"> </w:t>
      </w:r>
      <w:r>
        <w:t>by</w:t>
      </w:r>
      <w:r>
        <w:rPr>
          <w:spacing w:val="-5"/>
        </w:rPr>
        <w:t xml:space="preserve"> </w:t>
      </w:r>
      <w:r>
        <w:t>the</w:t>
      </w:r>
      <w:r>
        <w:rPr>
          <w:spacing w:val="-5"/>
        </w:rPr>
        <w:t xml:space="preserve"> </w:t>
      </w:r>
      <w:r>
        <w:t>evaluation</w:t>
      </w:r>
      <w:r>
        <w:rPr>
          <w:spacing w:val="-5"/>
        </w:rPr>
        <w:t xml:space="preserve"> </w:t>
      </w:r>
      <w:r>
        <w:t>committee;</w:t>
      </w:r>
      <w:r>
        <w:rPr>
          <w:spacing w:val="-2"/>
        </w:rPr>
        <w:t xml:space="preserve"> </w:t>
      </w:r>
      <w:r>
        <w:rPr>
          <w:spacing w:val="-5"/>
        </w:rPr>
        <w:t>or</w:t>
      </w:r>
    </w:p>
    <w:p w14:paraId="31360485" w14:textId="77777777" w:rsidR="00882D9A" w:rsidRDefault="00882D9A" w:rsidP="00816803">
      <w:pPr>
        <w:pStyle w:val="Odstavecseseznamem"/>
        <w:widowControl w:val="0"/>
        <w:numPr>
          <w:ilvl w:val="0"/>
          <w:numId w:val="30"/>
        </w:numPr>
        <w:tabs>
          <w:tab w:val="left" w:pos="920"/>
        </w:tabs>
        <w:autoSpaceDE w:val="0"/>
        <w:autoSpaceDN w:val="0"/>
        <w:spacing w:before="120" w:after="0"/>
        <w:ind w:left="920" w:hanging="359"/>
      </w:pPr>
      <w:r>
        <w:t>aim</w:t>
      </w:r>
      <w:r>
        <w:rPr>
          <w:spacing w:val="-4"/>
        </w:rPr>
        <w:t xml:space="preserve"> </w:t>
      </w:r>
      <w:r>
        <w:t>at</w:t>
      </w:r>
      <w:r>
        <w:rPr>
          <w:spacing w:val="-3"/>
        </w:rPr>
        <w:t xml:space="preserve"> </w:t>
      </w:r>
      <w:r>
        <w:t>taking</w:t>
      </w:r>
      <w:r>
        <w:rPr>
          <w:spacing w:val="-5"/>
        </w:rPr>
        <w:t xml:space="preserve"> </w:t>
      </w:r>
      <w:r>
        <w:t>into</w:t>
      </w:r>
      <w:r>
        <w:rPr>
          <w:spacing w:val="-3"/>
        </w:rPr>
        <w:t xml:space="preserve"> </w:t>
      </w:r>
      <w:r>
        <w:t>consideration</w:t>
      </w:r>
      <w:r>
        <w:rPr>
          <w:spacing w:val="-5"/>
        </w:rPr>
        <w:t xml:space="preserve"> </w:t>
      </w:r>
      <w:r>
        <w:t>changes</w:t>
      </w:r>
      <w:r>
        <w:rPr>
          <w:spacing w:val="-4"/>
        </w:rPr>
        <w:t xml:space="preserve"> </w:t>
      </w:r>
      <w:r>
        <w:t>that</w:t>
      </w:r>
      <w:r>
        <w:rPr>
          <w:spacing w:val="-2"/>
        </w:rPr>
        <w:t xml:space="preserve"> </w:t>
      </w:r>
      <w:r>
        <w:t>have</w:t>
      </w:r>
      <w:r>
        <w:rPr>
          <w:spacing w:val="-2"/>
        </w:rPr>
        <w:t xml:space="preserve"> </w:t>
      </w:r>
      <w:r>
        <w:t>occurred</w:t>
      </w:r>
      <w:r>
        <w:rPr>
          <w:spacing w:val="-4"/>
        </w:rPr>
        <w:t xml:space="preserve"> </w:t>
      </w:r>
      <w:r>
        <w:t>since</w:t>
      </w:r>
      <w:r>
        <w:rPr>
          <w:spacing w:val="-5"/>
        </w:rPr>
        <w:t xml:space="preserve"> </w:t>
      </w:r>
      <w:r>
        <w:t>the</w:t>
      </w:r>
      <w:r>
        <w:rPr>
          <w:spacing w:val="-2"/>
        </w:rPr>
        <w:t xml:space="preserve"> </w:t>
      </w:r>
      <w:r>
        <w:t>date</w:t>
      </w:r>
      <w:r>
        <w:rPr>
          <w:spacing w:val="-2"/>
        </w:rPr>
        <w:t xml:space="preserve"> </w:t>
      </w:r>
      <w:r>
        <w:t>of</w:t>
      </w:r>
      <w:r>
        <w:rPr>
          <w:spacing w:val="-5"/>
        </w:rPr>
        <w:t xml:space="preserve"> </w:t>
      </w:r>
      <w:r>
        <w:t>receipt</w:t>
      </w:r>
      <w:r>
        <w:rPr>
          <w:spacing w:val="-1"/>
        </w:rPr>
        <w:t xml:space="preserve"> </w:t>
      </w:r>
      <w:r>
        <w:t>of</w:t>
      </w:r>
      <w:r>
        <w:rPr>
          <w:spacing w:val="-4"/>
        </w:rPr>
        <w:t xml:space="preserve"> </w:t>
      </w:r>
      <w:r>
        <w:t>the</w:t>
      </w:r>
      <w:r>
        <w:rPr>
          <w:spacing w:val="-4"/>
        </w:rPr>
        <w:t xml:space="preserve"> </w:t>
      </w:r>
      <w:r>
        <w:rPr>
          <w:spacing w:val="-2"/>
        </w:rPr>
        <w:t>proposal.</w:t>
      </w:r>
    </w:p>
    <w:p w14:paraId="00582695" w14:textId="77777777" w:rsidR="00882D9A" w:rsidRDefault="00882D9A" w:rsidP="00882D9A">
      <w:pPr>
        <w:pStyle w:val="Zkladntext"/>
        <w:spacing w:before="118" w:line="242" w:lineRule="auto"/>
        <w:ind w:right="401"/>
      </w:pPr>
      <w:r>
        <w:t>These amendments cannot lead to an increase in either the amount of the grant or the percentage of the European Union contribution as set in the guidelines of the call for proposals. In this respect, records of the contacts with the applicants must be kept on the file.</w:t>
      </w:r>
    </w:p>
    <w:p w14:paraId="50CCC173" w14:textId="77777777" w:rsidR="00882D9A" w:rsidRDefault="00882D9A" w:rsidP="00882D9A">
      <w:pPr>
        <w:pStyle w:val="Zkladntext"/>
        <w:spacing w:before="112" w:line="242" w:lineRule="auto"/>
        <w:ind w:right="392"/>
      </w:pPr>
      <w:r>
        <w:t>In no case the conditions announced in the guidelines can be altered at this stage. Apart from the above- mentioned clarifications and/or corrections, any other alteration of the initial proposal or deviation from the award conditions laid down in the guidelines is strictly prohibited.</w:t>
      </w:r>
    </w:p>
    <w:p w14:paraId="5A262FC5" w14:textId="77777777" w:rsidR="00882D9A" w:rsidRDefault="00882D9A" w:rsidP="00882D9A">
      <w:pPr>
        <w:spacing w:before="117"/>
        <w:rPr>
          <w:b/>
        </w:rPr>
      </w:pPr>
      <w:r>
        <w:rPr>
          <w:b/>
        </w:rPr>
        <w:t>Any</w:t>
      </w:r>
      <w:r>
        <w:rPr>
          <w:b/>
          <w:spacing w:val="-6"/>
        </w:rPr>
        <w:t xml:space="preserve"> </w:t>
      </w:r>
      <w:r>
        <w:rPr>
          <w:b/>
        </w:rPr>
        <w:t>other</w:t>
      </w:r>
      <w:r>
        <w:rPr>
          <w:b/>
          <w:spacing w:val="-6"/>
        </w:rPr>
        <w:t xml:space="preserve"> </w:t>
      </w:r>
      <w:r>
        <w:rPr>
          <w:b/>
        </w:rPr>
        <w:t>alteration</w:t>
      </w:r>
      <w:r>
        <w:rPr>
          <w:b/>
          <w:spacing w:val="-3"/>
        </w:rPr>
        <w:t xml:space="preserve"> </w:t>
      </w:r>
      <w:r>
        <w:rPr>
          <w:b/>
        </w:rPr>
        <w:t>to</w:t>
      </w:r>
      <w:r>
        <w:rPr>
          <w:b/>
          <w:spacing w:val="-6"/>
        </w:rPr>
        <w:t xml:space="preserve"> </w:t>
      </w:r>
      <w:r>
        <w:rPr>
          <w:b/>
        </w:rPr>
        <w:t>the</w:t>
      </w:r>
      <w:r>
        <w:rPr>
          <w:b/>
          <w:spacing w:val="-3"/>
        </w:rPr>
        <w:t xml:space="preserve"> </w:t>
      </w:r>
      <w:r>
        <w:rPr>
          <w:b/>
        </w:rPr>
        <w:t>successful</w:t>
      </w:r>
      <w:r>
        <w:rPr>
          <w:b/>
          <w:spacing w:val="-6"/>
        </w:rPr>
        <w:t xml:space="preserve"> </w:t>
      </w:r>
      <w:r>
        <w:rPr>
          <w:b/>
        </w:rPr>
        <w:t>applicant’s</w:t>
      </w:r>
      <w:r>
        <w:rPr>
          <w:b/>
          <w:spacing w:val="-5"/>
        </w:rPr>
        <w:t xml:space="preserve"> </w:t>
      </w:r>
      <w:r>
        <w:rPr>
          <w:b/>
        </w:rPr>
        <w:t>proposal,</w:t>
      </w:r>
      <w:r>
        <w:rPr>
          <w:b/>
          <w:spacing w:val="-7"/>
        </w:rPr>
        <w:t xml:space="preserve"> </w:t>
      </w:r>
      <w:r>
        <w:rPr>
          <w:b/>
        </w:rPr>
        <w:t>or</w:t>
      </w:r>
      <w:r>
        <w:rPr>
          <w:b/>
          <w:spacing w:val="-3"/>
        </w:rPr>
        <w:t xml:space="preserve"> </w:t>
      </w:r>
      <w:r>
        <w:rPr>
          <w:b/>
        </w:rPr>
        <w:t>negotiation</w:t>
      </w:r>
      <w:r>
        <w:rPr>
          <w:b/>
          <w:spacing w:val="-4"/>
        </w:rPr>
        <w:t xml:space="preserve"> </w:t>
      </w:r>
      <w:r>
        <w:rPr>
          <w:b/>
        </w:rPr>
        <w:t>of</w:t>
      </w:r>
      <w:r>
        <w:rPr>
          <w:b/>
          <w:spacing w:val="-3"/>
        </w:rPr>
        <w:t xml:space="preserve"> </w:t>
      </w:r>
      <w:r>
        <w:rPr>
          <w:b/>
        </w:rPr>
        <w:t>it,</w:t>
      </w:r>
      <w:r>
        <w:rPr>
          <w:b/>
          <w:spacing w:val="-4"/>
        </w:rPr>
        <w:t xml:space="preserve"> </w:t>
      </w:r>
      <w:r>
        <w:rPr>
          <w:b/>
        </w:rPr>
        <w:t>is</w:t>
      </w:r>
      <w:r>
        <w:rPr>
          <w:b/>
          <w:spacing w:val="-3"/>
        </w:rPr>
        <w:t xml:space="preserve"> </w:t>
      </w:r>
      <w:r>
        <w:rPr>
          <w:b/>
          <w:spacing w:val="-2"/>
        </w:rPr>
        <w:t>prohibited.</w:t>
      </w:r>
    </w:p>
    <w:p w14:paraId="06037C60" w14:textId="77777777" w:rsidR="006210D6" w:rsidRPr="00C536CC" w:rsidRDefault="006210D6" w:rsidP="00816803">
      <w:pPr>
        <w:pStyle w:val="Guidelines2"/>
        <w:numPr>
          <w:ilvl w:val="1"/>
          <w:numId w:val="8"/>
        </w:numPr>
        <w:rPr>
          <w:lang w:val="en-IE"/>
        </w:rPr>
      </w:pPr>
      <w:bookmarkStart w:id="58" w:name="_Toc216688242"/>
      <w:r w:rsidRPr="006210D6">
        <w:lastRenderedPageBreak/>
        <w:t>Indicative timetable</w:t>
      </w:r>
      <w:bookmarkEnd w:id="58"/>
    </w:p>
    <w:p w14:paraId="4EC72041" w14:textId="77777777" w:rsidR="000E38CD" w:rsidRPr="00807DAF" w:rsidRDefault="000E38CD" w:rsidP="00C536CC">
      <w:pPr>
        <w:spacing w:after="120" w:line="240" w:lineRule="atLeast"/>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13435B" w:rsidRPr="00807DAF" w14:paraId="3E6201D8" w14:textId="77777777" w:rsidTr="008503BC">
        <w:tc>
          <w:tcPr>
            <w:tcW w:w="4678" w:type="dxa"/>
          </w:tcPr>
          <w:p w14:paraId="482D2BFD" w14:textId="77777777" w:rsidR="0013435B" w:rsidRPr="00807DAF" w:rsidRDefault="0013435B" w:rsidP="00C536CC">
            <w:pPr>
              <w:spacing w:after="120" w:line="240" w:lineRule="atLeast"/>
              <w:rPr>
                <w:szCs w:val="22"/>
              </w:rPr>
            </w:pPr>
          </w:p>
        </w:tc>
        <w:tc>
          <w:tcPr>
            <w:tcW w:w="2552" w:type="dxa"/>
            <w:shd w:val="pct10" w:color="auto" w:fill="FFFFFF"/>
          </w:tcPr>
          <w:p w14:paraId="07FD629A" w14:textId="77777777" w:rsidR="0013435B" w:rsidRPr="00807DAF" w:rsidRDefault="0013435B" w:rsidP="00C536CC">
            <w:pPr>
              <w:spacing w:after="120" w:line="240" w:lineRule="atLeast"/>
              <w:jc w:val="center"/>
              <w:rPr>
                <w:b/>
                <w:szCs w:val="22"/>
              </w:rPr>
            </w:pPr>
            <w:r w:rsidRPr="00807DAF">
              <w:rPr>
                <w:b/>
                <w:szCs w:val="22"/>
              </w:rPr>
              <w:t>DATE</w:t>
            </w:r>
          </w:p>
        </w:tc>
        <w:tc>
          <w:tcPr>
            <w:tcW w:w="2551" w:type="dxa"/>
            <w:shd w:val="pct10" w:color="auto" w:fill="FFFFFF"/>
          </w:tcPr>
          <w:p w14:paraId="1EBC71AF" w14:textId="77777777" w:rsidR="0013435B" w:rsidRPr="00807DAF" w:rsidRDefault="0013435B" w:rsidP="00C536CC">
            <w:pPr>
              <w:spacing w:after="120" w:line="240" w:lineRule="atLeast"/>
              <w:jc w:val="center"/>
              <w:rPr>
                <w:b/>
                <w:szCs w:val="22"/>
              </w:rPr>
            </w:pPr>
            <w:r w:rsidRPr="00807DAF">
              <w:rPr>
                <w:b/>
                <w:szCs w:val="22"/>
              </w:rPr>
              <w:t>TIME</w:t>
            </w:r>
          </w:p>
        </w:tc>
      </w:tr>
      <w:tr w:rsidR="0013435B" w:rsidRPr="00807DAF" w14:paraId="2B642CB0" w14:textId="77777777" w:rsidTr="008503BC">
        <w:tc>
          <w:tcPr>
            <w:tcW w:w="4678" w:type="dxa"/>
            <w:shd w:val="pct10" w:color="auto" w:fill="FFFFFF"/>
          </w:tcPr>
          <w:p w14:paraId="50ED88F2" w14:textId="77777777" w:rsidR="0013435B" w:rsidRPr="00807DAF" w:rsidRDefault="00273299" w:rsidP="00057A92">
            <w:pPr>
              <w:spacing w:after="120" w:line="240" w:lineRule="atLeast"/>
              <w:ind w:left="318" w:hanging="318"/>
              <w:jc w:val="left"/>
              <w:rPr>
                <w:b/>
                <w:szCs w:val="22"/>
              </w:rPr>
            </w:pPr>
            <w:r>
              <w:rPr>
                <w:b/>
                <w:szCs w:val="22"/>
              </w:rPr>
              <w:t>1.</w:t>
            </w:r>
            <w:r w:rsidR="001C4D3A">
              <w:rPr>
                <w:b/>
                <w:szCs w:val="22"/>
              </w:rPr>
              <w:tab/>
            </w:r>
            <w:r w:rsidR="0013435B" w:rsidRPr="00807DAF">
              <w:rPr>
                <w:b/>
                <w:szCs w:val="22"/>
              </w:rPr>
              <w:t>Information meeting (if any)</w:t>
            </w:r>
          </w:p>
        </w:tc>
        <w:tc>
          <w:tcPr>
            <w:tcW w:w="2552" w:type="dxa"/>
          </w:tcPr>
          <w:p w14:paraId="43AB7EB6" w14:textId="77777777" w:rsidR="0013435B" w:rsidRPr="00807DAF" w:rsidRDefault="00882D9A" w:rsidP="00C536CC">
            <w:pPr>
              <w:spacing w:after="120" w:line="240" w:lineRule="atLeast"/>
              <w:jc w:val="center"/>
              <w:rPr>
                <w:szCs w:val="22"/>
              </w:rPr>
            </w:pPr>
            <w:r>
              <w:rPr>
                <w:szCs w:val="22"/>
              </w:rPr>
              <w:t>20/01/2026</w:t>
            </w:r>
          </w:p>
        </w:tc>
        <w:tc>
          <w:tcPr>
            <w:tcW w:w="2551" w:type="dxa"/>
          </w:tcPr>
          <w:p w14:paraId="2528DAF2" w14:textId="77777777" w:rsidR="0013435B" w:rsidRPr="00807DAF" w:rsidRDefault="00882D9A" w:rsidP="00C536CC">
            <w:pPr>
              <w:spacing w:after="120" w:line="240" w:lineRule="atLeast"/>
              <w:jc w:val="center"/>
              <w:rPr>
                <w:szCs w:val="22"/>
              </w:rPr>
            </w:pPr>
            <w:r>
              <w:rPr>
                <w:szCs w:val="22"/>
              </w:rPr>
              <w:t>11:00</w:t>
            </w:r>
          </w:p>
        </w:tc>
      </w:tr>
      <w:tr w:rsidR="0013435B" w:rsidRPr="00807DAF" w14:paraId="3BE65993" w14:textId="77777777" w:rsidTr="006416C6">
        <w:tc>
          <w:tcPr>
            <w:tcW w:w="4678" w:type="dxa"/>
            <w:shd w:val="pct10" w:color="auto" w:fill="FFFFFF"/>
          </w:tcPr>
          <w:p w14:paraId="3D132D4F" w14:textId="77777777" w:rsidR="0013435B" w:rsidRPr="00807DAF" w:rsidRDefault="001C4D3A" w:rsidP="00057A92">
            <w:pPr>
              <w:spacing w:after="120" w:line="240" w:lineRule="atLeast"/>
              <w:ind w:left="318" w:hanging="284"/>
              <w:jc w:val="left"/>
              <w:rPr>
                <w:b/>
                <w:szCs w:val="22"/>
              </w:rPr>
            </w:pPr>
            <w:r>
              <w:rPr>
                <w:b/>
                <w:szCs w:val="22"/>
              </w:rPr>
              <w:t>2.</w:t>
            </w:r>
            <w:r>
              <w:rPr>
                <w:b/>
                <w:szCs w:val="22"/>
              </w:rPr>
              <w:tab/>
            </w:r>
            <w:r w:rsidR="0013435B" w:rsidRPr="00807DAF">
              <w:rPr>
                <w:b/>
                <w:szCs w:val="22"/>
              </w:rPr>
              <w:t>Deadline for request</w:t>
            </w:r>
            <w:r w:rsidR="009B7BB7" w:rsidRPr="00807DAF">
              <w:rPr>
                <w:b/>
                <w:szCs w:val="22"/>
              </w:rPr>
              <w:t>ing</w:t>
            </w:r>
            <w:r w:rsidR="0013435B" w:rsidRPr="00807DAF">
              <w:rPr>
                <w:b/>
                <w:szCs w:val="22"/>
              </w:rPr>
              <w:t xml:space="preserve"> any clarifications from the </w:t>
            </w:r>
            <w:r w:rsidR="00A33874">
              <w:rPr>
                <w:b/>
                <w:szCs w:val="22"/>
              </w:rPr>
              <w:t>c</w:t>
            </w:r>
            <w:r w:rsidR="0013435B" w:rsidRPr="00807DAF">
              <w:rPr>
                <w:b/>
                <w:szCs w:val="22"/>
              </w:rPr>
              <w:t xml:space="preserve">ontracting </w:t>
            </w:r>
            <w:r w:rsidR="00A33874">
              <w:rPr>
                <w:b/>
                <w:szCs w:val="22"/>
              </w:rPr>
              <w:t>a</w:t>
            </w:r>
            <w:r w:rsidR="0013435B" w:rsidRPr="00807DAF">
              <w:rPr>
                <w:b/>
                <w:szCs w:val="22"/>
              </w:rPr>
              <w:t>uthority</w:t>
            </w:r>
          </w:p>
        </w:tc>
        <w:tc>
          <w:tcPr>
            <w:tcW w:w="2552" w:type="dxa"/>
            <w:vAlign w:val="center"/>
          </w:tcPr>
          <w:p w14:paraId="23BE1395" w14:textId="77777777" w:rsidR="0013435B" w:rsidRPr="00807DAF" w:rsidRDefault="006416C6" w:rsidP="00C536CC">
            <w:pPr>
              <w:spacing w:after="120" w:line="240" w:lineRule="atLeast"/>
              <w:jc w:val="center"/>
              <w:rPr>
                <w:szCs w:val="22"/>
              </w:rPr>
            </w:pPr>
            <w:r>
              <w:rPr>
                <w:szCs w:val="22"/>
              </w:rPr>
              <w:t>24/02/2026</w:t>
            </w:r>
          </w:p>
        </w:tc>
        <w:tc>
          <w:tcPr>
            <w:tcW w:w="2551" w:type="dxa"/>
            <w:vAlign w:val="center"/>
          </w:tcPr>
          <w:p w14:paraId="4E01F379" w14:textId="77777777" w:rsidR="0013435B" w:rsidRPr="00807DAF" w:rsidRDefault="006416C6" w:rsidP="00C536CC">
            <w:pPr>
              <w:spacing w:after="120" w:line="240" w:lineRule="atLeast"/>
              <w:jc w:val="center"/>
              <w:rPr>
                <w:szCs w:val="22"/>
              </w:rPr>
            </w:pPr>
            <w:r>
              <w:rPr>
                <w:szCs w:val="22"/>
              </w:rPr>
              <w:t>12:00</w:t>
            </w:r>
          </w:p>
        </w:tc>
      </w:tr>
      <w:tr w:rsidR="0013435B" w:rsidRPr="00807DAF" w14:paraId="6AB0AB6B" w14:textId="77777777" w:rsidTr="00984331">
        <w:tc>
          <w:tcPr>
            <w:tcW w:w="4678" w:type="dxa"/>
            <w:shd w:val="pct10" w:color="auto" w:fill="FFFFFF"/>
          </w:tcPr>
          <w:p w14:paraId="0F073678" w14:textId="77777777" w:rsidR="0013435B" w:rsidRPr="00807DAF" w:rsidRDefault="001C4D3A" w:rsidP="00057A92">
            <w:pPr>
              <w:spacing w:after="120" w:line="240" w:lineRule="atLeast"/>
              <w:ind w:left="318" w:hanging="284"/>
              <w:jc w:val="left"/>
              <w:rPr>
                <w:b/>
                <w:szCs w:val="22"/>
              </w:rPr>
            </w:pPr>
            <w:r>
              <w:rPr>
                <w:b/>
                <w:szCs w:val="22"/>
              </w:rPr>
              <w:t>3.</w:t>
            </w:r>
            <w:r>
              <w:rPr>
                <w:b/>
                <w:szCs w:val="22"/>
              </w:rPr>
              <w:tab/>
            </w:r>
            <w:r w:rsidR="0013435B" w:rsidRPr="00807DAF">
              <w:rPr>
                <w:b/>
                <w:szCs w:val="22"/>
              </w:rPr>
              <w:t xml:space="preserve">Last date on which clarifications are issued by the </w:t>
            </w:r>
            <w:r w:rsidR="00A33874">
              <w:rPr>
                <w:b/>
                <w:szCs w:val="22"/>
              </w:rPr>
              <w:t>c</w:t>
            </w:r>
            <w:r w:rsidR="0013435B" w:rsidRPr="00807DAF">
              <w:rPr>
                <w:b/>
                <w:szCs w:val="22"/>
              </w:rPr>
              <w:t xml:space="preserve">ontracting </w:t>
            </w:r>
            <w:r w:rsidR="00A33874">
              <w:rPr>
                <w:b/>
                <w:szCs w:val="22"/>
              </w:rPr>
              <w:t>a</w:t>
            </w:r>
            <w:r w:rsidR="0013435B" w:rsidRPr="00807DAF">
              <w:rPr>
                <w:b/>
                <w:szCs w:val="22"/>
              </w:rPr>
              <w:t>uthority</w:t>
            </w:r>
          </w:p>
        </w:tc>
        <w:tc>
          <w:tcPr>
            <w:tcW w:w="2552" w:type="dxa"/>
          </w:tcPr>
          <w:p w14:paraId="22C159CF" w14:textId="77777777" w:rsidR="0013435B" w:rsidRPr="00807DAF" w:rsidRDefault="006416C6" w:rsidP="00C536CC">
            <w:pPr>
              <w:spacing w:after="120" w:line="240" w:lineRule="atLeast"/>
              <w:jc w:val="center"/>
              <w:rPr>
                <w:szCs w:val="22"/>
              </w:rPr>
            </w:pPr>
            <w:r>
              <w:rPr>
                <w:szCs w:val="22"/>
              </w:rPr>
              <w:t>05/03/2026</w:t>
            </w:r>
          </w:p>
        </w:tc>
        <w:tc>
          <w:tcPr>
            <w:tcW w:w="2551" w:type="dxa"/>
          </w:tcPr>
          <w:p w14:paraId="6E9F2739" w14:textId="77777777" w:rsidR="0013435B" w:rsidRPr="00807DAF" w:rsidRDefault="0013435B" w:rsidP="00C536CC">
            <w:pPr>
              <w:spacing w:after="120" w:line="240" w:lineRule="atLeast"/>
              <w:jc w:val="center"/>
              <w:rPr>
                <w:szCs w:val="22"/>
              </w:rPr>
            </w:pPr>
          </w:p>
        </w:tc>
      </w:tr>
      <w:tr w:rsidR="0013435B" w:rsidRPr="00807DAF" w14:paraId="40C01977" w14:textId="77777777" w:rsidTr="00984331">
        <w:tc>
          <w:tcPr>
            <w:tcW w:w="4678" w:type="dxa"/>
            <w:shd w:val="pct10" w:color="auto" w:fill="FFFFFF"/>
          </w:tcPr>
          <w:p w14:paraId="16AD0F80" w14:textId="77777777" w:rsidR="0013435B" w:rsidRPr="00807DAF" w:rsidRDefault="001C4D3A" w:rsidP="00057A92">
            <w:pPr>
              <w:spacing w:after="120" w:line="240" w:lineRule="atLeast"/>
              <w:ind w:left="318" w:hanging="284"/>
              <w:jc w:val="left"/>
              <w:rPr>
                <w:b/>
                <w:szCs w:val="22"/>
              </w:rPr>
            </w:pPr>
            <w:r>
              <w:rPr>
                <w:b/>
                <w:szCs w:val="22"/>
              </w:rPr>
              <w:t>4.</w:t>
            </w:r>
            <w:r>
              <w:rPr>
                <w:b/>
                <w:szCs w:val="22"/>
              </w:rPr>
              <w:tab/>
            </w:r>
            <w:r w:rsidR="0013435B" w:rsidRPr="00807DAF">
              <w:rPr>
                <w:b/>
                <w:szCs w:val="22"/>
              </w:rPr>
              <w:t xml:space="preserve">Deadline for submission of </w:t>
            </w:r>
            <w:r w:rsidR="00F65B55" w:rsidRPr="006769D7">
              <w:rPr>
                <w:b/>
                <w:szCs w:val="22"/>
              </w:rPr>
              <w:t>a</w:t>
            </w:r>
            <w:r w:rsidR="00622381" w:rsidRPr="006769D7">
              <w:rPr>
                <w:b/>
                <w:szCs w:val="22"/>
              </w:rPr>
              <w:t>pplication</w:t>
            </w:r>
            <w:r w:rsidR="00F65B55" w:rsidRPr="006769D7">
              <w:rPr>
                <w:b/>
                <w:szCs w:val="22"/>
              </w:rPr>
              <w:t>s</w:t>
            </w:r>
          </w:p>
        </w:tc>
        <w:tc>
          <w:tcPr>
            <w:tcW w:w="2552" w:type="dxa"/>
          </w:tcPr>
          <w:p w14:paraId="08385CFF" w14:textId="77777777" w:rsidR="0013435B" w:rsidRPr="00807DAF" w:rsidRDefault="006416C6" w:rsidP="00C536CC">
            <w:pPr>
              <w:spacing w:after="120" w:line="240" w:lineRule="atLeast"/>
              <w:jc w:val="center"/>
              <w:rPr>
                <w:szCs w:val="22"/>
              </w:rPr>
            </w:pPr>
            <w:r>
              <w:rPr>
                <w:szCs w:val="22"/>
              </w:rPr>
              <w:t>16/03/2026</w:t>
            </w:r>
          </w:p>
        </w:tc>
        <w:tc>
          <w:tcPr>
            <w:tcW w:w="2551" w:type="dxa"/>
          </w:tcPr>
          <w:p w14:paraId="75545EA7" w14:textId="77777777" w:rsidR="0013435B" w:rsidRPr="00807DAF" w:rsidRDefault="006416C6" w:rsidP="00C536CC">
            <w:pPr>
              <w:spacing w:after="120" w:line="240" w:lineRule="atLeast"/>
              <w:jc w:val="center"/>
              <w:rPr>
                <w:szCs w:val="22"/>
              </w:rPr>
            </w:pPr>
            <w:r>
              <w:rPr>
                <w:szCs w:val="22"/>
              </w:rPr>
              <w:t>12:00</w:t>
            </w:r>
          </w:p>
        </w:tc>
      </w:tr>
      <w:tr w:rsidR="00622381" w:rsidRPr="00807DAF" w14:paraId="0DECC531" w14:textId="77777777" w:rsidTr="00984331">
        <w:tc>
          <w:tcPr>
            <w:tcW w:w="4678" w:type="dxa"/>
            <w:shd w:val="pct10" w:color="auto" w:fill="FFFFFF"/>
          </w:tcPr>
          <w:p w14:paraId="249DBA2E" w14:textId="77777777" w:rsidR="00622381" w:rsidRPr="00807DAF" w:rsidRDefault="001C4D3A" w:rsidP="00057A92">
            <w:pPr>
              <w:spacing w:after="120" w:line="240" w:lineRule="atLeast"/>
              <w:ind w:left="318" w:hanging="284"/>
              <w:jc w:val="left"/>
              <w:rPr>
                <w:b/>
                <w:szCs w:val="22"/>
              </w:rPr>
            </w:pPr>
            <w:r>
              <w:rPr>
                <w:b/>
                <w:szCs w:val="22"/>
              </w:rPr>
              <w:t>5.</w:t>
            </w:r>
            <w:r>
              <w:rPr>
                <w:b/>
                <w:szCs w:val="22"/>
              </w:rPr>
              <w:tab/>
            </w:r>
            <w:r w:rsidR="00622381" w:rsidRPr="00807DAF">
              <w:rPr>
                <w:b/>
                <w:szCs w:val="22"/>
              </w:rPr>
              <w:t xml:space="preserve">Information to </w:t>
            </w:r>
            <w:r w:rsidR="00504963">
              <w:rPr>
                <w:b/>
                <w:szCs w:val="22"/>
              </w:rPr>
              <w:t>lead a</w:t>
            </w:r>
            <w:r w:rsidR="00622381" w:rsidRPr="00807DAF">
              <w:rPr>
                <w:b/>
                <w:szCs w:val="22"/>
              </w:rPr>
              <w:t>pplicants on</w:t>
            </w:r>
            <w:r w:rsidR="009B7BB7" w:rsidRPr="00807DAF">
              <w:rPr>
                <w:b/>
                <w:szCs w:val="22"/>
              </w:rPr>
              <w:t xml:space="preserve"> </w:t>
            </w:r>
            <w:r w:rsidR="003743F9" w:rsidRPr="00807DAF">
              <w:rPr>
                <w:b/>
                <w:szCs w:val="22"/>
              </w:rPr>
              <w:t>administrative check</w:t>
            </w:r>
            <w:r w:rsidR="00584247" w:rsidRPr="00807DAF">
              <w:rPr>
                <w:b/>
                <w:szCs w:val="22"/>
              </w:rPr>
              <w:t>s</w:t>
            </w:r>
            <w:r w:rsidR="003743F9" w:rsidRPr="00807DAF">
              <w:rPr>
                <w:b/>
                <w:szCs w:val="22"/>
              </w:rPr>
              <w:t xml:space="preserve"> and </w:t>
            </w:r>
            <w:r w:rsidR="005A61AA" w:rsidRPr="00807DAF">
              <w:rPr>
                <w:b/>
                <w:szCs w:val="22"/>
              </w:rPr>
              <w:t xml:space="preserve">concept note </w:t>
            </w:r>
            <w:r w:rsidR="00622381" w:rsidRPr="00807DAF">
              <w:rPr>
                <w:b/>
                <w:szCs w:val="22"/>
              </w:rPr>
              <w:t>evaluation</w:t>
            </w:r>
            <w:r w:rsidR="00E708CB" w:rsidRPr="00807DAF">
              <w:rPr>
                <w:b/>
                <w:szCs w:val="22"/>
              </w:rPr>
              <w:t xml:space="preserve"> (</w:t>
            </w:r>
            <w:r w:rsidR="009B7BB7" w:rsidRPr="00807DAF">
              <w:rPr>
                <w:b/>
                <w:szCs w:val="22"/>
              </w:rPr>
              <w:t>S</w:t>
            </w:r>
            <w:r w:rsidR="00E708CB" w:rsidRPr="00807DAF">
              <w:rPr>
                <w:b/>
                <w:szCs w:val="22"/>
              </w:rPr>
              <w:t xml:space="preserve">tep </w:t>
            </w:r>
            <w:r w:rsidR="003743F9" w:rsidRPr="00807DAF">
              <w:rPr>
                <w:b/>
                <w:szCs w:val="22"/>
              </w:rPr>
              <w:t>1</w:t>
            </w:r>
            <w:r w:rsidR="00E708CB" w:rsidRPr="00807DAF">
              <w:rPr>
                <w:b/>
                <w:szCs w:val="22"/>
              </w:rPr>
              <w:t>)</w:t>
            </w:r>
          </w:p>
        </w:tc>
        <w:tc>
          <w:tcPr>
            <w:tcW w:w="2552" w:type="dxa"/>
          </w:tcPr>
          <w:p w14:paraId="51FC4948" w14:textId="77777777" w:rsidR="00622381" w:rsidRPr="00807DAF" w:rsidRDefault="0028452D" w:rsidP="00C536CC">
            <w:pPr>
              <w:spacing w:after="120" w:line="240" w:lineRule="atLeast"/>
              <w:jc w:val="center"/>
              <w:rPr>
                <w:szCs w:val="22"/>
              </w:rPr>
            </w:pPr>
            <w:r>
              <w:rPr>
                <w:szCs w:val="22"/>
              </w:rPr>
              <w:t>16/05/2026</w:t>
            </w:r>
          </w:p>
        </w:tc>
        <w:tc>
          <w:tcPr>
            <w:tcW w:w="2551" w:type="dxa"/>
          </w:tcPr>
          <w:p w14:paraId="56942F70" w14:textId="77777777" w:rsidR="00622381" w:rsidRPr="00807DAF" w:rsidRDefault="0028452D" w:rsidP="00C536CC">
            <w:pPr>
              <w:spacing w:after="120" w:line="240" w:lineRule="atLeast"/>
              <w:jc w:val="center"/>
              <w:rPr>
                <w:szCs w:val="22"/>
              </w:rPr>
            </w:pPr>
            <w:r>
              <w:rPr>
                <w:szCs w:val="22"/>
              </w:rPr>
              <w:t>-</w:t>
            </w:r>
          </w:p>
        </w:tc>
      </w:tr>
      <w:tr w:rsidR="00415248" w:rsidRPr="00807DAF" w14:paraId="414DA708" w14:textId="77777777" w:rsidTr="00984331">
        <w:tc>
          <w:tcPr>
            <w:tcW w:w="4678" w:type="dxa"/>
            <w:shd w:val="pct10" w:color="auto" w:fill="FFFFFF"/>
          </w:tcPr>
          <w:p w14:paraId="4F5592AF" w14:textId="77777777" w:rsidR="00415248" w:rsidRPr="00807DAF" w:rsidRDefault="00234D00" w:rsidP="00057A92">
            <w:pPr>
              <w:spacing w:after="120" w:line="240" w:lineRule="atLeast"/>
              <w:ind w:left="318" w:hanging="284"/>
              <w:jc w:val="left"/>
              <w:rPr>
                <w:b/>
                <w:szCs w:val="22"/>
              </w:rPr>
            </w:pPr>
            <w:r>
              <w:rPr>
                <w:b/>
                <w:szCs w:val="22"/>
              </w:rPr>
              <w:t>6</w:t>
            </w:r>
            <w:r w:rsidR="001C4D3A">
              <w:rPr>
                <w:b/>
                <w:szCs w:val="22"/>
              </w:rPr>
              <w:t>.</w:t>
            </w:r>
            <w:r w:rsidR="001C4D3A">
              <w:rPr>
                <w:b/>
                <w:szCs w:val="22"/>
              </w:rPr>
              <w:tab/>
            </w:r>
            <w:r w:rsidR="00415248" w:rsidRPr="00807DAF">
              <w:rPr>
                <w:b/>
                <w:szCs w:val="22"/>
              </w:rPr>
              <w:t xml:space="preserve">Notification of </w:t>
            </w:r>
            <w:r w:rsidR="008E2C29">
              <w:rPr>
                <w:b/>
                <w:szCs w:val="22"/>
              </w:rPr>
              <w:t>the contracting authority decision</w:t>
            </w:r>
          </w:p>
        </w:tc>
        <w:tc>
          <w:tcPr>
            <w:tcW w:w="2552" w:type="dxa"/>
          </w:tcPr>
          <w:p w14:paraId="20E93205" w14:textId="77777777" w:rsidR="00415248" w:rsidRPr="00807DAF" w:rsidRDefault="0028452D" w:rsidP="00C536CC">
            <w:pPr>
              <w:spacing w:after="120" w:line="240" w:lineRule="atLeast"/>
              <w:jc w:val="center"/>
              <w:rPr>
                <w:szCs w:val="22"/>
              </w:rPr>
            </w:pPr>
            <w:r>
              <w:rPr>
                <w:szCs w:val="22"/>
              </w:rPr>
              <w:t>31/07/2026</w:t>
            </w:r>
          </w:p>
        </w:tc>
        <w:tc>
          <w:tcPr>
            <w:tcW w:w="2551" w:type="dxa"/>
          </w:tcPr>
          <w:p w14:paraId="2D30B99E" w14:textId="77777777" w:rsidR="00415248" w:rsidRPr="00807DAF" w:rsidRDefault="0028452D" w:rsidP="00C536CC">
            <w:pPr>
              <w:spacing w:after="120" w:line="240" w:lineRule="atLeast"/>
              <w:jc w:val="center"/>
              <w:rPr>
                <w:szCs w:val="22"/>
              </w:rPr>
            </w:pPr>
            <w:r>
              <w:rPr>
                <w:szCs w:val="22"/>
              </w:rPr>
              <w:t>-</w:t>
            </w:r>
          </w:p>
        </w:tc>
      </w:tr>
      <w:tr w:rsidR="00415248" w:rsidRPr="00807DAF" w14:paraId="41D97213" w14:textId="77777777" w:rsidTr="00984331">
        <w:tc>
          <w:tcPr>
            <w:tcW w:w="4678" w:type="dxa"/>
            <w:shd w:val="pct10" w:color="auto" w:fill="FFFFFF"/>
          </w:tcPr>
          <w:p w14:paraId="5B0DC66E" w14:textId="77777777" w:rsidR="00415248" w:rsidRPr="00807DAF" w:rsidRDefault="00667094" w:rsidP="00057A92">
            <w:pPr>
              <w:spacing w:after="120" w:line="240" w:lineRule="atLeast"/>
              <w:ind w:left="318" w:hanging="284"/>
              <w:jc w:val="left"/>
              <w:rPr>
                <w:b/>
                <w:szCs w:val="22"/>
              </w:rPr>
            </w:pPr>
            <w:r>
              <w:rPr>
                <w:b/>
                <w:szCs w:val="22"/>
              </w:rPr>
              <w:t>7</w:t>
            </w:r>
            <w:r w:rsidR="001C4D3A">
              <w:rPr>
                <w:b/>
                <w:szCs w:val="22"/>
              </w:rPr>
              <w:t>.</w:t>
            </w:r>
            <w:r w:rsidR="001C4D3A">
              <w:rPr>
                <w:b/>
                <w:szCs w:val="22"/>
              </w:rPr>
              <w:tab/>
            </w:r>
            <w:r w:rsidR="00415248" w:rsidRPr="00807DAF">
              <w:rPr>
                <w:b/>
                <w:szCs w:val="22"/>
              </w:rPr>
              <w:t>Contract signature</w:t>
            </w:r>
          </w:p>
        </w:tc>
        <w:tc>
          <w:tcPr>
            <w:tcW w:w="2552" w:type="dxa"/>
          </w:tcPr>
          <w:p w14:paraId="3A8252B6" w14:textId="77777777" w:rsidR="00415248" w:rsidRPr="00807DAF" w:rsidRDefault="0028452D" w:rsidP="00C536CC">
            <w:pPr>
              <w:spacing w:after="120" w:line="240" w:lineRule="atLeast"/>
              <w:jc w:val="center"/>
              <w:rPr>
                <w:szCs w:val="22"/>
              </w:rPr>
            </w:pPr>
            <w:r>
              <w:rPr>
                <w:szCs w:val="22"/>
              </w:rPr>
              <w:t>31/12/22026</w:t>
            </w:r>
          </w:p>
        </w:tc>
        <w:tc>
          <w:tcPr>
            <w:tcW w:w="2551" w:type="dxa"/>
          </w:tcPr>
          <w:p w14:paraId="34ABE769" w14:textId="77777777" w:rsidR="00415248" w:rsidRPr="00807DAF" w:rsidRDefault="00415248" w:rsidP="00C536CC">
            <w:pPr>
              <w:spacing w:after="120" w:line="240" w:lineRule="atLeast"/>
              <w:jc w:val="center"/>
              <w:rPr>
                <w:szCs w:val="22"/>
              </w:rPr>
            </w:pPr>
            <w:r w:rsidRPr="00807DAF">
              <w:rPr>
                <w:szCs w:val="22"/>
              </w:rPr>
              <w:t>-</w:t>
            </w:r>
          </w:p>
        </w:tc>
      </w:tr>
    </w:tbl>
    <w:p w14:paraId="4DFA0EF4" w14:textId="77777777" w:rsidR="00317A9B" w:rsidRDefault="00317A9B" w:rsidP="00317A9B">
      <w:pPr>
        <w:pStyle w:val="Zkladntext"/>
        <w:spacing w:before="26"/>
      </w:pPr>
      <w:bookmarkStart w:id="59" w:name="_Hlk163815879"/>
      <w:bookmarkStart w:id="60" w:name="_Toc40507655"/>
      <w:bookmarkStart w:id="61" w:name="_Toc519003424"/>
      <w:r>
        <w:t>Times are indicated in Brussels time zone.</w:t>
      </w:r>
    </w:p>
    <w:p w14:paraId="0D1C8E7F" w14:textId="77777777" w:rsidR="00317A9B" w:rsidRDefault="00317A9B" w:rsidP="00317A9B">
      <w:pPr>
        <w:pStyle w:val="Zkladntext"/>
        <w:spacing w:before="117"/>
        <w:ind w:right="389"/>
      </w:pPr>
      <w:r>
        <w:t>This indicative timetable refers to provisional dates (except for dates 2, 3, and 4) and may be updated by the contracting authority during the procedure. In such cases, the updated timetable will be published on</w:t>
      </w:r>
      <w:r>
        <w:rPr>
          <w:spacing w:val="-2"/>
        </w:rPr>
        <w:t xml:space="preserve"> </w:t>
      </w:r>
      <w:r>
        <w:t>the web site where the call was published: website of DG International Partnerships</w:t>
      </w:r>
      <w:r>
        <w:rPr>
          <w:spacing w:val="80"/>
        </w:rPr>
        <w:t xml:space="preserve"> </w:t>
      </w:r>
      <w:hyperlink r:id="rId35">
        <w:r>
          <w:rPr>
            <w:color w:val="0000FF"/>
            <w:u w:val="single" w:color="0000FF"/>
          </w:rPr>
          <w:t>https://ec.europa.eu/international-partnerships/home_fr</w:t>
        </w:r>
      </w:hyperlink>
      <w:r>
        <w:rPr>
          <w:color w:val="0000FF"/>
          <w:u w:val="single" w:color="0000FF"/>
        </w:rPr>
        <w:t xml:space="preserve"> and/</w:t>
      </w:r>
      <w:r>
        <w:t xml:space="preserve">or Funding &amp; Tender opportunities (F&amp;T Portal) </w:t>
      </w:r>
      <w:hyperlink r:id="rId36">
        <w:r>
          <w:rPr>
            <w:color w:val="0000FF"/>
            <w:spacing w:val="-2"/>
            <w:u w:val="single" w:color="0000FF"/>
          </w:rPr>
          <w:t>https://ec.europa.eu/info/funding-tenders/opportunities/portal/screen/home</w:t>
        </w:r>
      </w:hyperlink>
    </w:p>
    <w:p w14:paraId="1B93482D" w14:textId="77777777" w:rsidR="006210D6" w:rsidRDefault="006210D6" w:rsidP="00816803">
      <w:pPr>
        <w:pStyle w:val="Guidelines2"/>
        <w:numPr>
          <w:ilvl w:val="1"/>
          <w:numId w:val="8"/>
        </w:numPr>
      </w:pPr>
      <w:bookmarkStart w:id="62" w:name="_Toc216688243"/>
      <w:r w:rsidRPr="006210D6">
        <w:t>Early detection and exclusion system</w:t>
      </w:r>
      <w:bookmarkEnd w:id="62"/>
    </w:p>
    <w:p w14:paraId="7C449600" w14:textId="77777777" w:rsidR="00317A9B" w:rsidRDefault="00317A9B" w:rsidP="00317A9B">
      <w:pPr>
        <w:pStyle w:val="Zkladntext"/>
        <w:spacing w:before="119"/>
        <w:ind w:right="390"/>
      </w:pPr>
      <w:bookmarkStart w:id="63" w:name="_Toc40507656"/>
      <w:bookmarkEnd w:id="59"/>
      <w:bookmarkEnd w:id="60"/>
      <w:bookmarkEnd w:id="61"/>
      <w:r>
        <w:t>Applicants and, if they are legal entities, persons who have powers of representation, decision-making or control over them, natural or legal person that assumes unlimited liability for the debts, natural or legal person who</w:t>
      </w:r>
      <w:r>
        <w:rPr>
          <w:spacing w:val="-1"/>
        </w:rPr>
        <w:t xml:space="preserve"> </w:t>
      </w:r>
      <w:r>
        <w:t>is</w:t>
      </w:r>
      <w:r>
        <w:rPr>
          <w:spacing w:val="-1"/>
        </w:rPr>
        <w:t xml:space="preserve"> </w:t>
      </w:r>
      <w:r>
        <w:t>essential for</w:t>
      </w:r>
      <w:r>
        <w:rPr>
          <w:spacing w:val="-1"/>
        </w:rPr>
        <w:t xml:space="preserve"> </w:t>
      </w:r>
      <w:r>
        <w:t>the</w:t>
      </w:r>
      <w:r>
        <w:rPr>
          <w:spacing w:val="-1"/>
        </w:rPr>
        <w:t xml:space="preserve"> </w:t>
      </w:r>
      <w:r>
        <w:t>award</w:t>
      </w:r>
      <w:r>
        <w:rPr>
          <w:spacing w:val="-2"/>
        </w:rPr>
        <w:t xml:space="preserve"> </w:t>
      </w:r>
      <w:r>
        <w:t>or</w:t>
      </w:r>
      <w:r>
        <w:rPr>
          <w:spacing w:val="-1"/>
        </w:rPr>
        <w:t xml:space="preserve"> </w:t>
      </w:r>
      <w:r>
        <w:t>for the</w:t>
      </w:r>
      <w:r>
        <w:rPr>
          <w:spacing w:val="-1"/>
        </w:rPr>
        <w:t xml:space="preserve"> </w:t>
      </w:r>
      <w:r>
        <w:t>implementation</w:t>
      </w:r>
      <w:r>
        <w:rPr>
          <w:spacing w:val="-2"/>
        </w:rPr>
        <w:t xml:space="preserve"> </w:t>
      </w:r>
      <w:r>
        <w:t>of</w:t>
      </w:r>
      <w:r>
        <w:rPr>
          <w:spacing w:val="-1"/>
        </w:rPr>
        <w:t xml:space="preserve"> </w:t>
      </w:r>
      <w:r>
        <w:t>the legal commitment, beneficial owner</w:t>
      </w:r>
      <w:r>
        <w:rPr>
          <w:spacing w:val="-1"/>
        </w:rPr>
        <w:t xml:space="preserve"> </w:t>
      </w:r>
      <w:r>
        <w:t>or any affiliate of the applicant, are informed that, should they be in one of the situations of early detection or exclusion, their personal details (name, given name if natural person, address, legal form) may be registered in the early detection and exclusion system, and communicated to the persons and entities concerned in relation to the award or the execution of a grant contract.</w:t>
      </w:r>
    </w:p>
    <w:p w14:paraId="6E3B6BEB" w14:textId="77777777" w:rsidR="000F4652" w:rsidRDefault="00317A9B" w:rsidP="00317A9B">
      <w:pPr>
        <w:pStyle w:val="Zkladntext"/>
        <w:ind w:right="398"/>
      </w:pPr>
      <w:r>
        <w:t xml:space="preserve">For more information, you may consult the privacy statement available on </w:t>
      </w:r>
      <w:hyperlink r:id="rId37">
        <w:r>
          <w:rPr>
            <w:color w:val="0000FF"/>
            <w:spacing w:val="-2"/>
            <w:u w:val="single" w:color="0000FF"/>
          </w:rPr>
          <w:t>http://ec.europa.eu/budget/explained/management/protecting/protect_en.cfm</w:t>
        </w:r>
      </w:hyperlink>
    </w:p>
    <w:p w14:paraId="78A80231" w14:textId="77777777" w:rsidR="0007408E" w:rsidRPr="00807DAF" w:rsidRDefault="000F4652" w:rsidP="00816803">
      <w:pPr>
        <w:pStyle w:val="Guidelines1"/>
        <w:numPr>
          <w:ilvl w:val="0"/>
          <w:numId w:val="8"/>
        </w:numPr>
      </w:pPr>
      <w:r>
        <w:br w:type="page"/>
      </w:r>
      <w:bookmarkStart w:id="64" w:name="_Toc216688244"/>
      <w:r w:rsidR="0007408E" w:rsidRPr="00807DAF">
        <w:lastRenderedPageBreak/>
        <w:t>LIST OF annexes</w:t>
      </w:r>
      <w:bookmarkEnd w:id="63"/>
      <w:bookmarkEnd w:id="64"/>
    </w:p>
    <w:p w14:paraId="6068FA53" w14:textId="77777777" w:rsidR="00112E4F" w:rsidRPr="00807DAF" w:rsidRDefault="00112E4F" w:rsidP="00C536CC">
      <w:pPr>
        <w:spacing w:after="120" w:line="240" w:lineRule="atLeast"/>
        <w:rPr>
          <w:b/>
          <w:smallCaps/>
        </w:rPr>
      </w:pPr>
      <w:bookmarkStart w:id="65" w:name="_Toc40507657"/>
      <w:r w:rsidRPr="00807DAF">
        <w:rPr>
          <w:b/>
          <w:smallCaps/>
        </w:rPr>
        <w:t>D</w:t>
      </w:r>
      <w:r w:rsidR="00600738" w:rsidRPr="00807DAF">
        <w:rPr>
          <w:b/>
          <w:smallCaps/>
        </w:rPr>
        <w:t>ocuments to</w:t>
      </w:r>
      <w:r w:rsidRPr="00807DAF">
        <w:rPr>
          <w:b/>
          <w:smallCaps/>
        </w:rPr>
        <w:t xml:space="preserve"> </w:t>
      </w:r>
      <w:r w:rsidR="00E708CB" w:rsidRPr="00807DAF">
        <w:rPr>
          <w:b/>
          <w:smallCaps/>
        </w:rPr>
        <w:t>be completed</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7718"/>
      </w:tblGrid>
      <w:tr w:rsidR="006210D6" w14:paraId="0D31C771" w14:textId="77777777" w:rsidTr="00F91AE3">
        <w:tc>
          <w:tcPr>
            <w:tcW w:w="1843" w:type="dxa"/>
          </w:tcPr>
          <w:p w14:paraId="36582AFA" w14:textId="77777777" w:rsidR="006210D6" w:rsidRPr="00F87029" w:rsidRDefault="006210D6" w:rsidP="00F91AE3">
            <w:pPr>
              <w:spacing w:after="120" w:line="240" w:lineRule="atLeast"/>
              <w:rPr>
                <w:sz w:val="20"/>
              </w:rPr>
            </w:pPr>
            <w:bookmarkStart w:id="66" w:name="_Hlk163815901"/>
            <w:r w:rsidRPr="00F87029">
              <w:rPr>
                <w:sz w:val="20"/>
              </w:rPr>
              <w:t>Annex A</w:t>
            </w:r>
          </w:p>
        </w:tc>
        <w:tc>
          <w:tcPr>
            <w:tcW w:w="7903" w:type="dxa"/>
          </w:tcPr>
          <w:p w14:paraId="6F759714" w14:textId="77777777" w:rsidR="006210D6" w:rsidRPr="00F87029" w:rsidRDefault="006210D6" w:rsidP="00F91AE3">
            <w:pPr>
              <w:spacing w:after="120" w:line="240" w:lineRule="atLeast"/>
              <w:rPr>
                <w:sz w:val="20"/>
              </w:rPr>
            </w:pPr>
            <w:r w:rsidRPr="00F87029">
              <w:rPr>
                <w:sz w:val="20"/>
              </w:rPr>
              <w:t>Grant application form (Word format)</w:t>
            </w:r>
          </w:p>
        </w:tc>
      </w:tr>
      <w:tr w:rsidR="006210D6" w14:paraId="644B1654" w14:textId="77777777" w:rsidTr="00F91AE3">
        <w:tc>
          <w:tcPr>
            <w:tcW w:w="1843" w:type="dxa"/>
          </w:tcPr>
          <w:p w14:paraId="49BCE030" w14:textId="77777777" w:rsidR="006210D6" w:rsidRPr="00F87029" w:rsidRDefault="006210D6" w:rsidP="00F91AE3">
            <w:pPr>
              <w:spacing w:after="120" w:line="240" w:lineRule="atLeast"/>
              <w:ind w:left="171"/>
              <w:rPr>
                <w:sz w:val="20"/>
              </w:rPr>
            </w:pPr>
            <w:r w:rsidRPr="00F87029">
              <w:rPr>
                <w:sz w:val="20"/>
              </w:rPr>
              <w:t>A.1</w:t>
            </w:r>
          </w:p>
        </w:tc>
        <w:tc>
          <w:tcPr>
            <w:tcW w:w="7903" w:type="dxa"/>
          </w:tcPr>
          <w:p w14:paraId="6DF17CBB" w14:textId="77777777" w:rsidR="006210D6" w:rsidRPr="00F87029" w:rsidRDefault="006210D6" w:rsidP="00F91AE3">
            <w:pPr>
              <w:spacing w:after="120" w:line="240" w:lineRule="atLeast"/>
              <w:ind w:left="315"/>
              <w:rPr>
                <w:sz w:val="20"/>
              </w:rPr>
            </w:pPr>
            <w:r w:rsidRPr="00F87029">
              <w:rPr>
                <w:sz w:val="20"/>
              </w:rPr>
              <w:t>Concept note</w:t>
            </w:r>
          </w:p>
        </w:tc>
      </w:tr>
      <w:tr w:rsidR="006210D6" w14:paraId="2FA0E388" w14:textId="77777777" w:rsidTr="00F91AE3">
        <w:tc>
          <w:tcPr>
            <w:tcW w:w="1843" w:type="dxa"/>
          </w:tcPr>
          <w:p w14:paraId="2FA49338" w14:textId="77777777" w:rsidR="006210D6" w:rsidRPr="00F87029" w:rsidRDefault="006210D6" w:rsidP="00F91AE3">
            <w:pPr>
              <w:spacing w:after="120" w:line="240" w:lineRule="atLeast"/>
              <w:ind w:left="171"/>
              <w:rPr>
                <w:sz w:val="20"/>
              </w:rPr>
            </w:pPr>
            <w:r w:rsidRPr="00F87029">
              <w:rPr>
                <w:sz w:val="20"/>
              </w:rPr>
              <w:t>A.2</w:t>
            </w:r>
          </w:p>
        </w:tc>
        <w:tc>
          <w:tcPr>
            <w:tcW w:w="7903" w:type="dxa"/>
          </w:tcPr>
          <w:p w14:paraId="57B0AB1A" w14:textId="77777777" w:rsidR="006210D6" w:rsidRPr="00F87029" w:rsidRDefault="006210D6" w:rsidP="00F91AE3">
            <w:pPr>
              <w:spacing w:after="120" w:line="240" w:lineRule="atLeast"/>
              <w:ind w:left="315"/>
              <w:rPr>
                <w:sz w:val="20"/>
              </w:rPr>
            </w:pPr>
            <w:r w:rsidRPr="00F87029">
              <w:rPr>
                <w:sz w:val="20"/>
              </w:rPr>
              <w:t>Full application form</w:t>
            </w:r>
          </w:p>
        </w:tc>
      </w:tr>
      <w:tr w:rsidR="006210D6" w14:paraId="7B038937" w14:textId="77777777" w:rsidTr="00F91AE3">
        <w:tc>
          <w:tcPr>
            <w:tcW w:w="1843" w:type="dxa"/>
          </w:tcPr>
          <w:p w14:paraId="4A459F23" w14:textId="77777777" w:rsidR="006210D6" w:rsidRPr="00F87029" w:rsidRDefault="006210D6" w:rsidP="00F91AE3">
            <w:pPr>
              <w:spacing w:after="120" w:line="240" w:lineRule="atLeast"/>
              <w:rPr>
                <w:sz w:val="20"/>
              </w:rPr>
            </w:pPr>
            <w:r w:rsidRPr="00F87029">
              <w:rPr>
                <w:sz w:val="20"/>
              </w:rPr>
              <w:t>Annex B</w:t>
            </w:r>
          </w:p>
        </w:tc>
        <w:tc>
          <w:tcPr>
            <w:tcW w:w="7903" w:type="dxa"/>
          </w:tcPr>
          <w:p w14:paraId="6BF6ED89" w14:textId="77777777" w:rsidR="006210D6" w:rsidRPr="00F87029" w:rsidRDefault="006210D6" w:rsidP="00F91AE3">
            <w:pPr>
              <w:spacing w:after="120" w:line="240" w:lineRule="atLeast"/>
              <w:rPr>
                <w:sz w:val="20"/>
              </w:rPr>
            </w:pPr>
            <w:r w:rsidRPr="00F87029">
              <w:rPr>
                <w:sz w:val="20"/>
              </w:rPr>
              <w:t>Budget</w:t>
            </w:r>
            <w:r w:rsidR="00317A9B" w:rsidRPr="00F87029">
              <w:rPr>
                <w:sz w:val="20"/>
              </w:rPr>
              <w:t xml:space="preserve"> for Single Lump Sum grants</w:t>
            </w:r>
            <w:r w:rsidRPr="00F87029">
              <w:rPr>
                <w:sz w:val="20"/>
              </w:rPr>
              <w:t xml:space="preserve"> (Excel format)</w:t>
            </w:r>
          </w:p>
        </w:tc>
      </w:tr>
      <w:tr w:rsidR="006210D6" w14:paraId="334D4BD7" w14:textId="77777777" w:rsidTr="00F91AE3">
        <w:tc>
          <w:tcPr>
            <w:tcW w:w="1843" w:type="dxa"/>
          </w:tcPr>
          <w:p w14:paraId="51B40B46" w14:textId="77777777" w:rsidR="006210D6" w:rsidRPr="00F87029" w:rsidRDefault="006210D6" w:rsidP="00F91AE3">
            <w:pPr>
              <w:spacing w:after="120" w:line="240" w:lineRule="atLeast"/>
              <w:rPr>
                <w:sz w:val="20"/>
              </w:rPr>
            </w:pPr>
            <w:r w:rsidRPr="00F87029">
              <w:rPr>
                <w:sz w:val="20"/>
              </w:rPr>
              <w:t>Annex C</w:t>
            </w:r>
          </w:p>
        </w:tc>
        <w:tc>
          <w:tcPr>
            <w:tcW w:w="7903" w:type="dxa"/>
          </w:tcPr>
          <w:p w14:paraId="032165DC" w14:textId="77777777" w:rsidR="006210D6" w:rsidRPr="00F87029" w:rsidRDefault="006210D6" w:rsidP="00F91AE3">
            <w:pPr>
              <w:spacing w:after="120" w:line="240" w:lineRule="atLeast"/>
              <w:rPr>
                <w:sz w:val="20"/>
              </w:rPr>
            </w:pPr>
            <w:r w:rsidRPr="00F87029">
              <w:rPr>
                <w:sz w:val="20"/>
              </w:rPr>
              <w:t>Logical framework (</w:t>
            </w:r>
            <w:r w:rsidR="00317A9B" w:rsidRPr="00F87029">
              <w:rPr>
                <w:sz w:val="20"/>
              </w:rPr>
              <w:t>Word</w:t>
            </w:r>
            <w:r w:rsidRPr="00F87029">
              <w:rPr>
                <w:sz w:val="20"/>
              </w:rPr>
              <w:t xml:space="preserve"> format)</w:t>
            </w:r>
          </w:p>
        </w:tc>
      </w:tr>
      <w:tr w:rsidR="00317A9B" w14:paraId="6182F514" w14:textId="77777777" w:rsidTr="00F91AE3">
        <w:tc>
          <w:tcPr>
            <w:tcW w:w="1843" w:type="dxa"/>
          </w:tcPr>
          <w:p w14:paraId="37634350" w14:textId="77777777" w:rsidR="00317A9B" w:rsidRPr="00F87029" w:rsidRDefault="00317A9B" w:rsidP="00317A9B">
            <w:pPr>
              <w:spacing w:after="120" w:line="240" w:lineRule="atLeast"/>
              <w:rPr>
                <w:sz w:val="20"/>
              </w:rPr>
            </w:pPr>
            <w:r w:rsidRPr="00F87029">
              <w:rPr>
                <w:sz w:val="20"/>
              </w:rPr>
              <w:t>Annex D</w:t>
            </w:r>
          </w:p>
        </w:tc>
        <w:tc>
          <w:tcPr>
            <w:tcW w:w="7903" w:type="dxa"/>
          </w:tcPr>
          <w:p w14:paraId="761A1420" w14:textId="77777777" w:rsidR="00317A9B" w:rsidRPr="00F87029" w:rsidRDefault="00317A9B" w:rsidP="00317A9B">
            <w:pPr>
              <w:spacing w:after="120" w:line="240" w:lineRule="atLeast"/>
              <w:rPr>
                <w:sz w:val="20"/>
              </w:rPr>
            </w:pPr>
            <w:r w:rsidRPr="00F87029">
              <w:rPr>
                <w:sz w:val="20"/>
              </w:rPr>
              <w:t>Identification form</w:t>
            </w:r>
          </w:p>
        </w:tc>
      </w:tr>
      <w:tr w:rsidR="00317A9B" w14:paraId="60F72648" w14:textId="77777777" w:rsidTr="00F91AE3">
        <w:tc>
          <w:tcPr>
            <w:tcW w:w="1843" w:type="dxa"/>
          </w:tcPr>
          <w:p w14:paraId="7800D801" w14:textId="77777777" w:rsidR="00317A9B" w:rsidRPr="00F87029" w:rsidRDefault="00317A9B" w:rsidP="00317A9B">
            <w:pPr>
              <w:spacing w:after="120" w:line="240" w:lineRule="atLeast"/>
              <w:rPr>
                <w:sz w:val="20"/>
              </w:rPr>
            </w:pPr>
            <w:r w:rsidRPr="00F87029">
              <w:rPr>
                <w:sz w:val="20"/>
              </w:rPr>
              <w:t>Annex E</w:t>
            </w:r>
          </w:p>
        </w:tc>
        <w:tc>
          <w:tcPr>
            <w:tcW w:w="7903" w:type="dxa"/>
          </w:tcPr>
          <w:p w14:paraId="536B931A" w14:textId="77777777" w:rsidR="00317A9B" w:rsidRPr="00F87029" w:rsidRDefault="00317A9B" w:rsidP="00317A9B">
            <w:pPr>
              <w:spacing w:after="120" w:line="240" w:lineRule="atLeast"/>
              <w:rPr>
                <w:sz w:val="20"/>
              </w:rPr>
            </w:pPr>
            <w:r w:rsidRPr="00F87029">
              <w:rPr>
                <w:sz w:val="20"/>
              </w:rPr>
              <w:t>[Not applicable]</w:t>
            </w:r>
          </w:p>
        </w:tc>
      </w:tr>
      <w:tr w:rsidR="00317A9B" w14:paraId="4B150307" w14:textId="77777777" w:rsidTr="00F91AE3">
        <w:tc>
          <w:tcPr>
            <w:tcW w:w="1843" w:type="dxa"/>
          </w:tcPr>
          <w:p w14:paraId="04849032" w14:textId="77777777" w:rsidR="00317A9B" w:rsidRPr="00F87029" w:rsidRDefault="00317A9B" w:rsidP="00317A9B">
            <w:pPr>
              <w:spacing w:after="120" w:line="240" w:lineRule="atLeast"/>
              <w:rPr>
                <w:sz w:val="20"/>
              </w:rPr>
            </w:pPr>
            <w:r w:rsidRPr="00F87029">
              <w:rPr>
                <w:sz w:val="20"/>
              </w:rPr>
              <w:t>Annex F</w:t>
            </w:r>
          </w:p>
        </w:tc>
        <w:tc>
          <w:tcPr>
            <w:tcW w:w="7903" w:type="dxa"/>
          </w:tcPr>
          <w:p w14:paraId="6C9C8130" w14:textId="77777777" w:rsidR="00317A9B" w:rsidRPr="00F87029" w:rsidRDefault="00317A9B" w:rsidP="00317A9B">
            <w:pPr>
              <w:spacing w:after="120" w:line="240" w:lineRule="atLeast"/>
              <w:rPr>
                <w:sz w:val="20"/>
              </w:rPr>
            </w:pPr>
            <w:r w:rsidRPr="00F87029">
              <w:rPr>
                <w:sz w:val="20"/>
              </w:rPr>
              <w:t>PADOR registration form</w:t>
            </w:r>
          </w:p>
        </w:tc>
      </w:tr>
      <w:tr w:rsidR="00317A9B" w14:paraId="02FE1561" w14:textId="77777777" w:rsidTr="00F91AE3">
        <w:tc>
          <w:tcPr>
            <w:tcW w:w="1843" w:type="dxa"/>
          </w:tcPr>
          <w:p w14:paraId="0021EF4D" w14:textId="77777777" w:rsidR="00317A9B" w:rsidRPr="00F87029" w:rsidRDefault="00317A9B" w:rsidP="00317A9B">
            <w:pPr>
              <w:spacing w:after="120" w:line="240" w:lineRule="atLeast"/>
              <w:rPr>
                <w:sz w:val="20"/>
              </w:rPr>
            </w:pPr>
            <w:r w:rsidRPr="00F87029">
              <w:rPr>
                <w:sz w:val="20"/>
              </w:rPr>
              <w:t>Annex H</w:t>
            </w:r>
          </w:p>
        </w:tc>
        <w:tc>
          <w:tcPr>
            <w:tcW w:w="7903" w:type="dxa"/>
          </w:tcPr>
          <w:p w14:paraId="30E60297" w14:textId="77777777" w:rsidR="00317A9B" w:rsidRPr="00F87029" w:rsidRDefault="00317A9B" w:rsidP="00317A9B">
            <w:pPr>
              <w:spacing w:after="120" w:line="240" w:lineRule="atLeast"/>
              <w:rPr>
                <w:sz w:val="20"/>
              </w:rPr>
            </w:pPr>
            <w:r w:rsidRPr="00F87029">
              <w:rPr>
                <w:sz w:val="20"/>
              </w:rPr>
              <w:t>Declaration on Honour on exclusion criteria</w:t>
            </w:r>
          </w:p>
        </w:tc>
      </w:tr>
      <w:tr w:rsidR="00317A9B" w:rsidRPr="001D7ABB" w14:paraId="1739E055" w14:textId="77777777" w:rsidTr="00F91AE3">
        <w:tc>
          <w:tcPr>
            <w:tcW w:w="1843" w:type="dxa"/>
          </w:tcPr>
          <w:p w14:paraId="6886E6C7" w14:textId="77777777" w:rsidR="00317A9B" w:rsidRPr="00F87029" w:rsidRDefault="00317A9B" w:rsidP="00317A9B">
            <w:pPr>
              <w:spacing w:after="120" w:line="240" w:lineRule="atLeast"/>
              <w:rPr>
                <w:sz w:val="20"/>
              </w:rPr>
            </w:pPr>
            <w:r w:rsidRPr="00F87029">
              <w:rPr>
                <w:sz w:val="20"/>
              </w:rPr>
              <w:t>Annex L</w:t>
            </w:r>
          </w:p>
        </w:tc>
        <w:tc>
          <w:tcPr>
            <w:tcW w:w="7903" w:type="dxa"/>
          </w:tcPr>
          <w:p w14:paraId="1A505782" w14:textId="77777777" w:rsidR="00317A9B" w:rsidRPr="00F87029" w:rsidRDefault="00317A9B" w:rsidP="00317A9B">
            <w:pPr>
              <w:spacing w:after="120" w:line="240" w:lineRule="atLeast"/>
              <w:rPr>
                <w:sz w:val="20"/>
                <w:lang w:val="fr-FR"/>
              </w:rPr>
            </w:pPr>
            <w:r w:rsidRPr="00F87029">
              <w:rPr>
                <w:sz w:val="20"/>
                <w:lang w:val="fr-FR"/>
              </w:rPr>
              <w:t>Self-evaluation questionnaire on SEA-H</w:t>
            </w:r>
          </w:p>
        </w:tc>
      </w:tr>
    </w:tbl>
    <w:p w14:paraId="225FE902" w14:textId="77777777" w:rsidR="00112E4F" w:rsidRPr="00A43238" w:rsidRDefault="000F4652" w:rsidP="00C536CC">
      <w:pPr>
        <w:spacing w:after="120" w:line="240" w:lineRule="atLeast"/>
        <w:rPr>
          <w:b/>
          <w:smallCaps/>
        </w:rPr>
      </w:pPr>
      <w:bookmarkStart w:id="67" w:name="_Toc40507661"/>
      <w:bookmarkEnd w:id="65"/>
      <w:bookmarkEnd w:id="66"/>
      <w:r w:rsidRPr="00807DAF">
        <w:rPr>
          <w:b/>
          <w:smallCaps/>
        </w:rPr>
        <w:t xml:space="preserve">Documents </w:t>
      </w:r>
      <w:r>
        <w:rPr>
          <w:b/>
          <w:smallCaps/>
        </w:rPr>
        <w:t>for information</w:t>
      </w:r>
      <w:r w:rsidR="0025435C">
        <w:rPr>
          <w:rStyle w:val="Znakapoznpodarou"/>
          <w:b/>
          <w:smallCaps/>
          <w:lang w:val="fr-FR"/>
        </w:rPr>
        <w:footnoteReference w:id="23"/>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
        <w:gridCol w:w="1798"/>
        <w:gridCol w:w="1549"/>
        <w:gridCol w:w="6186"/>
      </w:tblGrid>
      <w:tr w:rsidR="00317A9B" w14:paraId="18E77817" w14:textId="77777777" w:rsidTr="00F87029">
        <w:trPr>
          <w:gridBefore w:val="1"/>
          <w:wBefore w:w="108" w:type="dxa"/>
        </w:trPr>
        <w:tc>
          <w:tcPr>
            <w:tcW w:w="1843" w:type="dxa"/>
          </w:tcPr>
          <w:p w14:paraId="547ABA2E" w14:textId="77777777" w:rsidR="00317A9B" w:rsidRPr="00F87029" w:rsidRDefault="00317A9B" w:rsidP="004D4607">
            <w:pPr>
              <w:spacing w:after="120" w:line="240" w:lineRule="atLeast"/>
              <w:jc w:val="left"/>
              <w:rPr>
                <w:sz w:val="20"/>
              </w:rPr>
            </w:pPr>
            <w:bookmarkStart w:id="68" w:name="_Hlk163815919"/>
            <w:r w:rsidRPr="00F87029">
              <w:rPr>
                <w:sz w:val="20"/>
              </w:rPr>
              <w:t>Annexes G</w:t>
            </w:r>
          </w:p>
        </w:tc>
        <w:tc>
          <w:tcPr>
            <w:tcW w:w="7903" w:type="dxa"/>
            <w:gridSpan w:val="2"/>
          </w:tcPr>
          <w:p w14:paraId="0345695B" w14:textId="77777777" w:rsidR="00317A9B" w:rsidRPr="00F87029" w:rsidRDefault="00317A9B" w:rsidP="00317A9B">
            <w:pPr>
              <w:spacing w:after="120" w:line="240" w:lineRule="atLeast"/>
              <w:ind w:firstLine="318"/>
              <w:rPr>
                <w:sz w:val="20"/>
              </w:rPr>
            </w:pPr>
            <w:r w:rsidRPr="00F87029">
              <w:rPr>
                <w:sz w:val="20"/>
              </w:rPr>
              <w:t>Standard grant contract (Special and General conditions)</w:t>
            </w:r>
          </w:p>
        </w:tc>
      </w:tr>
      <w:tr w:rsidR="00317A9B" w14:paraId="54DCBC3F" w14:textId="77777777" w:rsidTr="00F87029">
        <w:trPr>
          <w:gridBefore w:val="1"/>
          <w:wBefore w:w="108" w:type="dxa"/>
        </w:trPr>
        <w:tc>
          <w:tcPr>
            <w:tcW w:w="1843" w:type="dxa"/>
          </w:tcPr>
          <w:p w14:paraId="02F6CE66" w14:textId="77777777" w:rsidR="00317A9B" w:rsidRPr="00F87029" w:rsidRDefault="00317A9B" w:rsidP="004D4607">
            <w:pPr>
              <w:spacing w:after="120" w:line="240" w:lineRule="atLeast"/>
              <w:jc w:val="left"/>
              <w:rPr>
                <w:sz w:val="20"/>
              </w:rPr>
            </w:pPr>
            <w:r w:rsidRPr="00F87029">
              <w:rPr>
                <w:sz w:val="20"/>
              </w:rPr>
              <w:t>Annex IV</w:t>
            </w:r>
          </w:p>
        </w:tc>
        <w:tc>
          <w:tcPr>
            <w:tcW w:w="7903" w:type="dxa"/>
            <w:gridSpan w:val="2"/>
          </w:tcPr>
          <w:p w14:paraId="5158C079" w14:textId="77777777" w:rsidR="00317A9B" w:rsidRPr="00F87029" w:rsidRDefault="00317A9B" w:rsidP="00317A9B">
            <w:pPr>
              <w:spacing w:after="120" w:line="240" w:lineRule="atLeast"/>
              <w:ind w:left="315"/>
              <w:rPr>
                <w:sz w:val="20"/>
              </w:rPr>
            </w:pPr>
            <w:r w:rsidRPr="00F87029">
              <w:rPr>
                <w:sz w:val="20"/>
              </w:rPr>
              <w:t>Contract award rules</w:t>
            </w:r>
          </w:p>
        </w:tc>
      </w:tr>
      <w:tr w:rsidR="00317A9B" w14:paraId="1C93243D" w14:textId="77777777" w:rsidTr="00F87029">
        <w:trPr>
          <w:gridBefore w:val="1"/>
          <w:wBefore w:w="108" w:type="dxa"/>
        </w:trPr>
        <w:tc>
          <w:tcPr>
            <w:tcW w:w="1843" w:type="dxa"/>
          </w:tcPr>
          <w:p w14:paraId="332EA902" w14:textId="77777777" w:rsidR="00317A9B" w:rsidRPr="00F87029" w:rsidRDefault="00317A9B" w:rsidP="004D4607">
            <w:pPr>
              <w:spacing w:after="120" w:line="240" w:lineRule="atLeast"/>
              <w:jc w:val="left"/>
              <w:rPr>
                <w:sz w:val="20"/>
              </w:rPr>
            </w:pPr>
            <w:r w:rsidRPr="00F87029">
              <w:rPr>
                <w:sz w:val="20"/>
              </w:rPr>
              <w:t>Annex V</w:t>
            </w:r>
          </w:p>
        </w:tc>
        <w:tc>
          <w:tcPr>
            <w:tcW w:w="7903" w:type="dxa"/>
            <w:gridSpan w:val="2"/>
          </w:tcPr>
          <w:p w14:paraId="20168FB0" w14:textId="77777777" w:rsidR="00317A9B" w:rsidRPr="00F87029" w:rsidRDefault="00317A9B" w:rsidP="00317A9B">
            <w:pPr>
              <w:spacing w:after="120" w:line="240" w:lineRule="atLeast"/>
              <w:ind w:left="315"/>
              <w:rPr>
                <w:sz w:val="20"/>
              </w:rPr>
            </w:pPr>
            <w:r w:rsidRPr="00F87029">
              <w:rPr>
                <w:sz w:val="20"/>
              </w:rPr>
              <w:t>Standard request for payment</w:t>
            </w:r>
          </w:p>
        </w:tc>
      </w:tr>
      <w:tr w:rsidR="00317A9B" w14:paraId="1F36C1E7" w14:textId="77777777" w:rsidTr="00F87029">
        <w:trPr>
          <w:gridBefore w:val="1"/>
          <w:wBefore w:w="108" w:type="dxa"/>
        </w:trPr>
        <w:tc>
          <w:tcPr>
            <w:tcW w:w="1843" w:type="dxa"/>
          </w:tcPr>
          <w:p w14:paraId="53E1EEB5" w14:textId="77777777" w:rsidR="00317A9B" w:rsidRPr="00F87029" w:rsidRDefault="00317A9B" w:rsidP="004D4607">
            <w:pPr>
              <w:spacing w:after="120" w:line="240" w:lineRule="atLeast"/>
              <w:jc w:val="left"/>
              <w:rPr>
                <w:sz w:val="20"/>
              </w:rPr>
            </w:pPr>
            <w:r w:rsidRPr="00F87029">
              <w:rPr>
                <w:sz w:val="20"/>
              </w:rPr>
              <w:t>Annex VI-A</w:t>
            </w:r>
          </w:p>
          <w:p w14:paraId="1D8F7896" w14:textId="77777777" w:rsidR="00317A9B" w:rsidRPr="00F87029" w:rsidRDefault="00317A9B" w:rsidP="004D4607">
            <w:pPr>
              <w:spacing w:after="120" w:line="240" w:lineRule="atLeast"/>
              <w:jc w:val="left"/>
              <w:rPr>
                <w:sz w:val="20"/>
              </w:rPr>
            </w:pPr>
            <w:r w:rsidRPr="00F87029">
              <w:rPr>
                <w:sz w:val="20"/>
              </w:rPr>
              <w:t>Annex VI-B</w:t>
            </w:r>
          </w:p>
        </w:tc>
        <w:tc>
          <w:tcPr>
            <w:tcW w:w="7903" w:type="dxa"/>
            <w:gridSpan w:val="2"/>
          </w:tcPr>
          <w:p w14:paraId="2411DC60" w14:textId="77777777" w:rsidR="00317A9B" w:rsidRPr="00F87029" w:rsidRDefault="00317A9B" w:rsidP="00317A9B">
            <w:pPr>
              <w:spacing w:after="120" w:line="240" w:lineRule="atLeast"/>
              <w:ind w:left="175"/>
              <w:rPr>
                <w:sz w:val="20"/>
              </w:rPr>
            </w:pPr>
            <w:r w:rsidRPr="00F87029">
              <w:rPr>
                <w:sz w:val="20"/>
              </w:rPr>
              <w:t>Model narrative and financial report</w:t>
            </w:r>
          </w:p>
          <w:p w14:paraId="5C400619" w14:textId="77777777" w:rsidR="00317A9B" w:rsidRPr="00F87029" w:rsidRDefault="00317A9B" w:rsidP="00317A9B">
            <w:pPr>
              <w:spacing w:after="120" w:line="240" w:lineRule="atLeast"/>
              <w:ind w:left="315"/>
              <w:rPr>
                <w:sz w:val="20"/>
              </w:rPr>
            </w:pPr>
            <w:r w:rsidRPr="00F87029">
              <w:rPr>
                <w:sz w:val="20"/>
              </w:rPr>
              <w:t>Model financial report for Single Lump Sum grants</w:t>
            </w:r>
          </w:p>
        </w:tc>
      </w:tr>
      <w:tr w:rsidR="00317A9B" w14:paraId="6532809F" w14:textId="77777777" w:rsidTr="00F87029">
        <w:trPr>
          <w:gridBefore w:val="1"/>
          <w:wBefore w:w="108" w:type="dxa"/>
        </w:trPr>
        <w:tc>
          <w:tcPr>
            <w:tcW w:w="1843" w:type="dxa"/>
          </w:tcPr>
          <w:p w14:paraId="12B98613" w14:textId="77777777" w:rsidR="00317A9B" w:rsidRPr="00F87029" w:rsidRDefault="00317A9B" w:rsidP="004D4607">
            <w:pPr>
              <w:spacing w:after="120" w:line="240" w:lineRule="atLeast"/>
              <w:jc w:val="left"/>
              <w:rPr>
                <w:sz w:val="20"/>
              </w:rPr>
            </w:pPr>
            <w:r w:rsidRPr="00F87029">
              <w:rPr>
                <w:sz w:val="20"/>
              </w:rPr>
              <w:t>Annex VII-A</w:t>
            </w:r>
          </w:p>
        </w:tc>
        <w:tc>
          <w:tcPr>
            <w:tcW w:w="7903" w:type="dxa"/>
            <w:gridSpan w:val="2"/>
          </w:tcPr>
          <w:p w14:paraId="7259417E" w14:textId="77777777" w:rsidR="00317A9B" w:rsidRPr="00F87029" w:rsidRDefault="00317A9B" w:rsidP="00317A9B">
            <w:pPr>
              <w:spacing w:after="120" w:line="240" w:lineRule="atLeast"/>
              <w:ind w:left="315"/>
              <w:rPr>
                <w:sz w:val="20"/>
              </w:rPr>
            </w:pPr>
            <w:r w:rsidRPr="00F87029">
              <w:rPr>
                <w:sz w:val="20"/>
              </w:rPr>
              <w:t>Not applicable</w:t>
            </w:r>
          </w:p>
        </w:tc>
      </w:tr>
      <w:tr w:rsidR="00317A9B" w14:paraId="5A4054D5" w14:textId="77777777" w:rsidTr="00F87029">
        <w:trPr>
          <w:gridBefore w:val="1"/>
          <w:wBefore w:w="108" w:type="dxa"/>
        </w:trPr>
        <w:tc>
          <w:tcPr>
            <w:tcW w:w="1843" w:type="dxa"/>
          </w:tcPr>
          <w:p w14:paraId="5D7D4BB8" w14:textId="77777777" w:rsidR="00317A9B" w:rsidRPr="00F87029" w:rsidRDefault="00317A9B" w:rsidP="004D4607">
            <w:pPr>
              <w:spacing w:after="120" w:line="240" w:lineRule="atLeast"/>
              <w:jc w:val="left"/>
              <w:rPr>
                <w:sz w:val="20"/>
              </w:rPr>
            </w:pPr>
            <w:r w:rsidRPr="00F87029">
              <w:rPr>
                <w:sz w:val="20"/>
              </w:rPr>
              <w:t>Annex VIII</w:t>
            </w:r>
          </w:p>
        </w:tc>
        <w:tc>
          <w:tcPr>
            <w:tcW w:w="7903" w:type="dxa"/>
            <w:gridSpan w:val="2"/>
          </w:tcPr>
          <w:p w14:paraId="2ACECAA1" w14:textId="77777777" w:rsidR="00317A9B" w:rsidRPr="00F87029" w:rsidRDefault="00317A9B" w:rsidP="00317A9B">
            <w:pPr>
              <w:spacing w:after="120" w:line="240" w:lineRule="atLeast"/>
              <w:ind w:left="315"/>
              <w:rPr>
                <w:sz w:val="20"/>
              </w:rPr>
            </w:pPr>
            <w:r w:rsidRPr="00F87029">
              <w:rPr>
                <w:sz w:val="20"/>
              </w:rPr>
              <w:t>Model financial guarantee</w:t>
            </w:r>
          </w:p>
        </w:tc>
      </w:tr>
      <w:tr w:rsidR="00317A9B" w14:paraId="20FD550B" w14:textId="77777777" w:rsidTr="00F87029">
        <w:trPr>
          <w:gridBefore w:val="1"/>
          <w:wBefore w:w="108" w:type="dxa"/>
        </w:trPr>
        <w:tc>
          <w:tcPr>
            <w:tcW w:w="1843" w:type="dxa"/>
          </w:tcPr>
          <w:p w14:paraId="7103611E" w14:textId="77777777" w:rsidR="00317A9B" w:rsidRPr="00F87029" w:rsidRDefault="00317A9B" w:rsidP="004D4607">
            <w:pPr>
              <w:spacing w:after="120" w:line="240" w:lineRule="atLeast"/>
              <w:jc w:val="left"/>
              <w:rPr>
                <w:sz w:val="20"/>
              </w:rPr>
            </w:pPr>
            <w:r w:rsidRPr="00F87029">
              <w:rPr>
                <w:sz w:val="20"/>
              </w:rPr>
              <w:t>Annex IX</w:t>
            </w:r>
          </w:p>
        </w:tc>
        <w:tc>
          <w:tcPr>
            <w:tcW w:w="7903" w:type="dxa"/>
            <w:gridSpan w:val="2"/>
          </w:tcPr>
          <w:p w14:paraId="29B1B1C3" w14:textId="77777777" w:rsidR="00317A9B" w:rsidRPr="00F87029" w:rsidRDefault="00317A9B" w:rsidP="00317A9B">
            <w:pPr>
              <w:spacing w:after="120" w:line="240" w:lineRule="atLeast"/>
              <w:ind w:left="315"/>
              <w:rPr>
                <w:sz w:val="20"/>
              </w:rPr>
            </w:pPr>
            <w:r w:rsidRPr="00F87029">
              <w:rPr>
                <w:sz w:val="20"/>
              </w:rPr>
              <w:t>Standard template for transfer of ownership of assets</w:t>
            </w:r>
          </w:p>
        </w:tc>
      </w:tr>
      <w:tr w:rsidR="00317A9B" w14:paraId="1DF58D35" w14:textId="77777777" w:rsidTr="00F87029">
        <w:trPr>
          <w:gridBefore w:val="1"/>
          <w:wBefore w:w="108" w:type="dxa"/>
        </w:trPr>
        <w:tc>
          <w:tcPr>
            <w:tcW w:w="1843" w:type="dxa"/>
          </w:tcPr>
          <w:p w14:paraId="31B43A40" w14:textId="77777777" w:rsidR="00317A9B" w:rsidRPr="00F87029" w:rsidRDefault="00317A9B" w:rsidP="004D4607">
            <w:pPr>
              <w:spacing w:after="120" w:line="240" w:lineRule="atLeast"/>
              <w:jc w:val="left"/>
              <w:rPr>
                <w:sz w:val="20"/>
              </w:rPr>
            </w:pPr>
            <w:r w:rsidRPr="00F87029">
              <w:rPr>
                <w:sz w:val="20"/>
              </w:rPr>
              <w:t>Annex I</w:t>
            </w:r>
          </w:p>
        </w:tc>
        <w:tc>
          <w:tcPr>
            <w:tcW w:w="7903" w:type="dxa"/>
            <w:gridSpan w:val="2"/>
          </w:tcPr>
          <w:p w14:paraId="6A2B6604" w14:textId="77777777" w:rsidR="00317A9B" w:rsidRPr="00F87029" w:rsidRDefault="00317A9B" w:rsidP="00317A9B">
            <w:pPr>
              <w:spacing w:after="120" w:line="240" w:lineRule="atLeast"/>
              <w:ind w:left="315"/>
              <w:rPr>
                <w:sz w:val="20"/>
              </w:rPr>
            </w:pPr>
            <w:r w:rsidRPr="00F87029">
              <w:rPr>
                <w:sz w:val="20"/>
              </w:rPr>
              <w:t xml:space="preserve">Daily allowance rates (per diem), available at the following address: </w:t>
            </w:r>
            <w:hyperlink r:id="rId38" w:history="1">
              <w:r w:rsidRPr="00F87029">
                <w:rPr>
                  <w:rStyle w:val="Hypertextovodkaz"/>
                  <w:sz w:val="20"/>
                </w:rPr>
                <w:t>https://international-partnerships.ec.europa.eu/funding/guidelines/managing-project/diem-rates_en</w:t>
              </w:r>
            </w:hyperlink>
            <w:r w:rsidRPr="00F87029">
              <w:rPr>
                <w:sz w:val="20"/>
              </w:rPr>
              <w:t xml:space="preserve"> </w:t>
            </w:r>
          </w:p>
        </w:tc>
      </w:tr>
      <w:tr w:rsidR="00317A9B" w14:paraId="5A322A4E" w14:textId="77777777" w:rsidTr="00F87029">
        <w:trPr>
          <w:gridBefore w:val="1"/>
          <w:wBefore w:w="108" w:type="dxa"/>
        </w:trPr>
        <w:tc>
          <w:tcPr>
            <w:tcW w:w="1843" w:type="dxa"/>
          </w:tcPr>
          <w:p w14:paraId="7036F75A" w14:textId="77777777" w:rsidR="00317A9B" w:rsidRPr="00F87029" w:rsidRDefault="00317A9B" w:rsidP="004D4607">
            <w:pPr>
              <w:spacing w:after="120" w:line="240" w:lineRule="atLeast"/>
              <w:jc w:val="left"/>
              <w:rPr>
                <w:sz w:val="20"/>
              </w:rPr>
            </w:pPr>
            <w:r w:rsidRPr="00F87029">
              <w:rPr>
                <w:sz w:val="20"/>
              </w:rPr>
              <w:t>Annex J</w:t>
            </w:r>
          </w:p>
        </w:tc>
        <w:tc>
          <w:tcPr>
            <w:tcW w:w="7903" w:type="dxa"/>
            <w:gridSpan w:val="2"/>
          </w:tcPr>
          <w:p w14:paraId="07BC3461" w14:textId="77777777" w:rsidR="00317A9B" w:rsidRPr="00F87029" w:rsidRDefault="00317A9B" w:rsidP="00317A9B">
            <w:pPr>
              <w:spacing w:after="120" w:line="240" w:lineRule="atLeast"/>
              <w:ind w:left="318"/>
              <w:rPr>
                <w:sz w:val="20"/>
              </w:rPr>
            </w:pPr>
            <w:r w:rsidRPr="00F87029">
              <w:rPr>
                <w:sz w:val="20"/>
              </w:rPr>
              <w:t>Information on the tax regime applicable to grant contracts signed under the call.</w:t>
            </w:r>
          </w:p>
        </w:tc>
      </w:tr>
      <w:tr w:rsidR="004D4607" w14:paraId="59365455" w14:textId="77777777" w:rsidTr="00F87029">
        <w:tc>
          <w:tcPr>
            <w:tcW w:w="3624" w:type="dxa"/>
            <w:gridSpan w:val="3"/>
          </w:tcPr>
          <w:p w14:paraId="518DCD99" w14:textId="77777777" w:rsidR="00F87029" w:rsidRDefault="006210D6" w:rsidP="004D4607">
            <w:pPr>
              <w:spacing w:after="120" w:line="240" w:lineRule="atLeast"/>
              <w:jc w:val="left"/>
              <w:rPr>
                <w:b/>
                <w:smallCaps/>
                <w:szCs w:val="22"/>
              </w:rPr>
            </w:pPr>
            <w:bookmarkStart w:id="69" w:name="_Hlk163816048"/>
            <w:bookmarkStart w:id="70" w:name="_Toc216513983"/>
            <w:bookmarkStart w:id="71" w:name="_Hlk163815937"/>
            <w:bookmarkEnd w:id="67"/>
            <w:bookmarkEnd w:id="68"/>
            <w:r>
              <w:rPr>
                <w:b/>
                <w:smallCaps/>
                <w:szCs w:val="22"/>
              </w:rPr>
              <w:t>Useful link</w:t>
            </w:r>
          </w:p>
          <w:p w14:paraId="48154990" w14:textId="77777777" w:rsidR="004D4607" w:rsidRPr="00F87029" w:rsidRDefault="006210D6" w:rsidP="00F87029">
            <w:pPr>
              <w:spacing w:after="120" w:line="240" w:lineRule="atLeast"/>
              <w:jc w:val="left"/>
              <w:rPr>
                <w:sz w:val="20"/>
                <w:lang w:val="en-IE"/>
              </w:rPr>
            </w:pPr>
            <w:r>
              <w:rPr>
                <w:b/>
                <w:smallCaps/>
                <w:szCs w:val="22"/>
              </w:rPr>
              <w:t>s</w:t>
            </w:r>
            <w:bookmarkStart w:id="72" w:name="_Hlk163816072"/>
            <w:bookmarkEnd w:id="69"/>
            <w:r w:rsidR="004D4607" w:rsidRPr="00F87029">
              <w:rPr>
                <w:sz w:val="20"/>
              </w:rPr>
              <w:t>PRAG</w:t>
            </w:r>
          </w:p>
        </w:tc>
        <w:tc>
          <w:tcPr>
            <w:tcW w:w="6230" w:type="dxa"/>
          </w:tcPr>
          <w:p w14:paraId="73B3F120" w14:textId="77777777" w:rsidR="004D4607" w:rsidRPr="00F87029" w:rsidRDefault="004D4607" w:rsidP="004D4607">
            <w:pPr>
              <w:spacing w:after="120" w:line="240" w:lineRule="atLeast"/>
              <w:rPr>
                <w:sz w:val="20"/>
                <w:lang w:val="en-IE"/>
              </w:rPr>
            </w:pPr>
            <w:hyperlink r:id="rId39" w:history="1">
              <w:r w:rsidRPr="00F87029">
                <w:rPr>
                  <w:rStyle w:val="Hypertextovodkaz"/>
                  <w:sz w:val="20"/>
                </w:rPr>
                <w:t>https://wikis.ec.europa.eu/display/ExactExternalWiki/ePRAG</w:t>
              </w:r>
            </w:hyperlink>
          </w:p>
        </w:tc>
      </w:tr>
      <w:tr w:rsidR="004D4607" w14:paraId="58C23577" w14:textId="77777777" w:rsidTr="00F87029">
        <w:tc>
          <w:tcPr>
            <w:tcW w:w="3624" w:type="dxa"/>
            <w:gridSpan w:val="3"/>
          </w:tcPr>
          <w:p w14:paraId="144E1686" w14:textId="77777777" w:rsidR="004D4607" w:rsidRPr="00F87029" w:rsidRDefault="004D4607" w:rsidP="004D4607">
            <w:pPr>
              <w:spacing w:after="120" w:line="240" w:lineRule="atLeast"/>
              <w:jc w:val="left"/>
              <w:rPr>
                <w:sz w:val="20"/>
                <w:lang w:val="en-IE"/>
              </w:rPr>
            </w:pPr>
            <w:r w:rsidRPr="00F87029">
              <w:rPr>
                <w:sz w:val="20"/>
              </w:rPr>
              <w:t>Project Cycle Management Guidelines</w:t>
            </w:r>
          </w:p>
        </w:tc>
        <w:tc>
          <w:tcPr>
            <w:tcW w:w="6230" w:type="dxa"/>
          </w:tcPr>
          <w:p w14:paraId="12C2DDC3" w14:textId="77777777" w:rsidR="004D4607" w:rsidRPr="00F87029" w:rsidRDefault="004D4607" w:rsidP="004D4607">
            <w:pPr>
              <w:spacing w:after="120" w:line="240" w:lineRule="atLeast"/>
              <w:rPr>
                <w:sz w:val="20"/>
                <w:lang w:val="en-IE"/>
              </w:rPr>
            </w:pPr>
            <w:hyperlink r:id="rId40" w:history="1">
              <w:r w:rsidRPr="00F87029">
                <w:rPr>
                  <w:rStyle w:val="Hypertextovodkaz"/>
                  <w:sz w:val="20"/>
                </w:rPr>
                <w:t>https://ec.europa.eu/international-partnerships/funding/managing-project_en</w:t>
              </w:r>
            </w:hyperlink>
          </w:p>
        </w:tc>
      </w:tr>
      <w:tr w:rsidR="004D4607" w14:paraId="0FFB2E97" w14:textId="77777777" w:rsidTr="00F87029">
        <w:tc>
          <w:tcPr>
            <w:tcW w:w="3624" w:type="dxa"/>
            <w:gridSpan w:val="3"/>
          </w:tcPr>
          <w:p w14:paraId="2D89F5D7" w14:textId="77777777" w:rsidR="004D4607" w:rsidRPr="00F87029" w:rsidRDefault="004D4607" w:rsidP="004D4607">
            <w:pPr>
              <w:spacing w:after="120" w:line="240" w:lineRule="atLeast"/>
              <w:jc w:val="left"/>
              <w:rPr>
                <w:sz w:val="20"/>
                <w:lang w:val="en-IE"/>
              </w:rPr>
            </w:pPr>
            <w:r w:rsidRPr="00F87029">
              <w:rPr>
                <w:sz w:val="20"/>
              </w:rPr>
              <w:t>The implementation of grant contracts, A Users' Guide</w:t>
            </w:r>
          </w:p>
        </w:tc>
        <w:tc>
          <w:tcPr>
            <w:tcW w:w="6230" w:type="dxa"/>
          </w:tcPr>
          <w:p w14:paraId="20A90A41" w14:textId="77777777" w:rsidR="004D4607" w:rsidRPr="00F87029" w:rsidRDefault="004D4607" w:rsidP="004D4607">
            <w:pPr>
              <w:spacing w:after="120" w:line="240" w:lineRule="atLeast"/>
              <w:rPr>
                <w:sz w:val="20"/>
                <w:lang w:val="en-IE"/>
              </w:rPr>
            </w:pPr>
            <w:hyperlink r:id="rId41" w:history="1">
              <w:r w:rsidRPr="00F87029">
                <w:rPr>
                  <w:rStyle w:val="Hypertextovodkaz"/>
                  <w:sz w:val="20"/>
                </w:rPr>
                <w:t>https://wikis.ec.europa.eu/pages/viewpage.action?pageId=48169235</w:t>
              </w:r>
            </w:hyperlink>
          </w:p>
        </w:tc>
      </w:tr>
      <w:tr w:rsidR="004D4607" w14:paraId="575A8D77" w14:textId="77777777" w:rsidTr="00F87029">
        <w:tc>
          <w:tcPr>
            <w:tcW w:w="3624" w:type="dxa"/>
            <w:gridSpan w:val="3"/>
          </w:tcPr>
          <w:p w14:paraId="32371B91" w14:textId="77777777" w:rsidR="004D4607" w:rsidRPr="00F87029" w:rsidRDefault="004D4607" w:rsidP="004D4607">
            <w:pPr>
              <w:spacing w:after="120" w:line="240" w:lineRule="atLeast"/>
              <w:jc w:val="left"/>
              <w:rPr>
                <w:sz w:val="20"/>
                <w:lang w:val="en-IE"/>
              </w:rPr>
            </w:pPr>
            <w:r w:rsidRPr="00F87029">
              <w:rPr>
                <w:sz w:val="20"/>
                <w:lang w:val="es-ES"/>
              </w:rPr>
              <w:t>Financial Toolkit</w:t>
            </w:r>
            <w:r w:rsidRPr="00F87029">
              <w:rPr>
                <w:rStyle w:val="Znakapoznpodarou"/>
                <w:sz w:val="20"/>
                <w:lang w:val="es-ES"/>
              </w:rPr>
              <w:footnoteReference w:id="24"/>
            </w:r>
          </w:p>
        </w:tc>
        <w:tc>
          <w:tcPr>
            <w:tcW w:w="6230" w:type="dxa"/>
          </w:tcPr>
          <w:p w14:paraId="072952CF" w14:textId="77777777" w:rsidR="004D4607" w:rsidRPr="00F87029" w:rsidRDefault="004D4607" w:rsidP="004D4607">
            <w:pPr>
              <w:spacing w:after="120" w:line="240" w:lineRule="atLeast"/>
              <w:rPr>
                <w:sz w:val="20"/>
                <w:lang w:val="en-IE"/>
              </w:rPr>
            </w:pPr>
            <w:hyperlink r:id="rId42" w:history="1">
              <w:r w:rsidRPr="00F87029">
                <w:rPr>
                  <w:rStyle w:val="Hypertextovodkaz"/>
                  <w:sz w:val="20"/>
                </w:rPr>
                <w:t>https://ec.europa.eu/international-partnerships/financial-management-toolkit_en</w:t>
              </w:r>
            </w:hyperlink>
          </w:p>
        </w:tc>
      </w:tr>
      <w:tr w:rsidR="004D4607" w14:paraId="6C8D0E2D" w14:textId="77777777" w:rsidTr="00F87029">
        <w:tc>
          <w:tcPr>
            <w:tcW w:w="3624" w:type="dxa"/>
            <w:gridSpan w:val="3"/>
          </w:tcPr>
          <w:p w14:paraId="47F1E5E5" w14:textId="77777777" w:rsidR="004D4607" w:rsidRPr="00F87029" w:rsidRDefault="004D4607" w:rsidP="004D4607">
            <w:pPr>
              <w:spacing w:after="120" w:line="240" w:lineRule="atLeast"/>
              <w:jc w:val="left"/>
              <w:rPr>
                <w:sz w:val="20"/>
                <w:lang w:val="en-IE"/>
              </w:rPr>
            </w:pPr>
            <w:r w:rsidRPr="00F87029">
              <w:rPr>
                <w:sz w:val="20"/>
                <w:lang w:val="en-IE"/>
              </w:rPr>
              <w:t>Early Detection and Exclusion System (EDES)</w:t>
            </w:r>
          </w:p>
        </w:tc>
        <w:tc>
          <w:tcPr>
            <w:tcW w:w="6230" w:type="dxa"/>
          </w:tcPr>
          <w:p w14:paraId="260D6FF7" w14:textId="77777777" w:rsidR="004D4607" w:rsidRPr="00F87029" w:rsidRDefault="004D4607" w:rsidP="004D4607">
            <w:pPr>
              <w:spacing w:after="120" w:line="240" w:lineRule="atLeast"/>
              <w:rPr>
                <w:sz w:val="20"/>
                <w:lang w:val="en-IE"/>
              </w:rPr>
            </w:pPr>
            <w:hyperlink r:id="rId43" w:anchor="data-protection" w:history="1">
              <w:r w:rsidRPr="00F87029">
                <w:rPr>
                  <w:rStyle w:val="Hypertextovodkaz"/>
                  <w:sz w:val="20"/>
                </w:rPr>
                <w:t>https://commission.europa.eu/strategy-and-policy/eu-budget/how-it-works/annual-lifecycle/implementation/anti-fraud-measures/edes_en#data-protection</w:t>
              </w:r>
            </w:hyperlink>
          </w:p>
        </w:tc>
      </w:tr>
      <w:bookmarkEnd w:id="70"/>
      <w:bookmarkEnd w:id="71"/>
      <w:bookmarkEnd w:id="72"/>
    </w:tbl>
    <w:p w14:paraId="7A65BE11" w14:textId="77777777" w:rsidR="004C7B6B" w:rsidRPr="00C536CC" w:rsidRDefault="004C7B6B" w:rsidP="00F87029">
      <w:pPr>
        <w:spacing w:after="120" w:line="240" w:lineRule="atLeast"/>
        <w:rPr>
          <w:szCs w:val="22"/>
          <w:lang w:val="en-IE"/>
        </w:rPr>
      </w:pPr>
    </w:p>
    <w:sectPr w:rsidR="004C7B6B" w:rsidRPr="00C536CC" w:rsidSect="002D4ACD">
      <w:footerReference w:type="first" r:id="rId44"/>
      <w:pgSz w:w="11906" w:h="16838" w:code="9"/>
      <w:pgMar w:top="1021" w:right="1134" w:bottom="1021" w:left="1134" w:header="567" w:footer="54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B09C3" w14:textId="77777777" w:rsidR="000926B1" w:rsidRDefault="000926B1">
      <w:r>
        <w:separator/>
      </w:r>
    </w:p>
    <w:p w14:paraId="6BF2531B" w14:textId="77777777" w:rsidR="000926B1" w:rsidRDefault="000926B1"/>
  </w:endnote>
  <w:endnote w:type="continuationSeparator" w:id="0">
    <w:p w14:paraId="0BE19F3D" w14:textId="77777777" w:rsidR="000926B1" w:rsidRDefault="000926B1">
      <w:r>
        <w:continuationSeparator/>
      </w:r>
    </w:p>
    <w:p w14:paraId="69A6A580" w14:textId="77777777" w:rsidR="000926B1" w:rsidRDefault="00092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altName w:val="Century Gothic"/>
    <w:panose1 w:val="020F0502020204030204"/>
    <w:charset w:val="00"/>
    <w:family w:val="swiss"/>
    <w:pitch w:val="variable"/>
    <w:sig w:usb0="E4002EFF" w:usb1="C000247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87BF" w14:textId="77777777" w:rsidR="001649FD" w:rsidRDefault="001649F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3FAE" w14:textId="77777777" w:rsidR="00F462B7" w:rsidRPr="00557750" w:rsidRDefault="00F462B7" w:rsidP="00BB2780">
    <w:pPr>
      <w:pStyle w:val="Zpat"/>
      <w:tabs>
        <w:tab w:val="right" w:pos="9639"/>
      </w:tabs>
      <w:spacing w:after="0"/>
      <w:rPr>
        <w:rFonts w:ascii="Times New Roman" w:hAnsi="Times New Roman"/>
        <w:b/>
        <w:sz w:val="18"/>
        <w:szCs w:val="18"/>
      </w:rPr>
    </w:pPr>
    <w:r w:rsidRPr="00557750">
      <w:rPr>
        <w:rFonts w:ascii="Times New Roman" w:hAnsi="Times New Roman"/>
        <w:b/>
        <w:sz w:val="18"/>
        <w:szCs w:val="18"/>
      </w:rPr>
      <w:t>EuropeAid/</w:t>
    </w:r>
    <w:r w:rsidR="00EF237D">
      <w:rPr>
        <w:rFonts w:ascii="Times New Roman" w:hAnsi="Times New Roman"/>
        <w:b/>
        <w:noProof/>
        <w:sz w:val="18"/>
        <w:szCs w:val="18"/>
      </w:rPr>
      <w:t>184659</w:t>
    </w:r>
    <w:r w:rsidRPr="00557750">
      <w:rPr>
        <w:rFonts w:ascii="Times New Roman" w:hAnsi="Times New Roman"/>
        <w:b/>
        <w:sz w:val="18"/>
        <w:szCs w:val="18"/>
      </w:rPr>
      <w:t>/</w:t>
    </w:r>
    <w:r w:rsidR="00EF237D">
      <w:rPr>
        <w:rFonts w:ascii="Times New Roman" w:hAnsi="Times New Roman"/>
        <w:b/>
        <w:noProof/>
        <w:sz w:val="18"/>
        <w:szCs w:val="18"/>
      </w:rPr>
      <w:t>DH</w:t>
    </w:r>
    <w:r w:rsidRPr="00557750">
      <w:rPr>
        <w:rFonts w:ascii="Times New Roman" w:hAnsi="Times New Roman"/>
        <w:b/>
        <w:sz w:val="18"/>
        <w:szCs w:val="18"/>
      </w:rPr>
      <w:t>/</w:t>
    </w:r>
    <w:r w:rsidR="00EF237D">
      <w:rPr>
        <w:rFonts w:ascii="Times New Roman" w:hAnsi="Times New Roman"/>
        <w:b/>
        <w:noProof/>
        <w:sz w:val="18"/>
        <w:szCs w:val="18"/>
      </w:rPr>
      <w:t>ACT</w:t>
    </w:r>
    <w:r w:rsidRPr="00557750">
      <w:rPr>
        <w:rFonts w:ascii="Times New Roman" w:hAnsi="Times New Roman"/>
        <w:b/>
        <w:sz w:val="18"/>
        <w:szCs w:val="18"/>
      </w:rPr>
      <w:t>/</w:t>
    </w:r>
    <w:r w:rsidR="00EF237D">
      <w:rPr>
        <w:rFonts w:ascii="Times New Roman" w:hAnsi="Times New Roman"/>
        <w:b/>
        <w:noProof/>
        <w:sz w:val="18"/>
        <w:szCs w:val="18"/>
      </w:rPr>
      <w:t>Multi</w:t>
    </w:r>
    <w:r w:rsidRPr="00557750">
      <w:rPr>
        <w:rFonts w:ascii="Times New Roman" w:hAnsi="Times New Roman"/>
        <w:b/>
        <w:sz w:val="18"/>
        <w:szCs w:val="18"/>
      </w:rPr>
      <w:tab/>
    </w:r>
    <w:r w:rsidRPr="00557750">
      <w:rPr>
        <w:rFonts w:ascii="Times New Roman" w:hAnsi="Times New Roman"/>
        <w:sz w:val="18"/>
        <w:szCs w:val="18"/>
      </w:rPr>
      <w:t xml:space="preserve">Page </w:t>
    </w:r>
    <w:r w:rsidRPr="00557750">
      <w:rPr>
        <w:rFonts w:ascii="Times New Roman" w:hAnsi="Times New Roman"/>
        <w:sz w:val="18"/>
        <w:szCs w:val="18"/>
      </w:rPr>
      <w:fldChar w:fldCharType="begin"/>
    </w:r>
    <w:r w:rsidRPr="00557750">
      <w:rPr>
        <w:rFonts w:ascii="Times New Roman" w:hAnsi="Times New Roman"/>
        <w:sz w:val="18"/>
        <w:szCs w:val="18"/>
      </w:rPr>
      <w:instrText xml:space="preserve"> PAGE   \* MERGEFORMAT </w:instrText>
    </w:r>
    <w:r w:rsidRPr="00557750">
      <w:rPr>
        <w:rFonts w:ascii="Times New Roman" w:hAnsi="Times New Roman"/>
        <w:sz w:val="18"/>
        <w:szCs w:val="18"/>
      </w:rPr>
      <w:fldChar w:fldCharType="separate"/>
    </w:r>
    <w:r w:rsidR="00DD6958">
      <w:rPr>
        <w:rFonts w:ascii="Times New Roman" w:hAnsi="Times New Roman"/>
        <w:noProof/>
        <w:sz w:val="18"/>
        <w:szCs w:val="18"/>
      </w:rPr>
      <w:t>2</w:t>
    </w:r>
    <w:r w:rsidRPr="00557750">
      <w:rPr>
        <w:rFonts w:ascii="Times New Roman" w:hAnsi="Times New Roman"/>
        <w:sz w:val="18"/>
        <w:szCs w:val="18"/>
      </w:rPr>
      <w:fldChar w:fldCharType="end"/>
    </w:r>
    <w:r w:rsidRPr="00557750">
      <w:rPr>
        <w:rFonts w:ascii="Times New Roman" w:hAnsi="Times New Roman"/>
        <w:sz w:val="18"/>
        <w:szCs w:val="18"/>
      </w:rPr>
      <w:t xml:space="preserve"> of </w:t>
    </w:r>
    <w:r w:rsidRPr="00557750">
      <w:rPr>
        <w:rFonts w:ascii="Times New Roman" w:hAnsi="Times New Roman"/>
        <w:sz w:val="18"/>
        <w:szCs w:val="18"/>
      </w:rPr>
      <w:fldChar w:fldCharType="begin"/>
    </w:r>
    <w:r w:rsidRPr="00557750">
      <w:rPr>
        <w:rFonts w:ascii="Times New Roman" w:hAnsi="Times New Roman"/>
        <w:sz w:val="18"/>
        <w:szCs w:val="18"/>
      </w:rPr>
      <w:instrText xml:space="preserve"> NUMPAGES   \* MERGEFORMAT </w:instrText>
    </w:r>
    <w:r w:rsidRPr="00557750">
      <w:rPr>
        <w:rFonts w:ascii="Times New Roman" w:hAnsi="Times New Roman"/>
        <w:sz w:val="18"/>
        <w:szCs w:val="18"/>
      </w:rPr>
      <w:fldChar w:fldCharType="separate"/>
    </w:r>
    <w:r w:rsidR="00DD6958">
      <w:rPr>
        <w:rFonts w:ascii="Times New Roman" w:hAnsi="Times New Roman"/>
        <w:noProof/>
        <w:sz w:val="18"/>
        <w:szCs w:val="18"/>
      </w:rPr>
      <w:t>33</w:t>
    </w:r>
    <w:r w:rsidRPr="00557750">
      <w:rPr>
        <w:rFonts w:ascii="Times New Roman" w:hAnsi="Times New Roman"/>
        <w:sz w:val="18"/>
        <w:szCs w:val="18"/>
      </w:rPr>
      <w:fldChar w:fldCharType="end"/>
    </w:r>
  </w:p>
  <w:p w14:paraId="477AE614" w14:textId="77777777" w:rsidR="00F462B7" w:rsidRPr="00491F8A" w:rsidRDefault="00F462B7" w:rsidP="00BB2780">
    <w:pPr>
      <w:pStyle w:val="Zpat"/>
      <w:tabs>
        <w:tab w:val="right" w:pos="9639"/>
      </w:tabs>
      <w:spacing w:after="0"/>
      <w:rPr>
        <w:rFonts w:ascii="Times New Roman" w:hAnsi="Times New Roman"/>
        <w:sz w:val="18"/>
        <w:szCs w:val="18"/>
      </w:rPr>
    </w:pPr>
    <w:r>
      <w:rPr>
        <w:rFonts w:ascii="Times New Roman" w:hAnsi="Times New Roman"/>
        <w:b/>
        <w:sz w:val="18"/>
        <w:szCs w:val="18"/>
      </w:rPr>
      <w:t>202</w:t>
    </w:r>
    <w:r w:rsidR="000A1ED3">
      <w:rPr>
        <w:rFonts w:ascii="Times New Roman" w:hAnsi="Times New Roman"/>
        <w:b/>
        <w:sz w:val="18"/>
        <w:szCs w:val="18"/>
      </w:rPr>
      <w:t>5</w:t>
    </w:r>
    <w:r w:rsidRPr="00743E5C">
      <w:rPr>
        <w:rFonts w:ascii="Times New Roman" w:hAnsi="Times New Roman"/>
        <w:b/>
        <w:sz w:val="18"/>
        <w:szCs w:val="18"/>
      </w:rPr>
      <w:t xml:space="preserve"> </w:t>
    </w:r>
    <w:r w:rsidRPr="00C45E39">
      <w:rPr>
        <w:rFonts w:ascii="Times New Roman" w:hAnsi="Times New Roman"/>
        <w:sz w:val="18"/>
        <w:szCs w:val="18"/>
      </w:rPr>
      <w:fldChar w:fldCharType="begin"/>
    </w:r>
    <w:r w:rsidRPr="00C45E39">
      <w:rPr>
        <w:rFonts w:ascii="Times New Roman" w:hAnsi="Times New Roman"/>
        <w:sz w:val="18"/>
        <w:szCs w:val="18"/>
      </w:rPr>
      <w:instrText xml:space="preserve"> FILENAME </w:instrText>
    </w:r>
    <w:r w:rsidRPr="00C45E39">
      <w:rPr>
        <w:rFonts w:ascii="Times New Roman" w:hAnsi="Times New Roman"/>
        <w:sz w:val="18"/>
        <w:szCs w:val="18"/>
      </w:rPr>
      <w:fldChar w:fldCharType="separate"/>
    </w:r>
    <w:r w:rsidR="00EF237D">
      <w:rPr>
        <w:rFonts w:ascii="Times New Roman" w:hAnsi="Times New Roman"/>
        <w:noProof/>
        <w:sz w:val="18"/>
        <w:szCs w:val="18"/>
      </w:rPr>
      <w:t>Guidelines for grant applicant open (en).rtf</w:t>
    </w:r>
    <w:r w:rsidRPr="00C45E39">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BACC" w14:textId="77777777" w:rsidR="00F462B7" w:rsidRPr="00557750" w:rsidRDefault="00F462B7" w:rsidP="00F1500C">
    <w:pPr>
      <w:pStyle w:val="Zpat"/>
      <w:tabs>
        <w:tab w:val="right" w:pos="9639"/>
      </w:tabs>
      <w:spacing w:after="0"/>
      <w:rPr>
        <w:rFonts w:ascii="Times New Roman" w:hAnsi="Times New Roman"/>
        <w:b/>
        <w:sz w:val="18"/>
        <w:szCs w:val="18"/>
      </w:rPr>
    </w:pPr>
    <w:r w:rsidRPr="00557750">
      <w:rPr>
        <w:rFonts w:ascii="Times New Roman" w:hAnsi="Times New Roman"/>
        <w:b/>
        <w:sz w:val="18"/>
        <w:szCs w:val="18"/>
      </w:rPr>
      <w:t>EuropeAid/</w:t>
    </w:r>
    <w:r w:rsidR="00EF237D">
      <w:rPr>
        <w:rFonts w:ascii="Times New Roman" w:hAnsi="Times New Roman"/>
        <w:b/>
        <w:noProof/>
        <w:sz w:val="18"/>
        <w:szCs w:val="18"/>
      </w:rPr>
      <w:t>184659</w:t>
    </w:r>
    <w:r w:rsidRPr="00557750">
      <w:rPr>
        <w:rFonts w:ascii="Times New Roman" w:hAnsi="Times New Roman"/>
        <w:b/>
        <w:sz w:val="18"/>
        <w:szCs w:val="18"/>
      </w:rPr>
      <w:t>/</w:t>
    </w:r>
    <w:r w:rsidR="00EF237D">
      <w:rPr>
        <w:rFonts w:ascii="Times New Roman" w:hAnsi="Times New Roman"/>
        <w:b/>
        <w:noProof/>
        <w:sz w:val="18"/>
        <w:szCs w:val="18"/>
      </w:rPr>
      <w:t>DH</w:t>
    </w:r>
    <w:r w:rsidRPr="00557750">
      <w:rPr>
        <w:rFonts w:ascii="Times New Roman" w:hAnsi="Times New Roman"/>
        <w:b/>
        <w:sz w:val="18"/>
        <w:szCs w:val="18"/>
      </w:rPr>
      <w:t>/</w:t>
    </w:r>
    <w:r w:rsidR="00EF237D">
      <w:rPr>
        <w:rFonts w:ascii="Times New Roman" w:hAnsi="Times New Roman"/>
        <w:b/>
        <w:noProof/>
        <w:sz w:val="18"/>
        <w:szCs w:val="18"/>
      </w:rPr>
      <w:t>ACT</w:t>
    </w:r>
    <w:r w:rsidRPr="00557750">
      <w:rPr>
        <w:rFonts w:ascii="Times New Roman" w:hAnsi="Times New Roman"/>
        <w:b/>
        <w:sz w:val="18"/>
        <w:szCs w:val="18"/>
      </w:rPr>
      <w:t>/</w:t>
    </w:r>
    <w:r w:rsidR="00EF237D">
      <w:rPr>
        <w:rFonts w:ascii="Times New Roman" w:hAnsi="Times New Roman"/>
        <w:b/>
        <w:noProof/>
        <w:sz w:val="18"/>
        <w:szCs w:val="18"/>
      </w:rPr>
      <w:t>Multi</w:t>
    </w:r>
    <w:r w:rsidRPr="00557750">
      <w:rPr>
        <w:rFonts w:ascii="Times New Roman" w:hAnsi="Times New Roman"/>
        <w:b/>
        <w:sz w:val="18"/>
        <w:szCs w:val="18"/>
      </w:rPr>
      <w:tab/>
    </w:r>
    <w:r w:rsidRPr="00557750">
      <w:rPr>
        <w:rFonts w:ascii="Times New Roman" w:hAnsi="Times New Roman"/>
        <w:sz w:val="18"/>
        <w:szCs w:val="18"/>
      </w:rPr>
      <w:t xml:space="preserve">Page </w:t>
    </w:r>
    <w:r w:rsidRPr="00557750">
      <w:rPr>
        <w:rFonts w:ascii="Times New Roman" w:hAnsi="Times New Roman"/>
        <w:sz w:val="18"/>
        <w:szCs w:val="18"/>
      </w:rPr>
      <w:fldChar w:fldCharType="begin"/>
    </w:r>
    <w:r w:rsidRPr="00557750">
      <w:rPr>
        <w:rFonts w:ascii="Times New Roman" w:hAnsi="Times New Roman"/>
        <w:sz w:val="18"/>
        <w:szCs w:val="18"/>
      </w:rPr>
      <w:instrText xml:space="preserve"> PAGE   \* MERGEFORMAT </w:instrText>
    </w:r>
    <w:r w:rsidRPr="00557750">
      <w:rPr>
        <w:rFonts w:ascii="Times New Roman" w:hAnsi="Times New Roman"/>
        <w:sz w:val="18"/>
        <w:szCs w:val="18"/>
      </w:rPr>
      <w:fldChar w:fldCharType="separate"/>
    </w:r>
    <w:r w:rsidR="00DD6958">
      <w:rPr>
        <w:rFonts w:ascii="Times New Roman" w:hAnsi="Times New Roman"/>
        <w:noProof/>
        <w:sz w:val="18"/>
        <w:szCs w:val="18"/>
      </w:rPr>
      <w:t>1</w:t>
    </w:r>
    <w:r w:rsidRPr="00557750">
      <w:rPr>
        <w:rFonts w:ascii="Times New Roman" w:hAnsi="Times New Roman"/>
        <w:sz w:val="18"/>
        <w:szCs w:val="18"/>
      </w:rPr>
      <w:fldChar w:fldCharType="end"/>
    </w:r>
    <w:r w:rsidRPr="00557750">
      <w:rPr>
        <w:rFonts w:ascii="Times New Roman" w:hAnsi="Times New Roman"/>
        <w:sz w:val="18"/>
        <w:szCs w:val="18"/>
      </w:rPr>
      <w:t xml:space="preserve"> of </w:t>
    </w:r>
    <w:r w:rsidRPr="00557750">
      <w:rPr>
        <w:rFonts w:ascii="Times New Roman" w:hAnsi="Times New Roman"/>
        <w:sz w:val="18"/>
        <w:szCs w:val="18"/>
      </w:rPr>
      <w:fldChar w:fldCharType="begin"/>
    </w:r>
    <w:r w:rsidRPr="00557750">
      <w:rPr>
        <w:rFonts w:ascii="Times New Roman" w:hAnsi="Times New Roman"/>
        <w:sz w:val="18"/>
        <w:szCs w:val="18"/>
      </w:rPr>
      <w:instrText xml:space="preserve"> NUMPAGES   \* MERGEFORMAT </w:instrText>
    </w:r>
    <w:r w:rsidRPr="00557750">
      <w:rPr>
        <w:rFonts w:ascii="Times New Roman" w:hAnsi="Times New Roman"/>
        <w:sz w:val="18"/>
        <w:szCs w:val="18"/>
      </w:rPr>
      <w:fldChar w:fldCharType="separate"/>
    </w:r>
    <w:r w:rsidR="00DD6958">
      <w:rPr>
        <w:rFonts w:ascii="Times New Roman" w:hAnsi="Times New Roman"/>
        <w:noProof/>
        <w:sz w:val="18"/>
        <w:szCs w:val="18"/>
      </w:rPr>
      <w:t>33</w:t>
    </w:r>
    <w:r w:rsidRPr="00557750">
      <w:rPr>
        <w:rFonts w:ascii="Times New Roman" w:hAnsi="Times New Roman"/>
        <w:sz w:val="18"/>
        <w:szCs w:val="18"/>
      </w:rPr>
      <w:fldChar w:fldCharType="end"/>
    </w:r>
  </w:p>
  <w:p w14:paraId="161EF389" w14:textId="77777777" w:rsidR="00F462B7" w:rsidRPr="00F1500C" w:rsidRDefault="00573512" w:rsidP="00F1500C">
    <w:pPr>
      <w:pStyle w:val="Zpat"/>
    </w:pPr>
    <w:r>
      <w:rPr>
        <w:rFonts w:ascii="Times New Roman" w:hAnsi="Times New Roman"/>
        <w:b/>
        <w:sz w:val="18"/>
        <w:szCs w:val="18"/>
      </w:rPr>
      <w:t>202</w:t>
    </w:r>
    <w:r w:rsidR="000A1ED3">
      <w:rPr>
        <w:rFonts w:ascii="Times New Roman" w:hAnsi="Times New Roman"/>
        <w:b/>
        <w:sz w:val="18"/>
        <w:szCs w:val="18"/>
      </w:rPr>
      <w:t>5</w:t>
    </w:r>
    <w:r w:rsidR="00F462B7" w:rsidRPr="00743E5C">
      <w:rPr>
        <w:rFonts w:ascii="Times New Roman" w:hAnsi="Times New Roman"/>
        <w:b/>
        <w:sz w:val="18"/>
        <w:szCs w:val="18"/>
      </w:rPr>
      <w:t xml:space="preserve"> </w:t>
    </w:r>
    <w:r w:rsidR="00F462B7" w:rsidRPr="00C45E39">
      <w:rPr>
        <w:rFonts w:ascii="Times New Roman" w:hAnsi="Times New Roman"/>
        <w:sz w:val="18"/>
        <w:szCs w:val="18"/>
      </w:rPr>
      <w:fldChar w:fldCharType="begin"/>
    </w:r>
    <w:r w:rsidR="00F462B7" w:rsidRPr="00C45E39">
      <w:rPr>
        <w:rFonts w:ascii="Times New Roman" w:hAnsi="Times New Roman"/>
        <w:sz w:val="18"/>
        <w:szCs w:val="18"/>
      </w:rPr>
      <w:instrText xml:space="preserve"> FILENAME </w:instrText>
    </w:r>
    <w:r w:rsidR="00F462B7" w:rsidRPr="00C45E39">
      <w:rPr>
        <w:rFonts w:ascii="Times New Roman" w:hAnsi="Times New Roman"/>
        <w:sz w:val="18"/>
        <w:szCs w:val="18"/>
      </w:rPr>
      <w:fldChar w:fldCharType="separate"/>
    </w:r>
    <w:r w:rsidR="00EF237D">
      <w:rPr>
        <w:rFonts w:ascii="Times New Roman" w:hAnsi="Times New Roman"/>
        <w:noProof/>
        <w:sz w:val="18"/>
        <w:szCs w:val="18"/>
      </w:rPr>
      <w:t>Guidelines for grant applicant open (en).rtf</w:t>
    </w:r>
    <w:r w:rsidR="00F462B7" w:rsidRPr="00C45E39">
      <w:rP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D8DD" w14:textId="77777777" w:rsidR="00F462B7" w:rsidRPr="00557750" w:rsidRDefault="00F462B7" w:rsidP="00BB2780">
    <w:pPr>
      <w:pStyle w:val="Zpat"/>
      <w:tabs>
        <w:tab w:val="right" w:pos="9639"/>
      </w:tabs>
      <w:spacing w:after="0"/>
      <w:rPr>
        <w:rFonts w:ascii="Times New Roman" w:hAnsi="Times New Roman"/>
        <w:b/>
        <w:sz w:val="18"/>
        <w:szCs w:val="18"/>
      </w:rPr>
    </w:pPr>
    <w:r w:rsidRPr="00557750">
      <w:rPr>
        <w:rFonts w:ascii="Times New Roman" w:hAnsi="Times New Roman"/>
        <w:b/>
        <w:sz w:val="18"/>
        <w:szCs w:val="18"/>
      </w:rPr>
      <w:t>EuropeAid/</w:t>
    </w:r>
    <w:r w:rsidR="00EF237D">
      <w:rPr>
        <w:rFonts w:ascii="Times New Roman" w:hAnsi="Times New Roman"/>
        <w:b/>
        <w:noProof/>
        <w:sz w:val="18"/>
        <w:szCs w:val="18"/>
      </w:rPr>
      <w:t>184659</w:t>
    </w:r>
    <w:r w:rsidRPr="00557750">
      <w:rPr>
        <w:rFonts w:ascii="Times New Roman" w:hAnsi="Times New Roman"/>
        <w:b/>
        <w:sz w:val="18"/>
        <w:szCs w:val="18"/>
      </w:rPr>
      <w:t>/</w:t>
    </w:r>
    <w:r w:rsidR="00EF237D">
      <w:rPr>
        <w:rFonts w:ascii="Times New Roman" w:hAnsi="Times New Roman"/>
        <w:b/>
        <w:noProof/>
        <w:sz w:val="18"/>
        <w:szCs w:val="18"/>
      </w:rPr>
      <w:t>DH</w:t>
    </w:r>
    <w:r w:rsidRPr="00557750">
      <w:rPr>
        <w:rFonts w:ascii="Times New Roman" w:hAnsi="Times New Roman"/>
        <w:b/>
        <w:sz w:val="18"/>
        <w:szCs w:val="18"/>
      </w:rPr>
      <w:t>/</w:t>
    </w:r>
    <w:r w:rsidR="00EF237D">
      <w:rPr>
        <w:rFonts w:ascii="Times New Roman" w:hAnsi="Times New Roman"/>
        <w:b/>
        <w:noProof/>
        <w:sz w:val="18"/>
        <w:szCs w:val="18"/>
      </w:rPr>
      <w:t>ACT</w:t>
    </w:r>
    <w:r w:rsidRPr="00557750">
      <w:rPr>
        <w:rFonts w:ascii="Times New Roman" w:hAnsi="Times New Roman"/>
        <w:b/>
        <w:sz w:val="18"/>
        <w:szCs w:val="18"/>
      </w:rPr>
      <w:t>/</w:t>
    </w:r>
    <w:r w:rsidR="00EF237D">
      <w:rPr>
        <w:rFonts w:ascii="Times New Roman" w:hAnsi="Times New Roman"/>
        <w:b/>
        <w:noProof/>
        <w:sz w:val="18"/>
        <w:szCs w:val="18"/>
      </w:rPr>
      <w:t>Multi</w:t>
    </w:r>
    <w:r w:rsidRPr="00557750">
      <w:rPr>
        <w:rFonts w:ascii="Times New Roman" w:hAnsi="Times New Roman"/>
        <w:b/>
        <w:sz w:val="18"/>
        <w:szCs w:val="18"/>
      </w:rPr>
      <w:tab/>
    </w:r>
    <w:r w:rsidRPr="00557750">
      <w:rPr>
        <w:rFonts w:ascii="Times New Roman" w:hAnsi="Times New Roman"/>
        <w:sz w:val="18"/>
        <w:szCs w:val="18"/>
      </w:rPr>
      <w:t xml:space="preserve">Page </w:t>
    </w:r>
    <w:r w:rsidRPr="00557750">
      <w:rPr>
        <w:rFonts w:ascii="Times New Roman" w:hAnsi="Times New Roman"/>
        <w:sz w:val="18"/>
        <w:szCs w:val="18"/>
      </w:rPr>
      <w:fldChar w:fldCharType="begin"/>
    </w:r>
    <w:r w:rsidRPr="00557750">
      <w:rPr>
        <w:rFonts w:ascii="Times New Roman" w:hAnsi="Times New Roman"/>
        <w:sz w:val="18"/>
        <w:szCs w:val="18"/>
      </w:rPr>
      <w:instrText xml:space="preserve"> PAGE   \* MERGEFORMAT </w:instrText>
    </w:r>
    <w:r w:rsidRPr="00557750">
      <w:rPr>
        <w:rFonts w:ascii="Times New Roman" w:hAnsi="Times New Roman"/>
        <w:sz w:val="18"/>
        <w:szCs w:val="18"/>
      </w:rPr>
      <w:fldChar w:fldCharType="separate"/>
    </w:r>
    <w:r w:rsidR="00DD6958">
      <w:rPr>
        <w:rFonts w:ascii="Times New Roman" w:hAnsi="Times New Roman"/>
        <w:noProof/>
        <w:sz w:val="18"/>
        <w:szCs w:val="18"/>
      </w:rPr>
      <w:t>3</w:t>
    </w:r>
    <w:r w:rsidRPr="00557750">
      <w:rPr>
        <w:rFonts w:ascii="Times New Roman" w:hAnsi="Times New Roman"/>
        <w:sz w:val="18"/>
        <w:szCs w:val="18"/>
      </w:rPr>
      <w:fldChar w:fldCharType="end"/>
    </w:r>
    <w:r w:rsidRPr="00557750">
      <w:rPr>
        <w:rFonts w:ascii="Times New Roman" w:hAnsi="Times New Roman"/>
        <w:sz w:val="18"/>
        <w:szCs w:val="18"/>
      </w:rPr>
      <w:t xml:space="preserve"> of </w:t>
    </w:r>
    <w:r w:rsidRPr="00557750">
      <w:rPr>
        <w:rFonts w:ascii="Times New Roman" w:hAnsi="Times New Roman"/>
        <w:sz w:val="18"/>
        <w:szCs w:val="18"/>
      </w:rPr>
      <w:fldChar w:fldCharType="begin"/>
    </w:r>
    <w:r w:rsidRPr="00557750">
      <w:rPr>
        <w:rFonts w:ascii="Times New Roman" w:hAnsi="Times New Roman"/>
        <w:sz w:val="18"/>
        <w:szCs w:val="18"/>
      </w:rPr>
      <w:instrText xml:space="preserve"> NUMPAGES   \* MERGEFORMAT </w:instrText>
    </w:r>
    <w:r w:rsidRPr="00557750">
      <w:rPr>
        <w:rFonts w:ascii="Times New Roman" w:hAnsi="Times New Roman"/>
        <w:sz w:val="18"/>
        <w:szCs w:val="18"/>
      </w:rPr>
      <w:fldChar w:fldCharType="separate"/>
    </w:r>
    <w:r w:rsidR="00DD6958">
      <w:rPr>
        <w:rFonts w:ascii="Times New Roman" w:hAnsi="Times New Roman"/>
        <w:noProof/>
        <w:sz w:val="18"/>
        <w:szCs w:val="18"/>
      </w:rPr>
      <w:t>33</w:t>
    </w:r>
    <w:r w:rsidRPr="00557750">
      <w:rPr>
        <w:rFonts w:ascii="Times New Roman" w:hAnsi="Times New Roman"/>
        <w:sz w:val="18"/>
        <w:szCs w:val="18"/>
      </w:rPr>
      <w:fldChar w:fldCharType="end"/>
    </w:r>
  </w:p>
  <w:p w14:paraId="64077D29" w14:textId="77777777" w:rsidR="00F462B7" w:rsidRPr="00491F8A" w:rsidRDefault="00F462B7" w:rsidP="00BB2780">
    <w:pPr>
      <w:pStyle w:val="Zpat"/>
      <w:tabs>
        <w:tab w:val="right" w:pos="9639"/>
      </w:tabs>
      <w:spacing w:after="0"/>
      <w:rPr>
        <w:rFonts w:ascii="Times New Roman" w:hAnsi="Times New Roman"/>
        <w:sz w:val="18"/>
        <w:szCs w:val="18"/>
      </w:rPr>
    </w:pPr>
    <w:r>
      <w:rPr>
        <w:rFonts w:ascii="Times New Roman" w:hAnsi="Times New Roman"/>
        <w:b/>
        <w:sz w:val="18"/>
        <w:szCs w:val="18"/>
      </w:rPr>
      <w:t>202</w:t>
    </w:r>
    <w:r w:rsidR="000A1ED3">
      <w:rPr>
        <w:rFonts w:ascii="Times New Roman" w:hAnsi="Times New Roman"/>
        <w:b/>
        <w:sz w:val="18"/>
        <w:szCs w:val="18"/>
      </w:rPr>
      <w:t>5</w:t>
    </w:r>
    <w:r w:rsidRPr="00743E5C">
      <w:rPr>
        <w:rFonts w:ascii="Times New Roman" w:hAnsi="Times New Roman"/>
        <w:b/>
        <w:sz w:val="18"/>
        <w:szCs w:val="18"/>
      </w:rPr>
      <w:t xml:space="preserve"> </w:t>
    </w:r>
    <w:r w:rsidRPr="00C45E39">
      <w:rPr>
        <w:rFonts w:ascii="Times New Roman" w:hAnsi="Times New Roman"/>
        <w:sz w:val="18"/>
        <w:szCs w:val="18"/>
      </w:rPr>
      <w:fldChar w:fldCharType="begin"/>
    </w:r>
    <w:r w:rsidRPr="00C45E39">
      <w:rPr>
        <w:rFonts w:ascii="Times New Roman" w:hAnsi="Times New Roman"/>
        <w:sz w:val="18"/>
        <w:szCs w:val="18"/>
      </w:rPr>
      <w:instrText xml:space="preserve"> FILENAME </w:instrText>
    </w:r>
    <w:r w:rsidRPr="00C45E39">
      <w:rPr>
        <w:rFonts w:ascii="Times New Roman" w:hAnsi="Times New Roman"/>
        <w:sz w:val="18"/>
        <w:szCs w:val="18"/>
      </w:rPr>
      <w:fldChar w:fldCharType="separate"/>
    </w:r>
    <w:r w:rsidR="00EF237D">
      <w:rPr>
        <w:rFonts w:ascii="Times New Roman" w:hAnsi="Times New Roman"/>
        <w:noProof/>
        <w:sz w:val="18"/>
        <w:szCs w:val="18"/>
      </w:rPr>
      <w:t>Guidelines for grant applicant open (en).rtf</w:t>
    </w:r>
    <w:r w:rsidRPr="00C45E39">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A060" w14:textId="77777777" w:rsidR="000926B1" w:rsidRDefault="000926B1" w:rsidP="00F53E16">
      <w:pPr>
        <w:spacing w:before="120" w:after="0"/>
      </w:pPr>
      <w:r>
        <w:separator/>
      </w:r>
    </w:p>
  </w:footnote>
  <w:footnote w:type="continuationSeparator" w:id="0">
    <w:p w14:paraId="5CA07B5E" w14:textId="77777777" w:rsidR="000926B1" w:rsidRDefault="000926B1">
      <w:r>
        <w:continuationSeparator/>
      </w:r>
    </w:p>
  </w:footnote>
  <w:footnote w:type="continuationNotice" w:id="1">
    <w:p w14:paraId="6FDA5AD6" w14:textId="77777777" w:rsidR="000926B1" w:rsidRPr="004D357E" w:rsidRDefault="000926B1" w:rsidP="004D357E">
      <w:pPr>
        <w:pStyle w:val="Zpat"/>
      </w:pPr>
    </w:p>
  </w:footnote>
  <w:footnote w:id="2">
    <w:p w14:paraId="30705966" w14:textId="77777777" w:rsidR="00000000" w:rsidRDefault="00F462B7" w:rsidP="007E0C0E">
      <w:pPr>
        <w:pStyle w:val="Textpoznpodarou"/>
      </w:pPr>
      <w:r w:rsidRPr="00CD5DAC">
        <w:rPr>
          <w:rStyle w:val="Znakapoznpodarou"/>
          <w:sz w:val="20"/>
        </w:rPr>
        <w:footnoteRef/>
      </w:r>
      <w:r w:rsidR="00CD5DAC" w:rsidRPr="00CD5DAC">
        <w:tab/>
      </w:r>
      <w:r w:rsidRPr="00CD5DAC">
        <w:t>Online submission via PROSPECT is mandatory for this call for proposals (see section 2.2.2). In PROSPECT all dates and times are expressed in Brussels time. Applicants should note that the IT support is open Monday to Friday from 08:30 to 18:30 Brussels time (except during European Commission public holidays in Belgium as published in the Official Journal). Applicants should take note of the weekly maintenance hours mentioned in the PROSPECT user manual.</w:t>
      </w:r>
    </w:p>
  </w:footnote>
  <w:footnote w:id="3">
    <w:p w14:paraId="61226B3B" w14:textId="77777777" w:rsidR="00000000" w:rsidRDefault="00F462B7" w:rsidP="007E0C0E">
      <w:pPr>
        <w:pStyle w:val="Textpoznpodarou"/>
      </w:pPr>
      <w:r w:rsidRPr="00CD5DAC">
        <w:rPr>
          <w:rStyle w:val="Znakapoznpodarou"/>
          <w:sz w:val="20"/>
        </w:rPr>
        <w:footnoteRef/>
      </w:r>
      <w:r w:rsidR="00CD5DAC" w:rsidRPr="00CD5DAC">
        <w:tab/>
      </w:r>
      <w:r w:rsidRPr="00CD5DAC">
        <w:t xml:space="preserve">An example of a time converter tool available: </w:t>
      </w:r>
      <w:hyperlink r:id="rId1" w:history="1">
        <w:r w:rsidR="00A55A0C" w:rsidRPr="00CD5DAC">
          <w:rPr>
            <w:rStyle w:val="Hypertextovodkaz"/>
          </w:rPr>
          <w:t>http://www.timeanddate.com/worldclock/converter.html</w:t>
        </w:r>
      </w:hyperlink>
      <w:r w:rsidRPr="00CD5DAC">
        <w:t>.</w:t>
      </w:r>
    </w:p>
  </w:footnote>
  <w:footnote w:id="4">
    <w:p w14:paraId="007893B9" w14:textId="77777777" w:rsidR="00000000" w:rsidRDefault="00E739DA" w:rsidP="007E0C0E">
      <w:pPr>
        <w:pStyle w:val="Textpoznpodarou"/>
      </w:pPr>
      <w:r w:rsidRPr="00261424">
        <w:rPr>
          <w:rStyle w:val="Znakapoznpodarou"/>
          <w:sz w:val="18"/>
        </w:rPr>
        <w:footnoteRef/>
      </w:r>
      <w:r w:rsidRPr="00261424">
        <w:t xml:space="preserve"> If PROSPECT is unavailable, the IT support can also be reached via e</w:t>
      </w:r>
      <w:r>
        <w:t>-</w:t>
      </w:r>
      <w:r w:rsidRPr="00261424">
        <w:t xml:space="preserve">mail: </w:t>
      </w:r>
      <w:r w:rsidRPr="00C97D69">
        <w:t>ec-external-relations-application-support@ec.europa.eu</w:t>
      </w:r>
    </w:p>
  </w:footnote>
  <w:footnote w:id="5">
    <w:p w14:paraId="2CC7D927" w14:textId="77777777" w:rsidR="00000000" w:rsidRDefault="00774ED9" w:rsidP="007E0C0E">
      <w:pPr>
        <w:pStyle w:val="Textpoznpodarou"/>
      </w:pPr>
      <w:r>
        <w:rPr>
          <w:rStyle w:val="Znakapoznpodarou"/>
        </w:rPr>
        <w:footnoteRef/>
      </w:r>
      <w:r>
        <w:t xml:space="preserve"> </w:t>
      </w:r>
      <w:r w:rsidRPr="00C5410E">
        <w:t>Where a grant is financed by the European Development Fund, any mention of European Union financing must be understood as referring to European Development Fund financing</w:t>
      </w:r>
      <w:r>
        <w:t>.</w:t>
      </w:r>
    </w:p>
  </w:footnote>
  <w:footnote w:id="6">
    <w:p w14:paraId="09E288CF" w14:textId="77777777" w:rsidR="00000000" w:rsidRDefault="00F462B7" w:rsidP="007E0C0E">
      <w:pPr>
        <w:pStyle w:val="Textpoznpodarou"/>
      </w:pPr>
      <w:r w:rsidRPr="00CD5DAC">
        <w:rPr>
          <w:rStyle w:val="Znakapoznpodarou"/>
          <w:sz w:val="20"/>
        </w:rPr>
        <w:footnoteRef/>
      </w:r>
      <w:r w:rsidR="00CD5DAC" w:rsidRPr="00CD5DAC">
        <w:tab/>
      </w:r>
      <w:r w:rsidRPr="00CD5DAC">
        <w:t>Note that a lead applicant (i.e. a coordinator) whose pillars have been positively assessed by the European Commission and who is awarded a grant will not sign the standard grant contract published with these guidelines but a contribution agreement based on the contribution agreement template. All references in these guidelines and other documents related to this call to the standard grant contract shall in this case be understood as referring to the relevant provisions of the contribution agreement template.</w:t>
      </w:r>
    </w:p>
  </w:footnote>
  <w:footnote w:id="7">
    <w:p w14:paraId="52A731CC" w14:textId="77777777" w:rsidR="00000000" w:rsidRDefault="00910A2A" w:rsidP="007E0C0E">
      <w:pPr>
        <w:pStyle w:val="Textpoznpodarou"/>
      </w:pPr>
      <w:r w:rsidRPr="005A44BC">
        <w:rPr>
          <w:rStyle w:val="Znakapoznpodarou"/>
        </w:rPr>
        <w:footnoteRef/>
      </w:r>
      <w:r w:rsidRPr="005A44BC">
        <w:t xml:space="preserve"> For the purposes of this call, a “start-up” shall be understood as an independent company, generally not exceeding five years of age, which is not controlled by or a subsidiary of a larger corporate group, which pursues an innovative and scalable business model, and which demonstrates a significant potential for growth and job creation.</w:t>
      </w:r>
    </w:p>
  </w:footnote>
  <w:footnote w:id="8">
    <w:p w14:paraId="732E30F7" w14:textId="77777777" w:rsidR="00000000" w:rsidRDefault="00910A2A" w:rsidP="007E0C0E">
      <w:pPr>
        <w:pStyle w:val="Textpoznpodarou"/>
      </w:pPr>
      <w:r>
        <w:rPr>
          <w:rStyle w:val="Znakapoznpodarou"/>
        </w:rPr>
        <w:footnoteRef/>
      </w:r>
      <w:r>
        <w:t xml:space="preserve"> A</w:t>
      </w:r>
      <w:r w:rsidRPr="000C6CD7">
        <w:t>s defined in the Commission Recommendation of 6 May 2003 (C(2003)1422)</w:t>
      </w:r>
      <w:r>
        <w:t>.</w:t>
      </w:r>
    </w:p>
  </w:footnote>
  <w:footnote w:id="9">
    <w:p w14:paraId="4E1971C2" w14:textId="77777777" w:rsidR="00000000" w:rsidRDefault="00910A2A" w:rsidP="007E0C0E">
      <w:pPr>
        <w:pStyle w:val="Textpoznpodarou"/>
      </w:pPr>
      <w:r w:rsidRPr="005A44BC">
        <w:rPr>
          <w:rStyle w:val="Znakapoznpodarou"/>
        </w:rPr>
        <w:footnoteRef/>
      </w:r>
      <w:r w:rsidRPr="005A44BC">
        <w:t xml:space="preserve"> For the purposes of this call, “internationalization projects” shall be understood as projects aimed at enabling</w:t>
      </w:r>
      <w:r>
        <w:t xml:space="preserve"> a</w:t>
      </w:r>
      <w:r w:rsidRPr="005A44BC">
        <w:t xml:space="preserve"> company to enter, expand or strengthen its commercial</w:t>
      </w:r>
      <w:r>
        <w:t>, research and development, industrial, construction or logistical</w:t>
      </w:r>
      <w:r w:rsidRPr="005A44BC">
        <w:t xml:space="preserve"> activities in </w:t>
      </w:r>
      <w:r w:rsidRPr="00550075">
        <w:t>markets outside its country of establishment.</w:t>
      </w:r>
    </w:p>
  </w:footnote>
  <w:footnote w:id="10">
    <w:p w14:paraId="412E0D66" w14:textId="77777777" w:rsidR="00000000" w:rsidRDefault="00910A2A" w:rsidP="007E0C0E">
      <w:pPr>
        <w:pStyle w:val="Textpoznpodarou"/>
      </w:pPr>
      <w:r w:rsidRPr="00550075">
        <w:rPr>
          <w:rStyle w:val="Znakapoznpodarou"/>
        </w:rPr>
        <w:footnoteRef/>
      </w:r>
      <w:r w:rsidRPr="00550075">
        <w:t xml:space="preserve"> International organisations are international public-sector organisations set up by intergovernmental agreements as well as specialised agencies set up by them; the International Committee of the Red Cross (ICRC) and the International Federation of National Red Cross and Red Crescent Societies are also recognised as international organisations. While the European Commission may assimilate other non-profit organisations to international organisations, this is not relevant for this call for proposals. Thus, a non-profit organisation assimilated by the European Commission under Article 159(3) is not regarded as an international organisation under this call for proposals.</w:t>
      </w:r>
    </w:p>
  </w:footnote>
  <w:footnote w:id="11">
    <w:p w14:paraId="1EC4C771" w14:textId="77777777" w:rsidR="00000000" w:rsidRDefault="00910A2A" w:rsidP="007E0C0E">
      <w:pPr>
        <w:pStyle w:val="Textpoznpodarou"/>
      </w:pPr>
      <w:r w:rsidRPr="00550075">
        <w:rPr>
          <w:rStyle w:val="Znakapoznpodarou"/>
        </w:rPr>
        <w:footnoteRef/>
      </w:r>
      <w:r w:rsidRPr="00550075">
        <w:t xml:space="preserve"> To be determined on the basis of the organisation’s statutes, which</w:t>
      </w:r>
      <w:r w:rsidRPr="00C80114">
        <w:t xml:space="preserve"> should demonstrate that it has been established by an instrument governed by the national law of the country concerned and that its head office is located in an eligible country. In this respect, any legal entity whose statutes have been established in another country cannot be considered an eligible local organisation, even if the statutes are registered locally or a ‘Memorandum of Understanding’ has been concluded.</w:t>
      </w:r>
      <w:r w:rsidRPr="003F7419">
        <w:t xml:space="preserve"> </w:t>
      </w:r>
    </w:p>
  </w:footnote>
  <w:footnote w:id="12">
    <w:p w14:paraId="7E23F52A" w14:textId="77777777" w:rsidR="00000000" w:rsidRDefault="00CD1D62" w:rsidP="007E0C0E">
      <w:pPr>
        <w:pStyle w:val="Textpoznpodarou"/>
      </w:pPr>
      <w:r>
        <w:rPr>
          <w:rStyle w:val="Znakapoznpodarou"/>
        </w:rPr>
        <w:footnoteRef/>
      </w:r>
      <w:r>
        <w:t xml:space="preserve"> </w:t>
      </w:r>
      <w:r w:rsidRPr="00C24680">
        <w:t>Due to the legal status of international organisations, the obligation of effective establishment in the referred countries does not apply to international organisations, where the latter are eligible.</w:t>
      </w:r>
    </w:p>
  </w:footnote>
  <w:footnote w:id="13">
    <w:p w14:paraId="44815886" w14:textId="77777777" w:rsidR="00CD1D62" w:rsidRPr="00642C6E" w:rsidRDefault="00CD1D62" w:rsidP="007E0C0E">
      <w:pPr>
        <w:pStyle w:val="Textpoznpodarou"/>
      </w:pPr>
      <w:r w:rsidRPr="00574120">
        <w:rPr>
          <w:rStyle w:val="Znakapoznpodarou"/>
        </w:rPr>
        <w:footnoteRef/>
      </w:r>
      <w:r w:rsidRPr="00574120">
        <w:t xml:space="preserve"> </w:t>
      </w:r>
      <w:r w:rsidRPr="00642C6E">
        <w:t>For consistency along the document, the following interpretation of the words “proposal”, “action” and “project” is considered:</w:t>
      </w:r>
    </w:p>
    <w:p w14:paraId="312DE7B8" w14:textId="77777777" w:rsidR="00CD1D62" w:rsidRPr="00642C6E" w:rsidRDefault="00CD1D62" w:rsidP="00816803">
      <w:pPr>
        <w:pStyle w:val="Textpoznpodarou"/>
        <w:numPr>
          <w:ilvl w:val="0"/>
          <w:numId w:val="21"/>
        </w:numPr>
      </w:pPr>
      <w:r w:rsidRPr="00642C6E">
        <w:t>Proposal: detailed plan or offer submitted in response to this call for proposals, detailing the objectives, methodologies, and resources required to address the specific requirements set by the call.</w:t>
      </w:r>
    </w:p>
    <w:p w14:paraId="491F4BEB" w14:textId="77777777" w:rsidR="00CD1D62" w:rsidRPr="00642C6E" w:rsidRDefault="00CD1D62" w:rsidP="00816803">
      <w:pPr>
        <w:pStyle w:val="Textpoznpodarou"/>
        <w:numPr>
          <w:ilvl w:val="0"/>
          <w:numId w:val="21"/>
        </w:numPr>
      </w:pPr>
      <w:r w:rsidRPr="00642C6E">
        <w:t>Action: specific set of activities outlined in the proposal, which becomes the actionable component once the proposal is approved and formalized through a grant agreement.</w:t>
      </w:r>
    </w:p>
    <w:p w14:paraId="50B05A8D" w14:textId="77777777" w:rsidR="00000000" w:rsidRDefault="00CD1D62" w:rsidP="00816803">
      <w:pPr>
        <w:pStyle w:val="Textpoznpodarou"/>
        <w:numPr>
          <w:ilvl w:val="0"/>
          <w:numId w:val="21"/>
        </w:numPr>
      </w:pPr>
      <w:r w:rsidRPr="00642C6E">
        <w:t>Project: broader initiative or overarching goal to which the action contributes, encompassing various actions or phases that collectively aim to achieve the larger objectives. In this case, the project should be in the transport, digital, energy or urban development sectors.</w:t>
      </w:r>
      <w:r>
        <w:br/>
      </w:r>
    </w:p>
  </w:footnote>
  <w:footnote w:id="14">
    <w:p w14:paraId="188EA772" w14:textId="77777777" w:rsidR="00000000" w:rsidRDefault="005050DE" w:rsidP="007E0C0E">
      <w:pPr>
        <w:pStyle w:val="Textpoznpodarou"/>
      </w:pPr>
      <w:r w:rsidRPr="008B21E4">
        <w:rPr>
          <w:rStyle w:val="Znakapoznpodarou"/>
        </w:rPr>
        <w:footnoteRef/>
      </w:r>
      <w:r w:rsidRPr="008B21E4">
        <w:t xml:space="preserve"> https://international-partnerships.ec.europa.eu/countries_en</w:t>
      </w:r>
    </w:p>
  </w:footnote>
  <w:footnote w:id="15">
    <w:p w14:paraId="33BA7A2F" w14:textId="77777777" w:rsidR="00000000" w:rsidRDefault="0002714A" w:rsidP="007E0C0E">
      <w:pPr>
        <w:pStyle w:val="Textpoznpodarou"/>
      </w:pPr>
      <w:r>
        <w:rPr>
          <w:rStyle w:val="Znakapoznpodarou"/>
        </w:rPr>
        <w:footnoteRef/>
      </w:r>
      <w:r>
        <w:t xml:space="preserve"> </w:t>
      </w:r>
      <w:r w:rsidRPr="008B21E4">
        <w:t>https://international-partnerships.ec.europa.eu/countries_en</w:t>
      </w:r>
    </w:p>
  </w:footnote>
  <w:footnote w:id="16">
    <w:p w14:paraId="13EE38A4" w14:textId="77777777" w:rsidR="00000000" w:rsidRDefault="005C5B6F" w:rsidP="007E0C0E">
      <w:pPr>
        <w:pStyle w:val="Textpoznpodarou"/>
      </w:pPr>
      <w:r>
        <w:rPr>
          <w:rStyle w:val="Znakapoznpodarou"/>
        </w:rPr>
        <w:footnoteRef/>
      </w:r>
      <w:r w:rsidRPr="00835031">
        <w:t xml:space="preserve"> Article 29 NDICI.</w:t>
      </w:r>
    </w:p>
  </w:footnote>
  <w:footnote w:id="17">
    <w:p w14:paraId="34FF9DB5" w14:textId="77777777" w:rsidR="00000000" w:rsidRDefault="007E0C0E" w:rsidP="007E0C0E">
      <w:pPr>
        <w:pStyle w:val="Textpoznpodarou"/>
      </w:pPr>
      <w:r>
        <w:rPr>
          <w:rStyle w:val="Znakapoznpodarou"/>
        </w:rPr>
        <w:footnoteRef/>
      </w:r>
      <w:r>
        <w:t xml:space="preserve"> </w:t>
      </w:r>
      <w:r w:rsidRPr="00BF6FC3">
        <w:rPr>
          <w:lang w:val="en-IE"/>
        </w:rPr>
        <w:t xml:space="preserve">Decision available at </w:t>
      </w:r>
      <w:hyperlink r:id="rId2" w:history="1">
        <w:r w:rsidRPr="00BF6FC3">
          <w:rPr>
            <w:rStyle w:val="Hypertextovodkaz"/>
            <w:lang w:val="en-IE"/>
          </w:rPr>
          <w:t>https://international-partnerships.ec.europa.eu/funding-and-technical-assistance/guidelines/managing-intervention/single-lump-sum-grants_en</w:t>
        </w:r>
      </w:hyperlink>
      <w:r w:rsidRPr="00BF6FC3">
        <w:rPr>
          <w:lang w:val="en-IE"/>
        </w:rPr>
        <w:t>.</w:t>
      </w:r>
    </w:p>
  </w:footnote>
  <w:footnote w:id="18">
    <w:p w14:paraId="4D51F016" w14:textId="77777777" w:rsidR="00000000" w:rsidRDefault="006F3C79" w:rsidP="006F3C79">
      <w:pPr>
        <w:pStyle w:val="Textpoznpodarou"/>
      </w:pPr>
      <w:r>
        <w:rPr>
          <w:rStyle w:val="Znakapoznpodarou"/>
        </w:rPr>
        <w:footnoteRef/>
      </w:r>
      <w:r>
        <w:t xml:space="preserve"> </w:t>
      </w:r>
      <w:r w:rsidRPr="0027409A">
        <w:t>No supporting documents will be requested for applications for a grant not exceeding EUR 60 000, or the following categories of lead applicants: (i) natural persons in receipt of education support (ii) natural persons most in need, such as unemployed and refugees, and in receipt of direct support (iii) public bodies, including Member State organisations (iv) international organisations.</w:t>
      </w:r>
    </w:p>
  </w:footnote>
  <w:footnote w:id="19">
    <w:p w14:paraId="5B7452D5" w14:textId="77777777" w:rsidR="00000000" w:rsidRDefault="006F3C79" w:rsidP="006F3C79">
      <w:pPr>
        <w:pStyle w:val="Textpoznpodarou"/>
      </w:pPr>
      <w:r>
        <w:rPr>
          <w:rStyle w:val="Znakapoznpodarou"/>
        </w:rPr>
        <w:footnoteRef/>
      </w:r>
      <w:r>
        <w:t xml:space="preserve"> </w:t>
      </w:r>
      <w:r w:rsidRPr="00D847FB">
        <w:t>Please note that only the QES within the meaning of Regulation (EU) No 910/2014 (eIDAS Regulation) will be accepted. Regulation (EU) No 910/2014 of the European Parliament and of the Council of 23 July 2014 on electronic identification and trust services for electronic transactions in the internal market and repealing Directive 1999/93/EC.</w:t>
      </w:r>
    </w:p>
  </w:footnote>
  <w:footnote w:id="20">
    <w:p w14:paraId="189AA33A" w14:textId="77777777" w:rsidR="00000000" w:rsidRDefault="00F462B7" w:rsidP="007E0C0E">
      <w:pPr>
        <w:pStyle w:val="Textpoznpodarou"/>
      </w:pPr>
      <w:r w:rsidRPr="00057A92">
        <w:rPr>
          <w:rStyle w:val="Znakapoznpodarou"/>
          <w:sz w:val="20"/>
        </w:rPr>
        <w:footnoteRef/>
      </w:r>
      <w:r w:rsidR="00057A92">
        <w:tab/>
      </w:r>
      <w:r w:rsidRPr="00057A92">
        <w:rPr>
          <w:lang w:val="en-US"/>
        </w:rPr>
        <w:t>For example: http://www.timeanddate.com/worldclock/converter.html.</w:t>
      </w:r>
    </w:p>
  </w:footnote>
  <w:footnote w:id="21">
    <w:p w14:paraId="7F74A67B" w14:textId="77777777" w:rsidR="00000000" w:rsidRDefault="00882D9A" w:rsidP="00882D9A">
      <w:pPr>
        <w:pStyle w:val="Textpoznpodarou"/>
      </w:pPr>
      <w:r>
        <w:rPr>
          <w:rStyle w:val="Znakapoznpodarou"/>
        </w:rPr>
        <w:footnoteRef/>
      </w:r>
      <w:r>
        <w:t xml:space="preserve"> For clarification, this means that if</w:t>
      </w:r>
      <w:r w:rsidRPr="00623B2C">
        <w:t xml:space="preserve"> an applicant </w:t>
      </w:r>
      <w:r>
        <w:t>requests</w:t>
      </w:r>
      <w:r w:rsidRPr="00623B2C">
        <w:t xml:space="preserve"> </w:t>
      </w:r>
      <w:r>
        <w:t xml:space="preserve">a 2,000,000 EUR grant to be implemented during 36 months, the average annual turnover during the last three years should be at least </w:t>
      </w:r>
      <w:r w:rsidRPr="00465524">
        <w:t xml:space="preserve">666,000 </w:t>
      </w:r>
      <w:r>
        <w:t>EUR</w:t>
      </w:r>
      <w:r w:rsidRPr="00465524">
        <w:t>/year</w:t>
      </w:r>
      <w:r>
        <w:t>.</w:t>
      </w:r>
    </w:p>
  </w:footnote>
  <w:footnote w:id="22">
    <w:p w14:paraId="3923C8A6" w14:textId="77777777" w:rsidR="00000000" w:rsidRDefault="00882D9A" w:rsidP="00882D9A">
      <w:pPr>
        <w:pStyle w:val="Textpoznpodarou"/>
      </w:pPr>
      <w:r>
        <w:rPr>
          <w:rStyle w:val="Znakapoznpodarou"/>
        </w:rPr>
        <w:footnoteRef/>
      </w:r>
      <w:r>
        <w:t xml:space="preserve"> Sufficient expertise is understood as d</w:t>
      </w:r>
      <w:r w:rsidRPr="00DD6A8A">
        <w:t>emonstrated, relevant knowledge and practical experience of the start-up’s core team that collectively ensures the ability to implement the proposed project successfully</w:t>
      </w:r>
      <w:r>
        <w:t>.</w:t>
      </w:r>
    </w:p>
  </w:footnote>
  <w:footnote w:id="23">
    <w:p w14:paraId="2CD56DD6" w14:textId="77777777" w:rsidR="00000000" w:rsidRDefault="00F462B7" w:rsidP="007E0C0E">
      <w:pPr>
        <w:pStyle w:val="Textpoznpodarou"/>
      </w:pPr>
      <w:r w:rsidRPr="00057A92">
        <w:rPr>
          <w:vertAlign w:val="superscript"/>
        </w:rPr>
        <w:footnoteRef/>
      </w:r>
      <w:r w:rsidR="00057A92">
        <w:tab/>
      </w:r>
      <w:r w:rsidRPr="00057A92">
        <w:t>These documents should also be published by the contracting authority.</w:t>
      </w:r>
    </w:p>
  </w:footnote>
  <w:footnote w:id="24">
    <w:p w14:paraId="12E362F1" w14:textId="77777777" w:rsidR="00000000" w:rsidRDefault="004D4607" w:rsidP="00A77B75">
      <w:pPr>
        <w:pStyle w:val="Textpoznpodarou"/>
      </w:pPr>
      <w:r w:rsidRPr="00217129">
        <w:rPr>
          <w:rStyle w:val="Znakapoznpodarou"/>
          <w:sz w:val="16"/>
          <w:szCs w:val="16"/>
        </w:rPr>
        <w:footnoteRef/>
      </w:r>
      <w:r>
        <w:tab/>
      </w:r>
      <w:r w:rsidRPr="0068497F">
        <w:t>Please note that the toolkit is not part of the grant contract and has no legal value. It merely provides general guidance and may in some details differ from the signed grant contract. In order to ensure compliance with their contractual obligations beneficiaries should not exclusively rely on the toolkit but always consult their individual contract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C2B3" w14:textId="77777777" w:rsidR="001649FD" w:rsidRDefault="001649F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2580" w14:textId="77777777" w:rsidR="001649FD" w:rsidRDefault="001649F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1BF0" w14:textId="77777777" w:rsidR="001649FD" w:rsidRDefault="001649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1" w15:restartNumberingAfterBreak="0">
    <w:nsid w:val="FFFFFF80"/>
    <w:multiLevelType w:val="multilevel"/>
    <w:tmpl w:val="FFFFFFFF"/>
    <w:lvl w:ilvl="0">
      <w:start w:val="1"/>
      <w:numFmt w:val="bullet"/>
      <w:lvlText w:val=""/>
      <w:lvlJc w:val="left"/>
      <w:pPr>
        <w:tabs>
          <w:tab w:val="num" w:pos="1492"/>
        </w:tabs>
        <w:ind w:left="1492"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652CCC"/>
    <w:multiLevelType w:val="multilevel"/>
    <w:tmpl w:val="FFFFFFFF"/>
    <w:lvl w:ilvl="0">
      <w:start w:val="1"/>
      <w:numFmt w:val="decimal"/>
      <w:lvlText w:val="%1."/>
      <w:lvlJc w:val="left"/>
      <w:pPr>
        <w:ind w:left="567" w:hanging="567"/>
      </w:pPr>
      <w:rPr>
        <w:rFonts w:ascii="Times New Roman Bold" w:hAnsi="Times New Roman Bold" w:cs="Times New Roman" w:hint="default"/>
        <w:b/>
        <w:i w:val="0"/>
        <w:caps/>
        <w:strike w:val="0"/>
        <w:dstrike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567" w:hanging="567"/>
      </w:pPr>
      <w:rPr>
        <w:rFonts w:ascii="Times New Roman Bold" w:hAnsi="Times New Roman Bold" w:cs="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51" w:hanging="851"/>
      </w:pPr>
      <w:rPr>
        <w:rFonts w:ascii="Times New Roman Bold" w:hAnsi="Times New Roman Bold" w:cs="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cs="Times New Roman" w:hint="default"/>
      </w:rPr>
    </w:lvl>
    <w:lvl w:ilvl="4">
      <w:start w:val="1"/>
      <w:numFmt w:val="decimal"/>
      <w:isLgl/>
      <w:lvlText w:val="%1.%2.%3.%4.%5"/>
      <w:lvlJc w:val="left"/>
      <w:pPr>
        <w:ind w:left="567" w:hanging="567"/>
      </w:pPr>
      <w:rPr>
        <w:rFonts w:cs="Times New Roman" w:hint="default"/>
      </w:rPr>
    </w:lvl>
    <w:lvl w:ilvl="5">
      <w:start w:val="1"/>
      <w:numFmt w:val="decimal"/>
      <w:isLgl/>
      <w:lvlText w:val="%1.%2.%3.%4.%5.%6"/>
      <w:lvlJc w:val="left"/>
      <w:pPr>
        <w:ind w:left="567" w:hanging="567"/>
      </w:pPr>
      <w:rPr>
        <w:rFonts w:cs="Times New Roman" w:hint="default"/>
      </w:rPr>
    </w:lvl>
    <w:lvl w:ilvl="6">
      <w:start w:val="1"/>
      <w:numFmt w:val="decimal"/>
      <w:isLgl/>
      <w:lvlText w:val="%1.%2.%3.%4.%5.%6.%7"/>
      <w:lvlJc w:val="left"/>
      <w:pPr>
        <w:ind w:left="567" w:hanging="567"/>
      </w:pPr>
      <w:rPr>
        <w:rFonts w:cs="Times New Roman" w:hint="default"/>
      </w:rPr>
    </w:lvl>
    <w:lvl w:ilvl="7">
      <w:start w:val="1"/>
      <w:numFmt w:val="decimal"/>
      <w:isLgl/>
      <w:lvlText w:val="%1.%2.%3.%4.%5.%6.%7.%8"/>
      <w:lvlJc w:val="left"/>
      <w:pPr>
        <w:ind w:left="567" w:hanging="567"/>
      </w:pPr>
      <w:rPr>
        <w:rFonts w:cs="Times New Roman" w:hint="default"/>
      </w:rPr>
    </w:lvl>
    <w:lvl w:ilvl="8">
      <w:start w:val="1"/>
      <w:numFmt w:val="decimal"/>
      <w:isLgl/>
      <w:lvlText w:val="%1.%2.%3.%4.%5.%6.%7.%8.%9"/>
      <w:lvlJc w:val="left"/>
      <w:pPr>
        <w:ind w:left="567" w:hanging="567"/>
      </w:pPr>
      <w:rPr>
        <w:rFonts w:cs="Times New Roman" w:hint="default"/>
      </w:rPr>
    </w:lvl>
  </w:abstractNum>
  <w:abstractNum w:abstractNumId="4" w15:restartNumberingAfterBreak="0">
    <w:nsid w:val="04B8498A"/>
    <w:multiLevelType w:val="hybridMultilevel"/>
    <w:tmpl w:val="FFFFFFFF"/>
    <w:lvl w:ilvl="0" w:tplc="7258027C">
      <w:numFmt w:val="bullet"/>
      <w:lvlText w:val="•"/>
      <w:lvlJc w:val="left"/>
      <w:pPr>
        <w:ind w:left="1346" w:hanging="413"/>
      </w:pPr>
      <w:rPr>
        <w:rFonts w:ascii="Times New Roman" w:eastAsia="Times New Roman" w:hAnsi="Times New Roman" w:hint="default"/>
        <w:b w:val="0"/>
        <w:i w:val="0"/>
        <w:spacing w:val="0"/>
        <w:w w:val="100"/>
        <w:sz w:val="28"/>
      </w:rPr>
    </w:lvl>
    <w:lvl w:ilvl="1" w:tplc="ABEABDCA">
      <w:numFmt w:val="bullet"/>
      <w:lvlText w:val="•"/>
      <w:lvlJc w:val="left"/>
      <w:pPr>
        <w:ind w:left="2230" w:hanging="413"/>
      </w:pPr>
      <w:rPr>
        <w:rFonts w:hint="default"/>
      </w:rPr>
    </w:lvl>
    <w:lvl w:ilvl="2" w:tplc="7AEADBB0">
      <w:numFmt w:val="bullet"/>
      <w:lvlText w:val="•"/>
      <w:lvlJc w:val="left"/>
      <w:pPr>
        <w:ind w:left="3121" w:hanging="413"/>
      </w:pPr>
      <w:rPr>
        <w:rFonts w:hint="default"/>
      </w:rPr>
    </w:lvl>
    <w:lvl w:ilvl="3" w:tplc="6C4C31FA">
      <w:numFmt w:val="bullet"/>
      <w:lvlText w:val="•"/>
      <w:lvlJc w:val="left"/>
      <w:pPr>
        <w:ind w:left="4011" w:hanging="413"/>
      </w:pPr>
      <w:rPr>
        <w:rFonts w:hint="default"/>
      </w:rPr>
    </w:lvl>
    <w:lvl w:ilvl="4" w:tplc="C56C75A8">
      <w:numFmt w:val="bullet"/>
      <w:lvlText w:val="•"/>
      <w:lvlJc w:val="left"/>
      <w:pPr>
        <w:ind w:left="4902" w:hanging="413"/>
      </w:pPr>
      <w:rPr>
        <w:rFonts w:hint="default"/>
      </w:rPr>
    </w:lvl>
    <w:lvl w:ilvl="5" w:tplc="38E63850">
      <w:numFmt w:val="bullet"/>
      <w:lvlText w:val="•"/>
      <w:lvlJc w:val="left"/>
      <w:pPr>
        <w:ind w:left="5793" w:hanging="413"/>
      </w:pPr>
      <w:rPr>
        <w:rFonts w:hint="default"/>
      </w:rPr>
    </w:lvl>
    <w:lvl w:ilvl="6" w:tplc="B5483910">
      <w:numFmt w:val="bullet"/>
      <w:lvlText w:val="•"/>
      <w:lvlJc w:val="left"/>
      <w:pPr>
        <w:ind w:left="6683" w:hanging="413"/>
      </w:pPr>
      <w:rPr>
        <w:rFonts w:hint="default"/>
      </w:rPr>
    </w:lvl>
    <w:lvl w:ilvl="7" w:tplc="99F24ED2">
      <w:numFmt w:val="bullet"/>
      <w:lvlText w:val="•"/>
      <w:lvlJc w:val="left"/>
      <w:pPr>
        <w:ind w:left="7574" w:hanging="413"/>
      </w:pPr>
      <w:rPr>
        <w:rFonts w:hint="default"/>
      </w:rPr>
    </w:lvl>
    <w:lvl w:ilvl="8" w:tplc="605066E0">
      <w:numFmt w:val="bullet"/>
      <w:lvlText w:val="•"/>
      <w:lvlJc w:val="left"/>
      <w:pPr>
        <w:ind w:left="8465" w:hanging="413"/>
      </w:pPr>
      <w:rPr>
        <w:rFonts w:hint="default"/>
      </w:rPr>
    </w:lvl>
  </w:abstractNum>
  <w:abstractNum w:abstractNumId="5" w15:restartNumberingAfterBreak="0">
    <w:nsid w:val="064B2929"/>
    <w:multiLevelType w:val="hybridMultilevel"/>
    <w:tmpl w:val="FFFFFFFF"/>
    <w:lvl w:ilvl="0" w:tplc="B6461F9C">
      <w:numFmt w:val="bullet"/>
      <w:lvlText w:val="-"/>
      <w:lvlJc w:val="left"/>
      <w:pPr>
        <w:ind w:left="933" w:hanging="360"/>
      </w:pPr>
      <w:rPr>
        <w:rFonts w:ascii="Calibri" w:eastAsia="Times New Roman" w:hAnsi="Calibri" w:hint="default"/>
        <w:b w:val="0"/>
        <w:i w:val="0"/>
        <w:spacing w:val="0"/>
        <w:w w:val="100"/>
        <w:sz w:val="18"/>
      </w:rPr>
    </w:lvl>
    <w:lvl w:ilvl="1" w:tplc="E8327E00">
      <w:numFmt w:val="bullet"/>
      <w:lvlText w:val="•"/>
      <w:lvlJc w:val="left"/>
      <w:pPr>
        <w:ind w:left="1870" w:hanging="360"/>
      </w:pPr>
      <w:rPr>
        <w:rFonts w:hint="default"/>
      </w:rPr>
    </w:lvl>
    <w:lvl w:ilvl="2" w:tplc="52F26CC6">
      <w:numFmt w:val="bullet"/>
      <w:lvlText w:val="•"/>
      <w:lvlJc w:val="left"/>
      <w:pPr>
        <w:ind w:left="2801" w:hanging="360"/>
      </w:pPr>
      <w:rPr>
        <w:rFonts w:hint="default"/>
      </w:rPr>
    </w:lvl>
    <w:lvl w:ilvl="3" w:tplc="5A06FDE4">
      <w:numFmt w:val="bullet"/>
      <w:lvlText w:val="•"/>
      <w:lvlJc w:val="left"/>
      <w:pPr>
        <w:ind w:left="3731" w:hanging="360"/>
      </w:pPr>
      <w:rPr>
        <w:rFonts w:hint="default"/>
      </w:rPr>
    </w:lvl>
    <w:lvl w:ilvl="4" w:tplc="C67E637C">
      <w:numFmt w:val="bullet"/>
      <w:lvlText w:val="•"/>
      <w:lvlJc w:val="left"/>
      <w:pPr>
        <w:ind w:left="4662" w:hanging="360"/>
      </w:pPr>
      <w:rPr>
        <w:rFonts w:hint="default"/>
      </w:rPr>
    </w:lvl>
    <w:lvl w:ilvl="5" w:tplc="0DF248A4">
      <w:numFmt w:val="bullet"/>
      <w:lvlText w:val="•"/>
      <w:lvlJc w:val="left"/>
      <w:pPr>
        <w:ind w:left="5593" w:hanging="360"/>
      </w:pPr>
      <w:rPr>
        <w:rFonts w:hint="default"/>
      </w:rPr>
    </w:lvl>
    <w:lvl w:ilvl="6" w:tplc="0FF8F010">
      <w:numFmt w:val="bullet"/>
      <w:lvlText w:val="•"/>
      <w:lvlJc w:val="left"/>
      <w:pPr>
        <w:ind w:left="6523" w:hanging="360"/>
      </w:pPr>
      <w:rPr>
        <w:rFonts w:hint="default"/>
      </w:rPr>
    </w:lvl>
    <w:lvl w:ilvl="7" w:tplc="5E066A6E">
      <w:numFmt w:val="bullet"/>
      <w:lvlText w:val="•"/>
      <w:lvlJc w:val="left"/>
      <w:pPr>
        <w:ind w:left="7454" w:hanging="360"/>
      </w:pPr>
      <w:rPr>
        <w:rFonts w:hint="default"/>
      </w:rPr>
    </w:lvl>
    <w:lvl w:ilvl="8" w:tplc="5BF8D4DA">
      <w:numFmt w:val="bullet"/>
      <w:lvlText w:val="•"/>
      <w:lvlJc w:val="left"/>
      <w:pPr>
        <w:ind w:left="8385" w:hanging="360"/>
      </w:pPr>
      <w:rPr>
        <w:rFonts w:hint="default"/>
      </w:rPr>
    </w:lvl>
  </w:abstractNum>
  <w:abstractNum w:abstractNumId="6" w15:restartNumberingAfterBreak="0">
    <w:nsid w:val="06F81059"/>
    <w:multiLevelType w:val="hybridMultilevel"/>
    <w:tmpl w:val="FFFFFFFF"/>
    <w:lvl w:ilvl="0" w:tplc="2FA4122C">
      <w:numFmt w:val="bullet"/>
      <w:lvlText w:val=""/>
      <w:lvlJc w:val="left"/>
      <w:pPr>
        <w:ind w:left="921" w:hanging="360"/>
      </w:pPr>
      <w:rPr>
        <w:rFonts w:ascii="Symbol" w:eastAsia="Times New Roman" w:hAnsi="Symbol" w:hint="default"/>
        <w:b w:val="0"/>
        <w:i w:val="0"/>
        <w:spacing w:val="0"/>
        <w:w w:val="100"/>
        <w:sz w:val="22"/>
      </w:rPr>
    </w:lvl>
    <w:lvl w:ilvl="1" w:tplc="706692F4">
      <w:numFmt w:val="bullet"/>
      <w:lvlText w:val="•"/>
      <w:lvlJc w:val="left"/>
      <w:pPr>
        <w:ind w:left="1852" w:hanging="360"/>
      </w:pPr>
      <w:rPr>
        <w:rFonts w:hint="default"/>
      </w:rPr>
    </w:lvl>
    <w:lvl w:ilvl="2" w:tplc="360A6E32">
      <w:numFmt w:val="bullet"/>
      <w:lvlText w:val="•"/>
      <w:lvlJc w:val="left"/>
      <w:pPr>
        <w:ind w:left="2785" w:hanging="360"/>
      </w:pPr>
      <w:rPr>
        <w:rFonts w:hint="default"/>
      </w:rPr>
    </w:lvl>
    <w:lvl w:ilvl="3" w:tplc="E4BECE02">
      <w:numFmt w:val="bullet"/>
      <w:lvlText w:val="•"/>
      <w:lvlJc w:val="left"/>
      <w:pPr>
        <w:ind w:left="3717" w:hanging="360"/>
      </w:pPr>
      <w:rPr>
        <w:rFonts w:hint="default"/>
      </w:rPr>
    </w:lvl>
    <w:lvl w:ilvl="4" w:tplc="D3D2CCC0">
      <w:numFmt w:val="bullet"/>
      <w:lvlText w:val="•"/>
      <w:lvlJc w:val="left"/>
      <w:pPr>
        <w:ind w:left="4650" w:hanging="360"/>
      </w:pPr>
      <w:rPr>
        <w:rFonts w:hint="default"/>
      </w:rPr>
    </w:lvl>
    <w:lvl w:ilvl="5" w:tplc="6AF83778">
      <w:numFmt w:val="bullet"/>
      <w:lvlText w:val="•"/>
      <w:lvlJc w:val="left"/>
      <w:pPr>
        <w:ind w:left="5583" w:hanging="360"/>
      </w:pPr>
      <w:rPr>
        <w:rFonts w:hint="default"/>
      </w:rPr>
    </w:lvl>
    <w:lvl w:ilvl="6" w:tplc="7F92A45C">
      <w:numFmt w:val="bullet"/>
      <w:lvlText w:val="•"/>
      <w:lvlJc w:val="left"/>
      <w:pPr>
        <w:ind w:left="6515" w:hanging="360"/>
      </w:pPr>
      <w:rPr>
        <w:rFonts w:hint="default"/>
      </w:rPr>
    </w:lvl>
    <w:lvl w:ilvl="7" w:tplc="D5E2CA90">
      <w:numFmt w:val="bullet"/>
      <w:lvlText w:val="•"/>
      <w:lvlJc w:val="left"/>
      <w:pPr>
        <w:ind w:left="7448" w:hanging="360"/>
      </w:pPr>
      <w:rPr>
        <w:rFonts w:hint="default"/>
      </w:rPr>
    </w:lvl>
    <w:lvl w:ilvl="8" w:tplc="6CBAB6A4">
      <w:numFmt w:val="bullet"/>
      <w:lvlText w:val="•"/>
      <w:lvlJc w:val="left"/>
      <w:pPr>
        <w:ind w:left="8381" w:hanging="360"/>
      </w:pPr>
      <w:rPr>
        <w:rFonts w:hint="default"/>
      </w:rPr>
    </w:lvl>
  </w:abstractNum>
  <w:abstractNum w:abstractNumId="7" w15:restartNumberingAfterBreak="0">
    <w:nsid w:val="1AB9552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C34F6"/>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A860879"/>
    <w:multiLevelType w:val="hybridMultilevel"/>
    <w:tmpl w:val="FFFFFFFF"/>
    <w:lvl w:ilvl="0" w:tplc="1809000F">
      <w:start w:val="1"/>
      <w:numFmt w:val="decimal"/>
      <w:lvlText w:val="%1."/>
      <w:lvlJc w:val="left"/>
      <w:pPr>
        <w:ind w:left="720" w:hanging="360"/>
      </w:pPr>
      <w:rPr>
        <w:rFonts w:cs="Times New Roman" w:hint="default"/>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0" w15:restartNumberingAfterBreak="0">
    <w:nsid w:val="2F4A7190"/>
    <w:multiLevelType w:val="hybridMultilevel"/>
    <w:tmpl w:val="FFFFFFFF"/>
    <w:lvl w:ilvl="0" w:tplc="EFDECEE2">
      <w:numFmt w:val="bullet"/>
      <w:lvlText w:val=""/>
      <w:lvlJc w:val="left"/>
      <w:pPr>
        <w:ind w:left="933" w:hanging="360"/>
      </w:pPr>
      <w:rPr>
        <w:rFonts w:ascii="Symbol" w:eastAsia="Times New Roman" w:hAnsi="Symbol" w:hint="default"/>
        <w:spacing w:val="0"/>
        <w:w w:val="100"/>
      </w:rPr>
    </w:lvl>
    <w:lvl w:ilvl="1" w:tplc="30DCD19A">
      <w:numFmt w:val="bullet"/>
      <w:lvlText w:val="•"/>
      <w:lvlJc w:val="left"/>
      <w:pPr>
        <w:ind w:left="1870" w:hanging="360"/>
      </w:pPr>
      <w:rPr>
        <w:rFonts w:hint="default"/>
      </w:rPr>
    </w:lvl>
    <w:lvl w:ilvl="2" w:tplc="87AA0026">
      <w:numFmt w:val="bullet"/>
      <w:lvlText w:val="•"/>
      <w:lvlJc w:val="left"/>
      <w:pPr>
        <w:ind w:left="2801" w:hanging="360"/>
      </w:pPr>
      <w:rPr>
        <w:rFonts w:hint="default"/>
      </w:rPr>
    </w:lvl>
    <w:lvl w:ilvl="3" w:tplc="221841DC">
      <w:numFmt w:val="bullet"/>
      <w:lvlText w:val="•"/>
      <w:lvlJc w:val="left"/>
      <w:pPr>
        <w:ind w:left="3731" w:hanging="360"/>
      </w:pPr>
      <w:rPr>
        <w:rFonts w:hint="default"/>
      </w:rPr>
    </w:lvl>
    <w:lvl w:ilvl="4" w:tplc="0B30B5C4">
      <w:numFmt w:val="bullet"/>
      <w:lvlText w:val="•"/>
      <w:lvlJc w:val="left"/>
      <w:pPr>
        <w:ind w:left="4662" w:hanging="360"/>
      </w:pPr>
      <w:rPr>
        <w:rFonts w:hint="default"/>
      </w:rPr>
    </w:lvl>
    <w:lvl w:ilvl="5" w:tplc="9F286374">
      <w:numFmt w:val="bullet"/>
      <w:lvlText w:val="•"/>
      <w:lvlJc w:val="left"/>
      <w:pPr>
        <w:ind w:left="5593" w:hanging="360"/>
      </w:pPr>
      <w:rPr>
        <w:rFonts w:hint="default"/>
      </w:rPr>
    </w:lvl>
    <w:lvl w:ilvl="6" w:tplc="C1905BFA">
      <w:numFmt w:val="bullet"/>
      <w:lvlText w:val="•"/>
      <w:lvlJc w:val="left"/>
      <w:pPr>
        <w:ind w:left="6523" w:hanging="360"/>
      </w:pPr>
      <w:rPr>
        <w:rFonts w:hint="default"/>
      </w:rPr>
    </w:lvl>
    <w:lvl w:ilvl="7" w:tplc="0718727E">
      <w:numFmt w:val="bullet"/>
      <w:lvlText w:val="•"/>
      <w:lvlJc w:val="left"/>
      <w:pPr>
        <w:ind w:left="7454" w:hanging="360"/>
      </w:pPr>
      <w:rPr>
        <w:rFonts w:hint="default"/>
      </w:rPr>
    </w:lvl>
    <w:lvl w:ilvl="8" w:tplc="EDB85486">
      <w:numFmt w:val="bullet"/>
      <w:lvlText w:val="•"/>
      <w:lvlJc w:val="left"/>
      <w:pPr>
        <w:ind w:left="8385" w:hanging="360"/>
      </w:pPr>
      <w:rPr>
        <w:rFonts w:hint="default"/>
      </w:rPr>
    </w:lvl>
  </w:abstractNum>
  <w:abstractNum w:abstractNumId="11" w15:restartNumberingAfterBreak="0">
    <w:nsid w:val="31D32D92"/>
    <w:multiLevelType w:val="hybridMultilevel"/>
    <w:tmpl w:val="FFFFFFFF"/>
    <w:lvl w:ilvl="0" w:tplc="FFFFFFFF">
      <w:start w:val="1"/>
      <w:numFmt w:val="bullet"/>
      <w:lvlText w:val="·"/>
      <w:lvlJc w:val="left"/>
      <w:pPr>
        <w:ind w:left="1445" w:hanging="360"/>
      </w:pPr>
      <w:rPr>
        <w:rFonts w:ascii="Symbol" w:hAnsi="Symbol" w:hint="default"/>
      </w:rPr>
    </w:lvl>
    <w:lvl w:ilvl="1" w:tplc="18090003" w:tentative="1">
      <w:start w:val="1"/>
      <w:numFmt w:val="bullet"/>
      <w:lvlText w:val="o"/>
      <w:lvlJc w:val="left"/>
      <w:pPr>
        <w:ind w:left="1652" w:hanging="360"/>
      </w:pPr>
      <w:rPr>
        <w:rFonts w:ascii="Courier New" w:hAnsi="Courier New" w:hint="default"/>
      </w:rPr>
    </w:lvl>
    <w:lvl w:ilvl="2" w:tplc="18090005" w:tentative="1">
      <w:start w:val="1"/>
      <w:numFmt w:val="bullet"/>
      <w:lvlText w:val=""/>
      <w:lvlJc w:val="left"/>
      <w:pPr>
        <w:ind w:left="2372" w:hanging="360"/>
      </w:pPr>
      <w:rPr>
        <w:rFonts w:ascii="Wingdings" w:hAnsi="Wingdings" w:hint="default"/>
      </w:rPr>
    </w:lvl>
    <w:lvl w:ilvl="3" w:tplc="18090001" w:tentative="1">
      <w:start w:val="1"/>
      <w:numFmt w:val="bullet"/>
      <w:lvlText w:val=""/>
      <w:lvlJc w:val="left"/>
      <w:pPr>
        <w:ind w:left="3092" w:hanging="360"/>
      </w:pPr>
      <w:rPr>
        <w:rFonts w:ascii="Symbol" w:hAnsi="Symbol" w:hint="default"/>
      </w:rPr>
    </w:lvl>
    <w:lvl w:ilvl="4" w:tplc="18090003" w:tentative="1">
      <w:start w:val="1"/>
      <w:numFmt w:val="bullet"/>
      <w:lvlText w:val="o"/>
      <w:lvlJc w:val="left"/>
      <w:pPr>
        <w:ind w:left="3812" w:hanging="360"/>
      </w:pPr>
      <w:rPr>
        <w:rFonts w:ascii="Courier New" w:hAnsi="Courier New" w:hint="default"/>
      </w:rPr>
    </w:lvl>
    <w:lvl w:ilvl="5" w:tplc="18090005" w:tentative="1">
      <w:start w:val="1"/>
      <w:numFmt w:val="bullet"/>
      <w:lvlText w:val=""/>
      <w:lvlJc w:val="left"/>
      <w:pPr>
        <w:ind w:left="4532" w:hanging="360"/>
      </w:pPr>
      <w:rPr>
        <w:rFonts w:ascii="Wingdings" w:hAnsi="Wingdings" w:hint="default"/>
      </w:rPr>
    </w:lvl>
    <w:lvl w:ilvl="6" w:tplc="18090001" w:tentative="1">
      <w:start w:val="1"/>
      <w:numFmt w:val="bullet"/>
      <w:lvlText w:val=""/>
      <w:lvlJc w:val="left"/>
      <w:pPr>
        <w:ind w:left="5252" w:hanging="360"/>
      </w:pPr>
      <w:rPr>
        <w:rFonts w:ascii="Symbol" w:hAnsi="Symbol" w:hint="default"/>
      </w:rPr>
    </w:lvl>
    <w:lvl w:ilvl="7" w:tplc="18090003" w:tentative="1">
      <w:start w:val="1"/>
      <w:numFmt w:val="bullet"/>
      <w:lvlText w:val="o"/>
      <w:lvlJc w:val="left"/>
      <w:pPr>
        <w:ind w:left="5972" w:hanging="360"/>
      </w:pPr>
      <w:rPr>
        <w:rFonts w:ascii="Courier New" w:hAnsi="Courier New" w:hint="default"/>
      </w:rPr>
    </w:lvl>
    <w:lvl w:ilvl="8" w:tplc="18090005" w:tentative="1">
      <w:start w:val="1"/>
      <w:numFmt w:val="bullet"/>
      <w:lvlText w:val=""/>
      <w:lvlJc w:val="left"/>
      <w:pPr>
        <w:ind w:left="6692" w:hanging="360"/>
      </w:pPr>
      <w:rPr>
        <w:rFonts w:ascii="Wingdings" w:hAnsi="Wingdings" w:hint="default"/>
      </w:rPr>
    </w:lvl>
  </w:abstractNum>
  <w:abstractNum w:abstractNumId="12" w15:restartNumberingAfterBreak="0">
    <w:nsid w:val="39E073D3"/>
    <w:multiLevelType w:val="multilevel"/>
    <w:tmpl w:val="FFFFFFFF"/>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3" w15:restartNumberingAfterBreak="0">
    <w:nsid w:val="3ACF67B9"/>
    <w:multiLevelType w:val="multilevel"/>
    <w:tmpl w:val="FFFFFFFF"/>
    <w:lvl w:ilvl="0">
      <w:start w:val="1"/>
      <w:numFmt w:val="decimal"/>
      <w:lvlText w:val="%1."/>
      <w:lvlJc w:val="left"/>
      <w:pPr>
        <w:ind w:left="779" w:hanging="567"/>
      </w:pPr>
      <w:rPr>
        <w:rFonts w:ascii="Times New Roman" w:eastAsia="Times New Roman" w:hAnsi="Times New Roman" w:cs="Times New Roman" w:hint="default"/>
        <w:b/>
        <w:bCs/>
        <w:i w:val="0"/>
        <w:iCs w:val="0"/>
        <w:spacing w:val="0"/>
        <w:w w:val="100"/>
        <w:sz w:val="24"/>
        <w:szCs w:val="24"/>
      </w:rPr>
    </w:lvl>
    <w:lvl w:ilvl="1">
      <w:start w:val="1"/>
      <w:numFmt w:val="decimal"/>
      <w:lvlText w:val="%1.%2."/>
      <w:lvlJc w:val="left"/>
      <w:pPr>
        <w:ind w:left="779" w:hanging="567"/>
      </w:pPr>
      <w:rPr>
        <w:rFonts w:ascii="Times New Roman" w:eastAsia="Times New Roman" w:hAnsi="Times New Roman" w:cs="Times New Roman" w:hint="default"/>
        <w:b/>
        <w:bCs/>
        <w:i w:val="0"/>
        <w:iCs w:val="0"/>
        <w:spacing w:val="0"/>
        <w:w w:val="100"/>
        <w:sz w:val="24"/>
        <w:szCs w:val="24"/>
      </w:rPr>
    </w:lvl>
    <w:lvl w:ilvl="2">
      <w:start w:val="1"/>
      <w:numFmt w:val="decimal"/>
      <w:lvlText w:val="%1.%2.%3."/>
      <w:lvlJc w:val="left"/>
      <w:pPr>
        <w:ind w:left="1065" w:hanging="853"/>
      </w:pPr>
      <w:rPr>
        <w:rFonts w:ascii="Times New Roman" w:eastAsia="Times New Roman" w:hAnsi="Times New Roman" w:cs="Times New Roman" w:hint="default"/>
        <w:b/>
        <w:bCs/>
        <w:i w:val="0"/>
        <w:iCs w:val="0"/>
        <w:spacing w:val="0"/>
        <w:w w:val="100"/>
        <w:sz w:val="24"/>
        <w:szCs w:val="24"/>
      </w:rPr>
    </w:lvl>
    <w:lvl w:ilvl="3">
      <w:numFmt w:val="bullet"/>
      <w:lvlText w:val=""/>
      <w:lvlJc w:val="left"/>
      <w:pPr>
        <w:ind w:left="1206" w:hanging="428"/>
      </w:pPr>
      <w:rPr>
        <w:rFonts w:ascii="Symbol" w:eastAsia="Times New Roman" w:hAnsi="Symbol" w:hint="default"/>
        <w:b w:val="0"/>
        <w:i w:val="0"/>
        <w:spacing w:val="0"/>
        <w:w w:val="100"/>
        <w:sz w:val="22"/>
      </w:rPr>
    </w:lvl>
    <w:lvl w:ilvl="4">
      <w:start w:val="1"/>
      <w:numFmt w:val="bullet"/>
      <w:lvlText w:val="o"/>
      <w:lvlJc w:val="left"/>
      <w:pPr>
        <w:ind w:left="2424" w:hanging="360"/>
      </w:pPr>
      <w:rPr>
        <w:rFonts w:ascii="Courier New" w:hAnsi="Courier New" w:hint="default"/>
      </w:rPr>
    </w:lvl>
    <w:lvl w:ilvl="5">
      <w:numFmt w:val="bullet"/>
      <w:lvlText w:val="•"/>
      <w:lvlJc w:val="left"/>
      <w:pPr>
        <w:ind w:left="3784" w:hanging="428"/>
      </w:pPr>
      <w:rPr>
        <w:rFonts w:hint="default"/>
      </w:rPr>
    </w:lvl>
    <w:lvl w:ilvl="6">
      <w:numFmt w:val="bullet"/>
      <w:lvlText w:val="•"/>
      <w:lvlJc w:val="left"/>
      <w:pPr>
        <w:ind w:left="5077" w:hanging="428"/>
      </w:pPr>
      <w:rPr>
        <w:rFonts w:hint="default"/>
      </w:rPr>
    </w:lvl>
    <w:lvl w:ilvl="7">
      <w:numFmt w:val="bullet"/>
      <w:lvlText w:val="•"/>
      <w:lvlJc w:val="left"/>
      <w:pPr>
        <w:ind w:left="6369" w:hanging="428"/>
      </w:pPr>
      <w:rPr>
        <w:rFonts w:hint="default"/>
      </w:rPr>
    </w:lvl>
    <w:lvl w:ilvl="8">
      <w:numFmt w:val="bullet"/>
      <w:lvlText w:val="•"/>
      <w:lvlJc w:val="left"/>
      <w:pPr>
        <w:ind w:left="7661" w:hanging="428"/>
      </w:pPr>
      <w:rPr>
        <w:rFonts w:hint="default"/>
      </w:rPr>
    </w:lvl>
  </w:abstractNum>
  <w:abstractNum w:abstractNumId="14" w15:restartNumberingAfterBreak="0">
    <w:nsid w:val="409D1339"/>
    <w:multiLevelType w:val="hybridMultilevel"/>
    <w:tmpl w:val="FFFFFFFF"/>
    <w:lvl w:ilvl="0" w:tplc="E2242098">
      <w:numFmt w:val="bullet"/>
      <w:lvlText w:val=""/>
      <w:lvlJc w:val="left"/>
      <w:pPr>
        <w:ind w:left="926" w:hanging="356"/>
      </w:pPr>
      <w:rPr>
        <w:rFonts w:ascii="Symbol" w:eastAsia="Times New Roman" w:hAnsi="Symbol" w:hint="default"/>
        <w:b w:val="0"/>
        <w:i w:val="0"/>
        <w:spacing w:val="0"/>
        <w:w w:val="100"/>
        <w:sz w:val="22"/>
      </w:rPr>
    </w:lvl>
    <w:lvl w:ilvl="1" w:tplc="F0FEFE40">
      <w:numFmt w:val="bullet"/>
      <w:lvlText w:val="•"/>
      <w:lvlJc w:val="left"/>
      <w:pPr>
        <w:ind w:left="1852" w:hanging="356"/>
      </w:pPr>
      <w:rPr>
        <w:rFonts w:hint="default"/>
      </w:rPr>
    </w:lvl>
    <w:lvl w:ilvl="2" w:tplc="7E7A6FF4">
      <w:numFmt w:val="bullet"/>
      <w:lvlText w:val="•"/>
      <w:lvlJc w:val="left"/>
      <w:pPr>
        <w:ind w:left="2785" w:hanging="356"/>
      </w:pPr>
      <w:rPr>
        <w:rFonts w:hint="default"/>
      </w:rPr>
    </w:lvl>
    <w:lvl w:ilvl="3" w:tplc="560C679C">
      <w:numFmt w:val="bullet"/>
      <w:lvlText w:val="•"/>
      <w:lvlJc w:val="left"/>
      <w:pPr>
        <w:ind w:left="3717" w:hanging="356"/>
      </w:pPr>
      <w:rPr>
        <w:rFonts w:hint="default"/>
      </w:rPr>
    </w:lvl>
    <w:lvl w:ilvl="4" w:tplc="46C41E06">
      <w:numFmt w:val="bullet"/>
      <w:lvlText w:val="•"/>
      <w:lvlJc w:val="left"/>
      <w:pPr>
        <w:ind w:left="4650" w:hanging="356"/>
      </w:pPr>
      <w:rPr>
        <w:rFonts w:hint="default"/>
      </w:rPr>
    </w:lvl>
    <w:lvl w:ilvl="5" w:tplc="3202DD8E">
      <w:numFmt w:val="bullet"/>
      <w:lvlText w:val="•"/>
      <w:lvlJc w:val="left"/>
      <w:pPr>
        <w:ind w:left="5583" w:hanging="356"/>
      </w:pPr>
      <w:rPr>
        <w:rFonts w:hint="default"/>
      </w:rPr>
    </w:lvl>
    <w:lvl w:ilvl="6" w:tplc="16308F16">
      <w:numFmt w:val="bullet"/>
      <w:lvlText w:val="•"/>
      <w:lvlJc w:val="left"/>
      <w:pPr>
        <w:ind w:left="6515" w:hanging="356"/>
      </w:pPr>
      <w:rPr>
        <w:rFonts w:hint="default"/>
      </w:rPr>
    </w:lvl>
    <w:lvl w:ilvl="7" w:tplc="DABA931C">
      <w:numFmt w:val="bullet"/>
      <w:lvlText w:val="•"/>
      <w:lvlJc w:val="left"/>
      <w:pPr>
        <w:ind w:left="7448" w:hanging="356"/>
      </w:pPr>
      <w:rPr>
        <w:rFonts w:hint="default"/>
      </w:rPr>
    </w:lvl>
    <w:lvl w:ilvl="8" w:tplc="478AF7DE">
      <w:numFmt w:val="bullet"/>
      <w:lvlText w:val="•"/>
      <w:lvlJc w:val="left"/>
      <w:pPr>
        <w:ind w:left="8381" w:hanging="356"/>
      </w:pPr>
      <w:rPr>
        <w:rFonts w:hint="default"/>
      </w:rPr>
    </w:lvl>
  </w:abstractNum>
  <w:abstractNum w:abstractNumId="15" w15:restartNumberingAfterBreak="0">
    <w:nsid w:val="4AC769CB"/>
    <w:multiLevelType w:val="hybridMultilevel"/>
    <w:tmpl w:val="FFFFFFFF"/>
    <w:lvl w:ilvl="0" w:tplc="FFFFFFFF">
      <w:start w:val="1"/>
      <w:numFmt w:val="bullet"/>
      <w:lvlText w:val=""/>
      <w:lvlJc w:val="left"/>
      <w:pPr>
        <w:ind w:left="1571" w:hanging="360"/>
      </w:pPr>
      <w:rPr>
        <w:rFonts w:ascii="Symbol" w:hAnsi="Symbol" w:hint="default"/>
      </w:rPr>
    </w:lvl>
    <w:lvl w:ilvl="1" w:tplc="18090001">
      <w:start w:val="1"/>
      <w:numFmt w:val="bullet"/>
      <w:lvlText w:val=""/>
      <w:lvlJc w:val="left"/>
      <w:pPr>
        <w:ind w:left="1571"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A6079A"/>
    <w:multiLevelType w:val="hybridMultilevel"/>
    <w:tmpl w:val="FFFFFFFF"/>
    <w:lvl w:ilvl="0" w:tplc="A1384E92">
      <w:numFmt w:val="bullet"/>
      <w:lvlText w:val="-"/>
      <w:lvlJc w:val="left"/>
      <w:pPr>
        <w:ind w:left="1490" w:hanging="284"/>
      </w:pPr>
      <w:rPr>
        <w:rFonts w:ascii="Times New Roman" w:eastAsia="Times New Roman" w:hAnsi="Times New Roman" w:hint="default"/>
        <w:b w:val="0"/>
        <w:i w:val="0"/>
        <w:spacing w:val="0"/>
        <w:w w:val="100"/>
        <w:sz w:val="22"/>
      </w:rPr>
    </w:lvl>
    <w:lvl w:ilvl="1" w:tplc="99A843F6">
      <w:numFmt w:val="bullet"/>
      <w:lvlText w:val="•"/>
      <w:lvlJc w:val="left"/>
      <w:pPr>
        <w:ind w:left="2374" w:hanging="284"/>
      </w:pPr>
      <w:rPr>
        <w:rFonts w:hint="default"/>
      </w:rPr>
    </w:lvl>
    <w:lvl w:ilvl="2" w:tplc="A8A8DA9E">
      <w:numFmt w:val="bullet"/>
      <w:lvlText w:val="•"/>
      <w:lvlJc w:val="left"/>
      <w:pPr>
        <w:ind w:left="3249" w:hanging="284"/>
      </w:pPr>
      <w:rPr>
        <w:rFonts w:hint="default"/>
      </w:rPr>
    </w:lvl>
    <w:lvl w:ilvl="3" w:tplc="8CF413B4">
      <w:numFmt w:val="bullet"/>
      <w:lvlText w:val="•"/>
      <w:lvlJc w:val="left"/>
      <w:pPr>
        <w:ind w:left="4123" w:hanging="284"/>
      </w:pPr>
      <w:rPr>
        <w:rFonts w:hint="default"/>
      </w:rPr>
    </w:lvl>
    <w:lvl w:ilvl="4" w:tplc="4E687D12">
      <w:numFmt w:val="bullet"/>
      <w:lvlText w:val="•"/>
      <w:lvlJc w:val="left"/>
      <w:pPr>
        <w:ind w:left="4998" w:hanging="284"/>
      </w:pPr>
      <w:rPr>
        <w:rFonts w:hint="default"/>
      </w:rPr>
    </w:lvl>
    <w:lvl w:ilvl="5" w:tplc="B09CF2DE">
      <w:numFmt w:val="bullet"/>
      <w:lvlText w:val="•"/>
      <w:lvlJc w:val="left"/>
      <w:pPr>
        <w:ind w:left="5873" w:hanging="284"/>
      </w:pPr>
      <w:rPr>
        <w:rFonts w:hint="default"/>
      </w:rPr>
    </w:lvl>
    <w:lvl w:ilvl="6" w:tplc="CCDC8F0A">
      <w:numFmt w:val="bullet"/>
      <w:lvlText w:val="•"/>
      <w:lvlJc w:val="left"/>
      <w:pPr>
        <w:ind w:left="6747" w:hanging="284"/>
      </w:pPr>
      <w:rPr>
        <w:rFonts w:hint="default"/>
      </w:rPr>
    </w:lvl>
    <w:lvl w:ilvl="7" w:tplc="D4A2DBAC">
      <w:numFmt w:val="bullet"/>
      <w:lvlText w:val="•"/>
      <w:lvlJc w:val="left"/>
      <w:pPr>
        <w:ind w:left="7622" w:hanging="284"/>
      </w:pPr>
      <w:rPr>
        <w:rFonts w:hint="default"/>
      </w:rPr>
    </w:lvl>
    <w:lvl w:ilvl="8" w:tplc="17EC3796">
      <w:numFmt w:val="bullet"/>
      <w:lvlText w:val="•"/>
      <w:lvlJc w:val="left"/>
      <w:pPr>
        <w:ind w:left="8497" w:hanging="284"/>
      </w:pPr>
      <w:rPr>
        <w:rFonts w:hint="default"/>
      </w:rPr>
    </w:lvl>
  </w:abstractNum>
  <w:abstractNum w:abstractNumId="17" w15:restartNumberingAfterBreak="0">
    <w:nsid w:val="4FA82109"/>
    <w:multiLevelType w:val="hybridMultilevel"/>
    <w:tmpl w:val="FFFFFFFF"/>
    <w:lvl w:ilvl="0" w:tplc="FAC27424">
      <w:start w:val="1"/>
      <w:numFmt w:val="lowerRoman"/>
      <w:lvlText w:val="(%1)"/>
      <w:lvlJc w:val="left"/>
      <w:pPr>
        <w:ind w:left="933" w:hanging="567"/>
      </w:pPr>
      <w:rPr>
        <w:rFonts w:ascii="Times New Roman" w:eastAsia="Times New Roman" w:hAnsi="Times New Roman" w:cs="Times New Roman" w:hint="default"/>
        <w:b w:val="0"/>
        <w:bCs w:val="0"/>
        <w:i w:val="0"/>
        <w:iCs w:val="0"/>
        <w:spacing w:val="0"/>
        <w:w w:val="100"/>
        <w:sz w:val="22"/>
        <w:szCs w:val="22"/>
      </w:rPr>
    </w:lvl>
    <w:lvl w:ilvl="1" w:tplc="EFC611D4">
      <w:numFmt w:val="bullet"/>
      <w:lvlText w:val="•"/>
      <w:lvlJc w:val="left"/>
      <w:pPr>
        <w:ind w:left="1870" w:hanging="567"/>
      </w:pPr>
      <w:rPr>
        <w:rFonts w:hint="default"/>
      </w:rPr>
    </w:lvl>
    <w:lvl w:ilvl="2" w:tplc="68223722">
      <w:numFmt w:val="bullet"/>
      <w:lvlText w:val="•"/>
      <w:lvlJc w:val="left"/>
      <w:pPr>
        <w:ind w:left="2801" w:hanging="567"/>
      </w:pPr>
      <w:rPr>
        <w:rFonts w:hint="default"/>
      </w:rPr>
    </w:lvl>
    <w:lvl w:ilvl="3" w:tplc="7556E052">
      <w:numFmt w:val="bullet"/>
      <w:lvlText w:val="•"/>
      <w:lvlJc w:val="left"/>
      <w:pPr>
        <w:ind w:left="3731" w:hanging="567"/>
      </w:pPr>
      <w:rPr>
        <w:rFonts w:hint="default"/>
      </w:rPr>
    </w:lvl>
    <w:lvl w:ilvl="4" w:tplc="49383C78">
      <w:numFmt w:val="bullet"/>
      <w:lvlText w:val="•"/>
      <w:lvlJc w:val="left"/>
      <w:pPr>
        <w:ind w:left="4662" w:hanging="567"/>
      </w:pPr>
      <w:rPr>
        <w:rFonts w:hint="default"/>
      </w:rPr>
    </w:lvl>
    <w:lvl w:ilvl="5" w:tplc="516ADE5C">
      <w:numFmt w:val="bullet"/>
      <w:lvlText w:val="•"/>
      <w:lvlJc w:val="left"/>
      <w:pPr>
        <w:ind w:left="5593" w:hanging="567"/>
      </w:pPr>
      <w:rPr>
        <w:rFonts w:hint="default"/>
      </w:rPr>
    </w:lvl>
    <w:lvl w:ilvl="6" w:tplc="F05A7276">
      <w:numFmt w:val="bullet"/>
      <w:lvlText w:val="•"/>
      <w:lvlJc w:val="left"/>
      <w:pPr>
        <w:ind w:left="6523" w:hanging="567"/>
      </w:pPr>
      <w:rPr>
        <w:rFonts w:hint="default"/>
      </w:rPr>
    </w:lvl>
    <w:lvl w:ilvl="7" w:tplc="829640D4">
      <w:numFmt w:val="bullet"/>
      <w:lvlText w:val="•"/>
      <w:lvlJc w:val="left"/>
      <w:pPr>
        <w:ind w:left="7454" w:hanging="567"/>
      </w:pPr>
      <w:rPr>
        <w:rFonts w:hint="default"/>
      </w:rPr>
    </w:lvl>
    <w:lvl w:ilvl="8" w:tplc="632642B6">
      <w:numFmt w:val="bullet"/>
      <w:lvlText w:val="•"/>
      <w:lvlJc w:val="left"/>
      <w:pPr>
        <w:ind w:left="8385" w:hanging="567"/>
      </w:pPr>
      <w:rPr>
        <w:rFonts w:hint="default"/>
      </w:rPr>
    </w:lvl>
  </w:abstractNum>
  <w:abstractNum w:abstractNumId="18" w15:restartNumberingAfterBreak="0">
    <w:nsid w:val="503B3168"/>
    <w:multiLevelType w:val="hybridMultilevel"/>
    <w:tmpl w:val="FFFFFFFF"/>
    <w:lvl w:ilvl="0" w:tplc="601C69C6">
      <w:start w:val="1"/>
      <w:numFmt w:val="decimal"/>
      <w:lvlText w:val="(%1)"/>
      <w:lvlJc w:val="left"/>
      <w:pPr>
        <w:ind w:left="933" w:hanging="360"/>
      </w:pPr>
      <w:rPr>
        <w:rFonts w:ascii="Times New Roman" w:eastAsia="Times New Roman" w:hAnsi="Times New Roman" w:cs="Times New Roman" w:hint="default"/>
        <w:b w:val="0"/>
        <w:bCs w:val="0"/>
        <w:i w:val="0"/>
        <w:iCs w:val="0"/>
        <w:spacing w:val="0"/>
        <w:w w:val="100"/>
        <w:sz w:val="22"/>
        <w:szCs w:val="22"/>
      </w:rPr>
    </w:lvl>
    <w:lvl w:ilvl="1" w:tplc="26FE36F8">
      <w:numFmt w:val="bullet"/>
      <w:lvlText w:val=""/>
      <w:lvlJc w:val="left"/>
      <w:pPr>
        <w:ind w:left="1346" w:hanging="360"/>
      </w:pPr>
      <w:rPr>
        <w:rFonts w:ascii="Symbol" w:eastAsia="Times New Roman" w:hAnsi="Symbol" w:hint="default"/>
        <w:b w:val="0"/>
        <w:i w:val="0"/>
        <w:spacing w:val="0"/>
        <w:w w:val="100"/>
        <w:sz w:val="22"/>
      </w:rPr>
    </w:lvl>
    <w:lvl w:ilvl="2" w:tplc="2774DE46">
      <w:numFmt w:val="bullet"/>
      <w:lvlText w:val="•"/>
      <w:lvlJc w:val="left"/>
      <w:pPr>
        <w:ind w:left="2329" w:hanging="360"/>
      </w:pPr>
      <w:rPr>
        <w:rFonts w:hint="default"/>
      </w:rPr>
    </w:lvl>
    <w:lvl w:ilvl="3" w:tplc="CE66AE88">
      <w:numFmt w:val="bullet"/>
      <w:lvlText w:val="•"/>
      <w:lvlJc w:val="left"/>
      <w:pPr>
        <w:ind w:left="3319" w:hanging="360"/>
      </w:pPr>
      <w:rPr>
        <w:rFonts w:hint="default"/>
      </w:rPr>
    </w:lvl>
    <w:lvl w:ilvl="4" w:tplc="02560FCC">
      <w:numFmt w:val="bullet"/>
      <w:lvlText w:val="•"/>
      <w:lvlJc w:val="left"/>
      <w:pPr>
        <w:ind w:left="4308" w:hanging="360"/>
      </w:pPr>
      <w:rPr>
        <w:rFonts w:hint="default"/>
      </w:rPr>
    </w:lvl>
    <w:lvl w:ilvl="5" w:tplc="5D8C271E">
      <w:numFmt w:val="bullet"/>
      <w:lvlText w:val="•"/>
      <w:lvlJc w:val="left"/>
      <w:pPr>
        <w:ind w:left="5298" w:hanging="360"/>
      </w:pPr>
      <w:rPr>
        <w:rFonts w:hint="default"/>
      </w:rPr>
    </w:lvl>
    <w:lvl w:ilvl="6" w:tplc="2E0E5EAC">
      <w:numFmt w:val="bullet"/>
      <w:lvlText w:val="•"/>
      <w:lvlJc w:val="left"/>
      <w:pPr>
        <w:ind w:left="6288" w:hanging="360"/>
      </w:pPr>
      <w:rPr>
        <w:rFonts w:hint="default"/>
      </w:rPr>
    </w:lvl>
    <w:lvl w:ilvl="7" w:tplc="785CE00C">
      <w:numFmt w:val="bullet"/>
      <w:lvlText w:val="•"/>
      <w:lvlJc w:val="left"/>
      <w:pPr>
        <w:ind w:left="7277" w:hanging="360"/>
      </w:pPr>
      <w:rPr>
        <w:rFonts w:hint="default"/>
      </w:rPr>
    </w:lvl>
    <w:lvl w:ilvl="8" w:tplc="D2F0FC0E">
      <w:numFmt w:val="bullet"/>
      <w:lvlText w:val="•"/>
      <w:lvlJc w:val="left"/>
      <w:pPr>
        <w:ind w:left="8267" w:hanging="360"/>
      </w:pPr>
      <w:rPr>
        <w:rFonts w:hint="default"/>
      </w:rPr>
    </w:lvl>
  </w:abstractNum>
  <w:abstractNum w:abstractNumId="19" w15:restartNumberingAfterBreak="0">
    <w:nsid w:val="57E419D9"/>
    <w:multiLevelType w:val="multilevel"/>
    <w:tmpl w:val="FFFFFFFF"/>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B9C4AB7"/>
    <w:multiLevelType w:val="hybridMultilevel"/>
    <w:tmpl w:val="FFFFFFFF"/>
    <w:lvl w:ilvl="0" w:tplc="ADFAE0EE">
      <w:numFmt w:val="bullet"/>
      <w:lvlText w:val=""/>
      <w:lvlJc w:val="left"/>
      <w:pPr>
        <w:ind w:left="933" w:hanging="360"/>
      </w:pPr>
      <w:rPr>
        <w:rFonts w:ascii="Symbol" w:eastAsia="Times New Roman" w:hAnsi="Symbol" w:hint="default"/>
        <w:b w:val="0"/>
        <w:i w:val="0"/>
        <w:spacing w:val="0"/>
        <w:w w:val="100"/>
        <w:sz w:val="22"/>
      </w:rPr>
    </w:lvl>
    <w:lvl w:ilvl="1" w:tplc="94308EC2">
      <w:numFmt w:val="bullet"/>
      <w:lvlText w:val="•"/>
      <w:lvlJc w:val="left"/>
      <w:pPr>
        <w:ind w:left="1870" w:hanging="360"/>
      </w:pPr>
      <w:rPr>
        <w:rFonts w:hint="default"/>
      </w:rPr>
    </w:lvl>
    <w:lvl w:ilvl="2" w:tplc="3138A9AA">
      <w:numFmt w:val="bullet"/>
      <w:lvlText w:val="•"/>
      <w:lvlJc w:val="left"/>
      <w:pPr>
        <w:ind w:left="2801" w:hanging="360"/>
      </w:pPr>
      <w:rPr>
        <w:rFonts w:hint="default"/>
      </w:rPr>
    </w:lvl>
    <w:lvl w:ilvl="3" w:tplc="81C6EF16">
      <w:numFmt w:val="bullet"/>
      <w:lvlText w:val="•"/>
      <w:lvlJc w:val="left"/>
      <w:pPr>
        <w:ind w:left="3731" w:hanging="360"/>
      </w:pPr>
      <w:rPr>
        <w:rFonts w:hint="default"/>
      </w:rPr>
    </w:lvl>
    <w:lvl w:ilvl="4" w:tplc="A61CFE9E">
      <w:numFmt w:val="bullet"/>
      <w:lvlText w:val="•"/>
      <w:lvlJc w:val="left"/>
      <w:pPr>
        <w:ind w:left="4662" w:hanging="360"/>
      </w:pPr>
      <w:rPr>
        <w:rFonts w:hint="default"/>
      </w:rPr>
    </w:lvl>
    <w:lvl w:ilvl="5" w:tplc="B2BC70D2">
      <w:numFmt w:val="bullet"/>
      <w:lvlText w:val="•"/>
      <w:lvlJc w:val="left"/>
      <w:pPr>
        <w:ind w:left="5593" w:hanging="360"/>
      </w:pPr>
      <w:rPr>
        <w:rFonts w:hint="default"/>
      </w:rPr>
    </w:lvl>
    <w:lvl w:ilvl="6" w:tplc="8FEAB164">
      <w:numFmt w:val="bullet"/>
      <w:lvlText w:val="•"/>
      <w:lvlJc w:val="left"/>
      <w:pPr>
        <w:ind w:left="6523" w:hanging="360"/>
      </w:pPr>
      <w:rPr>
        <w:rFonts w:hint="default"/>
      </w:rPr>
    </w:lvl>
    <w:lvl w:ilvl="7" w:tplc="F036E3B0">
      <w:numFmt w:val="bullet"/>
      <w:lvlText w:val="•"/>
      <w:lvlJc w:val="left"/>
      <w:pPr>
        <w:ind w:left="7454" w:hanging="360"/>
      </w:pPr>
      <w:rPr>
        <w:rFonts w:hint="default"/>
      </w:rPr>
    </w:lvl>
    <w:lvl w:ilvl="8" w:tplc="6B0E927A">
      <w:numFmt w:val="bullet"/>
      <w:lvlText w:val="•"/>
      <w:lvlJc w:val="left"/>
      <w:pPr>
        <w:ind w:left="8385" w:hanging="360"/>
      </w:pPr>
      <w:rPr>
        <w:rFonts w:hint="default"/>
      </w:rPr>
    </w:lvl>
  </w:abstractNum>
  <w:abstractNum w:abstractNumId="21" w15:restartNumberingAfterBreak="0">
    <w:nsid w:val="607A68E5"/>
    <w:multiLevelType w:val="hybridMultilevel"/>
    <w:tmpl w:val="FFFFFFFF"/>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2" w15:restartNumberingAfterBreak="0">
    <w:nsid w:val="61030AB4"/>
    <w:multiLevelType w:val="hybridMultilevel"/>
    <w:tmpl w:val="FFFFFFFF"/>
    <w:lvl w:ilvl="0" w:tplc="18090017">
      <w:start w:val="1"/>
      <w:numFmt w:val="lowerLetter"/>
      <w:lvlText w:val="%1)"/>
      <w:lvlJc w:val="left"/>
      <w:pPr>
        <w:ind w:left="932" w:hanging="360"/>
      </w:pPr>
      <w:rPr>
        <w:rFonts w:cs="Times New Roman"/>
      </w:rPr>
    </w:lvl>
    <w:lvl w:ilvl="1" w:tplc="18090019" w:tentative="1">
      <w:start w:val="1"/>
      <w:numFmt w:val="lowerLetter"/>
      <w:lvlText w:val="%2."/>
      <w:lvlJc w:val="left"/>
      <w:pPr>
        <w:ind w:left="1652" w:hanging="360"/>
      </w:pPr>
      <w:rPr>
        <w:rFonts w:cs="Times New Roman"/>
      </w:rPr>
    </w:lvl>
    <w:lvl w:ilvl="2" w:tplc="1809001B" w:tentative="1">
      <w:start w:val="1"/>
      <w:numFmt w:val="lowerRoman"/>
      <w:lvlText w:val="%3."/>
      <w:lvlJc w:val="right"/>
      <w:pPr>
        <w:ind w:left="2372" w:hanging="180"/>
      </w:pPr>
      <w:rPr>
        <w:rFonts w:cs="Times New Roman"/>
      </w:rPr>
    </w:lvl>
    <w:lvl w:ilvl="3" w:tplc="1809000F" w:tentative="1">
      <w:start w:val="1"/>
      <w:numFmt w:val="decimal"/>
      <w:lvlText w:val="%4."/>
      <w:lvlJc w:val="left"/>
      <w:pPr>
        <w:ind w:left="3092" w:hanging="360"/>
      </w:pPr>
      <w:rPr>
        <w:rFonts w:cs="Times New Roman"/>
      </w:rPr>
    </w:lvl>
    <w:lvl w:ilvl="4" w:tplc="18090019" w:tentative="1">
      <w:start w:val="1"/>
      <w:numFmt w:val="lowerLetter"/>
      <w:lvlText w:val="%5."/>
      <w:lvlJc w:val="left"/>
      <w:pPr>
        <w:ind w:left="3812" w:hanging="360"/>
      </w:pPr>
      <w:rPr>
        <w:rFonts w:cs="Times New Roman"/>
      </w:rPr>
    </w:lvl>
    <w:lvl w:ilvl="5" w:tplc="1809001B" w:tentative="1">
      <w:start w:val="1"/>
      <w:numFmt w:val="lowerRoman"/>
      <w:lvlText w:val="%6."/>
      <w:lvlJc w:val="right"/>
      <w:pPr>
        <w:ind w:left="4532" w:hanging="180"/>
      </w:pPr>
      <w:rPr>
        <w:rFonts w:cs="Times New Roman"/>
      </w:rPr>
    </w:lvl>
    <w:lvl w:ilvl="6" w:tplc="1809000F" w:tentative="1">
      <w:start w:val="1"/>
      <w:numFmt w:val="decimal"/>
      <w:lvlText w:val="%7."/>
      <w:lvlJc w:val="left"/>
      <w:pPr>
        <w:ind w:left="5252" w:hanging="360"/>
      </w:pPr>
      <w:rPr>
        <w:rFonts w:cs="Times New Roman"/>
      </w:rPr>
    </w:lvl>
    <w:lvl w:ilvl="7" w:tplc="18090019" w:tentative="1">
      <w:start w:val="1"/>
      <w:numFmt w:val="lowerLetter"/>
      <w:lvlText w:val="%8."/>
      <w:lvlJc w:val="left"/>
      <w:pPr>
        <w:ind w:left="5972" w:hanging="360"/>
      </w:pPr>
      <w:rPr>
        <w:rFonts w:cs="Times New Roman"/>
      </w:rPr>
    </w:lvl>
    <w:lvl w:ilvl="8" w:tplc="1809001B" w:tentative="1">
      <w:start w:val="1"/>
      <w:numFmt w:val="lowerRoman"/>
      <w:lvlText w:val="%9."/>
      <w:lvlJc w:val="right"/>
      <w:pPr>
        <w:ind w:left="6692" w:hanging="180"/>
      </w:pPr>
      <w:rPr>
        <w:rFonts w:cs="Times New Roman"/>
      </w:rPr>
    </w:lvl>
  </w:abstractNum>
  <w:abstractNum w:abstractNumId="23" w15:restartNumberingAfterBreak="0">
    <w:nsid w:val="61914233"/>
    <w:multiLevelType w:val="hybridMultilevel"/>
    <w:tmpl w:val="FFFFFFFF"/>
    <w:lvl w:ilvl="0" w:tplc="853E0CE6">
      <w:start w:val="1"/>
      <w:numFmt w:val="decimal"/>
      <w:lvlText w:val="%1."/>
      <w:lvlJc w:val="left"/>
      <w:pPr>
        <w:ind w:left="779" w:hanging="360"/>
      </w:pPr>
      <w:rPr>
        <w:rFonts w:ascii="Times New Roman" w:eastAsia="Times New Roman" w:hAnsi="Times New Roman" w:cs="Times New Roman" w:hint="default"/>
        <w:b w:val="0"/>
        <w:bCs w:val="0"/>
        <w:i w:val="0"/>
        <w:iCs w:val="0"/>
        <w:spacing w:val="0"/>
        <w:w w:val="100"/>
        <w:sz w:val="22"/>
        <w:szCs w:val="22"/>
      </w:rPr>
    </w:lvl>
    <w:lvl w:ilvl="1" w:tplc="2B4A10CA">
      <w:start w:val="1"/>
      <w:numFmt w:val="lowerLetter"/>
      <w:lvlText w:val="%2."/>
      <w:lvlJc w:val="left"/>
      <w:pPr>
        <w:ind w:left="1346" w:hanging="425"/>
      </w:pPr>
      <w:rPr>
        <w:rFonts w:ascii="Times New Roman" w:eastAsia="Times New Roman" w:hAnsi="Times New Roman" w:cs="Times New Roman" w:hint="default"/>
        <w:b w:val="0"/>
        <w:bCs w:val="0"/>
        <w:i w:val="0"/>
        <w:iCs w:val="0"/>
        <w:spacing w:val="0"/>
        <w:w w:val="100"/>
        <w:sz w:val="22"/>
        <w:szCs w:val="22"/>
      </w:rPr>
    </w:lvl>
    <w:lvl w:ilvl="2" w:tplc="85069F7E">
      <w:numFmt w:val="bullet"/>
      <w:lvlText w:val="•"/>
      <w:lvlJc w:val="left"/>
      <w:pPr>
        <w:ind w:left="2329" w:hanging="425"/>
      </w:pPr>
      <w:rPr>
        <w:rFonts w:hint="default"/>
      </w:rPr>
    </w:lvl>
    <w:lvl w:ilvl="3" w:tplc="0CF45D62">
      <w:numFmt w:val="bullet"/>
      <w:lvlText w:val="•"/>
      <w:lvlJc w:val="left"/>
      <w:pPr>
        <w:ind w:left="3319" w:hanging="425"/>
      </w:pPr>
      <w:rPr>
        <w:rFonts w:hint="default"/>
      </w:rPr>
    </w:lvl>
    <w:lvl w:ilvl="4" w:tplc="D806FCCC">
      <w:numFmt w:val="bullet"/>
      <w:lvlText w:val="•"/>
      <w:lvlJc w:val="left"/>
      <w:pPr>
        <w:ind w:left="4308" w:hanging="425"/>
      </w:pPr>
      <w:rPr>
        <w:rFonts w:hint="default"/>
      </w:rPr>
    </w:lvl>
    <w:lvl w:ilvl="5" w:tplc="A866DBD6">
      <w:numFmt w:val="bullet"/>
      <w:lvlText w:val="•"/>
      <w:lvlJc w:val="left"/>
      <w:pPr>
        <w:ind w:left="5298" w:hanging="425"/>
      </w:pPr>
      <w:rPr>
        <w:rFonts w:hint="default"/>
      </w:rPr>
    </w:lvl>
    <w:lvl w:ilvl="6" w:tplc="541877CC">
      <w:numFmt w:val="bullet"/>
      <w:lvlText w:val="•"/>
      <w:lvlJc w:val="left"/>
      <w:pPr>
        <w:ind w:left="6288" w:hanging="425"/>
      </w:pPr>
      <w:rPr>
        <w:rFonts w:hint="default"/>
      </w:rPr>
    </w:lvl>
    <w:lvl w:ilvl="7" w:tplc="4FDAF468">
      <w:numFmt w:val="bullet"/>
      <w:lvlText w:val="•"/>
      <w:lvlJc w:val="left"/>
      <w:pPr>
        <w:ind w:left="7277" w:hanging="425"/>
      </w:pPr>
      <w:rPr>
        <w:rFonts w:hint="default"/>
      </w:rPr>
    </w:lvl>
    <w:lvl w:ilvl="8" w:tplc="E7B0CBB4">
      <w:numFmt w:val="bullet"/>
      <w:lvlText w:val="•"/>
      <w:lvlJc w:val="left"/>
      <w:pPr>
        <w:ind w:left="8267" w:hanging="425"/>
      </w:pPr>
      <w:rPr>
        <w:rFonts w:hint="default"/>
      </w:rPr>
    </w:lvl>
  </w:abstractNum>
  <w:abstractNum w:abstractNumId="24" w15:restartNumberingAfterBreak="0">
    <w:nsid w:val="75B43DF2"/>
    <w:multiLevelType w:val="hybridMultilevel"/>
    <w:tmpl w:val="FFFFFFFF"/>
    <w:lvl w:ilvl="0" w:tplc="2EE47084">
      <w:numFmt w:val="bullet"/>
      <w:lvlText w:val="-"/>
      <w:lvlJc w:val="left"/>
      <w:pPr>
        <w:ind w:left="720" w:hanging="360"/>
      </w:pPr>
      <w:rPr>
        <w:rFonts w:ascii="Calibri" w:eastAsia="Times New Roman" w:hAnsi="Calibri"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9481841"/>
    <w:multiLevelType w:val="hybridMultilevel"/>
    <w:tmpl w:val="FFFFFFFF"/>
    <w:lvl w:ilvl="0" w:tplc="D24426FC">
      <w:numFmt w:val="bullet"/>
      <w:lvlText w:val=""/>
      <w:lvlJc w:val="left"/>
      <w:pPr>
        <w:ind w:left="933" w:hanging="360"/>
      </w:pPr>
      <w:rPr>
        <w:rFonts w:ascii="Symbol" w:eastAsia="Times New Roman" w:hAnsi="Symbol" w:hint="default"/>
        <w:b w:val="0"/>
        <w:i w:val="0"/>
        <w:spacing w:val="0"/>
        <w:w w:val="100"/>
        <w:sz w:val="22"/>
      </w:rPr>
    </w:lvl>
    <w:lvl w:ilvl="1" w:tplc="1D246234">
      <w:numFmt w:val="bullet"/>
      <w:lvlText w:val="•"/>
      <w:lvlJc w:val="left"/>
      <w:pPr>
        <w:ind w:left="1870" w:hanging="360"/>
      </w:pPr>
      <w:rPr>
        <w:rFonts w:hint="default"/>
      </w:rPr>
    </w:lvl>
    <w:lvl w:ilvl="2" w:tplc="C354F286">
      <w:numFmt w:val="bullet"/>
      <w:lvlText w:val="•"/>
      <w:lvlJc w:val="left"/>
      <w:pPr>
        <w:ind w:left="2801" w:hanging="360"/>
      </w:pPr>
      <w:rPr>
        <w:rFonts w:hint="default"/>
      </w:rPr>
    </w:lvl>
    <w:lvl w:ilvl="3" w:tplc="8CECAF4E">
      <w:numFmt w:val="bullet"/>
      <w:lvlText w:val="•"/>
      <w:lvlJc w:val="left"/>
      <w:pPr>
        <w:ind w:left="3731" w:hanging="360"/>
      </w:pPr>
      <w:rPr>
        <w:rFonts w:hint="default"/>
      </w:rPr>
    </w:lvl>
    <w:lvl w:ilvl="4" w:tplc="BD02A718">
      <w:numFmt w:val="bullet"/>
      <w:lvlText w:val="•"/>
      <w:lvlJc w:val="left"/>
      <w:pPr>
        <w:ind w:left="4662" w:hanging="360"/>
      </w:pPr>
      <w:rPr>
        <w:rFonts w:hint="default"/>
      </w:rPr>
    </w:lvl>
    <w:lvl w:ilvl="5" w:tplc="B998B2BE">
      <w:numFmt w:val="bullet"/>
      <w:lvlText w:val="•"/>
      <w:lvlJc w:val="left"/>
      <w:pPr>
        <w:ind w:left="5593" w:hanging="360"/>
      </w:pPr>
      <w:rPr>
        <w:rFonts w:hint="default"/>
      </w:rPr>
    </w:lvl>
    <w:lvl w:ilvl="6" w:tplc="BCC8EAC2">
      <w:numFmt w:val="bullet"/>
      <w:lvlText w:val="•"/>
      <w:lvlJc w:val="left"/>
      <w:pPr>
        <w:ind w:left="6523" w:hanging="360"/>
      </w:pPr>
      <w:rPr>
        <w:rFonts w:hint="default"/>
      </w:rPr>
    </w:lvl>
    <w:lvl w:ilvl="7" w:tplc="9150256C">
      <w:numFmt w:val="bullet"/>
      <w:lvlText w:val="•"/>
      <w:lvlJc w:val="left"/>
      <w:pPr>
        <w:ind w:left="7454" w:hanging="360"/>
      </w:pPr>
      <w:rPr>
        <w:rFonts w:hint="default"/>
      </w:rPr>
    </w:lvl>
    <w:lvl w:ilvl="8" w:tplc="EAE87EEA">
      <w:numFmt w:val="bullet"/>
      <w:lvlText w:val="•"/>
      <w:lvlJc w:val="left"/>
      <w:pPr>
        <w:ind w:left="8385" w:hanging="360"/>
      </w:pPr>
      <w:rPr>
        <w:rFonts w:hint="default"/>
      </w:rPr>
    </w:lvl>
  </w:abstractNum>
  <w:num w:numId="1" w16cid:durableId="344019787">
    <w:abstractNumId w:val="1"/>
  </w:num>
  <w:num w:numId="2" w16cid:durableId="657928724">
    <w:abstractNumId w:val="2"/>
  </w:num>
  <w:num w:numId="3" w16cid:durableId="1885168975">
    <w:abstractNumId w:val="0"/>
  </w:num>
  <w:num w:numId="4" w16cid:durableId="1188328350">
    <w:abstractNumId w:val="1"/>
  </w:num>
  <w:num w:numId="5" w16cid:durableId="1922518801">
    <w:abstractNumId w:val="1"/>
  </w:num>
  <w:num w:numId="6" w16cid:durableId="1635285689">
    <w:abstractNumId w:val="1"/>
  </w:num>
  <w:num w:numId="7" w16cid:durableId="1541941156">
    <w:abstractNumId w:val="1"/>
  </w:num>
  <w:num w:numId="8" w16cid:durableId="1625961350">
    <w:abstractNumId w:val="3"/>
  </w:num>
  <w:num w:numId="9" w16cid:durableId="63649665">
    <w:abstractNumId w:val="7"/>
  </w:num>
  <w:num w:numId="10" w16cid:durableId="770583629">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0557013">
    <w:abstractNumId w:val="8"/>
  </w:num>
  <w:num w:numId="12" w16cid:durableId="943000542">
    <w:abstractNumId w:val="21"/>
  </w:num>
  <w:num w:numId="13" w16cid:durableId="1709721174">
    <w:abstractNumId w:val="12"/>
  </w:num>
  <w:num w:numId="14" w16cid:durableId="536048786">
    <w:abstractNumId w:val="14"/>
  </w:num>
  <w:num w:numId="15" w16cid:durableId="1461993981">
    <w:abstractNumId w:val="4"/>
  </w:num>
  <w:num w:numId="16" w16cid:durableId="916086659">
    <w:abstractNumId w:val="18"/>
  </w:num>
  <w:num w:numId="17" w16cid:durableId="1869248191">
    <w:abstractNumId w:val="13"/>
  </w:num>
  <w:num w:numId="18" w16cid:durableId="1276793968">
    <w:abstractNumId w:val="5"/>
  </w:num>
  <w:num w:numId="19" w16cid:durableId="289433987">
    <w:abstractNumId w:val="16"/>
  </w:num>
  <w:num w:numId="20" w16cid:durableId="215430548">
    <w:abstractNumId w:val="17"/>
  </w:num>
  <w:num w:numId="21" w16cid:durableId="1076392399">
    <w:abstractNumId w:val="24"/>
  </w:num>
  <w:num w:numId="22" w16cid:durableId="1934823189">
    <w:abstractNumId w:val="11"/>
  </w:num>
  <w:num w:numId="23" w16cid:durableId="1265267347">
    <w:abstractNumId w:val="22"/>
  </w:num>
  <w:num w:numId="24" w16cid:durableId="874974330">
    <w:abstractNumId w:val="15"/>
  </w:num>
  <w:num w:numId="25" w16cid:durableId="1498575468">
    <w:abstractNumId w:val="10"/>
  </w:num>
  <w:num w:numId="26" w16cid:durableId="1620606659">
    <w:abstractNumId w:val="20"/>
  </w:num>
  <w:num w:numId="27" w16cid:durableId="1433083562">
    <w:abstractNumId w:val="23"/>
  </w:num>
  <w:num w:numId="28" w16cid:durableId="1142162436">
    <w:abstractNumId w:val="25"/>
  </w:num>
  <w:num w:numId="29" w16cid:durableId="1327826004">
    <w:abstractNumId w:val="9"/>
  </w:num>
  <w:num w:numId="30" w16cid:durableId="1413164885">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749B5"/>
    <w:rsid w:val="00000189"/>
    <w:rsid w:val="00000396"/>
    <w:rsid w:val="00000B02"/>
    <w:rsid w:val="00000E88"/>
    <w:rsid w:val="000015FC"/>
    <w:rsid w:val="00001662"/>
    <w:rsid w:val="00001767"/>
    <w:rsid w:val="00001F83"/>
    <w:rsid w:val="000020B2"/>
    <w:rsid w:val="00002265"/>
    <w:rsid w:val="00003166"/>
    <w:rsid w:val="00003724"/>
    <w:rsid w:val="000041CE"/>
    <w:rsid w:val="000043F8"/>
    <w:rsid w:val="00004686"/>
    <w:rsid w:val="0000587D"/>
    <w:rsid w:val="00005CAA"/>
    <w:rsid w:val="00006318"/>
    <w:rsid w:val="00007BEE"/>
    <w:rsid w:val="0001129D"/>
    <w:rsid w:val="00011648"/>
    <w:rsid w:val="00011765"/>
    <w:rsid w:val="0001251B"/>
    <w:rsid w:val="000127B4"/>
    <w:rsid w:val="00012D9A"/>
    <w:rsid w:val="0001411D"/>
    <w:rsid w:val="0001462B"/>
    <w:rsid w:val="0001485A"/>
    <w:rsid w:val="00014BB7"/>
    <w:rsid w:val="00014E97"/>
    <w:rsid w:val="000159A3"/>
    <w:rsid w:val="00016A18"/>
    <w:rsid w:val="000176DE"/>
    <w:rsid w:val="00017DDF"/>
    <w:rsid w:val="00017EFF"/>
    <w:rsid w:val="00020C81"/>
    <w:rsid w:val="00021835"/>
    <w:rsid w:val="000220E5"/>
    <w:rsid w:val="00022D3C"/>
    <w:rsid w:val="00023576"/>
    <w:rsid w:val="0002374A"/>
    <w:rsid w:val="0002503B"/>
    <w:rsid w:val="00025394"/>
    <w:rsid w:val="00026D5B"/>
    <w:rsid w:val="0002714A"/>
    <w:rsid w:val="000275A9"/>
    <w:rsid w:val="00027881"/>
    <w:rsid w:val="00027C2F"/>
    <w:rsid w:val="000300A6"/>
    <w:rsid w:val="00030A89"/>
    <w:rsid w:val="00030E42"/>
    <w:rsid w:val="000312D2"/>
    <w:rsid w:val="00031ADB"/>
    <w:rsid w:val="00031E41"/>
    <w:rsid w:val="000323AD"/>
    <w:rsid w:val="00032495"/>
    <w:rsid w:val="00033A1F"/>
    <w:rsid w:val="00034524"/>
    <w:rsid w:val="00034BC8"/>
    <w:rsid w:val="0003772E"/>
    <w:rsid w:val="000405C5"/>
    <w:rsid w:val="00040730"/>
    <w:rsid w:val="00042967"/>
    <w:rsid w:val="000433A7"/>
    <w:rsid w:val="00045E79"/>
    <w:rsid w:val="00046C46"/>
    <w:rsid w:val="00047C7D"/>
    <w:rsid w:val="00050B50"/>
    <w:rsid w:val="00050E48"/>
    <w:rsid w:val="0005133A"/>
    <w:rsid w:val="00051406"/>
    <w:rsid w:val="0005169C"/>
    <w:rsid w:val="00051AC1"/>
    <w:rsid w:val="0005489D"/>
    <w:rsid w:val="00054B49"/>
    <w:rsid w:val="00055FED"/>
    <w:rsid w:val="00056377"/>
    <w:rsid w:val="00056E56"/>
    <w:rsid w:val="000572EE"/>
    <w:rsid w:val="00057756"/>
    <w:rsid w:val="00057A92"/>
    <w:rsid w:val="000603C3"/>
    <w:rsid w:val="0006044D"/>
    <w:rsid w:val="000614BF"/>
    <w:rsid w:val="000616A3"/>
    <w:rsid w:val="000616CA"/>
    <w:rsid w:val="00061871"/>
    <w:rsid w:val="000618B3"/>
    <w:rsid w:val="00062A91"/>
    <w:rsid w:val="00063591"/>
    <w:rsid w:val="000636F3"/>
    <w:rsid w:val="000638B5"/>
    <w:rsid w:val="00063A68"/>
    <w:rsid w:val="0006470D"/>
    <w:rsid w:val="00064836"/>
    <w:rsid w:val="0006488E"/>
    <w:rsid w:val="000648BB"/>
    <w:rsid w:val="0006505A"/>
    <w:rsid w:val="00065311"/>
    <w:rsid w:val="00065C6A"/>
    <w:rsid w:val="00065F32"/>
    <w:rsid w:val="00066783"/>
    <w:rsid w:val="00066C30"/>
    <w:rsid w:val="00067591"/>
    <w:rsid w:val="00067A85"/>
    <w:rsid w:val="00072592"/>
    <w:rsid w:val="000728FC"/>
    <w:rsid w:val="000734D6"/>
    <w:rsid w:val="000735EC"/>
    <w:rsid w:val="0007408E"/>
    <w:rsid w:val="000745FC"/>
    <w:rsid w:val="000752CD"/>
    <w:rsid w:val="0007546C"/>
    <w:rsid w:val="00077BB8"/>
    <w:rsid w:val="00081B91"/>
    <w:rsid w:val="00082D09"/>
    <w:rsid w:val="00083B11"/>
    <w:rsid w:val="000842B5"/>
    <w:rsid w:val="00084CB5"/>
    <w:rsid w:val="000852E9"/>
    <w:rsid w:val="0008570E"/>
    <w:rsid w:val="00086457"/>
    <w:rsid w:val="0008672E"/>
    <w:rsid w:val="00087373"/>
    <w:rsid w:val="00090A34"/>
    <w:rsid w:val="000919FB"/>
    <w:rsid w:val="00092688"/>
    <w:rsid w:val="000926B1"/>
    <w:rsid w:val="00092AB2"/>
    <w:rsid w:val="00093C1F"/>
    <w:rsid w:val="00093DA8"/>
    <w:rsid w:val="0009588C"/>
    <w:rsid w:val="00095C5E"/>
    <w:rsid w:val="0009657A"/>
    <w:rsid w:val="00096C8B"/>
    <w:rsid w:val="000972BD"/>
    <w:rsid w:val="00097401"/>
    <w:rsid w:val="00097547"/>
    <w:rsid w:val="00097686"/>
    <w:rsid w:val="00097B47"/>
    <w:rsid w:val="000A17AD"/>
    <w:rsid w:val="000A1912"/>
    <w:rsid w:val="000A1ED3"/>
    <w:rsid w:val="000A2C18"/>
    <w:rsid w:val="000A32CC"/>
    <w:rsid w:val="000A4055"/>
    <w:rsid w:val="000A51F3"/>
    <w:rsid w:val="000A60D9"/>
    <w:rsid w:val="000B071C"/>
    <w:rsid w:val="000B0FF1"/>
    <w:rsid w:val="000B1032"/>
    <w:rsid w:val="000B21CB"/>
    <w:rsid w:val="000B2496"/>
    <w:rsid w:val="000B24FE"/>
    <w:rsid w:val="000B2A3D"/>
    <w:rsid w:val="000B2FCA"/>
    <w:rsid w:val="000B327F"/>
    <w:rsid w:val="000B5F0D"/>
    <w:rsid w:val="000B694A"/>
    <w:rsid w:val="000B7AC2"/>
    <w:rsid w:val="000C00BF"/>
    <w:rsid w:val="000C024F"/>
    <w:rsid w:val="000C06A5"/>
    <w:rsid w:val="000C06B6"/>
    <w:rsid w:val="000C0AD6"/>
    <w:rsid w:val="000C1624"/>
    <w:rsid w:val="000C183F"/>
    <w:rsid w:val="000C1E8F"/>
    <w:rsid w:val="000C274D"/>
    <w:rsid w:val="000C2F5D"/>
    <w:rsid w:val="000C37C9"/>
    <w:rsid w:val="000C3A31"/>
    <w:rsid w:val="000C3CAE"/>
    <w:rsid w:val="000C3E25"/>
    <w:rsid w:val="000C4252"/>
    <w:rsid w:val="000C4276"/>
    <w:rsid w:val="000C4981"/>
    <w:rsid w:val="000C6140"/>
    <w:rsid w:val="000C6593"/>
    <w:rsid w:val="000C6CD7"/>
    <w:rsid w:val="000D1634"/>
    <w:rsid w:val="000D240A"/>
    <w:rsid w:val="000D3CDE"/>
    <w:rsid w:val="000D40CC"/>
    <w:rsid w:val="000D41A5"/>
    <w:rsid w:val="000D583F"/>
    <w:rsid w:val="000D5F55"/>
    <w:rsid w:val="000D61C6"/>
    <w:rsid w:val="000D773C"/>
    <w:rsid w:val="000D7ACD"/>
    <w:rsid w:val="000E0C61"/>
    <w:rsid w:val="000E123D"/>
    <w:rsid w:val="000E1508"/>
    <w:rsid w:val="000E19B9"/>
    <w:rsid w:val="000E2AF6"/>
    <w:rsid w:val="000E2E9C"/>
    <w:rsid w:val="000E3294"/>
    <w:rsid w:val="000E32B1"/>
    <w:rsid w:val="000E38CD"/>
    <w:rsid w:val="000E4726"/>
    <w:rsid w:val="000E5BD3"/>
    <w:rsid w:val="000E76CD"/>
    <w:rsid w:val="000E76E9"/>
    <w:rsid w:val="000F17F3"/>
    <w:rsid w:val="000F197D"/>
    <w:rsid w:val="000F2165"/>
    <w:rsid w:val="000F22BC"/>
    <w:rsid w:val="000F3225"/>
    <w:rsid w:val="000F443F"/>
    <w:rsid w:val="000F4652"/>
    <w:rsid w:val="000F47D9"/>
    <w:rsid w:val="000F52E2"/>
    <w:rsid w:val="000F5467"/>
    <w:rsid w:val="000F59A0"/>
    <w:rsid w:val="000F611E"/>
    <w:rsid w:val="000F62AF"/>
    <w:rsid w:val="000F68C1"/>
    <w:rsid w:val="000F7405"/>
    <w:rsid w:val="001003C5"/>
    <w:rsid w:val="00100C6B"/>
    <w:rsid w:val="00100E22"/>
    <w:rsid w:val="00100F61"/>
    <w:rsid w:val="00100FAC"/>
    <w:rsid w:val="00101271"/>
    <w:rsid w:val="001017C2"/>
    <w:rsid w:val="00101AEE"/>
    <w:rsid w:val="00101B6B"/>
    <w:rsid w:val="00101E54"/>
    <w:rsid w:val="00101FF1"/>
    <w:rsid w:val="001027A3"/>
    <w:rsid w:val="001034B1"/>
    <w:rsid w:val="00103653"/>
    <w:rsid w:val="00103811"/>
    <w:rsid w:val="0010618B"/>
    <w:rsid w:val="00107C6D"/>
    <w:rsid w:val="00112225"/>
    <w:rsid w:val="00112E4F"/>
    <w:rsid w:val="0011455E"/>
    <w:rsid w:val="00114A00"/>
    <w:rsid w:val="001150F7"/>
    <w:rsid w:val="001151FE"/>
    <w:rsid w:val="0011551C"/>
    <w:rsid w:val="001158D6"/>
    <w:rsid w:val="001162F0"/>
    <w:rsid w:val="00116BB5"/>
    <w:rsid w:val="001178DC"/>
    <w:rsid w:val="00120A8D"/>
    <w:rsid w:val="00121219"/>
    <w:rsid w:val="00121CA0"/>
    <w:rsid w:val="00122047"/>
    <w:rsid w:val="00122B03"/>
    <w:rsid w:val="001232A6"/>
    <w:rsid w:val="001236BA"/>
    <w:rsid w:val="00124239"/>
    <w:rsid w:val="001244F0"/>
    <w:rsid w:val="001249D9"/>
    <w:rsid w:val="001254ED"/>
    <w:rsid w:val="00125A54"/>
    <w:rsid w:val="00125F69"/>
    <w:rsid w:val="00126097"/>
    <w:rsid w:val="00126371"/>
    <w:rsid w:val="00127131"/>
    <w:rsid w:val="00127A0A"/>
    <w:rsid w:val="001309F2"/>
    <w:rsid w:val="00131594"/>
    <w:rsid w:val="00132E55"/>
    <w:rsid w:val="0013435B"/>
    <w:rsid w:val="001351E5"/>
    <w:rsid w:val="00136AD0"/>
    <w:rsid w:val="0013713C"/>
    <w:rsid w:val="00137D64"/>
    <w:rsid w:val="0014089E"/>
    <w:rsid w:val="00140A0D"/>
    <w:rsid w:val="001421B6"/>
    <w:rsid w:val="00143272"/>
    <w:rsid w:val="001438AB"/>
    <w:rsid w:val="00143E05"/>
    <w:rsid w:val="0014626B"/>
    <w:rsid w:val="0014692E"/>
    <w:rsid w:val="00146F1C"/>
    <w:rsid w:val="00147ECE"/>
    <w:rsid w:val="0015028B"/>
    <w:rsid w:val="00150568"/>
    <w:rsid w:val="001507E7"/>
    <w:rsid w:val="00151EDE"/>
    <w:rsid w:val="001522C2"/>
    <w:rsid w:val="00152F84"/>
    <w:rsid w:val="00153C75"/>
    <w:rsid w:val="00153E80"/>
    <w:rsid w:val="00154428"/>
    <w:rsid w:val="00154C34"/>
    <w:rsid w:val="00154CE8"/>
    <w:rsid w:val="001554CF"/>
    <w:rsid w:val="00155BB8"/>
    <w:rsid w:val="001561E0"/>
    <w:rsid w:val="001566CE"/>
    <w:rsid w:val="00156DE6"/>
    <w:rsid w:val="00157648"/>
    <w:rsid w:val="00160781"/>
    <w:rsid w:val="00161AC7"/>
    <w:rsid w:val="00161C69"/>
    <w:rsid w:val="00162FBE"/>
    <w:rsid w:val="001640CB"/>
    <w:rsid w:val="001649FD"/>
    <w:rsid w:val="0016576B"/>
    <w:rsid w:val="0016598D"/>
    <w:rsid w:val="00165EB2"/>
    <w:rsid w:val="001664B1"/>
    <w:rsid w:val="00167D43"/>
    <w:rsid w:val="00170FBC"/>
    <w:rsid w:val="00172079"/>
    <w:rsid w:val="001729EF"/>
    <w:rsid w:val="00172D73"/>
    <w:rsid w:val="0017357A"/>
    <w:rsid w:val="00173BE1"/>
    <w:rsid w:val="00173C10"/>
    <w:rsid w:val="00175DE7"/>
    <w:rsid w:val="00175F1E"/>
    <w:rsid w:val="00175F39"/>
    <w:rsid w:val="00176303"/>
    <w:rsid w:val="00176584"/>
    <w:rsid w:val="00176719"/>
    <w:rsid w:val="00176901"/>
    <w:rsid w:val="00176B31"/>
    <w:rsid w:val="00176C61"/>
    <w:rsid w:val="00176FB1"/>
    <w:rsid w:val="0017762C"/>
    <w:rsid w:val="0017781E"/>
    <w:rsid w:val="00177F27"/>
    <w:rsid w:val="00180523"/>
    <w:rsid w:val="001807CB"/>
    <w:rsid w:val="00180895"/>
    <w:rsid w:val="001817FD"/>
    <w:rsid w:val="00181D7A"/>
    <w:rsid w:val="00182C9E"/>
    <w:rsid w:val="00183435"/>
    <w:rsid w:val="001844EB"/>
    <w:rsid w:val="001848C3"/>
    <w:rsid w:val="00184CB3"/>
    <w:rsid w:val="001851C2"/>
    <w:rsid w:val="001862D7"/>
    <w:rsid w:val="001862EE"/>
    <w:rsid w:val="001863CC"/>
    <w:rsid w:val="001870D3"/>
    <w:rsid w:val="00187207"/>
    <w:rsid w:val="00187951"/>
    <w:rsid w:val="00187D60"/>
    <w:rsid w:val="00187D82"/>
    <w:rsid w:val="00190A83"/>
    <w:rsid w:val="00192503"/>
    <w:rsid w:val="0019373F"/>
    <w:rsid w:val="001937BC"/>
    <w:rsid w:val="00195347"/>
    <w:rsid w:val="00195E23"/>
    <w:rsid w:val="00195EAB"/>
    <w:rsid w:val="001974E4"/>
    <w:rsid w:val="00197634"/>
    <w:rsid w:val="00197AA9"/>
    <w:rsid w:val="001A081C"/>
    <w:rsid w:val="001A0F85"/>
    <w:rsid w:val="001A0FEC"/>
    <w:rsid w:val="001A143D"/>
    <w:rsid w:val="001A1A55"/>
    <w:rsid w:val="001A1E7A"/>
    <w:rsid w:val="001A28CD"/>
    <w:rsid w:val="001A31B7"/>
    <w:rsid w:val="001A3322"/>
    <w:rsid w:val="001A3825"/>
    <w:rsid w:val="001A394F"/>
    <w:rsid w:val="001A3FE1"/>
    <w:rsid w:val="001A4D38"/>
    <w:rsid w:val="001A4F8E"/>
    <w:rsid w:val="001A5A22"/>
    <w:rsid w:val="001A5DBA"/>
    <w:rsid w:val="001A5F03"/>
    <w:rsid w:val="001A637A"/>
    <w:rsid w:val="001A6D79"/>
    <w:rsid w:val="001B03E2"/>
    <w:rsid w:val="001B06D3"/>
    <w:rsid w:val="001B0750"/>
    <w:rsid w:val="001B13E1"/>
    <w:rsid w:val="001B2484"/>
    <w:rsid w:val="001B26AC"/>
    <w:rsid w:val="001B53C9"/>
    <w:rsid w:val="001B53ED"/>
    <w:rsid w:val="001B596A"/>
    <w:rsid w:val="001B69A5"/>
    <w:rsid w:val="001B6E72"/>
    <w:rsid w:val="001B6F5A"/>
    <w:rsid w:val="001C0A89"/>
    <w:rsid w:val="001C0EFE"/>
    <w:rsid w:val="001C1D2C"/>
    <w:rsid w:val="001C1EB6"/>
    <w:rsid w:val="001C474A"/>
    <w:rsid w:val="001C4D3A"/>
    <w:rsid w:val="001C4EEE"/>
    <w:rsid w:val="001C5D7E"/>
    <w:rsid w:val="001C71E4"/>
    <w:rsid w:val="001C71F8"/>
    <w:rsid w:val="001C7DA0"/>
    <w:rsid w:val="001D07C0"/>
    <w:rsid w:val="001D0C7B"/>
    <w:rsid w:val="001D0D72"/>
    <w:rsid w:val="001D1B16"/>
    <w:rsid w:val="001D2826"/>
    <w:rsid w:val="001D3172"/>
    <w:rsid w:val="001D35FD"/>
    <w:rsid w:val="001D3C19"/>
    <w:rsid w:val="001D4320"/>
    <w:rsid w:val="001D47D2"/>
    <w:rsid w:val="001D48C0"/>
    <w:rsid w:val="001D4949"/>
    <w:rsid w:val="001D4C01"/>
    <w:rsid w:val="001D5B79"/>
    <w:rsid w:val="001D6576"/>
    <w:rsid w:val="001D6917"/>
    <w:rsid w:val="001D6B84"/>
    <w:rsid w:val="001D6EA7"/>
    <w:rsid w:val="001D7ABB"/>
    <w:rsid w:val="001D7B14"/>
    <w:rsid w:val="001E0435"/>
    <w:rsid w:val="001E10DA"/>
    <w:rsid w:val="001E2490"/>
    <w:rsid w:val="001E274C"/>
    <w:rsid w:val="001E2E0D"/>
    <w:rsid w:val="001E364E"/>
    <w:rsid w:val="001E3BA7"/>
    <w:rsid w:val="001E4055"/>
    <w:rsid w:val="001E4A72"/>
    <w:rsid w:val="001E633D"/>
    <w:rsid w:val="001E64B6"/>
    <w:rsid w:val="001E6568"/>
    <w:rsid w:val="001E76FF"/>
    <w:rsid w:val="001E7C41"/>
    <w:rsid w:val="001F0C60"/>
    <w:rsid w:val="001F2354"/>
    <w:rsid w:val="001F4014"/>
    <w:rsid w:val="001F47DB"/>
    <w:rsid w:val="001F4A09"/>
    <w:rsid w:val="001F59CD"/>
    <w:rsid w:val="001F5FE1"/>
    <w:rsid w:val="001F6434"/>
    <w:rsid w:val="001F6561"/>
    <w:rsid w:val="001F690C"/>
    <w:rsid w:val="001F7DFC"/>
    <w:rsid w:val="002004B0"/>
    <w:rsid w:val="002015A7"/>
    <w:rsid w:val="00201E89"/>
    <w:rsid w:val="002023D8"/>
    <w:rsid w:val="002038EB"/>
    <w:rsid w:val="00203ABF"/>
    <w:rsid w:val="00203BF0"/>
    <w:rsid w:val="00203BFA"/>
    <w:rsid w:val="0020401B"/>
    <w:rsid w:val="002040AB"/>
    <w:rsid w:val="002045C6"/>
    <w:rsid w:val="00204983"/>
    <w:rsid w:val="00205D6F"/>
    <w:rsid w:val="00205F16"/>
    <w:rsid w:val="002060C2"/>
    <w:rsid w:val="00207CFF"/>
    <w:rsid w:val="00211B17"/>
    <w:rsid w:val="00211B8D"/>
    <w:rsid w:val="00212526"/>
    <w:rsid w:val="002128D0"/>
    <w:rsid w:val="00212A4C"/>
    <w:rsid w:val="0021362B"/>
    <w:rsid w:val="00214F25"/>
    <w:rsid w:val="00217129"/>
    <w:rsid w:val="00217C7E"/>
    <w:rsid w:val="00220999"/>
    <w:rsid w:val="0022115B"/>
    <w:rsid w:val="00221163"/>
    <w:rsid w:val="0022120B"/>
    <w:rsid w:val="0022128C"/>
    <w:rsid w:val="00221350"/>
    <w:rsid w:val="00222427"/>
    <w:rsid w:val="0022283B"/>
    <w:rsid w:val="00222886"/>
    <w:rsid w:val="00222AE2"/>
    <w:rsid w:val="00222C04"/>
    <w:rsid w:val="0022324E"/>
    <w:rsid w:val="00223658"/>
    <w:rsid w:val="00223C40"/>
    <w:rsid w:val="00223D3C"/>
    <w:rsid w:val="00223D44"/>
    <w:rsid w:val="002254C4"/>
    <w:rsid w:val="00225C3A"/>
    <w:rsid w:val="00226148"/>
    <w:rsid w:val="002265E1"/>
    <w:rsid w:val="00226A55"/>
    <w:rsid w:val="00227148"/>
    <w:rsid w:val="0023018A"/>
    <w:rsid w:val="002311AE"/>
    <w:rsid w:val="00231C23"/>
    <w:rsid w:val="00231EFB"/>
    <w:rsid w:val="002321E2"/>
    <w:rsid w:val="00232FF9"/>
    <w:rsid w:val="00233450"/>
    <w:rsid w:val="00233466"/>
    <w:rsid w:val="00234312"/>
    <w:rsid w:val="00234335"/>
    <w:rsid w:val="002346D0"/>
    <w:rsid w:val="00234D00"/>
    <w:rsid w:val="002355D2"/>
    <w:rsid w:val="00236453"/>
    <w:rsid w:val="00236984"/>
    <w:rsid w:val="00237884"/>
    <w:rsid w:val="00237938"/>
    <w:rsid w:val="002379BB"/>
    <w:rsid w:val="00237B61"/>
    <w:rsid w:val="00237BB9"/>
    <w:rsid w:val="0024127D"/>
    <w:rsid w:val="0024146B"/>
    <w:rsid w:val="00242E8C"/>
    <w:rsid w:val="0024336B"/>
    <w:rsid w:val="00244AFA"/>
    <w:rsid w:val="00244B6B"/>
    <w:rsid w:val="00244BC4"/>
    <w:rsid w:val="00244D10"/>
    <w:rsid w:val="00244E5E"/>
    <w:rsid w:val="00245478"/>
    <w:rsid w:val="00245D33"/>
    <w:rsid w:val="0024623A"/>
    <w:rsid w:val="00247941"/>
    <w:rsid w:val="0025111E"/>
    <w:rsid w:val="00251339"/>
    <w:rsid w:val="00252F4A"/>
    <w:rsid w:val="002539DC"/>
    <w:rsid w:val="0025435C"/>
    <w:rsid w:val="00254371"/>
    <w:rsid w:val="0025585A"/>
    <w:rsid w:val="00256233"/>
    <w:rsid w:val="00256984"/>
    <w:rsid w:val="0025737C"/>
    <w:rsid w:val="002573AC"/>
    <w:rsid w:val="00257F1C"/>
    <w:rsid w:val="00260548"/>
    <w:rsid w:val="00260640"/>
    <w:rsid w:val="0026123F"/>
    <w:rsid w:val="00261424"/>
    <w:rsid w:val="00261664"/>
    <w:rsid w:val="00262482"/>
    <w:rsid w:val="002631AA"/>
    <w:rsid w:val="00264C31"/>
    <w:rsid w:val="00265280"/>
    <w:rsid w:val="00265A33"/>
    <w:rsid w:val="0026609F"/>
    <w:rsid w:val="002661BC"/>
    <w:rsid w:val="00266BD4"/>
    <w:rsid w:val="00267AD8"/>
    <w:rsid w:val="00267BD6"/>
    <w:rsid w:val="00267E4F"/>
    <w:rsid w:val="00270A4A"/>
    <w:rsid w:val="00270E41"/>
    <w:rsid w:val="002729BF"/>
    <w:rsid w:val="00273299"/>
    <w:rsid w:val="0027409A"/>
    <w:rsid w:val="00275125"/>
    <w:rsid w:val="00276EDD"/>
    <w:rsid w:val="00277616"/>
    <w:rsid w:val="002777BB"/>
    <w:rsid w:val="00277B28"/>
    <w:rsid w:val="00280789"/>
    <w:rsid w:val="0028081F"/>
    <w:rsid w:val="002809D4"/>
    <w:rsid w:val="00280C8B"/>
    <w:rsid w:val="00281295"/>
    <w:rsid w:val="00282832"/>
    <w:rsid w:val="0028452D"/>
    <w:rsid w:val="002852CE"/>
    <w:rsid w:val="00285551"/>
    <w:rsid w:val="00286739"/>
    <w:rsid w:val="00286BF6"/>
    <w:rsid w:val="002875B2"/>
    <w:rsid w:val="002901C9"/>
    <w:rsid w:val="0029143C"/>
    <w:rsid w:val="0029175E"/>
    <w:rsid w:val="00291A36"/>
    <w:rsid w:val="00292E73"/>
    <w:rsid w:val="002932B4"/>
    <w:rsid w:val="002935CC"/>
    <w:rsid w:val="00293A81"/>
    <w:rsid w:val="00293AED"/>
    <w:rsid w:val="00294236"/>
    <w:rsid w:val="00295591"/>
    <w:rsid w:val="00296189"/>
    <w:rsid w:val="002969F8"/>
    <w:rsid w:val="00296A25"/>
    <w:rsid w:val="00296BDF"/>
    <w:rsid w:val="00296CF3"/>
    <w:rsid w:val="00296EE4"/>
    <w:rsid w:val="00297054"/>
    <w:rsid w:val="00297DCC"/>
    <w:rsid w:val="002A0BA0"/>
    <w:rsid w:val="002A189E"/>
    <w:rsid w:val="002A1BD8"/>
    <w:rsid w:val="002A1D7C"/>
    <w:rsid w:val="002A3541"/>
    <w:rsid w:val="002A4363"/>
    <w:rsid w:val="002A4866"/>
    <w:rsid w:val="002A4A5A"/>
    <w:rsid w:val="002A66CB"/>
    <w:rsid w:val="002A680D"/>
    <w:rsid w:val="002A730B"/>
    <w:rsid w:val="002A7523"/>
    <w:rsid w:val="002B2921"/>
    <w:rsid w:val="002B3016"/>
    <w:rsid w:val="002B32F5"/>
    <w:rsid w:val="002B370E"/>
    <w:rsid w:val="002B4AD8"/>
    <w:rsid w:val="002B4D8B"/>
    <w:rsid w:val="002B4EDE"/>
    <w:rsid w:val="002B6407"/>
    <w:rsid w:val="002B68A5"/>
    <w:rsid w:val="002B7141"/>
    <w:rsid w:val="002B78DD"/>
    <w:rsid w:val="002B7CE9"/>
    <w:rsid w:val="002B7E10"/>
    <w:rsid w:val="002C1016"/>
    <w:rsid w:val="002C4B11"/>
    <w:rsid w:val="002C52B2"/>
    <w:rsid w:val="002C5506"/>
    <w:rsid w:val="002C59A2"/>
    <w:rsid w:val="002C5A09"/>
    <w:rsid w:val="002C65F3"/>
    <w:rsid w:val="002C706C"/>
    <w:rsid w:val="002C7303"/>
    <w:rsid w:val="002C788C"/>
    <w:rsid w:val="002C7B6C"/>
    <w:rsid w:val="002D0607"/>
    <w:rsid w:val="002D0B7B"/>
    <w:rsid w:val="002D0EEF"/>
    <w:rsid w:val="002D2C47"/>
    <w:rsid w:val="002D39F5"/>
    <w:rsid w:val="002D3C65"/>
    <w:rsid w:val="002D4709"/>
    <w:rsid w:val="002D4ACD"/>
    <w:rsid w:val="002D4BE3"/>
    <w:rsid w:val="002D4DD8"/>
    <w:rsid w:val="002D566A"/>
    <w:rsid w:val="002D5C26"/>
    <w:rsid w:val="002D62FC"/>
    <w:rsid w:val="002D6551"/>
    <w:rsid w:val="002D65F6"/>
    <w:rsid w:val="002D6A16"/>
    <w:rsid w:val="002D7024"/>
    <w:rsid w:val="002D7875"/>
    <w:rsid w:val="002D7ADE"/>
    <w:rsid w:val="002D7F4A"/>
    <w:rsid w:val="002E0652"/>
    <w:rsid w:val="002E0A05"/>
    <w:rsid w:val="002E1A6E"/>
    <w:rsid w:val="002E2508"/>
    <w:rsid w:val="002E3850"/>
    <w:rsid w:val="002E38E4"/>
    <w:rsid w:val="002E4196"/>
    <w:rsid w:val="002E4455"/>
    <w:rsid w:val="002E4ED0"/>
    <w:rsid w:val="002E536D"/>
    <w:rsid w:val="002E57E3"/>
    <w:rsid w:val="002E5D69"/>
    <w:rsid w:val="002E674B"/>
    <w:rsid w:val="002E76D9"/>
    <w:rsid w:val="002F0168"/>
    <w:rsid w:val="002F0314"/>
    <w:rsid w:val="002F03F3"/>
    <w:rsid w:val="002F0D07"/>
    <w:rsid w:val="002F3F27"/>
    <w:rsid w:val="002F4094"/>
    <w:rsid w:val="002F4D63"/>
    <w:rsid w:val="002F53C2"/>
    <w:rsid w:val="002F5787"/>
    <w:rsid w:val="002F5D8E"/>
    <w:rsid w:val="002F63AD"/>
    <w:rsid w:val="002F65FF"/>
    <w:rsid w:val="002F6743"/>
    <w:rsid w:val="002F74DF"/>
    <w:rsid w:val="00300F26"/>
    <w:rsid w:val="0030110D"/>
    <w:rsid w:val="00301E5E"/>
    <w:rsid w:val="0030239C"/>
    <w:rsid w:val="00302E84"/>
    <w:rsid w:val="00303F06"/>
    <w:rsid w:val="0030547F"/>
    <w:rsid w:val="00305BAB"/>
    <w:rsid w:val="00306EBD"/>
    <w:rsid w:val="00311AAE"/>
    <w:rsid w:val="00311D7F"/>
    <w:rsid w:val="00312C98"/>
    <w:rsid w:val="00312FFA"/>
    <w:rsid w:val="003137E2"/>
    <w:rsid w:val="003139E4"/>
    <w:rsid w:val="00314734"/>
    <w:rsid w:val="00314D93"/>
    <w:rsid w:val="0031666A"/>
    <w:rsid w:val="00316F9A"/>
    <w:rsid w:val="003172E5"/>
    <w:rsid w:val="0031769D"/>
    <w:rsid w:val="00317A9B"/>
    <w:rsid w:val="00320C1F"/>
    <w:rsid w:val="00321751"/>
    <w:rsid w:val="00322322"/>
    <w:rsid w:val="00322D1B"/>
    <w:rsid w:val="00322F1C"/>
    <w:rsid w:val="003248FB"/>
    <w:rsid w:val="00324A17"/>
    <w:rsid w:val="003257C5"/>
    <w:rsid w:val="0032711C"/>
    <w:rsid w:val="003271BD"/>
    <w:rsid w:val="0032734C"/>
    <w:rsid w:val="003273E1"/>
    <w:rsid w:val="00327BB2"/>
    <w:rsid w:val="0033060C"/>
    <w:rsid w:val="00330AF0"/>
    <w:rsid w:val="0033119E"/>
    <w:rsid w:val="003319BB"/>
    <w:rsid w:val="00331E06"/>
    <w:rsid w:val="00332780"/>
    <w:rsid w:val="00333E48"/>
    <w:rsid w:val="00334342"/>
    <w:rsid w:val="0033444B"/>
    <w:rsid w:val="00334997"/>
    <w:rsid w:val="00336D67"/>
    <w:rsid w:val="003372BE"/>
    <w:rsid w:val="003377C8"/>
    <w:rsid w:val="0033794D"/>
    <w:rsid w:val="00337C61"/>
    <w:rsid w:val="00340416"/>
    <w:rsid w:val="00341B84"/>
    <w:rsid w:val="00341C39"/>
    <w:rsid w:val="003433A5"/>
    <w:rsid w:val="0034419A"/>
    <w:rsid w:val="0034440F"/>
    <w:rsid w:val="0034471E"/>
    <w:rsid w:val="00345514"/>
    <w:rsid w:val="00345A0D"/>
    <w:rsid w:val="00346742"/>
    <w:rsid w:val="003477DE"/>
    <w:rsid w:val="00350B15"/>
    <w:rsid w:val="00351F48"/>
    <w:rsid w:val="0035206C"/>
    <w:rsid w:val="003521C6"/>
    <w:rsid w:val="00352725"/>
    <w:rsid w:val="00353868"/>
    <w:rsid w:val="00353E3A"/>
    <w:rsid w:val="00354267"/>
    <w:rsid w:val="003554B3"/>
    <w:rsid w:val="00356178"/>
    <w:rsid w:val="003565E6"/>
    <w:rsid w:val="00356ABC"/>
    <w:rsid w:val="00356B85"/>
    <w:rsid w:val="00356DFC"/>
    <w:rsid w:val="003573AE"/>
    <w:rsid w:val="00357AA6"/>
    <w:rsid w:val="00357CC0"/>
    <w:rsid w:val="00357DDA"/>
    <w:rsid w:val="00360527"/>
    <w:rsid w:val="003620C8"/>
    <w:rsid w:val="00362681"/>
    <w:rsid w:val="0036395E"/>
    <w:rsid w:val="003639B6"/>
    <w:rsid w:val="00364681"/>
    <w:rsid w:val="00364AD0"/>
    <w:rsid w:val="00364F72"/>
    <w:rsid w:val="003660DB"/>
    <w:rsid w:val="003664DD"/>
    <w:rsid w:val="00366B48"/>
    <w:rsid w:val="00367035"/>
    <w:rsid w:val="00367B36"/>
    <w:rsid w:val="00370173"/>
    <w:rsid w:val="00370AB0"/>
    <w:rsid w:val="00371364"/>
    <w:rsid w:val="0037369C"/>
    <w:rsid w:val="003737C8"/>
    <w:rsid w:val="003743F9"/>
    <w:rsid w:val="003744D0"/>
    <w:rsid w:val="003749B5"/>
    <w:rsid w:val="00374E8E"/>
    <w:rsid w:val="003751BB"/>
    <w:rsid w:val="00376E92"/>
    <w:rsid w:val="003770E4"/>
    <w:rsid w:val="003776B9"/>
    <w:rsid w:val="00380139"/>
    <w:rsid w:val="00380723"/>
    <w:rsid w:val="00380C43"/>
    <w:rsid w:val="00382428"/>
    <w:rsid w:val="00382704"/>
    <w:rsid w:val="00382AEC"/>
    <w:rsid w:val="00382EC8"/>
    <w:rsid w:val="0038373D"/>
    <w:rsid w:val="003858CD"/>
    <w:rsid w:val="00386331"/>
    <w:rsid w:val="0038698E"/>
    <w:rsid w:val="00386D0F"/>
    <w:rsid w:val="00386E95"/>
    <w:rsid w:val="0038736F"/>
    <w:rsid w:val="00387AB3"/>
    <w:rsid w:val="00387B18"/>
    <w:rsid w:val="003905D5"/>
    <w:rsid w:val="0039065F"/>
    <w:rsid w:val="00391C3F"/>
    <w:rsid w:val="003927A2"/>
    <w:rsid w:val="00392B2D"/>
    <w:rsid w:val="00393662"/>
    <w:rsid w:val="003942A2"/>
    <w:rsid w:val="00394391"/>
    <w:rsid w:val="0039471F"/>
    <w:rsid w:val="00394918"/>
    <w:rsid w:val="003951C2"/>
    <w:rsid w:val="003956DF"/>
    <w:rsid w:val="00395FD7"/>
    <w:rsid w:val="003960D1"/>
    <w:rsid w:val="003970CB"/>
    <w:rsid w:val="00397FA1"/>
    <w:rsid w:val="003A2107"/>
    <w:rsid w:val="003A23FE"/>
    <w:rsid w:val="003A2F96"/>
    <w:rsid w:val="003A53D3"/>
    <w:rsid w:val="003A5420"/>
    <w:rsid w:val="003A69F2"/>
    <w:rsid w:val="003A6AFE"/>
    <w:rsid w:val="003A6C87"/>
    <w:rsid w:val="003A6E35"/>
    <w:rsid w:val="003A7309"/>
    <w:rsid w:val="003A7D69"/>
    <w:rsid w:val="003B03B5"/>
    <w:rsid w:val="003B254C"/>
    <w:rsid w:val="003B33EE"/>
    <w:rsid w:val="003C000F"/>
    <w:rsid w:val="003C1E47"/>
    <w:rsid w:val="003C37D1"/>
    <w:rsid w:val="003C42AB"/>
    <w:rsid w:val="003C4D5C"/>
    <w:rsid w:val="003C6632"/>
    <w:rsid w:val="003C6FFD"/>
    <w:rsid w:val="003C756F"/>
    <w:rsid w:val="003D03C9"/>
    <w:rsid w:val="003D09EB"/>
    <w:rsid w:val="003D0C0F"/>
    <w:rsid w:val="003D10CF"/>
    <w:rsid w:val="003D1718"/>
    <w:rsid w:val="003D1E09"/>
    <w:rsid w:val="003D30A4"/>
    <w:rsid w:val="003D3168"/>
    <w:rsid w:val="003D352E"/>
    <w:rsid w:val="003D43B3"/>
    <w:rsid w:val="003D4A4D"/>
    <w:rsid w:val="003D4B9A"/>
    <w:rsid w:val="003D5436"/>
    <w:rsid w:val="003D5B2F"/>
    <w:rsid w:val="003D5C1E"/>
    <w:rsid w:val="003D5E2E"/>
    <w:rsid w:val="003D675F"/>
    <w:rsid w:val="003D6893"/>
    <w:rsid w:val="003E106D"/>
    <w:rsid w:val="003E15A2"/>
    <w:rsid w:val="003E2253"/>
    <w:rsid w:val="003E2690"/>
    <w:rsid w:val="003E2C41"/>
    <w:rsid w:val="003E32D4"/>
    <w:rsid w:val="003E3BD6"/>
    <w:rsid w:val="003E3DA1"/>
    <w:rsid w:val="003E3F36"/>
    <w:rsid w:val="003E532D"/>
    <w:rsid w:val="003E5ECD"/>
    <w:rsid w:val="003E6B1D"/>
    <w:rsid w:val="003E6C9D"/>
    <w:rsid w:val="003F04E9"/>
    <w:rsid w:val="003F1512"/>
    <w:rsid w:val="003F386A"/>
    <w:rsid w:val="003F3F53"/>
    <w:rsid w:val="003F4E36"/>
    <w:rsid w:val="003F4EFF"/>
    <w:rsid w:val="003F4F70"/>
    <w:rsid w:val="003F5036"/>
    <w:rsid w:val="003F6037"/>
    <w:rsid w:val="003F606E"/>
    <w:rsid w:val="003F6B02"/>
    <w:rsid w:val="003F7419"/>
    <w:rsid w:val="003F7619"/>
    <w:rsid w:val="003F7A4A"/>
    <w:rsid w:val="00400B42"/>
    <w:rsid w:val="00401DFB"/>
    <w:rsid w:val="00401FF6"/>
    <w:rsid w:val="00402208"/>
    <w:rsid w:val="00402488"/>
    <w:rsid w:val="00402677"/>
    <w:rsid w:val="0040344B"/>
    <w:rsid w:val="0040358C"/>
    <w:rsid w:val="004041DC"/>
    <w:rsid w:val="004044E0"/>
    <w:rsid w:val="0040468C"/>
    <w:rsid w:val="0040484C"/>
    <w:rsid w:val="0040498B"/>
    <w:rsid w:val="00404FFA"/>
    <w:rsid w:val="00405D0C"/>
    <w:rsid w:val="00406983"/>
    <w:rsid w:val="00406F5C"/>
    <w:rsid w:val="00407D7F"/>
    <w:rsid w:val="00410221"/>
    <w:rsid w:val="00410BB3"/>
    <w:rsid w:val="004113FC"/>
    <w:rsid w:val="0041161F"/>
    <w:rsid w:val="00411F34"/>
    <w:rsid w:val="004122CF"/>
    <w:rsid w:val="004127BD"/>
    <w:rsid w:val="00413F03"/>
    <w:rsid w:val="00415200"/>
    <w:rsid w:val="00415248"/>
    <w:rsid w:val="004154CD"/>
    <w:rsid w:val="004167B7"/>
    <w:rsid w:val="0041708A"/>
    <w:rsid w:val="00417585"/>
    <w:rsid w:val="0041758A"/>
    <w:rsid w:val="00417F28"/>
    <w:rsid w:val="00420A95"/>
    <w:rsid w:val="00421353"/>
    <w:rsid w:val="00421824"/>
    <w:rsid w:val="004234A8"/>
    <w:rsid w:val="00424CF8"/>
    <w:rsid w:val="00424E58"/>
    <w:rsid w:val="00424EAC"/>
    <w:rsid w:val="0042540A"/>
    <w:rsid w:val="004255A3"/>
    <w:rsid w:val="00425AB1"/>
    <w:rsid w:val="00425F69"/>
    <w:rsid w:val="00426333"/>
    <w:rsid w:val="00426C34"/>
    <w:rsid w:val="00426D31"/>
    <w:rsid w:val="004277C8"/>
    <w:rsid w:val="004305E4"/>
    <w:rsid w:val="00430F5F"/>
    <w:rsid w:val="004325F0"/>
    <w:rsid w:val="00432C0F"/>
    <w:rsid w:val="004334AD"/>
    <w:rsid w:val="00433627"/>
    <w:rsid w:val="00433638"/>
    <w:rsid w:val="004343EE"/>
    <w:rsid w:val="0043468C"/>
    <w:rsid w:val="00434BCE"/>
    <w:rsid w:val="00434C00"/>
    <w:rsid w:val="0043616F"/>
    <w:rsid w:val="00436E58"/>
    <w:rsid w:val="00437006"/>
    <w:rsid w:val="00440703"/>
    <w:rsid w:val="004407CC"/>
    <w:rsid w:val="00440800"/>
    <w:rsid w:val="0044216B"/>
    <w:rsid w:val="00442791"/>
    <w:rsid w:val="00443D35"/>
    <w:rsid w:val="0044463D"/>
    <w:rsid w:val="00444A1F"/>
    <w:rsid w:val="00444CF2"/>
    <w:rsid w:val="004453BE"/>
    <w:rsid w:val="00445583"/>
    <w:rsid w:val="0044583E"/>
    <w:rsid w:val="00445C75"/>
    <w:rsid w:val="0044675C"/>
    <w:rsid w:val="00446B63"/>
    <w:rsid w:val="00446C56"/>
    <w:rsid w:val="0045027F"/>
    <w:rsid w:val="00450281"/>
    <w:rsid w:val="00450369"/>
    <w:rsid w:val="0045095B"/>
    <w:rsid w:val="0045119A"/>
    <w:rsid w:val="00452786"/>
    <w:rsid w:val="00452E79"/>
    <w:rsid w:val="004536B8"/>
    <w:rsid w:val="00454FD2"/>
    <w:rsid w:val="00455637"/>
    <w:rsid w:val="00455ABC"/>
    <w:rsid w:val="00456831"/>
    <w:rsid w:val="00456E52"/>
    <w:rsid w:val="0045726C"/>
    <w:rsid w:val="00457B2F"/>
    <w:rsid w:val="00460729"/>
    <w:rsid w:val="0046081F"/>
    <w:rsid w:val="00460A7B"/>
    <w:rsid w:val="00460A87"/>
    <w:rsid w:val="00463413"/>
    <w:rsid w:val="00463EA4"/>
    <w:rsid w:val="00465524"/>
    <w:rsid w:val="00465F1A"/>
    <w:rsid w:val="00465F47"/>
    <w:rsid w:val="00466510"/>
    <w:rsid w:val="00466A16"/>
    <w:rsid w:val="00466C25"/>
    <w:rsid w:val="00466D9E"/>
    <w:rsid w:val="004675C2"/>
    <w:rsid w:val="00467FB7"/>
    <w:rsid w:val="0047012A"/>
    <w:rsid w:val="004702E1"/>
    <w:rsid w:val="00470768"/>
    <w:rsid w:val="00471086"/>
    <w:rsid w:val="0047210D"/>
    <w:rsid w:val="00472717"/>
    <w:rsid w:val="00472D68"/>
    <w:rsid w:val="00472F70"/>
    <w:rsid w:val="004732B8"/>
    <w:rsid w:val="004741A1"/>
    <w:rsid w:val="00474248"/>
    <w:rsid w:val="0047466B"/>
    <w:rsid w:val="004749BD"/>
    <w:rsid w:val="0047511D"/>
    <w:rsid w:val="00475EF7"/>
    <w:rsid w:val="00481024"/>
    <w:rsid w:val="0048149F"/>
    <w:rsid w:val="0048369D"/>
    <w:rsid w:val="004838AE"/>
    <w:rsid w:val="00483C60"/>
    <w:rsid w:val="004841AA"/>
    <w:rsid w:val="004842A5"/>
    <w:rsid w:val="004842FB"/>
    <w:rsid w:val="00484A30"/>
    <w:rsid w:val="004851D1"/>
    <w:rsid w:val="00485214"/>
    <w:rsid w:val="0048575B"/>
    <w:rsid w:val="00485E39"/>
    <w:rsid w:val="00486609"/>
    <w:rsid w:val="004876A2"/>
    <w:rsid w:val="0049025B"/>
    <w:rsid w:val="00491260"/>
    <w:rsid w:val="00491388"/>
    <w:rsid w:val="0049165E"/>
    <w:rsid w:val="00491CB1"/>
    <w:rsid w:val="00491F8A"/>
    <w:rsid w:val="00492AF1"/>
    <w:rsid w:val="00495849"/>
    <w:rsid w:val="004958F7"/>
    <w:rsid w:val="00495D00"/>
    <w:rsid w:val="0049624A"/>
    <w:rsid w:val="0049630B"/>
    <w:rsid w:val="0049669C"/>
    <w:rsid w:val="004977D3"/>
    <w:rsid w:val="004977DC"/>
    <w:rsid w:val="004A07CE"/>
    <w:rsid w:val="004A1DEF"/>
    <w:rsid w:val="004A50C0"/>
    <w:rsid w:val="004A51E9"/>
    <w:rsid w:val="004A69FB"/>
    <w:rsid w:val="004A6BFC"/>
    <w:rsid w:val="004A6D5A"/>
    <w:rsid w:val="004B0A96"/>
    <w:rsid w:val="004B0D14"/>
    <w:rsid w:val="004B0D72"/>
    <w:rsid w:val="004B244E"/>
    <w:rsid w:val="004B291C"/>
    <w:rsid w:val="004B2E36"/>
    <w:rsid w:val="004B3788"/>
    <w:rsid w:val="004B4447"/>
    <w:rsid w:val="004B50D9"/>
    <w:rsid w:val="004B5545"/>
    <w:rsid w:val="004B573E"/>
    <w:rsid w:val="004B6306"/>
    <w:rsid w:val="004B6AB4"/>
    <w:rsid w:val="004B70E0"/>
    <w:rsid w:val="004B70F3"/>
    <w:rsid w:val="004B7BC2"/>
    <w:rsid w:val="004C024F"/>
    <w:rsid w:val="004C1416"/>
    <w:rsid w:val="004C1C2D"/>
    <w:rsid w:val="004C26CB"/>
    <w:rsid w:val="004C3147"/>
    <w:rsid w:val="004C39F2"/>
    <w:rsid w:val="004C443D"/>
    <w:rsid w:val="004C44FA"/>
    <w:rsid w:val="004C5806"/>
    <w:rsid w:val="004C5A36"/>
    <w:rsid w:val="004C6510"/>
    <w:rsid w:val="004C65C2"/>
    <w:rsid w:val="004C67FD"/>
    <w:rsid w:val="004C6AEC"/>
    <w:rsid w:val="004C7598"/>
    <w:rsid w:val="004C7B6B"/>
    <w:rsid w:val="004D0239"/>
    <w:rsid w:val="004D0B22"/>
    <w:rsid w:val="004D0CD7"/>
    <w:rsid w:val="004D183B"/>
    <w:rsid w:val="004D18E3"/>
    <w:rsid w:val="004D1B60"/>
    <w:rsid w:val="004D21F5"/>
    <w:rsid w:val="004D357E"/>
    <w:rsid w:val="004D3CEB"/>
    <w:rsid w:val="004D3D9C"/>
    <w:rsid w:val="004D3F6B"/>
    <w:rsid w:val="004D4607"/>
    <w:rsid w:val="004D492B"/>
    <w:rsid w:val="004D4EFB"/>
    <w:rsid w:val="004D4FF7"/>
    <w:rsid w:val="004D51A5"/>
    <w:rsid w:val="004D5415"/>
    <w:rsid w:val="004D67AB"/>
    <w:rsid w:val="004D6C9C"/>
    <w:rsid w:val="004D7250"/>
    <w:rsid w:val="004D7B57"/>
    <w:rsid w:val="004D7F34"/>
    <w:rsid w:val="004E0212"/>
    <w:rsid w:val="004E1EE1"/>
    <w:rsid w:val="004E22E1"/>
    <w:rsid w:val="004E2364"/>
    <w:rsid w:val="004E26A7"/>
    <w:rsid w:val="004E3290"/>
    <w:rsid w:val="004E35B2"/>
    <w:rsid w:val="004E3875"/>
    <w:rsid w:val="004E5BA4"/>
    <w:rsid w:val="004E6654"/>
    <w:rsid w:val="004E6C6B"/>
    <w:rsid w:val="004E7813"/>
    <w:rsid w:val="004E78DB"/>
    <w:rsid w:val="004E7C79"/>
    <w:rsid w:val="004F048D"/>
    <w:rsid w:val="004F0D4A"/>
    <w:rsid w:val="004F0F92"/>
    <w:rsid w:val="004F2CCA"/>
    <w:rsid w:val="004F3DC5"/>
    <w:rsid w:val="004F40FD"/>
    <w:rsid w:val="004F544E"/>
    <w:rsid w:val="004F644A"/>
    <w:rsid w:val="004F6678"/>
    <w:rsid w:val="004F6D83"/>
    <w:rsid w:val="004F7814"/>
    <w:rsid w:val="00500898"/>
    <w:rsid w:val="00500EAB"/>
    <w:rsid w:val="00503011"/>
    <w:rsid w:val="005037E4"/>
    <w:rsid w:val="00503878"/>
    <w:rsid w:val="005047FC"/>
    <w:rsid w:val="00504963"/>
    <w:rsid w:val="005050DE"/>
    <w:rsid w:val="00506B9A"/>
    <w:rsid w:val="0050751C"/>
    <w:rsid w:val="0050790D"/>
    <w:rsid w:val="005106C5"/>
    <w:rsid w:val="005109A9"/>
    <w:rsid w:val="00511112"/>
    <w:rsid w:val="00511837"/>
    <w:rsid w:val="00511FEE"/>
    <w:rsid w:val="0051337A"/>
    <w:rsid w:val="0051431A"/>
    <w:rsid w:val="00514EB9"/>
    <w:rsid w:val="00515AB0"/>
    <w:rsid w:val="00516D39"/>
    <w:rsid w:val="00516FC2"/>
    <w:rsid w:val="00517318"/>
    <w:rsid w:val="0051738E"/>
    <w:rsid w:val="00517ECD"/>
    <w:rsid w:val="00520486"/>
    <w:rsid w:val="00520968"/>
    <w:rsid w:val="005211BD"/>
    <w:rsid w:val="005216E1"/>
    <w:rsid w:val="00522EDC"/>
    <w:rsid w:val="0052324F"/>
    <w:rsid w:val="00523A01"/>
    <w:rsid w:val="005240D9"/>
    <w:rsid w:val="00524105"/>
    <w:rsid w:val="005242FC"/>
    <w:rsid w:val="00524552"/>
    <w:rsid w:val="0052492E"/>
    <w:rsid w:val="00524AB9"/>
    <w:rsid w:val="00524EC8"/>
    <w:rsid w:val="005255DB"/>
    <w:rsid w:val="005257C1"/>
    <w:rsid w:val="005257D2"/>
    <w:rsid w:val="005260F7"/>
    <w:rsid w:val="005265D5"/>
    <w:rsid w:val="00526FF1"/>
    <w:rsid w:val="0052786F"/>
    <w:rsid w:val="00527E5A"/>
    <w:rsid w:val="00530122"/>
    <w:rsid w:val="0053033E"/>
    <w:rsid w:val="00530706"/>
    <w:rsid w:val="00530E9C"/>
    <w:rsid w:val="00531B73"/>
    <w:rsid w:val="00532DA0"/>
    <w:rsid w:val="005339E7"/>
    <w:rsid w:val="00534396"/>
    <w:rsid w:val="005344C0"/>
    <w:rsid w:val="005347F9"/>
    <w:rsid w:val="00535B95"/>
    <w:rsid w:val="00535C4C"/>
    <w:rsid w:val="00536821"/>
    <w:rsid w:val="00536D2E"/>
    <w:rsid w:val="00537CD5"/>
    <w:rsid w:val="00537FAD"/>
    <w:rsid w:val="00540218"/>
    <w:rsid w:val="005408CF"/>
    <w:rsid w:val="0054105C"/>
    <w:rsid w:val="00541090"/>
    <w:rsid w:val="00541B50"/>
    <w:rsid w:val="00543106"/>
    <w:rsid w:val="00543361"/>
    <w:rsid w:val="00543B44"/>
    <w:rsid w:val="00543ED7"/>
    <w:rsid w:val="00543FAD"/>
    <w:rsid w:val="00543FC0"/>
    <w:rsid w:val="00544E5D"/>
    <w:rsid w:val="00545C2F"/>
    <w:rsid w:val="00546330"/>
    <w:rsid w:val="00546686"/>
    <w:rsid w:val="00546FE0"/>
    <w:rsid w:val="00547080"/>
    <w:rsid w:val="0054741B"/>
    <w:rsid w:val="00550075"/>
    <w:rsid w:val="00550818"/>
    <w:rsid w:val="00550DC6"/>
    <w:rsid w:val="005521F7"/>
    <w:rsid w:val="00552465"/>
    <w:rsid w:val="0055327C"/>
    <w:rsid w:val="0055340F"/>
    <w:rsid w:val="0055373E"/>
    <w:rsid w:val="00554B3E"/>
    <w:rsid w:val="00554F55"/>
    <w:rsid w:val="0055557F"/>
    <w:rsid w:val="0055648F"/>
    <w:rsid w:val="00556E3A"/>
    <w:rsid w:val="0055701E"/>
    <w:rsid w:val="00557750"/>
    <w:rsid w:val="005579B4"/>
    <w:rsid w:val="00557BF1"/>
    <w:rsid w:val="0056067D"/>
    <w:rsid w:val="00560EBA"/>
    <w:rsid w:val="00561FCF"/>
    <w:rsid w:val="00562399"/>
    <w:rsid w:val="005647A9"/>
    <w:rsid w:val="005649CD"/>
    <w:rsid w:val="00567380"/>
    <w:rsid w:val="005677E7"/>
    <w:rsid w:val="005700D5"/>
    <w:rsid w:val="005703A7"/>
    <w:rsid w:val="005709E8"/>
    <w:rsid w:val="0057177A"/>
    <w:rsid w:val="00572B45"/>
    <w:rsid w:val="00573512"/>
    <w:rsid w:val="00573FF2"/>
    <w:rsid w:val="00574120"/>
    <w:rsid w:val="00575364"/>
    <w:rsid w:val="00576A20"/>
    <w:rsid w:val="00576CFC"/>
    <w:rsid w:val="00577465"/>
    <w:rsid w:val="00577A43"/>
    <w:rsid w:val="00577FAF"/>
    <w:rsid w:val="00582052"/>
    <w:rsid w:val="005825DB"/>
    <w:rsid w:val="0058346C"/>
    <w:rsid w:val="00583764"/>
    <w:rsid w:val="00584243"/>
    <w:rsid w:val="00584247"/>
    <w:rsid w:val="005847BF"/>
    <w:rsid w:val="00585E31"/>
    <w:rsid w:val="00586365"/>
    <w:rsid w:val="005863B9"/>
    <w:rsid w:val="005865C6"/>
    <w:rsid w:val="00587099"/>
    <w:rsid w:val="0059080E"/>
    <w:rsid w:val="005909B4"/>
    <w:rsid w:val="0059137A"/>
    <w:rsid w:val="005913EB"/>
    <w:rsid w:val="00591459"/>
    <w:rsid w:val="00593224"/>
    <w:rsid w:val="00593721"/>
    <w:rsid w:val="00593829"/>
    <w:rsid w:val="00593FB5"/>
    <w:rsid w:val="00594C28"/>
    <w:rsid w:val="0059552A"/>
    <w:rsid w:val="00595682"/>
    <w:rsid w:val="00595F32"/>
    <w:rsid w:val="005A02B2"/>
    <w:rsid w:val="005A0416"/>
    <w:rsid w:val="005A0945"/>
    <w:rsid w:val="005A15DD"/>
    <w:rsid w:val="005A222C"/>
    <w:rsid w:val="005A2A01"/>
    <w:rsid w:val="005A308C"/>
    <w:rsid w:val="005A44BC"/>
    <w:rsid w:val="005A61AA"/>
    <w:rsid w:val="005A7B55"/>
    <w:rsid w:val="005B080C"/>
    <w:rsid w:val="005B0859"/>
    <w:rsid w:val="005B0F4C"/>
    <w:rsid w:val="005B191F"/>
    <w:rsid w:val="005B1CDA"/>
    <w:rsid w:val="005B2C14"/>
    <w:rsid w:val="005B35CB"/>
    <w:rsid w:val="005B3FFC"/>
    <w:rsid w:val="005B43DC"/>
    <w:rsid w:val="005B56DA"/>
    <w:rsid w:val="005B5ECF"/>
    <w:rsid w:val="005B6DB5"/>
    <w:rsid w:val="005B7326"/>
    <w:rsid w:val="005C0C4D"/>
    <w:rsid w:val="005C0EB6"/>
    <w:rsid w:val="005C1451"/>
    <w:rsid w:val="005C17D5"/>
    <w:rsid w:val="005C1B16"/>
    <w:rsid w:val="005C1BB1"/>
    <w:rsid w:val="005C3B40"/>
    <w:rsid w:val="005C4566"/>
    <w:rsid w:val="005C495C"/>
    <w:rsid w:val="005C52C9"/>
    <w:rsid w:val="005C5B6F"/>
    <w:rsid w:val="005C7E1D"/>
    <w:rsid w:val="005C7F3E"/>
    <w:rsid w:val="005D061E"/>
    <w:rsid w:val="005D15E9"/>
    <w:rsid w:val="005D1CFA"/>
    <w:rsid w:val="005D2283"/>
    <w:rsid w:val="005D2782"/>
    <w:rsid w:val="005D2841"/>
    <w:rsid w:val="005D2AC6"/>
    <w:rsid w:val="005D3F9F"/>
    <w:rsid w:val="005D465E"/>
    <w:rsid w:val="005D494F"/>
    <w:rsid w:val="005D4AF0"/>
    <w:rsid w:val="005D5981"/>
    <w:rsid w:val="005D6347"/>
    <w:rsid w:val="005D6AE6"/>
    <w:rsid w:val="005D6CAC"/>
    <w:rsid w:val="005D6D01"/>
    <w:rsid w:val="005D70D7"/>
    <w:rsid w:val="005D7AF3"/>
    <w:rsid w:val="005E0760"/>
    <w:rsid w:val="005E11B5"/>
    <w:rsid w:val="005E12AA"/>
    <w:rsid w:val="005E1707"/>
    <w:rsid w:val="005E1BA4"/>
    <w:rsid w:val="005E2BB1"/>
    <w:rsid w:val="005E4863"/>
    <w:rsid w:val="005E53E2"/>
    <w:rsid w:val="005E5B7F"/>
    <w:rsid w:val="005E65BF"/>
    <w:rsid w:val="005E65D9"/>
    <w:rsid w:val="005E65E8"/>
    <w:rsid w:val="005E6E5B"/>
    <w:rsid w:val="005E7A18"/>
    <w:rsid w:val="005F05DB"/>
    <w:rsid w:val="005F0A75"/>
    <w:rsid w:val="005F1CAB"/>
    <w:rsid w:val="005F2A32"/>
    <w:rsid w:val="005F43C4"/>
    <w:rsid w:val="005F4538"/>
    <w:rsid w:val="005F491D"/>
    <w:rsid w:val="005F4CE8"/>
    <w:rsid w:val="005F5233"/>
    <w:rsid w:val="005F5F80"/>
    <w:rsid w:val="005F60BC"/>
    <w:rsid w:val="005F7635"/>
    <w:rsid w:val="00600357"/>
    <w:rsid w:val="00600738"/>
    <w:rsid w:val="00600D46"/>
    <w:rsid w:val="0060100E"/>
    <w:rsid w:val="00601301"/>
    <w:rsid w:val="0060155A"/>
    <w:rsid w:val="00601848"/>
    <w:rsid w:val="00601862"/>
    <w:rsid w:val="00601E5C"/>
    <w:rsid w:val="00601FE8"/>
    <w:rsid w:val="0060294D"/>
    <w:rsid w:val="006038E1"/>
    <w:rsid w:val="00603DD7"/>
    <w:rsid w:val="00603FB6"/>
    <w:rsid w:val="0060510D"/>
    <w:rsid w:val="006061D5"/>
    <w:rsid w:val="00606AF7"/>
    <w:rsid w:val="00606C25"/>
    <w:rsid w:val="0060744A"/>
    <w:rsid w:val="00607B38"/>
    <w:rsid w:val="00607F60"/>
    <w:rsid w:val="0061182F"/>
    <w:rsid w:val="006122DE"/>
    <w:rsid w:val="00613158"/>
    <w:rsid w:val="006134ED"/>
    <w:rsid w:val="00613863"/>
    <w:rsid w:val="006143CE"/>
    <w:rsid w:val="0061511C"/>
    <w:rsid w:val="00615B82"/>
    <w:rsid w:val="00617B58"/>
    <w:rsid w:val="00617F8B"/>
    <w:rsid w:val="006210D6"/>
    <w:rsid w:val="0062168D"/>
    <w:rsid w:val="00621F20"/>
    <w:rsid w:val="00622160"/>
    <w:rsid w:val="00622381"/>
    <w:rsid w:val="006225E8"/>
    <w:rsid w:val="00622E2A"/>
    <w:rsid w:val="006230DB"/>
    <w:rsid w:val="00623801"/>
    <w:rsid w:val="00623B2C"/>
    <w:rsid w:val="0062443A"/>
    <w:rsid w:val="00624899"/>
    <w:rsid w:val="00625380"/>
    <w:rsid w:val="00627C7E"/>
    <w:rsid w:val="0063068F"/>
    <w:rsid w:val="0063082A"/>
    <w:rsid w:val="0063168E"/>
    <w:rsid w:val="00631DC8"/>
    <w:rsid w:val="00632BA5"/>
    <w:rsid w:val="006334E7"/>
    <w:rsid w:val="00633C06"/>
    <w:rsid w:val="00634BFA"/>
    <w:rsid w:val="00635062"/>
    <w:rsid w:val="00635FD8"/>
    <w:rsid w:val="00637716"/>
    <w:rsid w:val="00637C02"/>
    <w:rsid w:val="00637E4D"/>
    <w:rsid w:val="006416C6"/>
    <w:rsid w:val="00642C6E"/>
    <w:rsid w:val="00645311"/>
    <w:rsid w:val="00645688"/>
    <w:rsid w:val="006459C5"/>
    <w:rsid w:val="00645A3A"/>
    <w:rsid w:val="00645F01"/>
    <w:rsid w:val="0064629D"/>
    <w:rsid w:val="0064630F"/>
    <w:rsid w:val="00646523"/>
    <w:rsid w:val="00646638"/>
    <w:rsid w:val="00647168"/>
    <w:rsid w:val="00647464"/>
    <w:rsid w:val="00647555"/>
    <w:rsid w:val="006507EF"/>
    <w:rsid w:val="006528B5"/>
    <w:rsid w:val="00652EB6"/>
    <w:rsid w:val="0065394D"/>
    <w:rsid w:val="00654311"/>
    <w:rsid w:val="006548FC"/>
    <w:rsid w:val="0065499E"/>
    <w:rsid w:val="00654EDD"/>
    <w:rsid w:val="0065548C"/>
    <w:rsid w:val="006556FA"/>
    <w:rsid w:val="00656D6C"/>
    <w:rsid w:val="00656DF0"/>
    <w:rsid w:val="006607B8"/>
    <w:rsid w:val="00660E64"/>
    <w:rsid w:val="00661830"/>
    <w:rsid w:val="00662251"/>
    <w:rsid w:val="006622E3"/>
    <w:rsid w:val="0066279E"/>
    <w:rsid w:val="006629DF"/>
    <w:rsid w:val="00665906"/>
    <w:rsid w:val="00665D40"/>
    <w:rsid w:val="0066667B"/>
    <w:rsid w:val="00666EE8"/>
    <w:rsid w:val="00667094"/>
    <w:rsid w:val="00667948"/>
    <w:rsid w:val="006701DF"/>
    <w:rsid w:val="00671019"/>
    <w:rsid w:val="006715C8"/>
    <w:rsid w:val="00671996"/>
    <w:rsid w:val="00671AB5"/>
    <w:rsid w:val="00671FDE"/>
    <w:rsid w:val="006725F0"/>
    <w:rsid w:val="00672980"/>
    <w:rsid w:val="006729D9"/>
    <w:rsid w:val="00672B21"/>
    <w:rsid w:val="00673007"/>
    <w:rsid w:val="006739C4"/>
    <w:rsid w:val="00674275"/>
    <w:rsid w:val="0067474F"/>
    <w:rsid w:val="0067518E"/>
    <w:rsid w:val="006765B7"/>
    <w:rsid w:val="00676727"/>
    <w:rsid w:val="006769D7"/>
    <w:rsid w:val="0067758A"/>
    <w:rsid w:val="0067762C"/>
    <w:rsid w:val="00680687"/>
    <w:rsid w:val="00680944"/>
    <w:rsid w:val="006809B5"/>
    <w:rsid w:val="00680AD9"/>
    <w:rsid w:val="0068216F"/>
    <w:rsid w:val="00682762"/>
    <w:rsid w:val="00682B40"/>
    <w:rsid w:val="0068385F"/>
    <w:rsid w:val="00684559"/>
    <w:rsid w:val="0068497F"/>
    <w:rsid w:val="00684AFF"/>
    <w:rsid w:val="00684BC7"/>
    <w:rsid w:val="00684DB2"/>
    <w:rsid w:val="0068530E"/>
    <w:rsid w:val="006859AB"/>
    <w:rsid w:val="00685C75"/>
    <w:rsid w:val="00686261"/>
    <w:rsid w:val="00686823"/>
    <w:rsid w:val="00687642"/>
    <w:rsid w:val="006876BE"/>
    <w:rsid w:val="006876D3"/>
    <w:rsid w:val="006877FC"/>
    <w:rsid w:val="00687892"/>
    <w:rsid w:val="006879B6"/>
    <w:rsid w:val="00687B7E"/>
    <w:rsid w:val="006900B5"/>
    <w:rsid w:val="006909AB"/>
    <w:rsid w:val="0069176B"/>
    <w:rsid w:val="00692533"/>
    <w:rsid w:val="00692ECA"/>
    <w:rsid w:val="0069357C"/>
    <w:rsid w:val="00693805"/>
    <w:rsid w:val="00693CC5"/>
    <w:rsid w:val="0069462F"/>
    <w:rsid w:val="0069482E"/>
    <w:rsid w:val="00695E25"/>
    <w:rsid w:val="0069607F"/>
    <w:rsid w:val="006960E9"/>
    <w:rsid w:val="00696612"/>
    <w:rsid w:val="00697F8C"/>
    <w:rsid w:val="006A0539"/>
    <w:rsid w:val="006A0691"/>
    <w:rsid w:val="006A0AD3"/>
    <w:rsid w:val="006A1BE7"/>
    <w:rsid w:val="006A1C04"/>
    <w:rsid w:val="006A27CC"/>
    <w:rsid w:val="006A36F9"/>
    <w:rsid w:val="006A3B4C"/>
    <w:rsid w:val="006A3D52"/>
    <w:rsid w:val="006A4E72"/>
    <w:rsid w:val="006A4FB7"/>
    <w:rsid w:val="006A635C"/>
    <w:rsid w:val="006A6AB1"/>
    <w:rsid w:val="006A6FD1"/>
    <w:rsid w:val="006A7719"/>
    <w:rsid w:val="006A7D36"/>
    <w:rsid w:val="006B0167"/>
    <w:rsid w:val="006B120F"/>
    <w:rsid w:val="006B2CAD"/>
    <w:rsid w:val="006B2F0A"/>
    <w:rsid w:val="006B3966"/>
    <w:rsid w:val="006B4C99"/>
    <w:rsid w:val="006B5799"/>
    <w:rsid w:val="006B579E"/>
    <w:rsid w:val="006B6048"/>
    <w:rsid w:val="006B6203"/>
    <w:rsid w:val="006B6C05"/>
    <w:rsid w:val="006B6FC1"/>
    <w:rsid w:val="006B73CE"/>
    <w:rsid w:val="006C0CEA"/>
    <w:rsid w:val="006C1232"/>
    <w:rsid w:val="006C1801"/>
    <w:rsid w:val="006C185A"/>
    <w:rsid w:val="006C1988"/>
    <w:rsid w:val="006C35FB"/>
    <w:rsid w:val="006C3C8A"/>
    <w:rsid w:val="006C4895"/>
    <w:rsid w:val="006C5300"/>
    <w:rsid w:val="006C5494"/>
    <w:rsid w:val="006C5556"/>
    <w:rsid w:val="006C599C"/>
    <w:rsid w:val="006C6FF7"/>
    <w:rsid w:val="006C739A"/>
    <w:rsid w:val="006D063C"/>
    <w:rsid w:val="006D186B"/>
    <w:rsid w:val="006D1FC0"/>
    <w:rsid w:val="006D2969"/>
    <w:rsid w:val="006D34B0"/>
    <w:rsid w:val="006D36D0"/>
    <w:rsid w:val="006D47C6"/>
    <w:rsid w:val="006D4DAD"/>
    <w:rsid w:val="006D5029"/>
    <w:rsid w:val="006D5902"/>
    <w:rsid w:val="006D66FE"/>
    <w:rsid w:val="006D7E6A"/>
    <w:rsid w:val="006D7FAE"/>
    <w:rsid w:val="006E0555"/>
    <w:rsid w:val="006E05F6"/>
    <w:rsid w:val="006E09FB"/>
    <w:rsid w:val="006E0B89"/>
    <w:rsid w:val="006E20CC"/>
    <w:rsid w:val="006E2CBC"/>
    <w:rsid w:val="006E2FAE"/>
    <w:rsid w:val="006E3A64"/>
    <w:rsid w:val="006E5747"/>
    <w:rsid w:val="006E581B"/>
    <w:rsid w:val="006E59E2"/>
    <w:rsid w:val="006E7B55"/>
    <w:rsid w:val="006F0C58"/>
    <w:rsid w:val="006F1CFC"/>
    <w:rsid w:val="006F2030"/>
    <w:rsid w:val="006F2266"/>
    <w:rsid w:val="006F2605"/>
    <w:rsid w:val="006F280A"/>
    <w:rsid w:val="006F29B8"/>
    <w:rsid w:val="006F39E7"/>
    <w:rsid w:val="006F3C79"/>
    <w:rsid w:val="006F44FB"/>
    <w:rsid w:val="006F4ACD"/>
    <w:rsid w:val="006F57B6"/>
    <w:rsid w:val="006F5D69"/>
    <w:rsid w:val="006F5EE5"/>
    <w:rsid w:val="006F67A4"/>
    <w:rsid w:val="006F758A"/>
    <w:rsid w:val="006F7F20"/>
    <w:rsid w:val="00700694"/>
    <w:rsid w:val="00700AF2"/>
    <w:rsid w:val="0070121D"/>
    <w:rsid w:val="007014CE"/>
    <w:rsid w:val="007017C5"/>
    <w:rsid w:val="00701E4D"/>
    <w:rsid w:val="00702344"/>
    <w:rsid w:val="007026FF"/>
    <w:rsid w:val="00702753"/>
    <w:rsid w:val="00702ADB"/>
    <w:rsid w:val="007034C6"/>
    <w:rsid w:val="007035A2"/>
    <w:rsid w:val="00703ED7"/>
    <w:rsid w:val="00705402"/>
    <w:rsid w:val="00705C17"/>
    <w:rsid w:val="0070601C"/>
    <w:rsid w:val="007068E7"/>
    <w:rsid w:val="00706C64"/>
    <w:rsid w:val="00710D11"/>
    <w:rsid w:val="007110C4"/>
    <w:rsid w:val="00711DBA"/>
    <w:rsid w:val="00712095"/>
    <w:rsid w:val="00712335"/>
    <w:rsid w:val="00712752"/>
    <w:rsid w:val="00712897"/>
    <w:rsid w:val="0071291B"/>
    <w:rsid w:val="00712ADB"/>
    <w:rsid w:val="00712F4C"/>
    <w:rsid w:val="0071337F"/>
    <w:rsid w:val="0071363F"/>
    <w:rsid w:val="00713740"/>
    <w:rsid w:val="007138E6"/>
    <w:rsid w:val="0071759B"/>
    <w:rsid w:val="00717ADB"/>
    <w:rsid w:val="00720589"/>
    <w:rsid w:val="007208E1"/>
    <w:rsid w:val="00720AA5"/>
    <w:rsid w:val="00720CF6"/>
    <w:rsid w:val="00722886"/>
    <w:rsid w:val="00722EB5"/>
    <w:rsid w:val="00723E91"/>
    <w:rsid w:val="0072492E"/>
    <w:rsid w:val="00725462"/>
    <w:rsid w:val="00725B7A"/>
    <w:rsid w:val="00725BA5"/>
    <w:rsid w:val="00726063"/>
    <w:rsid w:val="00726131"/>
    <w:rsid w:val="007261B1"/>
    <w:rsid w:val="00726403"/>
    <w:rsid w:val="00726A47"/>
    <w:rsid w:val="00727EA5"/>
    <w:rsid w:val="00730398"/>
    <w:rsid w:val="0073121B"/>
    <w:rsid w:val="00731F94"/>
    <w:rsid w:val="0073298C"/>
    <w:rsid w:val="007354C4"/>
    <w:rsid w:val="00735554"/>
    <w:rsid w:val="00735633"/>
    <w:rsid w:val="007369AB"/>
    <w:rsid w:val="00736C0B"/>
    <w:rsid w:val="00736EF6"/>
    <w:rsid w:val="00737047"/>
    <w:rsid w:val="00737417"/>
    <w:rsid w:val="007377DD"/>
    <w:rsid w:val="0074095C"/>
    <w:rsid w:val="00741570"/>
    <w:rsid w:val="0074173B"/>
    <w:rsid w:val="007427A7"/>
    <w:rsid w:val="00742F0A"/>
    <w:rsid w:val="007432AD"/>
    <w:rsid w:val="007433EC"/>
    <w:rsid w:val="00743465"/>
    <w:rsid w:val="00743599"/>
    <w:rsid w:val="00743A95"/>
    <w:rsid w:val="00743E5C"/>
    <w:rsid w:val="00744A79"/>
    <w:rsid w:val="00745D47"/>
    <w:rsid w:val="0074655F"/>
    <w:rsid w:val="0075050D"/>
    <w:rsid w:val="0075070A"/>
    <w:rsid w:val="00750AF1"/>
    <w:rsid w:val="0075210E"/>
    <w:rsid w:val="00753A40"/>
    <w:rsid w:val="00754495"/>
    <w:rsid w:val="00755778"/>
    <w:rsid w:val="00755F4C"/>
    <w:rsid w:val="007578F4"/>
    <w:rsid w:val="00761806"/>
    <w:rsid w:val="0076334A"/>
    <w:rsid w:val="0076351E"/>
    <w:rsid w:val="00763558"/>
    <w:rsid w:val="00763743"/>
    <w:rsid w:val="0076380D"/>
    <w:rsid w:val="007640A2"/>
    <w:rsid w:val="00764123"/>
    <w:rsid w:val="00764189"/>
    <w:rsid w:val="007641EE"/>
    <w:rsid w:val="007643A7"/>
    <w:rsid w:val="007649E5"/>
    <w:rsid w:val="00764C64"/>
    <w:rsid w:val="00765310"/>
    <w:rsid w:val="007679E7"/>
    <w:rsid w:val="00767B8D"/>
    <w:rsid w:val="00770BEA"/>
    <w:rsid w:val="007730F0"/>
    <w:rsid w:val="0077426F"/>
    <w:rsid w:val="00774D0F"/>
    <w:rsid w:val="00774EAC"/>
    <w:rsid w:val="00774ED9"/>
    <w:rsid w:val="00775DAC"/>
    <w:rsid w:val="00775DF4"/>
    <w:rsid w:val="00776D72"/>
    <w:rsid w:val="00777102"/>
    <w:rsid w:val="00777CD3"/>
    <w:rsid w:val="00777D57"/>
    <w:rsid w:val="00777D6E"/>
    <w:rsid w:val="00782928"/>
    <w:rsid w:val="007843F0"/>
    <w:rsid w:val="0078468D"/>
    <w:rsid w:val="0078502A"/>
    <w:rsid w:val="007857D2"/>
    <w:rsid w:val="0078699E"/>
    <w:rsid w:val="00787C32"/>
    <w:rsid w:val="00787F03"/>
    <w:rsid w:val="00790B57"/>
    <w:rsid w:val="00790B79"/>
    <w:rsid w:val="007911D9"/>
    <w:rsid w:val="007923AB"/>
    <w:rsid w:val="00792612"/>
    <w:rsid w:val="00792B14"/>
    <w:rsid w:val="00792D34"/>
    <w:rsid w:val="00793938"/>
    <w:rsid w:val="00793D64"/>
    <w:rsid w:val="00794204"/>
    <w:rsid w:val="00794E76"/>
    <w:rsid w:val="0079530C"/>
    <w:rsid w:val="00795709"/>
    <w:rsid w:val="00796220"/>
    <w:rsid w:val="0079640D"/>
    <w:rsid w:val="0079772D"/>
    <w:rsid w:val="007A0F05"/>
    <w:rsid w:val="007A0F56"/>
    <w:rsid w:val="007A17C0"/>
    <w:rsid w:val="007A2166"/>
    <w:rsid w:val="007A2260"/>
    <w:rsid w:val="007A260F"/>
    <w:rsid w:val="007A3169"/>
    <w:rsid w:val="007A31BD"/>
    <w:rsid w:val="007A37D3"/>
    <w:rsid w:val="007A457A"/>
    <w:rsid w:val="007A54C4"/>
    <w:rsid w:val="007A5B2A"/>
    <w:rsid w:val="007A7431"/>
    <w:rsid w:val="007B036F"/>
    <w:rsid w:val="007B05DF"/>
    <w:rsid w:val="007B075A"/>
    <w:rsid w:val="007B0AF9"/>
    <w:rsid w:val="007B1A49"/>
    <w:rsid w:val="007B1B61"/>
    <w:rsid w:val="007B1D3B"/>
    <w:rsid w:val="007B2B84"/>
    <w:rsid w:val="007B2BEC"/>
    <w:rsid w:val="007B3870"/>
    <w:rsid w:val="007B3E89"/>
    <w:rsid w:val="007B48DF"/>
    <w:rsid w:val="007B56FE"/>
    <w:rsid w:val="007B5847"/>
    <w:rsid w:val="007B677F"/>
    <w:rsid w:val="007B7645"/>
    <w:rsid w:val="007C09A9"/>
    <w:rsid w:val="007C0A7D"/>
    <w:rsid w:val="007C0BF8"/>
    <w:rsid w:val="007C0D11"/>
    <w:rsid w:val="007C1668"/>
    <w:rsid w:val="007C17DD"/>
    <w:rsid w:val="007C1CD2"/>
    <w:rsid w:val="007C2000"/>
    <w:rsid w:val="007C241D"/>
    <w:rsid w:val="007C2E1E"/>
    <w:rsid w:val="007C4578"/>
    <w:rsid w:val="007C4720"/>
    <w:rsid w:val="007C4C56"/>
    <w:rsid w:val="007C5C72"/>
    <w:rsid w:val="007C6078"/>
    <w:rsid w:val="007C62E6"/>
    <w:rsid w:val="007C73A1"/>
    <w:rsid w:val="007C742D"/>
    <w:rsid w:val="007C7F45"/>
    <w:rsid w:val="007D0424"/>
    <w:rsid w:val="007D1451"/>
    <w:rsid w:val="007D1801"/>
    <w:rsid w:val="007D1FF4"/>
    <w:rsid w:val="007D2FE9"/>
    <w:rsid w:val="007D3995"/>
    <w:rsid w:val="007D3D0A"/>
    <w:rsid w:val="007D4CA7"/>
    <w:rsid w:val="007D4E58"/>
    <w:rsid w:val="007D5541"/>
    <w:rsid w:val="007D591B"/>
    <w:rsid w:val="007D5D6C"/>
    <w:rsid w:val="007D60BF"/>
    <w:rsid w:val="007D62FA"/>
    <w:rsid w:val="007D7751"/>
    <w:rsid w:val="007D79DC"/>
    <w:rsid w:val="007D7B40"/>
    <w:rsid w:val="007E0C0E"/>
    <w:rsid w:val="007E1BE2"/>
    <w:rsid w:val="007E22C3"/>
    <w:rsid w:val="007E3762"/>
    <w:rsid w:val="007E3BA3"/>
    <w:rsid w:val="007E462C"/>
    <w:rsid w:val="007E4F56"/>
    <w:rsid w:val="007E5576"/>
    <w:rsid w:val="007E58A6"/>
    <w:rsid w:val="007E6312"/>
    <w:rsid w:val="007E6448"/>
    <w:rsid w:val="007F0987"/>
    <w:rsid w:val="007F1763"/>
    <w:rsid w:val="007F2B4D"/>
    <w:rsid w:val="007F3DD8"/>
    <w:rsid w:val="007F45D1"/>
    <w:rsid w:val="007F5441"/>
    <w:rsid w:val="007F622B"/>
    <w:rsid w:val="007F63E8"/>
    <w:rsid w:val="007F6CB6"/>
    <w:rsid w:val="00800DAA"/>
    <w:rsid w:val="00800F1A"/>
    <w:rsid w:val="00800FA4"/>
    <w:rsid w:val="0080120C"/>
    <w:rsid w:val="00801692"/>
    <w:rsid w:val="008016BA"/>
    <w:rsid w:val="008024DB"/>
    <w:rsid w:val="00802C0D"/>
    <w:rsid w:val="00802C92"/>
    <w:rsid w:val="00802DBB"/>
    <w:rsid w:val="00803E07"/>
    <w:rsid w:val="00803E80"/>
    <w:rsid w:val="00803FC3"/>
    <w:rsid w:val="0080406F"/>
    <w:rsid w:val="00805526"/>
    <w:rsid w:val="0080592F"/>
    <w:rsid w:val="0080624B"/>
    <w:rsid w:val="0080674B"/>
    <w:rsid w:val="00806B63"/>
    <w:rsid w:val="008076B4"/>
    <w:rsid w:val="00807DAF"/>
    <w:rsid w:val="008101ED"/>
    <w:rsid w:val="008108B9"/>
    <w:rsid w:val="008109C1"/>
    <w:rsid w:val="00810C9F"/>
    <w:rsid w:val="008116B9"/>
    <w:rsid w:val="00812044"/>
    <w:rsid w:val="0081241D"/>
    <w:rsid w:val="00814759"/>
    <w:rsid w:val="00814FC3"/>
    <w:rsid w:val="00814FD1"/>
    <w:rsid w:val="00815056"/>
    <w:rsid w:val="00815BD8"/>
    <w:rsid w:val="00815CBC"/>
    <w:rsid w:val="00816803"/>
    <w:rsid w:val="00816F74"/>
    <w:rsid w:val="00816FE0"/>
    <w:rsid w:val="00817D73"/>
    <w:rsid w:val="00821AB5"/>
    <w:rsid w:val="008227F8"/>
    <w:rsid w:val="00822EF8"/>
    <w:rsid w:val="008239C9"/>
    <w:rsid w:val="00824471"/>
    <w:rsid w:val="00824491"/>
    <w:rsid w:val="00825A19"/>
    <w:rsid w:val="00830A10"/>
    <w:rsid w:val="00830DBB"/>
    <w:rsid w:val="00830E9A"/>
    <w:rsid w:val="008336A2"/>
    <w:rsid w:val="00833F09"/>
    <w:rsid w:val="00835031"/>
    <w:rsid w:val="008351CF"/>
    <w:rsid w:val="008357F1"/>
    <w:rsid w:val="00836248"/>
    <w:rsid w:val="008371F5"/>
    <w:rsid w:val="00842359"/>
    <w:rsid w:val="00842FEC"/>
    <w:rsid w:val="00843512"/>
    <w:rsid w:val="00844680"/>
    <w:rsid w:val="0084479D"/>
    <w:rsid w:val="00844848"/>
    <w:rsid w:val="00845CAC"/>
    <w:rsid w:val="00846908"/>
    <w:rsid w:val="0084701E"/>
    <w:rsid w:val="008503BC"/>
    <w:rsid w:val="00850B06"/>
    <w:rsid w:val="00851DDA"/>
    <w:rsid w:val="00851F4F"/>
    <w:rsid w:val="00852DE6"/>
    <w:rsid w:val="0085300F"/>
    <w:rsid w:val="00853239"/>
    <w:rsid w:val="00853E40"/>
    <w:rsid w:val="00854640"/>
    <w:rsid w:val="00855687"/>
    <w:rsid w:val="00855CEB"/>
    <w:rsid w:val="00856712"/>
    <w:rsid w:val="00856DC2"/>
    <w:rsid w:val="00857150"/>
    <w:rsid w:val="008574D1"/>
    <w:rsid w:val="008619B1"/>
    <w:rsid w:val="00861CED"/>
    <w:rsid w:val="00862D68"/>
    <w:rsid w:val="008630E1"/>
    <w:rsid w:val="00863C06"/>
    <w:rsid w:val="008676BE"/>
    <w:rsid w:val="0086780C"/>
    <w:rsid w:val="00870FE4"/>
    <w:rsid w:val="00872555"/>
    <w:rsid w:val="00872E67"/>
    <w:rsid w:val="008735C7"/>
    <w:rsid w:val="00873BF5"/>
    <w:rsid w:val="008740A0"/>
    <w:rsid w:val="00874903"/>
    <w:rsid w:val="0087633A"/>
    <w:rsid w:val="00876E0B"/>
    <w:rsid w:val="00880E8F"/>
    <w:rsid w:val="0088120A"/>
    <w:rsid w:val="00881548"/>
    <w:rsid w:val="00881642"/>
    <w:rsid w:val="0088168E"/>
    <w:rsid w:val="00881ABE"/>
    <w:rsid w:val="00882D9A"/>
    <w:rsid w:val="00883899"/>
    <w:rsid w:val="00884D9A"/>
    <w:rsid w:val="00885E1A"/>
    <w:rsid w:val="00885EC5"/>
    <w:rsid w:val="00886214"/>
    <w:rsid w:val="0088661F"/>
    <w:rsid w:val="00886FB9"/>
    <w:rsid w:val="008879D2"/>
    <w:rsid w:val="008901F2"/>
    <w:rsid w:val="008904D9"/>
    <w:rsid w:val="00890798"/>
    <w:rsid w:val="008914A1"/>
    <w:rsid w:val="00892D87"/>
    <w:rsid w:val="008944AE"/>
    <w:rsid w:val="00894650"/>
    <w:rsid w:val="00895100"/>
    <w:rsid w:val="008954B6"/>
    <w:rsid w:val="008954FE"/>
    <w:rsid w:val="0089575C"/>
    <w:rsid w:val="008958B1"/>
    <w:rsid w:val="00895BBA"/>
    <w:rsid w:val="00896ECA"/>
    <w:rsid w:val="00897D82"/>
    <w:rsid w:val="008A134D"/>
    <w:rsid w:val="008A2023"/>
    <w:rsid w:val="008A2158"/>
    <w:rsid w:val="008A2614"/>
    <w:rsid w:val="008A2B2C"/>
    <w:rsid w:val="008A3609"/>
    <w:rsid w:val="008A3857"/>
    <w:rsid w:val="008A3903"/>
    <w:rsid w:val="008A39DE"/>
    <w:rsid w:val="008A4202"/>
    <w:rsid w:val="008A4CB3"/>
    <w:rsid w:val="008A4D2D"/>
    <w:rsid w:val="008A5CD8"/>
    <w:rsid w:val="008A62F6"/>
    <w:rsid w:val="008A6F06"/>
    <w:rsid w:val="008A7A99"/>
    <w:rsid w:val="008B0D33"/>
    <w:rsid w:val="008B12C7"/>
    <w:rsid w:val="008B1EA7"/>
    <w:rsid w:val="008B1FF8"/>
    <w:rsid w:val="008B21E4"/>
    <w:rsid w:val="008B2755"/>
    <w:rsid w:val="008B3646"/>
    <w:rsid w:val="008B4806"/>
    <w:rsid w:val="008B4939"/>
    <w:rsid w:val="008B4F07"/>
    <w:rsid w:val="008B520E"/>
    <w:rsid w:val="008B72DF"/>
    <w:rsid w:val="008B793C"/>
    <w:rsid w:val="008B7E9A"/>
    <w:rsid w:val="008C0076"/>
    <w:rsid w:val="008C00E4"/>
    <w:rsid w:val="008C03F0"/>
    <w:rsid w:val="008C125D"/>
    <w:rsid w:val="008C12F5"/>
    <w:rsid w:val="008C1586"/>
    <w:rsid w:val="008C2544"/>
    <w:rsid w:val="008C2B3C"/>
    <w:rsid w:val="008C2E58"/>
    <w:rsid w:val="008C30AD"/>
    <w:rsid w:val="008C3978"/>
    <w:rsid w:val="008C39D8"/>
    <w:rsid w:val="008C3F49"/>
    <w:rsid w:val="008C40BA"/>
    <w:rsid w:val="008C43C5"/>
    <w:rsid w:val="008C5173"/>
    <w:rsid w:val="008C5797"/>
    <w:rsid w:val="008C646B"/>
    <w:rsid w:val="008C69F5"/>
    <w:rsid w:val="008D0534"/>
    <w:rsid w:val="008D0746"/>
    <w:rsid w:val="008D0C9A"/>
    <w:rsid w:val="008D1E21"/>
    <w:rsid w:val="008D21D9"/>
    <w:rsid w:val="008D29C8"/>
    <w:rsid w:val="008D2A5E"/>
    <w:rsid w:val="008D3120"/>
    <w:rsid w:val="008D3946"/>
    <w:rsid w:val="008D3F48"/>
    <w:rsid w:val="008D448A"/>
    <w:rsid w:val="008D452A"/>
    <w:rsid w:val="008D4C88"/>
    <w:rsid w:val="008D553A"/>
    <w:rsid w:val="008D6E97"/>
    <w:rsid w:val="008D71C9"/>
    <w:rsid w:val="008D79B5"/>
    <w:rsid w:val="008E179D"/>
    <w:rsid w:val="008E2371"/>
    <w:rsid w:val="008E274E"/>
    <w:rsid w:val="008E27C2"/>
    <w:rsid w:val="008E2C29"/>
    <w:rsid w:val="008E31B9"/>
    <w:rsid w:val="008E36EE"/>
    <w:rsid w:val="008E3CA3"/>
    <w:rsid w:val="008E3F06"/>
    <w:rsid w:val="008E4091"/>
    <w:rsid w:val="008E4FA0"/>
    <w:rsid w:val="008E68C2"/>
    <w:rsid w:val="008E6AB3"/>
    <w:rsid w:val="008E7757"/>
    <w:rsid w:val="008F021C"/>
    <w:rsid w:val="008F1CD9"/>
    <w:rsid w:val="008F1ED2"/>
    <w:rsid w:val="008F2FF0"/>
    <w:rsid w:val="008F32AC"/>
    <w:rsid w:val="008F3758"/>
    <w:rsid w:val="008F3F5F"/>
    <w:rsid w:val="008F411B"/>
    <w:rsid w:val="008F4DC6"/>
    <w:rsid w:val="008F4EF4"/>
    <w:rsid w:val="008F66A1"/>
    <w:rsid w:val="008F73E0"/>
    <w:rsid w:val="008F73EA"/>
    <w:rsid w:val="009001C1"/>
    <w:rsid w:val="00901821"/>
    <w:rsid w:val="00901A46"/>
    <w:rsid w:val="00902B04"/>
    <w:rsid w:val="0090351E"/>
    <w:rsid w:val="00904B8C"/>
    <w:rsid w:val="00904EBD"/>
    <w:rsid w:val="00905D8F"/>
    <w:rsid w:val="00907182"/>
    <w:rsid w:val="00907B07"/>
    <w:rsid w:val="00910A2A"/>
    <w:rsid w:val="009114A9"/>
    <w:rsid w:val="0091155B"/>
    <w:rsid w:val="009133A3"/>
    <w:rsid w:val="0091382B"/>
    <w:rsid w:val="009141A7"/>
    <w:rsid w:val="009143F9"/>
    <w:rsid w:val="00914462"/>
    <w:rsid w:val="00916757"/>
    <w:rsid w:val="009171EE"/>
    <w:rsid w:val="009174F0"/>
    <w:rsid w:val="00920123"/>
    <w:rsid w:val="00920496"/>
    <w:rsid w:val="00920737"/>
    <w:rsid w:val="0092095E"/>
    <w:rsid w:val="00920E7F"/>
    <w:rsid w:val="00921263"/>
    <w:rsid w:val="0092178C"/>
    <w:rsid w:val="00922268"/>
    <w:rsid w:val="0092230C"/>
    <w:rsid w:val="00922C48"/>
    <w:rsid w:val="00922D47"/>
    <w:rsid w:val="00923986"/>
    <w:rsid w:val="0092399A"/>
    <w:rsid w:val="00925406"/>
    <w:rsid w:val="00931576"/>
    <w:rsid w:val="00934768"/>
    <w:rsid w:val="009348D1"/>
    <w:rsid w:val="00935E92"/>
    <w:rsid w:val="009400E0"/>
    <w:rsid w:val="00940FBA"/>
    <w:rsid w:val="0094303F"/>
    <w:rsid w:val="00943D37"/>
    <w:rsid w:val="009444A8"/>
    <w:rsid w:val="009458E6"/>
    <w:rsid w:val="00946259"/>
    <w:rsid w:val="00946471"/>
    <w:rsid w:val="00946650"/>
    <w:rsid w:val="0094667C"/>
    <w:rsid w:val="00946D61"/>
    <w:rsid w:val="00946E9A"/>
    <w:rsid w:val="009475EF"/>
    <w:rsid w:val="00947DE9"/>
    <w:rsid w:val="00947FBE"/>
    <w:rsid w:val="00947FC9"/>
    <w:rsid w:val="009505B1"/>
    <w:rsid w:val="0095069E"/>
    <w:rsid w:val="0095088F"/>
    <w:rsid w:val="00950EFB"/>
    <w:rsid w:val="00951BF6"/>
    <w:rsid w:val="0095253F"/>
    <w:rsid w:val="00952FBF"/>
    <w:rsid w:val="00954327"/>
    <w:rsid w:val="0095511E"/>
    <w:rsid w:val="00956082"/>
    <w:rsid w:val="00956E1C"/>
    <w:rsid w:val="0095789C"/>
    <w:rsid w:val="00957CF8"/>
    <w:rsid w:val="00957E5B"/>
    <w:rsid w:val="00960082"/>
    <w:rsid w:val="00962588"/>
    <w:rsid w:val="009626C0"/>
    <w:rsid w:val="00962F90"/>
    <w:rsid w:val="00963709"/>
    <w:rsid w:val="00963F81"/>
    <w:rsid w:val="00965D4E"/>
    <w:rsid w:val="00965F97"/>
    <w:rsid w:val="00966EF8"/>
    <w:rsid w:val="0096737D"/>
    <w:rsid w:val="00967492"/>
    <w:rsid w:val="00967B1E"/>
    <w:rsid w:val="00967BCC"/>
    <w:rsid w:val="00967C3D"/>
    <w:rsid w:val="00970C30"/>
    <w:rsid w:val="009716D3"/>
    <w:rsid w:val="0097226D"/>
    <w:rsid w:val="009722BF"/>
    <w:rsid w:val="00972857"/>
    <w:rsid w:val="009764EA"/>
    <w:rsid w:val="00976871"/>
    <w:rsid w:val="00976E42"/>
    <w:rsid w:val="0097715A"/>
    <w:rsid w:val="00977B15"/>
    <w:rsid w:val="00980971"/>
    <w:rsid w:val="009816F4"/>
    <w:rsid w:val="009828C9"/>
    <w:rsid w:val="00983DD5"/>
    <w:rsid w:val="00984153"/>
    <w:rsid w:val="00984331"/>
    <w:rsid w:val="00984CE3"/>
    <w:rsid w:val="00984EB3"/>
    <w:rsid w:val="00986510"/>
    <w:rsid w:val="00986C39"/>
    <w:rsid w:val="00990077"/>
    <w:rsid w:val="009901E5"/>
    <w:rsid w:val="00990A37"/>
    <w:rsid w:val="00990BD8"/>
    <w:rsid w:val="009915DD"/>
    <w:rsid w:val="00991C46"/>
    <w:rsid w:val="00991F51"/>
    <w:rsid w:val="009921D8"/>
    <w:rsid w:val="00993052"/>
    <w:rsid w:val="00993787"/>
    <w:rsid w:val="00994DF9"/>
    <w:rsid w:val="00995032"/>
    <w:rsid w:val="009961A2"/>
    <w:rsid w:val="009961B6"/>
    <w:rsid w:val="00996EA5"/>
    <w:rsid w:val="00997541"/>
    <w:rsid w:val="00997B52"/>
    <w:rsid w:val="009A0134"/>
    <w:rsid w:val="009A17B4"/>
    <w:rsid w:val="009A1832"/>
    <w:rsid w:val="009A1C14"/>
    <w:rsid w:val="009A1EDD"/>
    <w:rsid w:val="009A2A2F"/>
    <w:rsid w:val="009A2CD9"/>
    <w:rsid w:val="009A3B0E"/>
    <w:rsid w:val="009A51CA"/>
    <w:rsid w:val="009A595B"/>
    <w:rsid w:val="009A70EB"/>
    <w:rsid w:val="009B076E"/>
    <w:rsid w:val="009B1FF4"/>
    <w:rsid w:val="009B208C"/>
    <w:rsid w:val="009B2625"/>
    <w:rsid w:val="009B27DD"/>
    <w:rsid w:val="009B41E2"/>
    <w:rsid w:val="009B54D0"/>
    <w:rsid w:val="009B5592"/>
    <w:rsid w:val="009B6884"/>
    <w:rsid w:val="009B7203"/>
    <w:rsid w:val="009B74AB"/>
    <w:rsid w:val="009B7BB7"/>
    <w:rsid w:val="009C01C4"/>
    <w:rsid w:val="009C01D2"/>
    <w:rsid w:val="009C1C8B"/>
    <w:rsid w:val="009C3DFC"/>
    <w:rsid w:val="009C494C"/>
    <w:rsid w:val="009C4B81"/>
    <w:rsid w:val="009C4EA3"/>
    <w:rsid w:val="009C517B"/>
    <w:rsid w:val="009C56AF"/>
    <w:rsid w:val="009C5780"/>
    <w:rsid w:val="009C67A1"/>
    <w:rsid w:val="009C7178"/>
    <w:rsid w:val="009C7319"/>
    <w:rsid w:val="009C7388"/>
    <w:rsid w:val="009C76F9"/>
    <w:rsid w:val="009C7899"/>
    <w:rsid w:val="009D0302"/>
    <w:rsid w:val="009D0FE4"/>
    <w:rsid w:val="009D1285"/>
    <w:rsid w:val="009D136D"/>
    <w:rsid w:val="009D141D"/>
    <w:rsid w:val="009D162F"/>
    <w:rsid w:val="009D165E"/>
    <w:rsid w:val="009D29CA"/>
    <w:rsid w:val="009D3054"/>
    <w:rsid w:val="009D3154"/>
    <w:rsid w:val="009D31FF"/>
    <w:rsid w:val="009D4055"/>
    <w:rsid w:val="009D40E7"/>
    <w:rsid w:val="009D7456"/>
    <w:rsid w:val="009D7AC9"/>
    <w:rsid w:val="009E132E"/>
    <w:rsid w:val="009E15DE"/>
    <w:rsid w:val="009E1933"/>
    <w:rsid w:val="009E3932"/>
    <w:rsid w:val="009E3A82"/>
    <w:rsid w:val="009E4085"/>
    <w:rsid w:val="009E4601"/>
    <w:rsid w:val="009E4C6A"/>
    <w:rsid w:val="009E61C8"/>
    <w:rsid w:val="009E6254"/>
    <w:rsid w:val="009E675C"/>
    <w:rsid w:val="009E6794"/>
    <w:rsid w:val="009F0344"/>
    <w:rsid w:val="009F04E7"/>
    <w:rsid w:val="009F103D"/>
    <w:rsid w:val="009F1A11"/>
    <w:rsid w:val="009F2619"/>
    <w:rsid w:val="009F2AC8"/>
    <w:rsid w:val="009F3146"/>
    <w:rsid w:val="009F3B0C"/>
    <w:rsid w:val="009F3B53"/>
    <w:rsid w:val="009F3D71"/>
    <w:rsid w:val="009F49DD"/>
    <w:rsid w:val="009F4D8D"/>
    <w:rsid w:val="009F4DBB"/>
    <w:rsid w:val="009F4FDE"/>
    <w:rsid w:val="009F542D"/>
    <w:rsid w:val="009F6102"/>
    <w:rsid w:val="009F70B1"/>
    <w:rsid w:val="009F72BE"/>
    <w:rsid w:val="009F7725"/>
    <w:rsid w:val="009F7AA4"/>
    <w:rsid w:val="00A007C8"/>
    <w:rsid w:val="00A00D57"/>
    <w:rsid w:val="00A0103C"/>
    <w:rsid w:val="00A016F9"/>
    <w:rsid w:val="00A02946"/>
    <w:rsid w:val="00A02A80"/>
    <w:rsid w:val="00A02D81"/>
    <w:rsid w:val="00A030A6"/>
    <w:rsid w:val="00A03824"/>
    <w:rsid w:val="00A03D2B"/>
    <w:rsid w:val="00A05EA3"/>
    <w:rsid w:val="00A067E7"/>
    <w:rsid w:val="00A07623"/>
    <w:rsid w:val="00A1027B"/>
    <w:rsid w:val="00A104B7"/>
    <w:rsid w:val="00A11686"/>
    <w:rsid w:val="00A11755"/>
    <w:rsid w:val="00A121F5"/>
    <w:rsid w:val="00A1323E"/>
    <w:rsid w:val="00A13D00"/>
    <w:rsid w:val="00A14EFD"/>
    <w:rsid w:val="00A155DA"/>
    <w:rsid w:val="00A1702D"/>
    <w:rsid w:val="00A17170"/>
    <w:rsid w:val="00A20E8A"/>
    <w:rsid w:val="00A214A2"/>
    <w:rsid w:val="00A216DF"/>
    <w:rsid w:val="00A21739"/>
    <w:rsid w:val="00A23E1B"/>
    <w:rsid w:val="00A2450D"/>
    <w:rsid w:val="00A24F0A"/>
    <w:rsid w:val="00A26B71"/>
    <w:rsid w:val="00A26D63"/>
    <w:rsid w:val="00A2792E"/>
    <w:rsid w:val="00A30C98"/>
    <w:rsid w:val="00A31B91"/>
    <w:rsid w:val="00A3294D"/>
    <w:rsid w:val="00A33874"/>
    <w:rsid w:val="00A33882"/>
    <w:rsid w:val="00A33F21"/>
    <w:rsid w:val="00A340EC"/>
    <w:rsid w:val="00A36B00"/>
    <w:rsid w:val="00A36BA3"/>
    <w:rsid w:val="00A41181"/>
    <w:rsid w:val="00A417C2"/>
    <w:rsid w:val="00A41D2B"/>
    <w:rsid w:val="00A42639"/>
    <w:rsid w:val="00A43200"/>
    <w:rsid w:val="00A43238"/>
    <w:rsid w:val="00A4328B"/>
    <w:rsid w:val="00A43999"/>
    <w:rsid w:val="00A448A8"/>
    <w:rsid w:val="00A44F4A"/>
    <w:rsid w:val="00A45351"/>
    <w:rsid w:val="00A4597D"/>
    <w:rsid w:val="00A463FB"/>
    <w:rsid w:val="00A46AE9"/>
    <w:rsid w:val="00A46B14"/>
    <w:rsid w:val="00A47D04"/>
    <w:rsid w:val="00A50A63"/>
    <w:rsid w:val="00A514CB"/>
    <w:rsid w:val="00A51732"/>
    <w:rsid w:val="00A51766"/>
    <w:rsid w:val="00A51C2E"/>
    <w:rsid w:val="00A5208B"/>
    <w:rsid w:val="00A529A9"/>
    <w:rsid w:val="00A52D95"/>
    <w:rsid w:val="00A53213"/>
    <w:rsid w:val="00A53B45"/>
    <w:rsid w:val="00A545B8"/>
    <w:rsid w:val="00A547AA"/>
    <w:rsid w:val="00A54D6C"/>
    <w:rsid w:val="00A55A0C"/>
    <w:rsid w:val="00A5680F"/>
    <w:rsid w:val="00A56C7C"/>
    <w:rsid w:val="00A575A2"/>
    <w:rsid w:val="00A57627"/>
    <w:rsid w:val="00A5772A"/>
    <w:rsid w:val="00A57A05"/>
    <w:rsid w:val="00A60233"/>
    <w:rsid w:val="00A6227D"/>
    <w:rsid w:val="00A636FE"/>
    <w:rsid w:val="00A6376E"/>
    <w:rsid w:val="00A63ACF"/>
    <w:rsid w:val="00A65A16"/>
    <w:rsid w:val="00A65ED0"/>
    <w:rsid w:val="00A66639"/>
    <w:rsid w:val="00A66F6B"/>
    <w:rsid w:val="00A67944"/>
    <w:rsid w:val="00A67F62"/>
    <w:rsid w:val="00A703F1"/>
    <w:rsid w:val="00A70DA3"/>
    <w:rsid w:val="00A70E75"/>
    <w:rsid w:val="00A719E0"/>
    <w:rsid w:val="00A71CA5"/>
    <w:rsid w:val="00A73F08"/>
    <w:rsid w:val="00A74655"/>
    <w:rsid w:val="00A748F2"/>
    <w:rsid w:val="00A75AD9"/>
    <w:rsid w:val="00A75D61"/>
    <w:rsid w:val="00A762B5"/>
    <w:rsid w:val="00A77302"/>
    <w:rsid w:val="00A778E9"/>
    <w:rsid w:val="00A77B35"/>
    <w:rsid w:val="00A77B75"/>
    <w:rsid w:val="00A80223"/>
    <w:rsid w:val="00A80390"/>
    <w:rsid w:val="00A8066A"/>
    <w:rsid w:val="00A80AD2"/>
    <w:rsid w:val="00A81125"/>
    <w:rsid w:val="00A820C4"/>
    <w:rsid w:val="00A822CE"/>
    <w:rsid w:val="00A830CA"/>
    <w:rsid w:val="00A83A5A"/>
    <w:rsid w:val="00A83A9E"/>
    <w:rsid w:val="00A83B32"/>
    <w:rsid w:val="00A84207"/>
    <w:rsid w:val="00A84675"/>
    <w:rsid w:val="00A8481C"/>
    <w:rsid w:val="00A84C23"/>
    <w:rsid w:val="00A856E5"/>
    <w:rsid w:val="00A8610D"/>
    <w:rsid w:val="00A8691A"/>
    <w:rsid w:val="00A86C8F"/>
    <w:rsid w:val="00A92665"/>
    <w:rsid w:val="00A92D43"/>
    <w:rsid w:val="00A94C89"/>
    <w:rsid w:val="00A956A9"/>
    <w:rsid w:val="00A9727A"/>
    <w:rsid w:val="00A97721"/>
    <w:rsid w:val="00AA02A5"/>
    <w:rsid w:val="00AA09BC"/>
    <w:rsid w:val="00AA0B45"/>
    <w:rsid w:val="00AA1F17"/>
    <w:rsid w:val="00AA2065"/>
    <w:rsid w:val="00AA2259"/>
    <w:rsid w:val="00AA38DE"/>
    <w:rsid w:val="00AA3D3D"/>
    <w:rsid w:val="00AA3E84"/>
    <w:rsid w:val="00AA424B"/>
    <w:rsid w:val="00AA4BE3"/>
    <w:rsid w:val="00AA4E23"/>
    <w:rsid w:val="00AA4FE0"/>
    <w:rsid w:val="00AA52CA"/>
    <w:rsid w:val="00AA5890"/>
    <w:rsid w:val="00AA5E53"/>
    <w:rsid w:val="00AA62DF"/>
    <w:rsid w:val="00AA6691"/>
    <w:rsid w:val="00AA6F1C"/>
    <w:rsid w:val="00AA7049"/>
    <w:rsid w:val="00AA79A0"/>
    <w:rsid w:val="00AA7FFB"/>
    <w:rsid w:val="00AB02F3"/>
    <w:rsid w:val="00AB093E"/>
    <w:rsid w:val="00AB10F7"/>
    <w:rsid w:val="00AB164E"/>
    <w:rsid w:val="00AB17CC"/>
    <w:rsid w:val="00AB22E1"/>
    <w:rsid w:val="00AB2E20"/>
    <w:rsid w:val="00AB382E"/>
    <w:rsid w:val="00AB3BE8"/>
    <w:rsid w:val="00AB3F8A"/>
    <w:rsid w:val="00AB50EC"/>
    <w:rsid w:val="00AB5B7B"/>
    <w:rsid w:val="00AB5CDD"/>
    <w:rsid w:val="00AB6405"/>
    <w:rsid w:val="00AB6CEC"/>
    <w:rsid w:val="00AC0991"/>
    <w:rsid w:val="00AC0CC3"/>
    <w:rsid w:val="00AC1803"/>
    <w:rsid w:val="00AC1B6F"/>
    <w:rsid w:val="00AC3617"/>
    <w:rsid w:val="00AC3A77"/>
    <w:rsid w:val="00AC3D29"/>
    <w:rsid w:val="00AC4D17"/>
    <w:rsid w:val="00AC7656"/>
    <w:rsid w:val="00AC792E"/>
    <w:rsid w:val="00AC7A3F"/>
    <w:rsid w:val="00AD0095"/>
    <w:rsid w:val="00AD052F"/>
    <w:rsid w:val="00AD0FA0"/>
    <w:rsid w:val="00AD0FD9"/>
    <w:rsid w:val="00AD1491"/>
    <w:rsid w:val="00AD158A"/>
    <w:rsid w:val="00AD15CE"/>
    <w:rsid w:val="00AD1CBB"/>
    <w:rsid w:val="00AD1F15"/>
    <w:rsid w:val="00AD21DC"/>
    <w:rsid w:val="00AD2621"/>
    <w:rsid w:val="00AD369C"/>
    <w:rsid w:val="00AD3A96"/>
    <w:rsid w:val="00AD3EB3"/>
    <w:rsid w:val="00AD4918"/>
    <w:rsid w:val="00AD56C2"/>
    <w:rsid w:val="00AD5C5F"/>
    <w:rsid w:val="00AD7820"/>
    <w:rsid w:val="00AD7CA8"/>
    <w:rsid w:val="00AE04C4"/>
    <w:rsid w:val="00AE2299"/>
    <w:rsid w:val="00AE252B"/>
    <w:rsid w:val="00AE3649"/>
    <w:rsid w:val="00AE481D"/>
    <w:rsid w:val="00AE509A"/>
    <w:rsid w:val="00AE50CF"/>
    <w:rsid w:val="00AE5629"/>
    <w:rsid w:val="00AE5C7D"/>
    <w:rsid w:val="00AF2064"/>
    <w:rsid w:val="00AF24E8"/>
    <w:rsid w:val="00AF2EE7"/>
    <w:rsid w:val="00AF32BC"/>
    <w:rsid w:val="00AF40C6"/>
    <w:rsid w:val="00AF4484"/>
    <w:rsid w:val="00AF46DE"/>
    <w:rsid w:val="00AF4B76"/>
    <w:rsid w:val="00AF62CA"/>
    <w:rsid w:val="00AF748D"/>
    <w:rsid w:val="00AF760B"/>
    <w:rsid w:val="00AF7691"/>
    <w:rsid w:val="00B00267"/>
    <w:rsid w:val="00B00F4D"/>
    <w:rsid w:val="00B012FF"/>
    <w:rsid w:val="00B01659"/>
    <w:rsid w:val="00B03595"/>
    <w:rsid w:val="00B03663"/>
    <w:rsid w:val="00B03779"/>
    <w:rsid w:val="00B03D76"/>
    <w:rsid w:val="00B05AA2"/>
    <w:rsid w:val="00B06CF4"/>
    <w:rsid w:val="00B07D87"/>
    <w:rsid w:val="00B10F3E"/>
    <w:rsid w:val="00B11211"/>
    <w:rsid w:val="00B114D9"/>
    <w:rsid w:val="00B12D36"/>
    <w:rsid w:val="00B1362B"/>
    <w:rsid w:val="00B15460"/>
    <w:rsid w:val="00B15DCF"/>
    <w:rsid w:val="00B1674B"/>
    <w:rsid w:val="00B1744D"/>
    <w:rsid w:val="00B175EE"/>
    <w:rsid w:val="00B1766A"/>
    <w:rsid w:val="00B17D2F"/>
    <w:rsid w:val="00B20D69"/>
    <w:rsid w:val="00B21510"/>
    <w:rsid w:val="00B21BD2"/>
    <w:rsid w:val="00B22511"/>
    <w:rsid w:val="00B24AA7"/>
    <w:rsid w:val="00B253C8"/>
    <w:rsid w:val="00B253E2"/>
    <w:rsid w:val="00B254EE"/>
    <w:rsid w:val="00B265EC"/>
    <w:rsid w:val="00B27AB1"/>
    <w:rsid w:val="00B27E78"/>
    <w:rsid w:val="00B32509"/>
    <w:rsid w:val="00B334AC"/>
    <w:rsid w:val="00B3380F"/>
    <w:rsid w:val="00B34A8F"/>
    <w:rsid w:val="00B3539E"/>
    <w:rsid w:val="00B36C41"/>
    <w:rsid w:val="00B373D8"/>
    <w:rsid w:val="00B37A33"/>
    <w:rsid w:val="00B37DC8"/>
    <w:rsid w:val="00B37E6D"/>
    <w:rsid w:val="00B41A93"/>
    <w:rsid w:val="00B432AE"/>
    <w:rsid w:val="00B43CCA"/>
    <w:rsid w:val="00B44869"/>
    <w:rsid w:val="00B45C50"/>
    <w:rsid w:val="00B46970"/>
    <w:rsid w:val="00B470F6"/>
    <w:rsid w:val="00B47361"/>
    <w:rsid w:val="00B4756B"/>
    <w:rsid w:val="00B50652"/>
    <w:rsid w:val="00B5146A"/>
    <w:rsid w:val="00B5166D"/>
    <w:rsid w:val="00B51F43"/>
    <w:rsid w:val="00B523E2"/>
    <w:rsid w:val="00B526B1"/>
    <w:rsid w:val="00B52AE6"/>
    <w:rsid w:val="00B52B59"/>
    <w:rsid w:val="00B53DEA"/>
    <w:rsid w:val="00B54C9C"/>
    <w:rsid w:val="00B55852"/>
    <w:rsid w:val="00B56414"/>
    <w:rsid w:val="00B5657F"/>
    <w:rsid w:val="00B607BD"/>
    <w:rsid w:val="00B60FEF"/>
    <w:rsid w:val="00B612EC"/>
    <w:rsid w:val="00B6434B"/>
    <w:rsid w:val="00B644FC"/>
    <w:rsid w:val="00B66332"/>
    <w:rsid w:val="00B66B56"/>
    <w:rsid w:val="00B67573"/>
    <w:rsid w:val="00B67806"/>
    <w:rsid w:val="00B67D3F"/>
    <w:rsid w:val="00B713E2"/>
    <w:rsid w:val="00B71C4B"/>
    <w:rsid w:val="00B723AF"/>
    <w:rsid w:val="00B723B7"/>
    <w:rsid w:val="00B725EB"/>
    <w:rsid w:val="00B737C9"/>
    <w:rsid w:val="00B73985"/>
    <w:rsid w:val="00B73B5C"/>
    <w:rsid w:val="00B73F3F"/>
    <w:rsid w:val="00B7437D"/>
    <w:rsid w:val="00B74662"/>
    <w:rsid w:val="00B74A28"/>
    <w:rsid w:val="00B75373"/>
    <w:rsid w:val="00B75BA6"/>
    <w:rsid w:val="00B75EB7"/>
    <w:rsid w:val="00B761FC"/>
    <w:rsid w:val="00B765CB"/>
    <w:rsid w:val="00B76F8A"/>
    <w:rsid w:val="00B7757B"/>
    <w:rsid w:val="00B7783F"/>
    <w:rsid w:val="00B8045B"/>
    <w:rsid w:val="00B81081"/>
    <w:rsid w:val="00B81FE4"/>
    <w:rsid w:val="00B826AB"/>
    <w:rsid w:val="00B82F94"/>
    <w:rsid w:val="00B834EF"/>
    <w:rsid w:val="00B83541"/>
    <w:rsid w:val="00B84A90"/>
    <w:rsid w:val="00B84FCC"/>
    <w:rsid w:val="00B85A17"/>
    <w:rsid w:val="00B85F92"/>
    <w:rsid w:val="00B863AB"/>
    <w:rsid w:val="00B87770"/>
    <w:rsid w:val="00B9066E"/>
    <w:rsid w:val="00B907C4"/>
    <w:rsid w:val="00B90B44"/>
    <w:rsid w:val="00B9110E"/>
    <w:rsid w:val="00B9213E"/>
    <w:rsid w:val="00B9348E"/>
    <w:rsid w:val="00B94C8C"/>
    <w:rsid w:val="00B9559A"/>
    <w:rsid w:val="00B957B9"/>
    <w:rsid w:val="00B965AB"/>
    <w:rsid w:val="00B96993"/>
    <w:rsid w:val="00B971F7"/>
    <w:rsid w:val="00B975FF"/>
    <w:rsid w:val="00B97671"/>
    <w:rsid w:val="00B97B95"/>
    <w:rsid w:val="00BA00F7"/>
    <w:rsid w:val="00BA0D02"/>
    <w:rsid w:val="00BA0FA5"/>
    <w:rsid w:val="00BA10D9"/>
    <w:rsid w:val="00BA1BA3"/>
    <w:rsid w:val="00BA29DF"/>
    <w:rsid w:val="00BA2A04"/>
    <w:rsid w:val="00BA3278"/>
    <w:rsid w:val="00BA3418"/>
    <w:rsid w:val="00BA36EF"/>
    <w:rsid w:val="00BA4427"/>
    <w:rsid w:val="00BA5797"/>
    <w:rsid w:val="00BA60E5"/>
    <w:rsid w:val="00BA6979"/>
    <w:rsid w:val="00BA6E6B"/>
    <w:rsid w:val="00BA7002"/>
    <w:rsid w:val="00BB1AE7"/>
    <w:rsid w:val="00BB2780"/>
    <w:rsid w:val="00BB34AC"/>
    <w:rsid w:val="00BB356D"/>
    <w:rsid w:val="00BB35F1"/>
    <w:rsid w:val="00BB36D2"/>
    <w:rsid w:val="00BB38C6"/>
    <w:rsid w:val="00BB4583"/>
    <w:rsid w:val="00BB518F"/>
    <w:rsid w:val="00BB616F"/>
    <w:rsid w:val="00BB65B9"/>
    <w:rsid w:val="00BB6613"/>
    <w:rsid w:val="00BB6BB9"/>
    <w:rsid w:val="00BB7315"/>
    <w:rsid w:val="00BB79A4"/>
    <w:rsid w:val="00BC0D86"/>
    <w:rsid w:val="00BC1AEA"/>
    <w:rsid w:val="00BC1E70"/>
    <w:rsid w:val="00BC3067"/>
    <w:rsid w:val="00BC363D"/>
    <w:rsid w:val="00BC3DE3"/>
    <w:rsid w:val="00BC406A"/>
    <w:rsid w:val="00BC4203"/>
    <w:rsid w:val="00BC65D8"/>
    <w:rsid w:val="00BC6A08"/>
    <w:rsid w:val="00BC6D74"/>
    <w:rsid w:val="00BC70CE"/>
    <w:rsid w:val="00BC7BB1"/>
    <w:rsid w:val="00BC7EE3"/>
    <w:rsid w:val="00BD0C78"/>
    <w:rsid w:val="00BD0D0F"/>
    <w:rsid w:val="00BD1C99"/>
    <w:rsid w:val="00BD4B21"/>
    <w:rsid w:val="00BD53D5"/>
    <w:rsid w:val="00BD6D84"/>
    <w:rsid w:val="00BD6E63"/>
    <w:rsid w:val="00BD6FF1"/>
    <w:rsid w:val="00BD71F8"/>
    <w:rsid w:val="00BD7A1D"/>
    <w:rsid w:val="00BE0250"/>
    <w:rsid w:val="00BE1C6C"/>
    <w:rsid w:val="00BE20AD"/>
    <w:rsid w:val="00BE4754"/>
    <w:rsid w:val="00BE543A"/>
    <w:rsid w:val="00BE582E"/>
    <w:rsid w:val="00BE62A9"/>
    <w:rsid w:val="00BE6CAC"/>
    <w:rsid w:val="00BE7108"/>
    <w:rsid w:val="00BE7394"/>
    <w:rsid w:val="00BF3A26"/>
    <w:rsid w:val="00BF49D5"/>
    <w:rsid w:val="00BF5AE5"/>
    <w:rsid w:val="00BF6FC3"/>
    <w:rsid w:val="00BF7060"/>
    <w:rsid w:val="00BF789D"/>
    <w:rsid w:val="00C00F49"/>
    <w:rsid w:val="00C0191B"/>
    <w:rsid w:val="00C023B5"/>
    <w:rsid w:val="00C02A2A"/>
    <w:rsid w:val="00C030D8"/>
    <w:rsid w:val="00C03C7A"/>
    <w:rsid w:val="00C0426E"/>
    <w:rsid w:val="00C042CD"/>
    <w:rsid w:val="00C045AD"/>
    <w:rsid w:val="00C05341"/>
    <w:rsid w:val="00C05DD5"/>
    <w:rsid w:val="00C06392"/>
    <w:rsid w:val="00C067EC"/>
    <w:rsid w:val="00C06DC9"/>
    <w:rsid w:val="00C11AA8"/>
    <w:rsid w:val="00C12138"/>
    <w:rsid w:val="00C124E7"/>
    <w:rsid w:val="00C12830"/>
    <w:rsid w:val="00C12C5C"/>
    <w:rsid w:val="00C12CDF"/>
    <w:rsid w:val="00C13EF2"/>
    <w:rsid w:val="00C14240"/>
    <w:rsid w:val="00C147AE"/>
    <w:rsid w:val="00C14F69"/>
    <w:rsid w:val="00C15D52"/>
    <w:rsid w:val="00C17499"/>
    <w:rsid w:val="00C175CE"/>
    <w:rsid w:val="00C17825"/>
    <w:rsid w:val="00C179C5"/>
    <w:rsid w:val="00C17DDD"/>
    <w:rsid w:val="00C20805"/>
    <w:rsid w:val="00C20B41"/>
    <w:rsid w:val="00C218D1"/>
    <w:rsid w:val="00C22C78"/>
    <w:rsid w:val="00C23636"/>
    <w:rsid w:val="00C237F0"/>
    <w:rsid w:val="00C24314"/>
    <w:rsid w:val="00C24680"/>
    <w:rsid w:val="00C25630"/>
    <w:rsid w:val="00C25A25"/>
    <w:rsid w:val="00C27448"/>
    <w:rsid w:val="00C27D55"/>
    <w:rsid w:val="00C30364"/>
    <w:rsid w:val="00C3056A"/>
    <w:rsid w:val="00C306DA"/>
    <w:rsid w:val="00C310C3"/>
    <w:rsid w:val="00C31C8F"/>
    <w:rsid w:val="00C32116"/>
    <w:rsid w:val="00C342C5"/>
    <w:rsid w:val="00C35AFB"/>
    <w:rsid w:val="00C36661"/>
    <w:rsid w:val="00C36A22"/>
    <w:rsid w:val="00C40B9B"/>
    <w:rsid w:val="00C4172B"/>
    <w:rsid w:val="00C4175C"/>
    <w:rsid w:val="00C41970"/>
    <w:rsid w:val="00C41D2A"/>
    <w:rsid w:val="00C4277F"/>
    <w:rsid w:val="00C43081"/>
    <w:rsid w:val="00C43FEA"/>
    <w:rsid w:val="00C44F94"/>
    <w:rsid w:val="00C4575C"/>
    <w:rsid w:val="00C45D35"/>
    <w:rsid w:val="00C45E39"/>
    <w:rsid w:val="00C4604A"/>
    <w:rsid w:val="00C469A6"/>
    <w:rsid w:val="00C473FC"/>
    <w:rsid w:val="00C47B5A"/>
    <w:rsid w:val="00C502B9"/>
    <w:rsid w:val="00C508D3"/>
    <w:rsid w:val="00C515AC"/>
    <w:rsid w:val="00C52D62"/>
    <w:rsid w:val="00C52EA8"/>
    <w:rsid w:val="00C536CC"/>
    <w:rsid w:val="00C53E5E"/>
    <w:rsid w:val="00C5410E"/>
    <w:rsid w:val="00C541D9"/>
    <w:rsid w:val="00C54735"/>
    <w:rsid w:val="00C5520A"/>
    <w:rsid w:val="00C5556D"/>
    <w:rsid w:val="00C55820"/>
    <w:rsid w:val="00C56426"/>
    <w:rsid w:val="00C56B03"/>
    <w:rsid w:val="00C56C96"/>
    <w:rsid w:val="00C603F5"/>
    <w:rsid w:val="00C60C7C"/>
    <w:rsid w:val="00C61B44"/>
    <w:rsid w:val="00C63438"/>
    <w:rsid w:val="00C63DBE"/>
    <w:rsid w:val="00C643F6"/>
    <w:rsid w:val="00C64EA0"/>
    <w:rsid w:val="00C657E4"/>
    <w:rsid w:val="00C6597C"/>
    <w:rsid w:val="00C65BDC"/>
    <w:rsid w:val="00C65C15"/>
    <w:rsid w:val="00C662CC"/>
    <w:rsid w:val="00C67E04"/>
    <w:rsid w:val="00C70268"/>
    <w:rsid w:val="00C7032D"/>
    <w:rsid w:val="00C708FC"/>
    <w:rsid w:val="00C70AE8"/>
    <w:rsid w:val="00C70BDE"/>
    <w:rsid w:val="00C70D07"/>
    <w:rsid w:val="00C722DA"/>
    <w:rsid w:val="00C727EC"/>
    <w:rsid w:val="00C727F8"/>
    <w:rsid w:val="00C72842"/>
    <w:rsid w:val="00C7546F"/>
    <w:rsid w:val="00C75559"/>
    <w:rsid w:val="00C755A8"/>
    <w:rsid w:val="00C76607"/>
    <w:rsid w:val="00C77475"/>
    <w:rsid w:val="00C77634"/>
    <w:rsid w:val="00C776EE"/>
    <w:rsid w:val="00C80114"/>
    <w:rsid w:val="00C80716"/>
    <w:rsid w:val="00C82620"/>
    <w:rsid w:val="00C82948"/>
    <w:rsid w:val="00C83718"/>
    <w:rsid w:val="00C840C9"/>
    <w:rsid w:val="00C845B0"/>
    <w:rsid w:val="00C846B7"/>
    <w:rsid w:val="00C84E47"/>
    <w:rsid w:val="00C85211"/>
    <w:rsid w:val="00C85BF4"/>
    <w:rsid w:val="00C9002F"/>
    <w:rsid w:val="00C9081A"/>
    <w:rsid w:val="00C90D06"/>
    <w:rsid w:val="00C90F08"/>
    <w:rsid w:val="00C93EE9"/>
    <w:rsid w:val="00C942EE"/>
    <w:rsid w:val="00C9504F"/>
    <w:rsid w:val="00C96A32"/>
    <w:rsid w:val="00C97A42"/>
    <w:rsid w:val="00C97D69"/>
    <w:rsid w:val="00CA1B42"/>
    <w:rsid w:val="00CA1D66"/>
    <w:rsid w:val="00CA2F31"/>
    <w:rsid w:val="00CA364E"/>
    <w:rsid w:val="00CA3BEC"/>
    <w:rsid w:val="00CA45E4"/>
    <w:rsid w:val="00CA5162"/>
    <w:rsid w:val="00CA5801"/>
    <w:rsid w:val="00CA6D19"/>
    <w:rsid w:val="00CB0BF4"/>
    <w:rsid w:val="00CB13BC"/>
    <w:rsid w:val="00CB1D22"/>
    <w:rsid w:val="00CB1EB8"/>
    <w:rsid w:val="00CB2541"/>
    <w:rsid w:val="00CB360F"/>
    <w:rsid w:val="00CB5142"/>
    <w:rsid w:val="00CB5FB3"/>
    <w:rsid w:val="00CB643D"/>
    <w:rsid w:val="00CB6E77"/>
    <w:rsid w:val="00CC03A5"/>
    <w:rsid w:val="00CC1BB3"/>
    <w:rsid w:val="00CC225C"/>
    <w:rsid w:val="00CC27F8"/>
    <w:rsid w:val="00CC3FF9"/>
    <w:rsid w:val="00CC48F5"/>
    <w:rsid w:val="00CC5560"/>
    <w:rsid w:val="00CC580C"/>
    <w:rsid w:val="00CC5ED0"/>
    <w:rsid w:val="00CC6A68"/>
    <w:rsid w:val="00CC6D85"/>
    <w:rsid w:val="00CC723C"/>
    <w:rsid w:val="00CC73D6"/>
    <w:rsid w:val="00CD0F9A"/>
    <w:rsid w:val="00CD11AB"/>
    <w:rsid w:val="00CD1D62"/>
    <w:rsid w:val="00CD1F59"/>
    <w:rsid w:val="00CD22D3"/>
    <w:rsid w:val="00CD24A0"/>
    <w:rsid w:val="00CD29E6"/>
    <w:rsid w:val="00CD35FE"/>
    <w:rsid w:val="00CD36A3"/>
    <w:rsid w:val="00CD3821"/>
    <w:rsid w:val="00CD5DAC"/>
    <w:rsid w:val="00CD6230"/>
    <w:rsid w:val="00CD64F4"/>
    <w:rsid w:val="00CD7D09"/>
    <w:rsid w:val="00CE0309"/>
    <w:rsid w:val="00CE14D0"/>
    <w:rsid w:val="00CE18C9"/>
    <w:rsid w:val="00CE18FE"/>
    <w:rsid w:val="00CE1B6C"/>
    <w:rsid w:val="00CE27DE"/>
    <w:rsid w:val="00CE2CA8"/>
    <w:rsid w:val="00CE59C9"/>
    <w:rsid w:val="00CE6EFA"/>
    <w:rsid w:val="00CE7D94"/>
    <w:rsid w:val="00CF3AC1"/>
    <w:rsid w:val="00CF3CC3"/>
    <w:rsid w:val="00CF53D6"/>
    <w:rsid w:val="00CF5740"/>
    <w:rsid w:val="00CF5919"/>
    <w:rsid w:val="00CF6359"/>
    <w:rsid w:val="00CF7BEF"/>
    <w:rsid w:val="00D0067B"/>
    <w:rsid w:val="00D0109C"/>
    <w:rsid w:val="00D0285B"/>
    <w:rsid w:val="00D03ADB"/>
    <w:rsid w:val="00D078E2"/>
    <w:rsid w:val="00D07C4A"/>
    <w:rsid w:val="00D10207"/>
    <w:rsid w:val="00D1078F"/>
    <w:rsid w:val="00D11783"/>
    <w:rsid w:val="00D1274C"/>
    <w:rsid w:val="00D12F6C"/>
    <w:rsid w:val="00D134F4"/>
    <w:rsid w:val="00D14F8D"/>
    <w:rsid w:val="00D15DE5"/>
    <w:rsid w:val="00D16502"/>
    <w:rsid w:val="00D177F1"/>
    <w:rsid w:val="00D179BB"/>
    <w:rsid w:val="00D206B2"/>
    <w:rsid w:val="00D21515"/>
    <w:rsid w:val="00D21FE8"/>
    <w:rsid w:val="00D220FF"/>
    <w:rsid w:val="00D23749"/>
    <w:rsid w:val="00D238DB"/>
    <w:rsid w:val="00D23C8D"/>
    <w:rsid w:val="00D24E93"/>
    <w:rsid w:val="00D25127"/>
    <w:rsid w:val="00D26816"/>
    <w:rsid w:val="00D27180"/>
    <w:rsid w:val="00D27884"/>
    <w:rsid w:val="00D347C4"/>
    <w:rsid w:val="00D34B88"/>
    <w:rsid w:val="00D34F33"/>
    <w:rsid w:val="00D35017"/>
    <w:rsid w:val="00D37CE4"/>
    <w:rsid w:val="00D37FBD"/>
    <w:rsid w:val="00D4141F"/>
    <w:rsid w:val="00D41820"/>
    <w:rsid w:val="00D44190"/>
    <w:rsid w:val="00D44D4D"/>
    <w:rsid w:val="00D45060"/>
    <w:rsid w:val="00D45C0A"/>
    <w:rsid w:val="00D467E3"/>
    <w:rsid w:val="00D46FCB"/>
    <w:rsid w:val="00D47480"/>
    <w:rsid w:val="00D50411"/>
    <w:rsid w:val="00D504FB"/>
    <w:rsid w:val="00D505A2"/>
    <w:rsid w:val="00D522A2"/>
    <w:rsid w:val="00D54450"/>
    <w:rsid w:val="00D546AA"/>
    <w:rsid w:val="00D54FCF"/>
    <w:rsid w:val="00D556CC"/>
    <w:rsid w:val="00D55A3E"/>
    <w:rsid w:val="00D55B71"/>
    <w:rsid w:val="00D570FA"/>
    <w:rsid w:val="00D57C7A"/>
    <w:rsid w:val="00D6011A"/>
    <w:rsid w:val="00D60160"/>
    <w:rsid w:val="00D609A7"/>
    <w:rsid w:val="00D620D1"/>
    <w:rsid w:val="00D62689"/>
    <w:rsid w:val="00D633EC"/>
    <w:rsid w:val="00D65C3E"/>
    <w:rsid w:val="00D65DE9"/>
    <w:rsid w:val="00D65E10"/>
    <w:rsid w:val="00D66442"/>
    <w:rsid w:val="00D67245"/>
    <w:rsid w:val="00D674C6"/>
    <w:rsid w:val="00D679CD"/>
    <w:rsid w:val="00D67AFE"/>
    <w:rsid w:val="00D70735"/>
    <w:rsid w:val="00D716C6"/>
    <w:rsid w:val="00D72082"/>
    <w:rsid w:val="00D721E7"/>
    <w:rsid w:val="00D73A72"/>
    <w:rsid w:val="00D74471"/>
    <w:rsid w:val="00D751A1"/>
    <w:rsid w:val="00D760A3"/>
    <w:rsid w:val="00D7610D"/>
    <w:rsid w:val="00D76C33"/>
    <w:rsid w:val="00D803F9"/>
    <w:rsid w:val="00D80885"/>
    <w:rsid w:val="00D80A56"/>
    <w:rsid w:val="00D80E1C"/>
    <w:rsid w:val="00D813CA"/>
    <w:rsid w:val="00D81987"/>
    <w:rsid w:val="00D81A69"/>
    <w:rsid w:val="00D81DAC"/>
    <w:rsid w:val="00D82629"/>
    <w:rsid w:val="00D830C7"/>
    <w:rsid w:val="00D83707"/>
    <w:rsid w:val="00D83AF7"/>
    <w:rsid w:val="00D847FB"/>
    <w:rsid w:val="00D84C87"/>
    <w:rsid w:val="00D84CD4"/>
    <w:rsid w:val="00D85F7E"/>
    <w:rsid w:val="00D860CD"/>
    <w:rsid w:val="00D86126"/>
    <w:rsid w:val="00D87006"/>
    <w:rsid w:val="00D873E9"/>
    <w:rsid w:val="00D874E7"/>
    <w:rsid w:val="00D9013C"/>
    <w:rsid w:val="00D90E44"/>
    <w:rsid w:val="00D912E0"/>
    <w:rsid w:val="00D91C05"/>
    <w:rsid w:val="00D92410"/>
    <w:rsid w:val="00D930D1"/>
    <w:rsid w:val="00D94180"/>
    <w:rsid w:val="00D94448"/>
    <w:rsid w:val="00D959F0"/>
    <w:rsid w:val="00D95DA0"/>
    <w:rsid w:val="00D963F3"/>
    <w:rsid w:val="00D965F8"/>
    <w:rsid w:val="00D9678A"/>
    <w:rsid w:val="00D97BE7"/>
    <w:rsid w:val="00DA045B"/>
    <w:rsid w:val="00DA0F6C"/>
    <w:rsid w:val="00DA1157"/>
    <w:rsid w:val="00DA1E9D"/>
    <w:rsid w:val="00DA20EA"/>
    <w:rsid w:val="00DA4373"/>
    <w:rsid w:val="00DA4FB4"/>
    <w:rsid w:val="00DA57E9"/>
    <w:rsid w:val="00DA5E71"/>
    <w:rsid w:val="00DA618E"/>
    <w:rsid w:val="00DA673A"/>
    <w:rsid w:val="00DA6E02"/>
    <w:rsid w:val="00DA6EB5"/>
    <w:rsid w:val="00DB06F5"/>
    <w:rsid w:val="00DB0B48"/>
    <w:rsid w:val="00DB111A"/>
    <w:rsid w:val="00DB227A"/>
    <w:rsid w:val="00DB340D"/>
    <w:rsid w:val="00DB4235"/>
    <w:rsid w:val="00DB53B7"/>
    <w:rsid w:val="00DB5567"/>
    <w:rsid w:val="00DB57AE"/>
    <w:rsid w:val="00DB6F5A"/>
    <w:rsid w:val="00DB7632"/>
    <w:rsid w:val="00DB770C"/>
    <w:rsid w:val="00DC085D"/>
    <w:rsid w:val="00DC0E3A"/>
    <w:rsid w:val="00DC12C9"/>
    <w:rsid w:val="00DC1769"/>
    <w:rsid w:val="00DC1934"/>
    <w:rsid w:val="00DC1BF7"/>
    <w:rsid w:val="00DC1C7C"/>
    <w:rsid w:val="00DC1FFA"/>
    <w:rsid w:val="00DC2543"/>
    <w:rsid w:val="00DC35C6"/>
    <w:rsid w:val="00DC4018"/>
    <w:rsid w:val="00DC42B3"/>
    <w:rsid w:val="00DC45A8"/>
    <w:rsid w:val="00DC4CD8"/>
    <w:rsid w:val="00DC5123"/>
    <w:rsid w:val="00DC5659"/>
    <w:rsid w:val="00DC6078"/>
    <w:rsid w:val="00DC7E98"/>
    <w:rsid w:val="00DD13A0"/>
    <w:rsid w:val="00DD1784"/>
    <w:rsid w:val="00DD2A88"/>
    <w:rsid w:val="00DD35D6"/>
    <w:rsid w:val="00DD3874"/>
    <w:rsid w:val="00DD3D2E"/>
    <w:rsid w:val="00DD4265"/>
    <w:rsid w:val="00DD4C47"/>
    <w:rsid w:val="00DD5D23"/>
    <w:rsid w:val="00DD6055"/>
    <w:rsid w:val="00DD6958"/>
    <w:rsid w:val="00DD6A8A"/>
    <w:rsid w:val="00DD6F2E"/>
    <w:rsid w:val="00DD7B07"/>
    <w:rsid w:val="00DD7F08"/>
    <w:rsid w:val="00DE0A15"/>
    <w:rsid w:val="00DE156A"/>
    <w:rsid w:val="00DE1CC1"/>
    <w:rsid w:val="00DE283A"/>
    <w:rsid w:val="00DE2DC7"/>
    <w:rsid w:val="00DE2FF9"/>
    <w:rsid w:val="00DE3794"/>
    <w:rsid w:val="00DE426E"/>
    <w:rsid w:val="00DE4FCB"/>
    <w:rsid w:val="00DE52E6"/>
    <w:rsid w:val="00DE5CB4"/>
    <w:rsid w:val="00DE6222"/>
    <w:rsid w:val="00DE6435"/>
    <w:rsid w:val="00DE7018"/>
    <w:rsid w:val="00DE774B"/>
    <w:rsid w:val="00DE7811"/>
    <w:rsid w:val="00DF0428"/>
    <w:rsid w:val="00DF095A"/>
    <w:rsid w:val="00DF127A"/>
    <w:rsid w:val="00DF1CBB"/>
    <w:rsid w:val="00DF225D"/>
    <w:rsid w:val="00DF3402"/>
    <w:rsid w:val="00DF428A"/>
    <w:rsid w:val="00DF5DBE"/>
    <w:rsid w:val="00DF7B16"/>
    <w:rsid w:val="00E009EB"/>
    <w:rsid w:val="00E01A50"/>
    <w:rsid w:val="00E01FB1"/>
    <w:rsid w:val="00E02295"/>
    <w:rsid w:val="00E026C6"/>
    <w:rsid w:val="00E029DA"/>
    <w:rsid w:val="00E02A1D"/>
    <w:rsid w:val="00E02E03"/>
    <w:rsid w:val="00E03590"/>
    <w:rsid w:val="00E03CFA"/>
    <w:rsid w:val="00E03FD4"/>
    <w:rsid w:val="00E04242"/>
    <w:rsid w:val="00E04B98"/>
    <w:rsid w:val="00E04DA8"/>
    <w:rsid w:val="00E04E41"/>
    <w:rsid w:val="00E05F6A"/>
    <w:rsid w:val="00E063DE"/>
    <w:rsid w:val="00E06514"/>
    <w:rsid w:val="00E10633"/>
    <w:rsid w:val="00E10ED4"/>
    <w:rsid w:val="00E11A21"/>
    <w:rsid w:val="00E120C3"/>
    <w:rsid w:val="00E12A2A"/>
    <w:rsid w:val="00E12C9E"/>
    <w:rsid w:val="00E12CD1"/>
    <w:rsid w:val="00E13748"/>
    <w:rsid w:val="00E1397C"/>
    <w:rsid w:val="00E139C0"/>
    <w:rsid w:val="00E13AE5"/>
    <w:rsid w:val="00E14E03"/>
    <w:rsid w:val="00E14F54"/>
    <w:rsid w:val="00E16D0E"/>
    <w:rsid w:val="00E16F20"/>
    <w:rsid w:val="00E17C2A"/>
    <w:rsid w:val="00E17CAD"/>
    <w:rsid w:val="00E217C4"/>
    <w:rsid w:val="00E22294"/>
    <w:rsid w:val="00E23583"/>
    <w:rsid w:val="00E2372C"/>
    <w:rsid w:val="00E2380E"/>
    <w:rsid w:val="00E23CCC"/>
    <w:rsid w:val="00E23D83"/>
    <w:rsid w:val="00E249FE"/>
    <w:rsid w:val="00E25030"/>
    <w:rsid w:val="00E25913"/>
    <w:rsid w:val="00E2599B"/>
    <w:rsid w:val="00E261F6"/>
    <w:rsid w:val="00E266A3"/>
    <w:rsid w:val="00E27344"/>
    <w:rsid w:val="00E302BC"/>
    <w:rsid w:val="00E30384"/>
    <w:rsid w:val="00E30CC4"/>
    <w:rsid w:val="00E3173F"/>
    <w:rsid w:val="00E31BF9"/>
    <w:rsid w:val="00E31D7E"/>
    <w:rsid w:val="00E3212A"/>
    <w:rsid w:val="00E32226"/>
    <w:rsid w:val="00E324CF"/>
    <w:rsid w:val="00E3316F"/>
    <w:rsid w:val="00E34C7C"/>
    <w:rsid w:val="00E34E9C"/>
    <w:rsid w:val="00E359F9"/>
    <w:rsid w:val="00E37109"/>
    <w:rsid w:val="00E373B3"/>
    <w:rsid w:val="00E409CC"/>
    <w:rsid w:val="00E40DB3"/>
    <w:rsid w:val="00E41674"/>
    <w:rsid w:val="00E41862"/>
    <w:rsid w:val="00E41F91"/>
    <w:rsid w:val="00E422E1"/>
    <w:rsid w:val="00E43789"/>
    <w:rsid w:val="00E447D8"/>
    <w:rsid w:val="00E44A12"/>
    <w:rsid w:val="00E44E30"/>
    <w:rsid w:val="00E468A3"/>
    <w:rsid w:val="00E46A1F"/>
    <w:rsid w:val="00E47803"/>
    <w:rsid w:val="00E50F04"/>
    <w:rsid w:val="00E53D76"/>
    <w:rsid w:val="00E54900"/>
    <w:rsid w:val="00E5521C"/>
    <w:rsid w:val="00E555A4"/>
    <w:rsid w:val="00E56448"/>
    <w:rsid w:val="00E577EE"/>
    <w:rsid w:val="00E60092"/>
    <w:rsid w:val="00E60E18"/>
    <w:rsid w:val="00E61D38"/>
    <w:rsid w:val="00E62012"/>
    <w:rsid w:val="00E629DD"/>
    <w:rsid w:val="00E62EFF"/>
    <w:rsid w:val="00E63777"/>
    <w:rsid w:val="00E640DE"/>
    <w:rsid w:val="00E64333"/>
    <w:rsid w:val="00E64637"/>
    <w:rsid w:val="00E64E5A"/>
    <w:rsid w:val="00E651E3"/>
    <w:rsid w:val="00E65748"/>
    <w:rsid w:val="00E659EB"/>
    <w:rsid w:val="00E65AC1"/>
    <w:rsid w:val="00E66223"/>
    <w:rsid w:val="00E6690C"/>
    <w:rsid w:val="00E67EA4"/>
    <w:rsid w:val="00E708CB"/>
    <w:rsid w:val="00E70A33"/>
    <w:rsid w:val="00E72913"/>
    <w:rsid w:val="00E734DF"/>
    <w:rsid w:val="00E738A1"/>
    <w:rsid w:val="00E739DA"/>
    <w:rsid w:val="00E73F33"/>
    <w:rsid w:val="00E74441"/>
    <w:rsid w:val="00E74730"/>
    <w:rsid w:val="00E76203"/>
    <w:rsid w:val="00E77BB0"/>
    <w:rsid w:val="00E80599"/>
    <w:rsid w:val="00E80733"/>
    <w:rsid w:val="00E810CC"/>
    <w:rsid w:val="00E83DFF"/>
    <w:rsid w:val="00E8410F"/>
    <w:rsid w:val="00E84699"/>
    <w:rsid w:val="00E85094"/>
    <w:rsid w:val="00E8525A"/>
    <w:rsid w:val="00E86372"/>
    <w:rsid w:val="00E86DDE"/>
    <w:rsid w:val="00E870D4"/>
    <w:rsid w:val="00E9025E"/>
    <w:rsid w:val="00E9044A"/>
    <w:rsid w:val="00E91558"/>
    <w:rsid w:val="00E92C72"/>
    <w:rsid w:val="00E92DB3"/>
    <w:rsid w:val="00E939EC"/>
    <w:rsid w:val="00E93D44"/>
    <w:rsid w:val="00E94856"/>
    <w:rsid w:val="00E94978"/>
    <w:rsid w:val="00E949F6"/>
    <w:rsid w:val="00E94DBE"/>
    <w:rsid w:val="00E94F83"/>
    <w:rsid w:val="00E95995"/>
    <w:rsid w:val="00E95C99"/>
    <w:rsid w:val="00E9669E"/>
    <w:rsid w:val="00E96FF4"/>
    <w:rsid w:val="00E97D9E"/>
    <w:rsid w:val="00EA0330"/>
    <w:rsid w:val="00EA0BC8"/>
    <w:rsid w:val="00EA18DA"/>
    <w:rsid w:val="00EA262B"/>
    <w:rsid w:val="00EA380E"/>
    <w:rsid w:val="00EA414D"/>
    <w:rsid w:val="00EA47C7"/>
    <w:rsid w:val="00EA4ACC"/>
    <w:rsid w:val="00EA5312"/>
    <w:rsid w:val="00EA5BDF"/>
    <w:rsid w:val="00EA7062"/>
    <w:rsid w:val="00EA7494"/>
    <w:rsid w:val="00EA7756"/>
    <w:rsid w:val="00EB00CF"/>
    <w:rsid w:val="00EB011A"/>
    <w:rsid w:val="00EB09D0"/>
    <w:rsid w:val="00EB1223"/>
    <w:rsid w:val="00EB26A0"/>
    <w:rsid w:val="00EB3645"/>
    <w:rsid w:val="00EB3943"/>
    <w:rsid w:val="00EB3AD9"/>
    <w:rsid w:val="00EB3DA4"/>
    <w:rsid w:val="00EB591D"/>
    <w:rsid w:val="00EB6458"/>
    <w:rsid w:val="00EB6D08"/>
    <w:rsid w:val="00EB6F7C"/>
    <w:rsid w:val="00EB7F5D"/>
    <w:rsid w:val="00EC0FFB"/>
    <w:rsid w:val="00EC2089"/>
    <w:rsid w:val="00EC560A"/>
    <w:rsid w:val="00EC667A"/>
    <w:rsid w:val="00EC6E5E"/>
    <w:rsid w:val="00EC7468"/>
    <w:rsid w:val="00ED0176"/>
    <w:rsid w:val="00ED07FB"/>
    <w:rsid w:val="00ED0ED0"/>
    <w:rsid w:val="00ED0F80"/>
    <w:rsid w:val="00ED0FDA"/>
    <w:rsid w:val="00ED1BCB"/>
    <w:rsid w:val="00ED1EE1"/>
    <w:rsid w:val="00ED22F6"/>
    <w:rsid w:val="00ED2366"/>
    <w:rsid w:val="00ED358E"/>
    <w:rsid w:val="00ED38E0"/>
    <w:rsid w:val="00ED3953"/>
    <w:rsid w:val="00ED3993"/>
    <w:rsid w:val="00ED545D"/>
    <w:rsid w:val="00ED54B0"/>
    <w:rsid w:val="00ED5802"/>
    <w:rsid w:val="00ED6AC5"/>
    <w:rsid w:val="00ED7CB2"/>
    <w:rsid w:val="00EE19F2"/>
    <w:rsid w:val="00EE2C5A"/>
    <w:rsid w:val="00EE2CAF"/>
    <w:rsid w:val="00EE4C69"/>
    <w:rsid w:val="00EE6BF6"/>
    <w:rsid w:val="00EE6D6F"/>
    <w:rsid w:val="00EE6FFA"/>
    <w:rsid w:val="00EE729B"/>
    <w:rsid w:val="00EE74B2"/>
    <w:rsid w:val="00EE7F56"/>
    <w:rsid w:val="00EF0B44"/>
    <w:rsid w:val="00EF1DCD"/>
    <w:rsid w:val="00EF1F87"/>
    <w:rsid w:val="00EF237D"/>
    <w:rsid w:val="00EF2C5E"/>
    <w:rsid w:val="00EF3224"/>
    <w:rsid w:val="00EF41DE"/>
    <w:rsid w:val="00EF483C"/>
    <w:rsid w:val="00EF5004"/>
    <w:rsid w:val="00EF657F"/>
    <w:rsid w:val="00EF6970"/>
    <w:rsid w:val="00EF6B8A"/>
    <w:rsid w:val="00EF76AE"/>
    <w:rsid w:val="00F00047"/>
    <w:rsid w:val="00F00265"/>
    <w:rsid w:val="00F00789"/>
    <w:rsid w:val="00F00A40"/>
    <w:rsid w:val="00F012FD"/>
    <w:rsid w:val="00F01C17"/>
    <w:rsid w:val="00F01F67"/>
    <w:rsid w:val="00F0203E"/>
    <w:rsid w:val="00F0330A"/>
    <w:rsid w:val="00F060ED"/>
    <w:rsid w:val="00F06309"/>
    <w:rsid w:val="00F065A4"/>
    <w:rsid w:val="00F06CAE"/>
    <w:rsid w:val="00F06CB4"/>
    <w:rsid w:val="00F071DC"/>
    <w:rsid w:val="00F07F24"/>
    <w:rsid w:val="00F10AB1"/>
    <w:rsid w:val="00F10BA6"/>
    <w:rsid w:val="00F111CE"/>
    <w:rsid w:val="00F118D3"/>
    <w:rsid w:val="00F1192A"/>
    <w:rsid w:val="00F12EEA"/>
    <w:rsid w:val="00F14476"/>
    <w:rsid w:val="00F149E4"/>
    <w:rsid w:val="00F1500C"/>
    <w:rsid w:val="00F15864"/>
    <w:rsid w:val="00F1605F"/>
    <w:rsid w:val="00F171D6"/>
    <w:rsid w:val="00F17937"/>
    <w:rsid w:val="00F17BAD"/>
    <w:rsid w:val="00F17FDD"/>
    <w:rsid w:val="00F2009B"/>
    <w:rsid w:val="00F20A9C"/>
    <w:rsid w:val="00F218AA"/>
    <w:rsid w:val="00F21DAD"/>
    <w:rsid w:val="00F221B5"/>
    <w:rsid w:val="00F223A5"/>
    <w:rsid w:val="00F236E8"/>
    <w:rsid w:val="00F239DE"/>
    <w:rsid w:val="00F23F6A"/>
    <w:rsid w:val="00F2401D"/>
    <w:rsid w:val="00F247ED"/>
    <w:rsid w:val="00F248A3"/>
    <w:rsid w:val="00F24F3B"/>
    <w:rsid w:val="00F2526B"/>
    <w:rsid w:val="00F2594F"/>
    <w:rsid w:val="00F25C5B"/>
    <w:rsid w:val="00F260EC"/>
    <w:rsid w:val="00F278A6"/>
    <w:rsid w:val="00F31C06"/>
    <w:rsid w:val="00F32F61"/>
    <w:rsid w:val="00F35EBC"/>
    <w:rsid w:val="00F36037"/>
    <w:rsid w:val="00F3659C"/>
    <w:rsid w:val="00F36B12"/>
    <w:rsid w:val="00F36C74"/>
    <w:rsid w:val="00F36FBE"/>
    <w:rsid w:val="00F40FA9"/>
    <w:rsid w:val="00F4105E"/>
    <w:rsid w:val="00F42678"/>
    <w:rsid w:val="00F428F4"/>
    <w:rsid w:val="00F42DD2"/>
    <w:rsid w:val="00F4314F"/>
    <w:rsid w:val="00F44CC0"/>
    <w:rsid w:val="00F45651"/>
    <w:rsid w:val="00F46088"/>
    <w:rsid w:val="00F462B7"/>
    <w:rsid w:val="00F465CF"/>
    <w:rsid w:val="00F47859"/>
    <w:rsid w:val="00F47D23"/>
    <w:rsid w:val="00F50088"/>
    <w:rsid w:val="00F502B8"/>
    <w:rsid w:val="00F50D42"/>
    <w:rsid w:val="00F51227"/>
    <w:rsid w:val="00F51BF3"/>
    <w:rsid w:val="00F51D5E"/>
    <w:rsid w:val="00F52A06"/>
    <w:rsid w:val="00F52B38"/>
    <w:rsid w:val="00F53E16"/>
    <w:rsid w:val="00F55442"/>
    <w:rsid w:val="00F56223"/>
    <w:rsid w:val="00F57106"/>
    <w:rsid w:val="00F57D8C"/>
    <w:rsid w:val="00F60876"/>
    <w:rsid w:val="00F60B50"/>
    <w:rsid w:val="00F60DE5"/>
    <w:rsid w:val="00F6182B"/>
    <w:rsid w:val="00F62B98"/>
    <w:rsid w:val="00F632E7"/>
    <w:rsid w:val="00F63A88"/>
    <w:rsid w:val="00F650C5"/>
    <w:rsid w:val="00F6572C"/>
    <w:rsid w:val="00F6599E"/>
    <w:rsid w:val="00F65B55"/>
    <w:rsid w:val="00F661DF"/>
    <w:rsid w:val="00F704FB"/>
    <w:rsid w:val="00F7087F"/>
    <w:rsid w:val="00F710A2"/>
    <w:rsid w:val="00F71622"/>
    <w:rsid w:val="00F7184D"/>
    <w:rsid w:val="00F720DE"/>
    <w:rsid w:val="00F72664"/>
    <w:rsid w:val="00F72C55"/>
    <w:rsid w:val="00F72D70"/>
    <w:rsid w:val="00F72E51"/>
    <w:rsid w:val="00F73020"/>
    <w:rsid w:val="00F73C3C"/>
    <w:rsid w:val="00F740B2"/>
    <w:rsid w:val="00F75029"/>
    <w:rsid w:val="00F75093"/>
    <w:rsid w:val="00F75284"/>
    <w:rsid w:val="00F77C36"/>
    <w:rsid w:val="00F811CD"/>
    <w:rsid w:val="00F815AC"/>
    <w:rsid w:val="00F81C9A"/>
    <w:rsid w:val="00F82B3B"/>
    <w:rsid w:val="00F82C12"/>
    <w:rsid w:val="00F83225"/>
    <w:rsid w:val="00F83818"/>
    <w:rsid w:val="00F83B6D"/>
    <w:rsid w:val="00F84938"/>
    <w:rsid w:val="00F84F2D"/>
    <w:rsid w:val="00F85738"/>
    <w:rsid w:val="00F85A89"/>
    <w:rsid w:val="00F85B10"/>
    <w:rsid w:val="00F87029"/>
    <w:rsid w:val="00F90A41"/>
    <w:rsid w:val="00F9102B"/>
    <w:rsid w:val="00F9130D"/>
    <w:rsid w:val="00F91AE3"/>
    <w:rsid w:val="00F91FAA"/>
    <w:rsid w:val="00F9288E"/>
    <w:rsid w:val="00F93110"/>
    <w:rsid w:val="00F93423"/>
    <w:rsid w:val="00F94060"/>
    <w:rsid w:val="00F94D60"/>
    <w:rsid w:val="00F95172"/>
    <w:rsid w:val="00F95BDE"/>
    <w:rsid w:val="00F96162"/>
    <w:rsid w:val="00F965DD"/>
    <w:rsid w:val="00F965E7"/>
    <w:rsid w:val="00F968E1"/>
    <w:rsid w:val="00FA0527"/>
    <w:rsid w:val="00FA0760"/>
    <w:rsid w:val="00FA1338"/>
    <w:rsid w:val="00FA1E9A"/>
    <w:rsid w:val="00FA2043"/>
    <w:rsid w:val="00FA2479"/>
    <w:rsid w:val="00FA26FD"/>
    <w:rsid w:val="00FA2C5C"/>
    <w:rsid w:val="00FA4A80"/>
    <w:rsid w:val="00FA4FEF"/>
    <w:rsid w:val="00FA58FB"/>
    <w:rsid w:val="00FA65F9"/>
    <w:rsid w:val="00FA685F"/>
    <w:rsid w:val="00FA761F"/>
    <w:rsid w:val="00FA7B41"/>
    <w:rsid w:val="00FA7DCE"/>
    <w:rsid w:val="00FB0E93"/>
    <w:rsid w:val="00FB2666"/>
    <w:rsid w:val="00FB2DD4"/>
    <w:rsid w:val="00FB39B2"/>
    <w:rsid w:val="00FB3E12"/>
    <w:rsid w:val="00FB448C"/>
    <w:rsid w:val="00FB4DBF"/>
    <w:rsid w:val="00FB562F"/>
    <w:rsid w:val="00FB6F45"/>
    <w:rsid w:val="00FB7CF9"/>
    <w:rsid w:val="00FC01CD"/>
    <w:rsid w:val="00FC0A98"/>
    <w:rsid w:val="00FC1960"/>
    <w:rsid w:val="00FC1DF8"/>
    <w:rsid w:val="00FC1E70"/>
    <w:rsid w:val="00FC1EE5"/>
    <w:rsid w:val="00FC2345"/>
    <w:rsid w:val="00FC373E"/>
    <w:rsid w:val="00FC4EAA"/>
    <w:rsid w:val="00FD1041"/>
    <w:rsid w:val="00FD1807"/>
    <w:rsid w:val="00FD1922"/>
    <w:rsid w:val="00FD1957"/>
    <w:rsid w:val="00FD2132"/>
    <w:rsid w:val="00FD4845"/>
    <w:rsid w:val="00FD5A29"/>
    <w:rsid w:val="00FD5C63"/>
    <w:rsid w:val="00FD5C7E"/>
    <w:rsid w:val="00FD61E3"/>
    <w:rsid w:val="00FD7053"/>
    <w:rsid w:val="00FD7811"/>
    <w:rsid w:val="00FE00F9"/>
    <w:rsid w:val="00FE1326"/>
    <w:rsid w:val="00FE1422"/>
    <w:rsid w:val="00FE2CA6"/>
    <w:rsid w:val="00FE2D4C"/>
    <w:rsid w:val="00FE31D4"/>
    <w:rsid w:val="00FE3AC1"/>
    <w:rsid w:val="00FE5A63"/>
    <w:rsid w:val="00FE5F57"/>
    <w:rsid w:val="00FE6320"/>
    <w:rsid w:val="00FE6B79"/>
    <w:rsid w:val="00FE6E45"/>
    <w:rsid w:val="00FE7F85"/>
    <w:rsid w:val="00FF0337"/>
    <w:rsid w:val="00FF0396"/>
    <w:rsid w:val="00FF04AB"/>
    <w:rsid w:val="00FF0B81"/>
    <w:rsid w:val="00FF0D3C"/>
    <w:rsid w:val="00FF27B2"/>
    <w:rsid w:val="00FF3C13"/>
    <w:rsid w:val="00FF4BB3"/>
    <w:rsid w:val="00FF5793"/>
    <w:rsid w:val="00FF5991"/>
    <w:rsid w:val="00FF5E44"/>
    <w:rsid w:val="00FF5FA8"/>
    <w:rsid w:val="00FF66E9"/>
    <w:rsid w:val="00FF793C"/>
    <w:rsid w:val="171FB152"/>
    <w:rsid w:val="21D48F6B"/>
    <w:rsid w:val="331AEBC2"/>
    <w:rsid w:val="4B06612D"/>
    <w:rsid w:val="50A909C4"/>
    <w:rsid w:val="5426FC85"/>
    <w:rsid w:val="6C9C0DA3"/>
    <w:rsid w:val="79AC5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45C61A"/>
  <w14:defaultImageDpi w14:val="0"/>
  <w15:docId w15:val="{C59F8854-5639-4CFA-9692-2B2F5DE8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zh-TW" w:bidi="ar-SA"/>
      </w:rPr>
    </w:rPrDefault>
    <w:pPrDefault/>
  </w:docDefaults>
  <w:latentStyles w:defLockedState="0" w:defUIPriority="0" w:defSemiHidden="0" w:defUnhideWhenUsed="0" w:defQFormat="0" w:count="376">
    <w:lsdException w:name="Normal" w:qFormat="1"/>
    <w:lsdException w:name="toc 1" w:uiPriority="39" w:qFormat="1"/>
    <w:lsdException w:name="toc 2" w:uiPriority="39" w:qFormat="1"/>
    <w:lsdException w:name="toc 3" w:uiPriority="39" w:qFormat="1"/>
    <w:lsdException w:name="footnote text" w:uiPriority="99" w:qFormat="1"/>
    <w:lsdException w:name="footer" w:uiPriority="99"/>
    <w:lsdException w:name="caption" w:semiHidden="1" w:unhideWhenUsed="1" w:qFormat="1"/>
    <w:lsdException w:name="footnote reference" w:uiPriority="99" w:qFormat="1"/>
    <w:lsdException w:name="Subtitle" w:uiPriority="11"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11783"/>
    <w:pPr>
      <w:spacing w:after="200"/>
      <w:jc w:val="both"/>
    </w:pPr>
    <w:rPr>
      <w:sz w:val="22"/>
      <w:lang w:val="en-GB" w:eastAsia="en-US"/>
    </w:rPr>
  </w:style>
  <w:style w:type="paragraph" w:styleId="Nadpis1">
    <w:name w:val="heading 1"/>
    <w:basedOn w:val="Normln"/>
    <w:next w:val="Normln"/>
    <w:link w:val="Nadpis1Char"/>
    <w:uiPriority w:val="9"/>
    <w:pPr>
      <w:keepNext/>
      <w:spacing w:before="240" w:after="60"/>
      <w:outlineLvl w:val="0"/>
    </w:pPr>
    <w:rPr>
      <w:rFonts w:ascii="Arial" w:hAnsi="Arial"/>
      <w:b/>
      <w:kern w:val="28"/>
      <w:sz w:val="28"/>
    </w:rPr>
  </w:style>
  <w:style w:type="paragraph" w:styleId="Nadpis2">
    <w:name w:val="heading 2"/>
    <w:basedOn w:val="Normln"/>
    <w:next w:val="Normln"/>
    <w:link w:val="Nadpis2Char"/>
    <w:uiPriority w:val="9"/>
    <w:pPr>
      <w:keepNext/>
      <w:keepLines/>
      <w:numPr>
        <w:ilvl w:val="1"/>
        <w:numId w:val="3"/>
      </w:numPr>
      <w:tabs>
        <w:tab w:val="clear" w:pos="643"/>
        <w:tab w:val="num" w:pos="283"/>
        <w:tab w:val="num" w:pos="567"/>
      </w:tabs>
      <w:spacing w:after="120"/>
      <w:ind w:left="283" w:hanging="283"/>
      <w:outlineLvl w:val="1"/>
    </w:pPr>
    <w:rPr>
      <w:b/>
    </w:rPr>
  </w:style>
  <w:style w:type="paragraph" w:styleId="Nadpis3">
    <w:name w:val="heading 3"/>
    <w:basedOn w:val="Normln"/>
    <w:next w:val="Normln"/>
    <w:link w:val="Nadpis3Char"/>
    <w:uiPriority w:val="9"/>
    <w:pPr>
      <w:keepNext/>
      <w:numPr>
        <w:ilvl w:val="2"/>
        <w:numId w:val="3"/>
      </w:numPr>
      <w:tabs>
        <w:tab w:val="clear" w:pos="643"/>
        <w:tab w:val="num" w:pos="283"/>
        <w:tab w:val="num" w:pos="1440"/>
      </w:tabs>
      <w:spacing w:before="240" w:after="60"/>
      <w:ind w:left="283" w:hanging="283"/>
      <w:outlineLvl w:val="2"/>
    </w:pPr>
    <w:rPr>
      <w:b/>
    </w:rPr>
  </w:style>
  <w:style w:type="paragraph" w:styleId="Nadpis4">
    <w:name w:val="heading 4"/>
    <w:basedOn w:val="Normln"/>
    <w:next w:val="Text4"/>
    <w:link w:val="Nadpis4Char"/>
    <w:uiPriority w:val="9"/>
    <w:pPr>
      <w:keepNext/>
      <w:spacing w:after="240"/>
      <w:ind w:left="1984" w:hanging="782"/>
      <w:outlineLvl w:val="3"/>
    </w:pPr>
  </w:style>
  <w:style w:type="paragraph" w:styleId="Nadpis5">
    <w:name w:val="heading 5"/>
    <w:basedOn w:val="Normln"/>
    <w:next w:val="Normln"/>
    <w:link w:val="Nadpis5Char"/>
    <w:uiPriority w:val="9"/>
    <w:pPr>
      <w:numPr>
        <w:ilvl w:val="1"/>
        <w:numId w:val="2"/>
      </w:numPr>
      <w:tabs>
        <w:tab w:val="clear" w:pos="360"/>
        <w:tab w:val="num" w:pos="0"/>
      </w:tabs>
      <w:spacing w:before="240" w:after="60"/>
      <w:ind w:left="0" w:firstLine="0"/>
      <w:outlineLvl w:val="4"/>
    </w:pPr>
    <w:rPr>
      <w:rFonts w:ascii="Arial" w:hAnsi="Arial"/>
    </w:rPr>
  </w:style>
  <w:style w:type="paragraph" w:styleId="Nadpis6">
    <w:name w:val="heading 6"/>
    <w:basedOn w:val="Normln"/>
    <w:next w:val="Normln"/>
    <w:link w:val="Nadpis6Char"/>
    <w:uiPriority w:val="9"/>
    <w:pPr>
      <w:numPr>
        <w:ilvl w:val="2"/>
        <w:numId w:val="2"/>
      </w:numPr>
      <w:tabs>
        <w:tab w:val="clear" w:pos="360"/>
        <w:tab w:val="num" w:pos="0"/>
      </w:tabs>
      <w:spacing w:before="240" w:after="60"/>
      <w:ind w:left="0" w:firstLine="0"/>
      <w:outlineLvl w:val="5"/>
    </w:pPr>
    <w:rPr>
      <w:rFonts w:ascii="Arial" w:hAnsi="Arial"/>
      <w:i/>
    </w:rPr>
  </w:style>
  <w:style w:type="paragraph" w:styleId="Nadpis7">
    <w:name w:val="heading 7"/>
    <w:basedOn w:val="Normln"/>
    <w:next w:val="Normln"/>
    <w:link w:val="Nadpis7Char"/>
    <w:uiPriority w:val="9"/>
    <w:pPr>
      <w:numPr>
        <w:ilvl w:val="6"/>
        <w:numId w:val="2"/>
      </w:numPr>
      <w:tabs>
        <w:tab w:val="clear" w:pos="360"/>
        <w:tab w:val="num" w:pos="0"/>
      </w:tabs>
      <w:spacing w:before="240" w:after="60"/>
      <w:ind w:left="0" w:firstLine="0"/>
      <w:outlineLvl w:val="6"/>
    </w:pPr>
    <w:rPr>
      <w:rFonts w:ascii="Arial" w:hAnsi="Arial"/>
      <w:sz w:val="20"/>
    </w:rPr>
  </w:style>
  <w:style w:type="paragraph" w:styleId="Nadpis8">
    <w:name w:val="heading 8"/>
    <w:basedOn w:val="Normln"/>
    <w:next w:val="Normln"/>
    <w:link w:val="Nadpis8Char"/>
    <w:uiPriority w:val="9"/>
    <w:pPr>
      <w:numPr>
        <w:ilvl w:val="7"/>
        <w:numId w:val="2"/>
      </w:numPr>
      <w:tabs>
        <w:tab w:val="clear" w:pos="360"/>
        <w:tab w:val="num" w:pos="0"/>
      </w:tabs>
      <w:spacing w:before="240" w:after="60"/>
      <w:ind w:left="0" w:firstLine="0"/>
      <w:outlineLvl w:val="7"/>
    </w:pPr>
    <w:rPr>
      <w:rFonts w:ascii="Arial" w:hAnsi="Arial"/>
      <w:i/>
      <w:sz w:val="20"/>
    </w:rPr>
  </w:style>
  <w:style w:type="paragraph" w:styleId="Nadpis9">
    <w:name w:val="heading 9"/>
    <w:basedOn w:val="Normln"/>
    <w:next w:val="Normln"/>
    <w:link w:val="Nadpis9Char"/>
    <w:uiPriority w:val="9"/>
    <w:pPr>
      <w:numPr>
        <w:ilvl w:val="8"/>
        <w:numId w:val="2"/>
      </w:numPr>
      <w:tabs>
        <w:tab w:val="clear" w:pos="360"/>
        <w:tab w:val="num" w:pos="0"/>
      </w:tabs>
      <w:spacing w:before="240" w:after="60"/>
      <w:ind w:left="0" w:firstLine="0"/>
      <w:outlineLvl w:val="8"/>
    </w:pPr>
    <w:rPr>
      <w:rFonts w:ascii="Arial" w:hAnsi="Arial"/>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locked/>
    <w:rPr>
      <w:b/>
      <w:sz w:val="22"/>
      <w:lang w:val="en-GB" w:eastAsia="en-US"/>
    </w:rPr>
  </w:style>
  <w:style w:type="character" w:customStyle="1" w:styleId="Nadpis3Char">
    <w:name w:val="Nadpis 3 Char"/>
    <w:basedOn w:val="Standardnpsmoodstavce"/>
    <w:link w:val="Nadpis3"/>
    <w:uiPriority w:val="9"/>
    <w:locked/>
    <w:rPr>
      <w:b/>
      <w:sz w:val="22"/>
      <w:lang w:val="en-GB" w:eastAsia="en-US"/>
    </w:rPr>
  </w:style>
  <w:style w:type="character" w:customStyle="1" w:styleId="Nadpis4Char">
    <w:name w:val="Nadpis 4 Char"/>
    <w:basedOn w:val="Standardnpsmoodstavce"/>
    <w:link w:val="Nadpis4"/>
    <w:uiPriority w:val="9"/>
    <w:locked/>
    <w:rsid w:val="008109C1"/>
    <w:rPr>
      <w:rFonts w:cs="Times New Roman"/>
      <w:sz w:val="24"/>
      <w:lang w:val="x-none" w:eastAsia="en-US"/>
    </w:rPr>
  </w:style>
  <w:style w:type="character" w:customStyle="1" w:styleId="Nadpis5Char">
    <w:name w:val="Nadpis 5 Char"/>
    <w:basedOn w:val="Standardnpsmoodstavce"/>
    <w:link w:val="Nadpis5"/>
    <w:uiPriority w:val="9"/>
    <w:locked/>
    <w:rPr>
      <w:rFonts w:ascii="Arial" w:hAnsi="Arial"/>
      <w:sz w:val="22"/>
      <w:lang w:val="en-GB" w:eastAsia="en-US"/>
    </w:rPr>
  </w:style>
  <w:style w:type="character" w:customStyle="1" w:styleId="Nadpis6Char">
    <w:name w:val="Nadpis 6 Char"/>
    <w:basedOn w:val="Standardnpsmoodstavce"/>
    <w:link w:val="Nadpis6"/>
    <w:uiPriority w:val="9"/>
    <w:locked/>
    <w:rPr>
      <w:rFonts w:ascii="Arial" w:hAnsi="Arial"/>
      <w:i/>
      <w:sz w:val="22"/>
      <w:lang w:val="en-GB" w:eastAsia="en-US"/>
    </w:rPr>
  </w:style>
  <w:style w:type="character" w:customStyle="1" w:styleId="Nadpis7Char">
    <w:name w:val="Nadpis 7 Char"/>
    <w:basedOn w:val="Standardnpsmoodstavce"/>
    <w:link w:val="Nadpis7"/>
    <w:uiPriority w:val="9"/>
    <w:locked/>
    <w:rPr>
      <w:rFonts w:ascii="Arial" w:hAnsi="Arial"/>
      <w:lang w:val="en-GB" w:eastAsia="en-US"/>
    </w:rPr>
  </w:style>
  <w:style w:type="character" w:customStyle="1" w:styleId="Nadpis8Char">
    <w:name w:val="Nadpis 8 Char"/>
    <w:basedOn w:val="Standardnpsmoodstavce"/>
    <w:link w:val="Nadpis8"/>
    <w:uiPriority w:val="9"/>
    <w:locked/>
    <w:rPr>
      <w:rFonts w:ascii="Arial" w:hAnsi="Arial"/>
      <w:i/>
      <w:lang w:val="en-GB" w:eastAsia="en-US"/>
    </w:rPr>
  </w:style>
  <w:style w:type="character" w:customStyle="1" w:styleId="Nadpis9Char">
    <w:name w:val="Nadpis 9 Char"/>
    <w:basedOn w:val="Standardnpsmoodstavce"/>
    <w:link w:val="Nadpis9"/>
    <w:uiPriority w:val="9"/>
    <w:locked/>
    <w:rPr>
      <w:rFonts w:ascii="Arial" w:hAnsi="Arial"/>
      <w:i/>
      <w:sz w:val="18"/>
      <w:lang w:val="en-GB" w:eastAsia="en-US"/>
    </w:rPr>
  </w:style>
  <w:style w:type="paragraph" w:customStyle="1" w:styleId="Text4">
    <w:name w:val="Text 4"/>
    <w:basedOn w:val="Normln"/>
    <w:pPr>
      <w:tabs>
        <w:tab w:val="left" w:pos="2302"/>
      </w:tabs>
      <w:spacing w:after="240"/>
      <w:ind w:left="1202"/>
    </w:pPr>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en-US"/>
    </w:rPr>
  </w:style>
  <w:style w:type="paragraph" w:customStyle="1" w:styleId="Application1">
    <w:name w:val="Application1"/>
    <w:basedOn w:val="Nadpis1"/>
    <w:next w:val="Application2"/>
    <w:pPr>
      <w:pageBreakBefore/>
      <w:widowControl w:val="0"/>
      <w:tabs>
        <w:tab w:val="num" w:pos="360"/>
      </w:tabs>
      <w:spacing w:before="0" w:after="480"/>
      <w:ind w:left="360" w:hanging="360"/>
    </w:pPr>
    <w:rPr>
      <w:caps/>
    </w:rPr>
  </w:style>
  <w:style w:type="paragraph" w:customStyle="1" w:styleId="Application2">
    <w:name w:val="Application2"/>
    <w:basedOn w:val="Normln"/>
    <w:pPr>
      <w:widowControl w:val="0"/>
      <w:tabs>
        <w:tab w:val="left" w:pos="567"/>
      </w:tabs>
      <w:suppressAutoHyphens/>
      <w:spacing w:after="120"/>
      <w:ind w:left="482" w:hanging="480"/>
    </w:pPr>
    <w:rPr>
      <w:rFonts w:ascii="Arial" w:hAnsi="Arial"/>
      <w:b/>
      <w:spacing w:val="-2"/>
    </w:rPr>
  </w:style>
  <w:style w:type="paragraph" w:customStyle="1" w:styleId="Application3">
    <w:name w:val="Application3"/>
    <w:basedOn w:val="Normln"/>
    <w:pPr>
      <w:widowControl w:val="0"/>
      <w:numPr>
        <w:numId w:val="1"/>
      </w:numPr>
      <w:tabs>
        <w:tab w:val="num" w:pos="0"/>
        <w:tab w:val="right" w:pos="8789"/>
      </w:tabs>
      <w:suppressAutoHyphens/>
      <w:ind w:left="360"/>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tabs>
        <w:tab w:val="clear" w:pos="567"/>
        <w:tab w:val="num" w:pos="0"/>
        <w:tab w:val="num" w:pos="643"/>
      </w:tabs>
      <w:ind w:left="360" w:hanging="360"/>
    </w:pPr>
    <w:rPr>
      <w:sz w:val="24"/>
    </w:rPr>
  </w:style>
  <w:style w:type="paragraph" w:customStyle="1" w:styleId="NumPar4">
    <w:name w:val="NumPar 4"/>
    <w:basedOn w:val="Nadpis4"/>
    <w:next w:val="Text4"/>
    <w:pPr>
      <w:keepNext w:val="0"/>
    </w:pPr>
  </w:style>
  <w:style w:type="paragraph" w:styleId="Nzev">
    <w:name w:val="Title"/>
    <w:basedOn w:val="Normln"/>
    <w:next w:val="SubTitle1"/>
    <w:link w:val="NzevChar"/>
    <w:uiPriority w:val="10"/>
    <w:pPr>
      <w:spacing w:after="480"/>
      <w:jc w:val="center"/>
    </w:pPr>
    <w:rPr>
      <w:b/>
      <w:sz w:val="48"/>
    </w:rPr>
  </w:style>
  <w:style w:type="paragraph" w:customStyle="1" w:styleId="SubTitle1">
    <w:name w:val="SubTitle 1"/>
    <w:basedOn w:val="Normln"/>
    <w:next w:val="SubTitle2"/>
    <w:pPr>
      <w:spacing w:after="240"/>
      <w:jc w:val="center"/>
    </w:pPr>
    <w:rPr>
      <w:b/>
      <w:sz w:val="40"/>
    </w:rPr>
  </w:style>
  <w:style w:type="character" w:customStyle="1" w:styleId="NzevChar">
    <w:name w:val="Název Char"/>
    <w:basedOn w:val="Standardnpsmoodstavce"/>
    <w:link w:val="Nzev"/>
    <w:uiPriority w:val="10"/>
    <w:locked/>
    <w:rsid w:val="00F1500C"/>
    <w:rPr>
      <w:rFonts w:cs="Times New Roman"/>
      <w:b/>
      <w:sz w:val="48"/>
      <w:lang w:val="x-none" w:eastAsia="en-US"/>
    </w:rPr>
  </w:style>
  <w:style w:type="paragraph" w:customStyle="1" w:styleId="SubTitle2">
    <w:name w:val="SubTitle 2"/>
    <w:basedOn w:val="Normln"/>
    <w:pPr>
      <w:spacing w:after="240"/>
      <w:jc w:val="center"/>
    </w:pPr>
    <w:rPr>
      <w:b/>
      <w:sz w:val="32"/>
    </w:rPr>
  </w:style>
  <w:style w:type="paragraph" w:customStyle="1" w:styleId="PartTitle">
    <w:name w:val="PartTitle"/>
    <w:basedOn w:val="Normln"/>
    <w:next w:val="Normln"/>
    <w:pPr>
      <w:keepNext/>
      <w:pageBreakBefore/>
      <w:spacing w:after="480"/>
      <w:jc w:val="center"/>
    </w:pPr>
    <w:rPr>
      <w:b/>
      <w:sz w:val="36"/>
    </w:rPr>
  </w:style>
  <w:style w:type="paragraph" w:customStyle="1" w:styleId="SectionTitle">
    <w:name w:val="SectionTitle"/>
    <w:basedOn w:val="Normln"/>
    <w:next w:val="Nadpis1"/>
    <w:pPr>
      <w:keepNext/>
      <w:spacing w:after="480"/>
      <w:jc w:val="center"/>
    </w:pPr>
    <w:rPr>
      <w:b/>
      <w:smallCaps/>
      <w:sz w:val="28"/>
    </w:rPr>
  </w:style>
  <w:style w:type="paragraph" w:styleId="Obsah1">
    <w:name w:val="toc 1"/>
    <w:basedOn w:val="Normln"/>
    <w:next w:val="Normln"/>
    <w:autoRedefine/>
    <w:uiPriority w:val="39"/>
    <w:qFormat/>
    <w:rsid w:val="00EF1DCD"/>
    <w:pPr>
      <w:tabs>
        <w:tab w:val="left" w:pos="284"/>
        <w:tab w:val="right" w:pos="9628"/>
      </w:tabs>
      <w:spacing w:after="240"/>
      <w:ind w:left="284" w:hanging="284"/>
    </w:pPr>
    <w:rPr>
      <w:rFonts w:ascii="Times New Roman Bold" w:hAnsi="Times New Roman Bold"/>
      <w:b/>
      <w:caps/>
    </w:rPr>
  </w:style>
  <w:style w:type="paragraph" w:styleId="Obsah2">
    <w:name w:val="toc 2"/>
    <w:basedOn w:val="Normln"/>
    <w:next w:val="Normln"/>
    <w:autoRedefine/>
    <w:uiPriority w:val="39"/>
    <w:qFormat/>
    <w:rsid w:val="00EF1DCD"/>
    <w:pPr>
      <w:tabs>
        <w:tab w:val="left" w:pos="709"/>
        <w:tab w:val="right" w:leader="dot" w:pos="9628"/>
      </w:tabs>
      <w:spacing w:after="80"/>
      <w:ind w:left="709" w:hanging="425"/>
    </w:pPr>
  </w:style>
  <w:style w:type="paragraph" w:styleId="Obsah3">
    <w:name w:val="toc 3"/>
    <w:basedOn w:val="Normln"/>
    <w:next w:val="Normln"/>
    <w:autoRedefine/>
    <w:uiPriority w:val="39"/>
    <w:qFormat/>
    <w:rsid w:val="00EF1DCD"/>
    <w:pPr>
      <w:tabs>
        <w:tab w:val="left" w:pos="1134"/>
        <w:tab w:val="right" w:leader="dot" w:pos="9628"/>
      </w:tabs>
      <w:spacing w:after="40"/>
      <w:ind w:left="1701" w:hanging="1134"/>
    </w:pPr>
    <w:rPr>
      <w:noProof/>
      <w:sz w:val="20"/>
    </w:rPr>
  </w:style>
  <w:style w:type="paragraph" w:styleId="Obsah4">
    <w:name w:val="toc 4"/>
    <w:basedOn w:val="Normln"/>
    <w:next w:val="Normln"/>
    <w:autoRedefine/>
    <w:uiPriority w:val="39"/>
    <w:semiHidden/>
    <w:pPr>
      <w:ind w:left="480"/>
    </w:pPr>
    <w:rPr>
      <w:sz w:val="20"/>
    </w:rPr>
  </w:style>
  <w:style w:type="paragraph" w:customStyle="1" w:styleId="AnnexTOC">
    <w:name w:val="AnnexTOC"/>
    <w:basedOn w:val="Obsah1"/>
  </w:style>
  <w:style w:type="paragraph" w:customStyle="1" w:styleId="Guidelines1">
    <w:name w:val="Guidelines 1"/>
    <w:basedOn w:val="Normln"/>
    <w:autoRedefine/>
    <w:qFormat/>
    <w:rsid w:val="00CD5DAC"/>
    <w:pPr>
      <w:widowControl w:val="0"/>
      <w:numPr>
        <w:numId w:val="5"/>
      </w:numPr>
      <w:spacing w:before="360" w:after="120" w:line="240" w:lineRule="atLeast"/>
    </w:pPr>
    <w:rPr>
      <w:rFonts w:ascii="Times New Roman Bold" w:hAnsi="Times New Roman Bold"/>
      <w:b/>
      <w:caps/>
      <w:sz w:val="24"/>
    </w:rPr>
  </w:style>
  <w:style w:type="paragraph" w:customStyle="1" w:styleId="Guidelines2">
    <w:name w:val="Guidelines 2"/>
    <w:basedOn w:val="Normln"/>
    <w:next w:val="Normln"/>
    <w:autoRedefine/>
    <w:qFormat/>
    <w:rsid w:val="00234D00"/>
    <w:pPr>
      <w:numPr>
        <w:ilvl w:val="1"/>
        <w:numId w:val="6"/>
      </w:numPr>
      <w:spacing w:before="240" w:after="120"/>
      <w:outlineLvl w:val="0"/>
    </w:pPr>
    <w:rPr>
      <w:rFonts w:ascii="Times New Roman Bold" w:hAnsi="Times New Roman Bold"/>
      <w:b/>
      <w:smallCaps/>
      <w:sz w:val="24"/>
    </w:rPr>
  </w:style>
  <w:style w:type="paragraph" w:customStyle="1" w:styleId="Text1">
    <w:name w:val="Text 1"/>
    <w:basedOn w:val="Normln"/>
    <w:pPr>
      <w:spacing w:after="240"/>
      <w:ind w:left="482"/>
    </w:pPr>
  </w:style>
  <w:style w:type="paragraph" w:customStyle="1" w:styleId="Guidelines3">
    <w:name w:val="Guidelines 3"/>
    <w:basedOn w:val="Normln"/>
    <w:next w:val="Normln"/>
    <w:autoRedefine/>
    <w:qFormat/>
    <w:rsid w:val="00CD1D62"/>
    <w:pPr>
      <w:keepNext/>
      <w:numPr>
        <w:ilvl w:val="2"/>
        <w:numId w:val="7"/>
      </w:numPr>
      <w:tabs>
        <w:tab w:val="left" w:pos="851"/>
      </w:tabs>
      <w:spacing w:before="120" w:after="120" w:line="240" w:lineRule="atLeast"/>
      <w:ind w:left="851" w:hanging="851"/>
    </w:pPr>
    <w:rPr>
      <w:b/>
      <w:sz w:val="24"/>
    </w:rPr>
  </w:style>
  <w:style w:type="paragraph" w:customStyle="1" w:styleId="Text2">
    <w:name w:val="Text 2"/>
    <w:basedOn w:val="Normln"/>
    <w:pPr>
      <w:tabs>
        <w:tab w:val="left" w:pos="2161"/>
      </w:tabs>
      <w:spacing w:after="240"/>
      <w:ind w:left="1202"/>
    </w:pPr>
  </w:style>
  <w:style w:type="paragraph" w:customStyle="1" w:styleId="p3">
    <w:name w:val="p3"/>
    <w:basedOn w:val="Normln"/>
    <w:pPr>
      <w:widowControl w:val="0"/>
      <w:tabs>
        <w:tab w:val="left" w:pos="1420"/>
      </w:tabs>
      <w:spacing w:line="260" w:lineRule="atLeast"/>
      <w:ind w:left="360"/>
    </w:pPr>
  </w:style>
  <w:style w:type="paragraph" w:customStyle="1" w:styleId="Guidelines4">
    <w:name w:val="Guidelines 4"/>
    <w:basedOn w:val="Normln"/>
    <w:next w:val="Normln"/>
    <w:autoRedefine/>
    <w:rsid w:val="00491F8A"/>
    <w:pPr>
      <w:spacing w:before="240" w:after="240"/>
    </w:pPr>
    <w:rPr>
      <w:b/>
      <w:sz w:val="24"/>
    </w:rPr>
  </w:style>
  <w:style w:type="character" w:styleId="Hypertextovodkaz">
    <w:name w:val="Hyperlink"/>
    <w:basedOn w:val="Standardnpsmoodstavce"/>
    <w:uiPriority w:val="99"/>
    <w:rPr>
      <w:rFonts w:cs="Times New Roman"/>
      <w:color w:val="0000FF"/>
      <w:u w:val="single"/>
    </w:rPr>
  </w:style>
  <w:style w:type="paragraph" w:customStyle="1" w:styleId="References">
    <w:name w:val="References"/>
    <w:basedOn w:val="Normln"/>
    <w:next w:val="Normln"/>
    <w:pPr>
      <w:spacing w:after="240"/>
      <w:ind w:left="5103"/>
    </w:pPr>
    <w:rPr>
      <w:sz w:val="20"/>
    </w:rPr>
  </w:style>
  <w:style w:type="paragraph" w:styleId="Textpoznpodarou">
    <w:name w:val="footnote text"/>
    <w:aliases w:val="Fußnotentextf,Fuﬂnotentextf,Footnote Text Blue,Geneva 9,Font: Geneva 9,Boston 10,f,Podrozdział,Footnote Text Char Char Char Char Char Char,Tekst przypisu,Footnote Text Char Char Char,Footnote,Footnote Text Char1 Char,fn,ft"/>
    <w:basedOn w:val="Normln"/>
    <w:link w:val="TextpoznpodarouChar"/>
    <w:autoRedefine/>
    <w:uiPriority w:val="99"/>
    <w:qFormat/>
    <w:rsid w:val="007E0C0E"/>
    <w:pPr>
      <w:spacing w:after="0"/>
      <w:ind w:left="284" w:hanging="284"/>
      <w:jc w:val="left"/>
    </w:pPr>
    <w:rPr>
      <w:sz w:val="20"/>
    </w:rPr>
  </w:style>
  <w:style w:type="paragraph" w:styleId="Zhlav">
    <w:name w:val="header"/>
    <w:basedOn w:val="Normln"/>
    <w:link w:val="ZhlavChar"/>
    <w:uiPriority w:val="99"/>
    <w:pPr>
      <w:tabs>
        <w:tab w:val="center" w:pos="4153"/>
        <w:tab w:val="right" w:pos="8306"/>
      </w:tabs>
      <w:spacing w:after="240"/>
    </w:pPr>
  </w:style>
  <w:style w:type="character" w:customStyle="1" w:styleId="TextpoznpodarouChar">
    <w:name w:val="Text pozn. pod čarou Char"/>
    <w:aliases w:val="Fußnotentextf Char,Fuﬂnotentextf Char,Footnote Text Blue Char,Geneva 9 Char,Font: Geneva 9 Char,Boston 10 Char,f Char,Podrozdział Char,Footnote Text Char Char Char Char Char Char Char,Tekst przypisu Char,Footnote Char,fn Char"/>
    <w:basedOn w:val="Standardnpsmoodstavce"/>
    <w:link w:val="Textpoznpodarou"/>
    <w:uiPriority w:val="99"/>
    <w:locked/>
    <w:rsid w:val="007E0C0E"/>
    <w:rPr>
      <w:rFonts w:cs="Times New Roman"/>
      <w:lang w:val="en-GB" w:eastAsia="en-US"/>
    </w:rPr>
  </w:style>
  <w:style w:type="character" w:styleId="slostrnky">
    <w:name w:val="page number"/>
    <w:basedOn w:val="Standardnpsmoodstavce"/>
    <w:uiPriority w:val="99"/>
    <w:rPr>
      <w:rFonts w:cs="Times New Roman"/>
    </w:rPr>
  </w:style>
  <w:style w:type="character" w:customStyle="1" w:styleId="ZhlavChar">
    <w:name w:val="Záhlaví Char"/>
    <w:basedOn w:val="Standardnpsmoodstavce"/>
    <w:link w:val="Zhlav"/>
    <w:uiPriority w:val="99"/>
    <w:semiHidden/>
    <w:locked/>
    <w:rPr>
      <w:rFonts w:cs="Times New Roman"/>
      <w:sz w:val="22"/>
      <w:lang w:val="x-none" w:eastAsia="en-US"/>
    </w:rPr>
  </w:style>
  <w:style w:type="paragraph" w:styleId="Zpat">
    <w:name w:val="footer"/>
    <w:basedOn w:val="Normln"/>
    <w:link w:val="ZpatChar"/>
    <w:uiPriority w:val="99"/>
    <w:pPr>
      <w:ind w:right="-567"/>
    </w:pPr>
    <w:rPr>
      <w:rFonts w:ascii="Arial" w:hAnsi="Arial"/>
      <w:sz w:val="16"/>
    </w:rPr>
  </w:style>
  <w:style w:type="paragraph" w:customStyle="1" w:styleId="Style0">
    <w:name w:val="Style0"/>
    <w:rPr>
      <w:rFonts w:ascii="Arial" w:hAnsi="Arial"/>
      <w:sz w:val="24"/>
      <w:lang w:val="en-US" w:eastAsia="en-US"/>
    </w:rPr>
  </w:style>
  <w:style w:type="character" w:customStyle="1" w:styleId="ZpatChar">
    <w:name w:val="Zápatí Char"/>
    <w:basedOn w:val="Standardnpsmoodstavce"/>
    <w:link w:val="Zpat"/>
    <w:uiPriority w:val="99"/>
    <w:locked/>
    <w:rsid w:val="00F1500C"/>
    <w:rPr>
      <w:rFonts w:ascii="Arial" w:hAnsi="Arial" w:cs="Times New Roman"/>
      <w:sz w:val="16"/>
      <w:lang w:val="x-none" w:eastAsia="en-US"/>
    </w:rPr>
  </w:style>
  <w:style w:type="paragraph" w:customStyle="1" w:styleId="Text3">
    <w:name w:val="Text 3"/>
    <w:basedOn w:val="Normln"/>
    <w:pPr>
      <w:tabs>
        <w:tab w:val="left" w:pos="2302"/>
      </w:tabs>
      <w:spacing w:after="240"/>
      <w:ind w:left="1202"/>
    </w:pPr>
  </w:style>
  <w:style w:type="paragraph" w:styleId="Zkladntextodsazen">
    <w:name w:val="Body Text Indent"/>
    <w:basedOn w:val="Normln"/>
    <w:link w:val="ZkladntextodsazenChar"/>
    <w:uiPriority w:val="99"/>
  </w:style>
  <w:style w:type="paragraph" w:styleId="Obsah5">
    <w:name w:val="toc 5"/>
    <w:basedOn w:val="Normln"/>
    <w:next w:val="Normln"/>
    <w:autoRedefine/>
    <w:uiPriority w:val="39"/>
    <w:semiHidden/>
    <w:pPr>
      <w:ind w:left="720"/>
    </w:pPr>
    <w:rPr>
      <w:sz w:val="20"/>
    </w:rPr>
  </w:style>
  <w:style w:type="character" w:customStyle="1" w:styleId="ZkladntextodsazenChar">
    <w:name w:val="Základní text odsazený Char"/>
    <w:basedOn w:val="Standardnpsmoodstavce"/>
    <w:link w:val="Zkladntextodsazen"/>
    <w:uiPriority w:val="99"/>
    <w:locked/>
    <w:rsid w:val="0090351E"/>
    <w:rPr>
      <w:rFonts w:cs="Times New Roman"/>
      <w:sz w:val="24"/>
      <w:lang w:val="x-none" w:eastAsia="en-US"/>
    </w:rPr>
  </w:style>
  <w:style w:type="paragraph" w:styleId="Obsah6">
    <w:name w:val="toc 6"/>
    <w:basedOn w:val="Normln"/>
    <w:next w:val="Normln"/>
    <w:autoRedefine/>
    <w:uiPriority w:val="39"/>
    <w:semiHidden/>
    <w:pPr>
      <w:ind w:left="960"/>
    </w:pPr>
    <w:rPr>
      <w:sz w:val="20"/>
    </w:rPr>
  </w:style>
  <w:style w:type="paragraph" w:styleId="Obsah7">
    <w:name w:val="toc 7"/>
    <w:basedOn w:val="Normln"/>
    <w:next w:val="Normln"/>
    <w:autoRedefine/>
    <w:uiPriority w:val="39"/>
    <w:semiHidden/>
    <w:pPr>
      <w:ind w:left="1200"/>
    </w:pPr>
    <w:rPr>
      <w:sz w:val="20"/>
    </w:rPr>
  </w:style>
  <w:style w:type="paragraph" w:styleId="Obsah8">
    <w:name w:val="toc 8"/>
    <w:basedOn w:val="Normln"/>
    <w:next w:val="Normln"/>
    <w:autoRedefine/>
    <w:uiPriority w:val="39"/>
    <w:semiHidden/>
    <w:pPr>
      <w:ind w:left="1440"/>
    </w:pPr>
    <w:rPr>
      <w:sz w:val="20"/>
    </w:rPr>
  </w:style>
  <w:style w:type="paragraph" w:styleId="Obsah9">
    <w:name w:val="toc 9"/>
    <w:basedOn w:val="Normln"/>
    <w:next w:val="Normln"/>
    <w:autoRedefine/>
    <w:uiPriority w:val="39"/>
    <w:semiHidden/>
    <w:pPr>
      <w:ind w:left="1680"/>
    </w:pPr>
    <w:rPr>
      <w:sz w:val="20"/>
    </w:rPr>
  </w:style>
  <w:style w:type="character" w:styleId="Sledovanodkaz">
    <w:name w:val="FollowedHyperlink"/>
    <w:basedOn w:val="Standardnpsmoodstavce"/>
    <w:uiPriority w:val="99"/>
    <w:rPr>
      <w:rFonts w:cs="Times New Roman"/>
      <w:color w:val="800080"/>
      <w:u w:val="single"/>
    </w:rPr>
  </w:style>
  <w:style w:type="paragraph" w:customStyle="1" w:styleId="NumPar2">
    <w:name w:val="NumPar 2"/>
    <w:basedOn w:val="Nadpis2"/>
    <w:next w:val="Text2"/>
    <w:pPr>
      <w:keepNext w:val="0"/>
      <w:keepLines w:val="0"/>
      <w:numPr>
        <w:ilvl w:val="0"/>
        <w:numId w:val="0"/>
      </w:numPr>
      <w:tabs>
        <w:tab w:val="clear" w:pos="643"/>
        <w:tab w:val="num" w:pos="360"/>
      </w:tabs>
      <w:spacing w:after="240"/>
      <w:ind w:left="283" w:hanging="283"/>
      <w:outlineLvl w:val="9"/>
    </w:pPr>
    <w:rPr>
      <w:b w:val="0"/>
      <w:lang w:val="fr-FR"/>
    </w:rPr>
  </w:style>
  <w:style w:type="paragraph" w:styleId="Seznamsodrkami5">
    <w:name w:val="List Bullet 5"/>
    <w:basedOn w:val="Normln"/>
    <w:autoRedefine/>
    <w:uiPriority w:val="99"/>
    <w:pPr>
      <w:tabs>
        <w:tab w:val="num" w:pos="360"/>
      </w:tabs>
      <w:spacing w:after="240"/>
      <w:ind w:left="360" w:hanging="360"/>
    </w:pPr>
    <w:rPr>
      <w:lang w:val="fr-FR"/>
    </w:rPr>
  </w:style>
  <w:style w:type="paragraph" w:styleId="Seznamsodrkami">
    <w:name w:val="List Bullet"/>
    <w:basedOn w:val="Normln"/>
    <w:link w:val="SeznamsodrkamiChar"/>
    <w:uiPriority w:val="99"/>
    <w:rsid w:val="00684AFF"/>
    <w:pPr>
      <w:tabs>
        <w:tab w:val="num" w:pos="567"/>
        <w:tab w:val="num" w:pos="643"/>
      </w:tabs>
      <w:spacing w:after="240"/>
      <w:ind w:left="567" w:hanging="283"/>
    </w:pPr>
    <w:rPr>
      <w:lang w:eastAsia="en-GB"/>
    </w:rPr>
  </w:style>
  <w:style w:type="character" w:customStyle="1" w:styleId="SeznamsodrkamiChar">
    <w:name w:val="Seznam s odrážkami Char"/>
    <w:link w:val="Seznamsodrkami"/>
    <w:uiPriority w:val="99"/>
    <w:locked/>
    <w:rsid w:val="00CF6359"/>
    <w:rPr>
      <w:sz w:val="22"/>
      <w:lang w:val="en-GB" w:eastAsia="en-GB"/>
    </w:rPr>
  </w:style>
  <w:style w:type="paragraph" w:customStyle="1" w:styleId="TOC3">
    <w:name w:val="TOC3"/>
    <w:basedOn w:val="Normln"/>
    <w:rsid w:val="00D67AFE"/>
  </w:style>
  <w:style w:type="paragraph" w:customStyle="1" w:styleId="ListDash2">
    <w:name w:val="List Dash 2"/>
    <w:basedOn w:val="Text2"/>
    <w:rsid w:val="00A636FE"/>
    <w:pPr>
      <w:tabs>
        <w:tab w:val="clear" w:pos="2161"/>
        <w:tab w:val="num" w:pos="0"/>
        <w:tab w:val="num" w:pos="1485"/>
      </w:tabs>
      <w:ind w:left="1485" w:hanging="283"/>
    </w:pPr>
  </w:style>
  <w:style w:type="table" w:styleId="Mkatabulky">
    <w:name w:val="Table Grid"/>
    <w:basedOn w:val="Normlntabulka"/>
    <w:uiPriority w:val="39"/>
    <w:rsid w:val="008619B1"/>
    <w:pPr>
      <w:jc w:val="both"/>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link w:val="PodnadpisChar"/>
    <w:uiPriority w:val="11"/>
    <w:qFormat/>
    <w:rsid w:val="006A7719"/>
    <w:pPr>
      <w:spacing w:before="120" w:after="120"/>
      <w:jc w:val="center"/>
    </w:pPr>
    <w:rPr>
      <w:rFonts w:ascii="Arial" w:hAnsi="Arial"/>
      <w:b/>
      <w:sz w:val="28"/>
      <w:lang w:val="fr-BE"/>
    </w:rPr>
  </w:style>
  <w:style w:type="paragraph" w:customStyle="1" w:styleId="StyleListBullet11pt">
    <w:name w:val="Style List Bullet + 11 pt"/>
    <w:basedOn w:val="Seznamsodrkami"/>
    <w:link w:val="StyleListBullet11ptChar"/>
    <w:autoRedefine/>
    <w:rsid w:val="00CF6359"/>
    <w:pPr>
      <w:spacing w:after="120"/>
    </w:pPr>
  </w:style>
  <w:style w:type="character" w:customStyle="1" w:styleId="PodnadpisChar">
    <w:name w:val="Podnadpis Char"/>
    <w:basedOn w:val="Standardnpsmoodstavce"/>
    <w:link w:val="Podnadpis"/>
    <w:uiPriority w:val="11"/>
    <w:locked/>
    <w:rsid w:val="00F1500C"/>
    <w:rPr>
      <w:rFonts w:ascii="Arial" w:hAnsi="Arial" w:cs="Times New Roman"/>
      <w:b/>
      <w:sz w:val="28"/>
      <w:lang w:val="fr-BE" w:eastAsia="en-US"/>
    </w:rPr>
  </w:style>
  <w:style w:type="character" w:customStyle="1" w:styleId="StyleListBullet11ptChar">
    <w:name w:val="Style List Bullet + 11 pt Char"/>
    <w:link w:val="StyleListBullet11pt"/>
    <w:locked/>
    <w:rsid w:val="00CF6359"/>
    <w:rPr>
      <w:sz w:val="22"/>
    </w:rPr>
  </w:style>
  <w:style w:type="paragraph" w:styleId="Textkomente">
    <w:name w:val="annotation text"/>
    <w:basedOn w:val="Normln"/>
    <w:link w:val="TextkomenteChar"/>
    <w:uiPriority w:val="99"/>
    <w:rsid w:val="00A6227D"/>
    <w:rPr>
      <w:sz w:val="20"/>
    </w:rPr>
  </w:style>
  <w:style w:type="paragraph" w:styleId="Pedmtkomente">
    <w:name w:val="annotation subject"/>
    <w:basedOn w:val="Normln"/>
    <w:next w:val="Textkomente"/>
    <w:link w:val="PedmtkomenteChar"/>
    <w:uiPriority w:val="99"/>
    <w:semiHidden/>
    <w:rsid w:val="0090351E"/>
    <w:rPr>
      <w:b/>
      <w:bCs/>
      <w:sz w:val="20"/>
    </w:rPr>
  </w:style>
  <w:style w:type="character" w:customStyle="1" w:styleId="TextkomenteChar">
    <w:name w:val="Text komentáře Char"/>
    <w:basedOn w:val="Standardnpsmoodstavce"/>
    <w:link w:val="Textkomente"/>
    <w:uiPriority w:val="99"/>
    <w:locked/>
    <w:rsid w:val="00A6227D"/>
    <w:rPr>
      <w:rFonts w:cs="Times New Roman"/>
      <w:lang w:val="x-none" w:eastAsia="en-US"/>
    </w:rPr>
  </w:style>
  <w:style w:type="character" w:customStyle="1" w:styleId="Style11pt">
    <w:name w:val="Style 11 pt"/>
    <w:rsid w:val="00B41A93"/>
    <w:rPr>
      <w:sz w:val="22"/>
    </w:rPr>
  </w:style>
  <w:style w:type="character" w:customStyle="1" w:styleId="PedmtkomenteChar">
    <w:name w:val="Předmět komentáře Char"/>
    <w:basedOn w:val="TextkomenteChar"/>
    <w:link w:val="Pedmtkomente"/>
    <w:uiPriority w:val="99"/>
    <w:semiHidden/>
    <w:locked/>
    <w:rPr>
      <w:rFonts w:cs="Times New Roman"/>
      <w:b/>
      <w:bCs/>
      <w:lang w:val="x-none" w:eastAsia="en-US"/>
    </w:rPr>
  </w:style>
  <w:style w:type="paragraph" w:customStyle="1" w:styleId="ListDash">
    <w:name w:val="List Dash"/>
    <w:basedOn w:val="Normln"/>
    <w:rsid w:val="00B17D2F"/>
    <w:pPr>
      <w:tabs>
        <w:tab w:val="num" w:pos="283"/>
        <w:tab w:val="num" w:pos="567"/>
      </w:tabs>
      <w:spacing w:after="240"/>
      <w:ind w:left="283" w:hanging="283"/>
    </w:pPr>
    <w:rPr>
      <w:lang w:val="fr-FR"/>
    </w:rPr>
  </w:style>
  <w:style w:type="paragraph" w:customStyle="1" w:styleId="Style11ptJustifiedAfter6pt">
    <w:name w:val="Style 11 pt Justified After:  6 pt"/>
    <w:basedOn w:val="Normln"/>
    <w:rsid w:val="0022128C"/>
    <w:pPr>
      <w:spacing w:after="120"/>
    </w:pPr>
    <w:rPr>
      <w:szCs w:val="22"/>
      <w:lang w:eastAsia="en-GB"/>
    </w:rPr>
  </w:style>
  <w:style w:type="paragraph" w:styleId="slovanseznam2">
    <w:name w:val="List Number 2"/>
    <w:basedOn w:val="Text2"/>
    <w:uiPriority w:val="99"/>
    <w:rsid w:val="0022128C"/>
    <w:pPr>
      <w:tabs>
        <w:tab w:val="clear" w:pos="2161"/>
        <w:tab w:val="num" w:pos="0"/>
        <w:tab w:val="num" w:pos="643"/>
        <w:tab w:val="num" w:pos="1485"/>
        <w:tab w:val="num" w:pos="1911"/>
      </w:tabs>
      <w:ind w:left="1911" w:hanging="709"/>
    </w:pPr>
  </w:style>
  <w:style w:type="paragraph" w:customStyle="1" w:styleId="ListNumber2Level2">
    <w:name w:val="List Number 2 (Level 2)"/>
    <w:basedOn w:val="Text2"/>
    <w:rsid w:val="0022128C"/>
    <w:pPr>
      <w:numPr>
        <w:ilvl w:val="1"/>
        <w:numId w:val="4"/>
      </w:numPr>
      <w:tabs>
        <w:tab w:val="clear" w:pos="2161"/>
        <w:tab w:val="num" w:pos="643"/>
        <w:tab w:val="num" w:pos="1485"/>
        <w:tab w:val="num" w:pos="2619"/>
      </w:tabs>
      <w:ind w:left="2619" w:hanging="708"/>
    </w:pPr>
  </w:style>
  <w:style w:type="paragraph" w:customStyle="1" w:styleId="ListNumber2Level3">
    <w:name w:val="List Number 2 (Level 3)"/>
    <w:basedOn w:val="Text2"/>
    <w:rsid w:val="0022128C"/>
    <w:pPr>
      <w:numPr>
        <w:ilvl w:val="2"/>
        <w:numId w:val="4"/>
      </w:numPr>
      <w:tabs>
        <w:tab w:val="clear" w:pos="2161"/>
        <w:tab w:val="num" w:pos="643"/>
        <w:tab w:val="num" w:pos="1485"/>
        <w:tab w:val="num" w:pos="3328"/>
      </w:tabs>
      <w:ind w:left="3328" w:hanging="709"/>
    </w:pPr>
  </w:style>
  <w:style w:type="paragraph" w:customStyle="1" w:styleId="ListNumber2Level4">
    <w:name w:val="List Number 2 (Level 4)"/>
    <w:basedOn w:val="Text2"/>
    <w:rsid w:val="0022128C"/>
    <w:pPr>
      <w:numPr>
        <w:ilvl w:val="3"/>
        <w:numId w:val="4"/>
      </w:numPr>
      <w:tabs>
        <w:tab w:val="clear" w:pos="2161"/>
        <w:tab w:val="num" w:pos="643"/>
        <w:tab w:val="num" w:pos="1485"/>
        <w:tab w:val="num" w:pos="4037"/>
      </w:tabs>
      <w:ind w:left="4037" w:hanging="709"/>
    </w:pPr>
  </w:style>
  <w:style w:type="character" w:styleId="Siln">
    <w:name w:val="Strong"/>
    <w:basedOn w:val="Standardnpsmoodstavce"/>
    <w:uiPriority w:val="22"/>
    <w:rsid w:val="005D1CFA"/>
    <w:rPr>
      <w:rFonts w:cs="Times New Roman"/>
      <w:b/>
    </w:rPr>
  </w:style>
  <w:style w:type="paragraph" w:styleId="Revize">
    <w:name w:val="Revision"/>
    <w:hidden/>
    <w:uiPriority w:val="99"/>
    <w:semiHidden/>
    <w:rsid w:val="008B4F07"/>
    <w:rPr>
      <w:sz w:val="24"/>
      <w:lang w:val="en-GB" w:eastAsia="en-US"/>
    </w:rPr>
  </w:style>
  <w:style w:type="paragraph" w:styleId="Odstavecseseznamem">
    <w:name w:val="List Paragraph"/>
    <w:aliases w:val="List1,1st level - Bullet List Paragraph,Lettre d'introduction,Paragrafo elenco,Normal bullet 2,Medium Grid 1 - Accent 21,FooterText,Bullet list,Bullet List Paragraph,Normal numbered,OBC Bullet,EC,Dot pt,F5 List Paragraph,L"/>
    <w:basedOn w:val="Normln"/>
    <w:link w:val="OdstavecseseznamemChar"/>
    <w:uiPriority w:val="1"/>
    <w:qFormat/>
    <w:rsid w:val="00495849"/>
    <w:pPr>
      <w:ind w:left="708"/>
    </w:pPr>
  </w:style>
  <w:style w:type="paragraph" w:styleId="Hlavikaobsahu">
    <w:name w:val="toa heading"/>
    <w:basedOn w:val="Normln"/>
    <w:next w:val="Normln"/>
    <w:uiPriority w:val="99"/>
    <w:rsid w:val="0021362B"/>
    <w:pPr>
      <w:spacing w:before="120"/>
    </w:pPr>
    <w:rPr>
      <w:rFonts w:ascii="Cambria" w:hAnsi="Cambria"/>
      <w:b/>
      <w:bCs/>
      <w:szCs w:val="24"/>
    </w:rPr>
  </w:style>
  <w:style w:type="character" w:styleId="Znakapoznpodarou">
    <w:name w:val="footnote reference"/>
    <w:aliases w:val="BVI fnr Char,Appel note de bas de p..BVI fnr Car Car Car Car,BVI fnr Car Car,BVI fnr Car,BVI fnr Car Car Car Car,BVI fnr Car Car Car Car Char,BVI fnr,Appel note de bas de p.,Char Char,BVI fnr Zchn,BVI fnr Char Zchn,Re,Ref,ftref"/>
    <w:basedOn w:val="Standardnpsmoodstavce"/>
    <w:link w:val="Char2"/>
    <w:uiPriority w:val="99"/>
    <w:qFormat/>
    <w:locked/>
    <w:rsid w:val="004D357E"/>
    <w:rPr>
      <w:rFonts w:cs="Times New Roman"/>
      <w:sz w:val="24"/>
      <w:vertAlign w:val="superscript"/>
    </w:rPr>
  </w:style>
  <w:style w:type="paragraph" w:styleId="Textbubliny">
    <w:name w:val="Balloon Text"/>
    <w:basedOn w:val="Normln"/>
    <w:link w:val="TextbublinyChar"/>
    <w:uiPriority w:val="99"/>
    <w:rsid w:val="00AF32BC"/>
    <w:pPr>
      <w:spacing w:after="0"/>
    </w:pPr>
    <w:rPr>
      <w:rFonts w:ascii="Tahoma" w:hAnsi="Tahoma" w:cs="Tahoma"/>
      <w:sz w:val="16"/>
      <w:szCs w:val="16"/>
    </w:rPr>
  </w:style>
  <w:style w:type="character" w:styleId="Odkaznakoment">
    <w:name w:val="annotation reference"/>
    <w:basedOn w:val="Standardnpsmoodstavce"/>
    <w:uiPriority w:val="99"/>
    <w:rsid w:val="00A6227D"/>
    <w:rPr>
      <w:rFonts w:cs="Times New Roman"/>
      <w:sz w:val="16"/>
    </w:rPr>
  </w:style>
  <w:style w:type="character" w:customStyle="1" w:styleId="TextbublinyChar">
    <w:name w:val="Text bubliny Char"/>
    <w:basedOn w:val="Standardnpsmoodstavce"/>
    <w:link w:val="Textbubliny"/>
    <w:uiPriority w:val="99"/>
    <w:locked/>
    <w:rsid w:val="00AF32BC"/>
    <w:rPr>
      <w:rFonts w:ascii="Tahoma" w:hAnsi="Tahoma" w:cs="Times New Roman"/>
      <w:sz w:val="16"/>
      <w:lang w:val="x-none" w:eastAsia="en-US"/>
    </w:rPr>
  </w:style>
  <w:style w:type="paragraph" w:customStyle="1" w:styleId="Char2">
    <w:name w:val="Char2"/>
    <w:basedOn w:val="Normln"/>
    <w:link w:val="Znakapoznpodarou"/>
    <w:uiPriority w:val="99"/>
    <w:rsid w:val="00DB57AE"/>
    <w:pPr>
      <w:spacing w:before="120" w:after="160" w:line="240" w:lineRule="exact"/>
      <w:jc w:val="left"/>
    </w:pPr>
    <w:rPr>
      <w:sz w:val="24"/>
      <w:vertAlign w:val="superscript"/>
      <w:lang w:eastAsia="en-GB"/>
    </w:rPr>
  </w:style>
  <w:style w:type="paragraph" w:customStyle="1" w:styleId="Normal-box">
    <w:name w:val="Normal - box"/>
    <w:basedOn w:val="Normln"/>
    <w:qFormat/>
    <w:rsid w:val="00F1500C"/>
    <w:pPr>
      <w:pBdr>
        <w:top w:val="single" w:sz="4" w:space="1" w:color="auto"/>
        <w:left w:val="single" w:sz="4" w:space="4" w:color="auto"/>
        <w:bottom w:val="single" w:sz="4" w:space="1" w:color="auto"/>
        <w:right w:val="single" w:sz="4" w:space="4" w:color="auto"/>
      </w:pBdr>
      <w:autoSpaceDE w:val="0"/>
      <w:autoSpaceDN w:val="0"/>
      <w:adjustRightInd w:val="0"/>
      <w:spacing w:before="120" w:after="120"/>
    </w:pPr>
    <w:rPr>
      <w:bCs/>
      <w:lang w:val="fr-BE"/>
    </w:rPr>
  </w:style>
  <w:style w:type="paragraph" w:styleId="Titulek">
    <w:name w:val="caption"/>
    <w:basedOn w:val="Normln"/>
    <w:next w:val="Normln"/>
    <w:uiPriority w:val="35"/>
    <w:unhideWhenUsed/>
    <w:qFormat/>
    <w:rsid w:val="00D179BB"/>
    <w:rPr>
      <w:b/>
      <w:bCs/>
      <w:sz w:val="20"/>
    </w:rPr>
  </w:style>
  <w:style w:type="paragraph" w:styleId="Nadpisobsahu">
    <w:name w:val="TOC Heading"/>
    <w:basedOn w:val="Nadpis1"/>
    <w:next w:val="Normln"/>
    <w:uiPriority w:val="39"/>
    <w:semiHidden/>
    <w:unhideWhenUsed/>
    <w:qFormat/>
    <w:rsid w:val="00692533"/>
    <w:pPr>
      <w:keepLines/>
      <w:spacing w:before="480" w:after="0" w:line="276" w:lineRule="auto"/>
      <w:jc w:val="left"/>
      <w:outlineLvl w:val="9"/>
    </w:pPr>
    <w:rPr>
      <w:rFonts w:ascii="Cambria" w:eastAsia="MS Gothic" w:hAnsi="Cambria"/>
      <w:bCs/>
      <w:color w:val="365F91"/>
      <w:kern w:val="0"/>
      <w:szCs w:val="28"/>
      <w:lang w:val="en-US" w:eastAsia="ja-JP"/>
    </w:rPr>
  </w:style>
  <w:style w:type="character" w:styleId="Nevyeenzmnka">
    <w:name w:val="Unresolved Mention"/>
    <w:basedOn w:val="Standardnpsmoodstavce"/>
    <w:uiPriority w:val="99"/>
    <w:semiHidden/>
    <w:unhideWhenUsed/>
    <w:rsid w:val="001937BC"/>
    <w:rPr>
      <w:rFonts w:cs="Times New Roman"/>
      <w:color w:val="605E5C"/>
      <w:shd w:val="clear" w:color="auto" w:fill="E1DFDD"/>
    </w:rPr>
  </w:style>
  <w:style w:type="character" w:customStyle="1" w:styleId="cf01">
    <w:name w:val="cf01"/>
    <w:rsid w:val="008F73EA"/>
    <w:rPr>
      <w:rFonts w:ascii="Segoe UI" w:hAnsi="Segoe UI"/>
      <w:sz w:val="18"/>
    </w:rPr>
  </w:style>
  <w:style w:type="paragraph" w:customStyle="1" w:styleId="pf0">
    <w:name w:val="pf0"/>
    <w:basedOn w:val="Normln"/>
    <w:rsid w:val="00AE5629"/>
    <w:pPr>
      <w:spacing w:before="100" w:beforeAutospacing="1" w:after="100" w:afterAutospacing="1"/>
    </w:pPr>
    <w:rPr>
      <w:sz w:val="24"/>
      <w:szCs w:val="24"/>
      <w:lang w:val="fr-BE" w:eastAsia="fr-BE"/>
    </w:rPr>
  </w:style>
  <w:style w:type="character" w:customStyle="1" w:styleId="cf11">
    <w:name w:val="cf11"/>
    <w:rsid w:val="00AE5629"/>
    <w:rPr>
      <w:rFonts w:ascii="Segoe UI" w:hAnsi="Segoe UI"/>
      <w:i/>
      <w:sz w:val="18"/>
      <w:shd w:val="clear" w:color="auto" w:fill="FFFF00"/>
    </w:rPr>
  </w:style>
  <w:style w:type="character" w:customStyle="1" w:styleId="cf21">
    <w:name w:val="cf21"/>
    <w:rsid w:val="00AE5629"/>
    <w:rPr>
      <w:rFonts w:ascii="Segoe UI" w:hAnsi="Segoe UI"/>
      <w:i/>
      <w:sz w:val="18"/>
      <w:shd w:val="clear" w:color="auto" w:fill="FFFF00"/>
    </w:rPr>
  </w:style>
  <w:style w:type="character" w:customStyle="1" w:styleId="cf31">
    <w:name w:val="cf31"/>
    <w:rsid w:val="00AE5629"/>
    <w:rPr>
      <w:rFonts w:ascii="Segoe UI" w:hAnsi="Segoe UI"/>
      <w:i/>
      <w:sz w:val="18"/>
      <w:shd w:val="clear" w:color="auto" w:fill="FFFF00"/>
    </w:rPr>
  </w:style>
  <w:style w:type="character" w:customStyle="1" w:styleId="cf41">
    <w:name w:val="cf41"/>
    <w:rsid w:val="00AE5629"/>
    <w:rPr>
      <w:rFonts w:ascii="Segoe UI" w:hAnsi="Segoe UI"/>
      <w:i/>
      <w:sz w:val="18"/>
      <w:shd w:val="clear" w:color="auto" w:fill="FFFF00"/>
    </w:rPr>
  </w:style>
  <w:style w:type="character" w:customStyle="1" w:styleId="cf51">
    <w:name w:val="cf51"/>
    <w:rsid w:val="00AE5629"/>
    <w:rPr>
      <w:rFonts w:ascii="Segoe UI" w:hAnsi="Segoe UI"/>
      <w:i/>
      <w:sz w:val="18"/>
      <w:shd w:val="clear" w:color="auto" w:fill="FFFF00"/>
    </w:rPr>
  </w:style>
  <w:style w:type="character" w:customStyle="1" w:styleId="cf61">
    <w:name w:val="cf61"/>
    <w:rsid w:val="00AE5629"/>
    <w:rPr>
      <w:rFonts w:ascii="Segoe UI" w:hAnsi="Segoe UI"/>
      <w:i/>
      <w:sz w:val="18"/>
      <w:shd w:val="clear" w:color="auto" w:fill="FFFF00"/>
    </w:rPr>
  </w:style>
  <w:style w:type="character" w:customStyle="1" w:styleId="cf71">
    <w:name w:val="cf71"/>
    <w:rsid w:val="00AE5629"/>
    <w:rPr>
      <w:rFonts w:ascii="Segoe UI" w:hAnsi="Segoe UI"/>
      <w:i/>
      <w:sz w:val="18"/>
      <w:u w:val="single"/>
      <w:shd w:val="clear" w:color="auto" w:fill="FFFF00"/>
    </w:rPr>
  </w:style>
  <w:style w:type="paragraph" w:customStyle="1" w:styleId="Default">
    <w:name w:val="Default"/>
    <w:rsid w:val="00E739DA"/>
    <w:pPr>
      <w:autoSpaceDE w:val="0"/>
      <w:autoSpaceDN w:val="0"/>
      <w:adjustRightInd w:val="0"/>
    </w:pPr>
    <w:rPr>
      <w:color w:val="000000"/>
      <w:sz w:val="24"/>
      <w:szCs w:val="24"/>
      <w:lang w:val="en-GB" w:eastAsia="en-GB"/>
    </w:rPr>
  </w:style>
  <w:style w:type="character" w:customStyle="1" w:styleId="OdstavecseseznamemChar">
    <w:name w:val="Odstavec se seznamem Char"/>
    <w:aliases w:val="List1 Char,1st level - Bullet List Paragraph Char,Lettre d'introduction Char,Paragrafo elenco Char,Normal bullet 2 Char,Medium Grid 1 - Accent 21 Char,FooterText Char,Bullet list Char,Bullet List Paragraph Char,OBC Bullet Char"/>
    <w:link w:val="Odstavecseseznamem"/>
    <w:uiPriority w:val="1"/>
    <w:qFormat/>
    <w:locked/>
    <w:rsid w:val="00E739DA"/>
    <w:rPr>
      <w:sz w:val="22"/>
      <w:lang w:val="en-GB" w:eastAsia="en-US"/>
    </w:rPr>
  </w:style>
  <w:style w:type="paragraph" w:styleId="Zkladntext">
    <w:name w:val="Body Text"/>
    <w:basedOn w:val="Normln"/>
    <w:link w:val="ZkladntextChar"/>
    <w:uiPriority w:val="99"/>
    <w:rsid w:val="00774ED9"/>
    <w:pPr>
      <w:spacing w:after="120"/>
    </w:pPr>
  </w:style>
  <w:style w:type="character" w:customStyle="1" w:styleId="ZkladntextChar">
    <w:name w:val="Základní text Char"/>
    <w:basedOn w:val="Standardnpsmoodstavce"/>
    <w:link w:val="Zkladntext"/>
    <w:uiPriority w:val="99"/>
    <w:rsid w:val="00774ED9"/>
    <w:rPr>
      <w:rFonts w:cs="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10713">
      <w:marLeft w:val="0"/>
      <w:marRight w:val="0"/>
      <w:marTop w:val="0"/>
      <w:marBottom w:val="0"/>
      <w:divBdr>
        <w:top w:val="none" w:sz="0" w:space="0" w:color="auto"/>
        <w:left w:val="none" w:sz="0" w:space="0" w:color="auto"/>
        <w:bottom w:val="none" w:sz="0" w:space="0" w:color="auto"/>
        <w:right w:val="none" w:sz="0" w:space="0" w:color="auto"/>
      </w:divBdr>
    </w:div>
    <w:div w:id="1449010714">
      <w:marLeft w:val="0"/>
      <w:marRight w:val="0"/>
      <w:marTop w:val="0"/>
      <w:marBottom w:val="0"/>
      <w:divBdr>
        <w:top w:val="none" w:sz="0" w:space="0" w:color="auto"/>
        <w:left w:val="none" w:sz="0" w:space="0" w:color="auto"/>
        <w:bottom w:val="none" w:sz="0" w:space="0" w:color="auto"/>
        <w:right w:val="none" w:sz="0" w:space="0" w:color="auto"/>
      </w:divBdr>
    </w:div>
    <w:div w:id="1449010715">
      <w:marLeft w:val="0"/>
      <w:marRight w:val="0"/>
      <w:marTop w:val="0"/>
      <w:marBottom w:val="0"/>
      <w:divBdr>
        <w:top w:val="none" w:sz="0" w:space="0" w:color="auto"/>
        <w:left w:val="none" w:sz="0" w:space="0" w:color="auto"/>
        <w:bottom w:val="none" w:sz="0" w:space="0" w:color="auto"/>
        <w:right w:val="none" w:sz="0" w:space="0" w:color="auto"/>
      </w:divBdr>
    </w:div>
    <w:div w:id="1449010716">
      <w:marLeft w:val="0"/>
      <w:marRight w:val="0"/>
      <w:marTop w:val="0"/>
      <w:marBottom w:val="0"/>
      <w:divBdr>
        <w:top w:val="none" w:sz="0" w:space="0" w:color="auto"/>
        <w:left w:val="none" w:sz="0" w:space="0" w:color="auto"/>
        <w:bottom w:val="none" w:sz="0" w:space="0" w:color="auto"/>
        <w:right w:val="none" w:sz="0" w:space="0" w:color="auto"/>
      </w:divBdr>
    </w:div>
    <w:div w:id="1449010717">
      <w:marLeft w:val="0"/>
      <w:marRight w:val="0"/>
      <w:marTop w:val="0"/>
      <w:marBottom w:val="0"/>
      <w:divBdr>
        <w:top w:val="none" w:sz="0" w:space="0" w:color="auto"/>
        <w:left w:val="none" w:sz="0" w:space="0" w:color="auto"/>
        <w:bottom w:val="none" w:sz="0" w:space="0" w:color="auto"/>
        <w:right w:val="none" w:sz="0" w:space="0" w:color="auto"/>
      </w:divBdr>
    </w:div>
    <w:div w:id="1449010718">
      <w:marLeft w:val="0"/>
      <w:marRight w:val="0"/>
      <w:marTop w:val="0"/>
      <w:marBottom w:val="0"/>
      <w:divBdr>
        <w:top w:val="none" w:sz="0" w:space="0" w:color="auto"/>
        <w:left w:val="none" w:sz="0" w:space="0" w:color="auto"/>
        <w:bottom w:val="none" w:sz="0" w:space="0" w:color="auto"/>
        <w:right w:val="none" w:sz="0" w:space="0" w:color="auto"/>
      </w:divBdr>
    </w:div>
    <w:div w:id="1449010719">
      <w:marLeft w:val="0"/>
      <w:marRight w:val="0"/>
      <w:marTop w:val="0"/>
      <w:marBottom w:val="0"/>
      <w:divBdr>
        <w:top w:val="none" w:sz="0" w:space="0" w:color="auto"/>
        <w:left w:val="none" w:sz="0" w:space="0" w:color="auto"/>
        <w:bottom w:val="none" w:sz="0" w:space="0" w:color="auto"/>
        <w:right w:val="none" w:sz="0" w:space="0" w:color="auto"/>
      </w:divBdr>
    </w:div>
    <w:div w:id="1449010720">
      <w:marLeft w:val="0"/>
      <w:marRight w:val="0"/>
      <w:marTop w:val="0"/>
      <w:marBottom w:val="0"/>
      <w:divBdr>
        <w:top w:val="none" w:sz="0" w:space="0" w:color="auto"/>
        <w:left w:val="none" w:sz="0" w:space="0" w:color="auto"/>
        <w:bottom w:val="none" w:sz="0" w:space="0" w:color="auto"/>
        <w:right w:val="none" w:sz="0" w:space="0" w:color="auto"/>
      </w:divBdr>
    </w:div>
    <w:div w:id="1449010721">
      <w:marLeft w:val="0"/>
      <w:marRight w:val="0"/>
      <w:marTop w:val="0"/>
      <w:marBottom w:val="0"/>
      <w:divBdr>
        <w:top w:val="none" w:sz="0" w:space="0" w:color="auto"/>
        <w:left w:val="none" w:sz="0" w:space="0" w:color="auto"/>
        <w:bottom w:val="none" w:sz="0" w:space="0" w:color="auto"/>
        <w:right w:val="none" w:sz="0" w:space="0" w:color="auto"/>
      </w:divBdr>
    </w:div>
    <w:div w:id="1449010722">
      <w:marLeft w:val="0"/>
      <w:marRight w:val="0"/>
      <w:marTop w:val="0"/>
      <w:marBottom w:val="0"/>
      <w:divBdr>
        <w:top w:val="none" w:sz="0" w:space="0" w:color="auto"/>
        <w:left w:val="none" w:sz="0" w:space="0" w:color="auto"/>
        <w:bottom w:val="none" w:sz="0" w:space="0" w:color="auto"/>
        <w:right w:val="none" w:sz="0" w:space="0" w:color="auto"/>
      </w:divBdr>
    </w:div>
    <w:div w:id="1449010723">
      <w:marLeft w:val="0"/>
      <w:marRight w:val="0"/>
      <w:marTop w:val="0"/>
      <w:marBottom w:val="0"/>
      <w:divBdr>
        <w:top w:val="none" w:sz="0" w:space="0" w:color="auto"/>
        <w:left w:val="none" w:sz="0" w:space="0" w:color="auto"/>
        <w:bottom w:val="none" w:sz="0" w:space="0" w:color="auto"/>
        <w:right w:val="none" w:sz="0" w:space="0" w:color="auto"/>
      </w:divBdr>
    </w:div>
    <w:div w:id="1449010724">
      <w:marLeft w:val="0"/>
      <w:marRight w:val="0"/>
      <w:marTop w:val="0"/>
      <w:marBottom w:val="0"/>
      <w:divBdr>
        <w:top w:val="none" w:sz="0" w:space="0" w:color="auto"/>
        <w:left w:val="none" w:sz="0" w:space="0" w:color="auto"/>
        <w:bottom w:val="none" w:sz="0" w:space="0" w:color="auto"/>
        <w:right w:val="none" w:sz="0" w:space="0" w:color="auto"/>
      </w:divBdr>
    </w:div>
    <w:div w:id="1449010725">
      <w:marLeft w:val="0"/>
      <w:marRight w:val="0"/>
      <w:marTop w:val="0"/>
      <w:marBottom w:val="0"/>
      <w:divBdr>
        <w:top w:val="none" w:sz="0" w:space="0" w:color="auto"/>
        <w:left w:val="none" w:sz="0" w:space="0" w:color="auto"/>
        <w:bottom w:val="none" w:sz="0" w:space="0" w:color="auto"/>
        <w:right w:val="none" w:sz="0" w:space="0" w:color="auto"/>
      </w:divBdr>
    </w:div>
    <w:div w:id="1449010726">
      <w:marLeft w:val="0"/>
      <w:marRight w:val="0"/>
      <w:marTop w:val="0"/>
      <w:marBottom w:val="0"/>
      <w:divBdr>
        <w:top w:val="none" w:sz="0" w:space="0" w:color="auto"/>
        <w:left w:val="none" w:sz="0" w:space="0" w:color="auto"/>
        <w:bottom w:val="none" w:sz="0" w:space="0" w:color="auto"/>
        <w:right w:val="none" w:sz="0" w:space="0" w:color="auto"/>
      </w:divBdr>
    </w:div>
    <w:div w:id="1449010727">
      <w:marLeft w:val="0"/>
      <w:marRight w:val="0"/>
      <w:marTop w:val="0"/>
      <w:marBottom w:val="0"/>
      <w:divBdr>
        <w:top w:val="none" w:sz="0" w:space="0" w:color="auto"/>
        <w:left w:val="none" w:sz="0" w:space="0" w:color="auto"/>
        <w:bottom w:val="none" w:sz="0" w:space="0" w:color="auto"/>
        <w:right w:val="none" w:sz="0" w:space="0" w:color="auto"/>
      </w:divBdr>
    </w:div>
    <w:div w:id="1449010728">
      <w:marLeft w:val="0"/>
      <w:marRight w:val="0"/>
      <w:marTop w:val="0"/>
      <w:marBottom w:val="0"/>
      <w:divBdr>
        <w:top w:val="none" w:sz="0" w:space="0" w:color="auto"/>
        <w:left w:val="none" w:sz="0" w:space="0" w:color="auto"/>
        <w:bottom w:val="none" w:sz="0" w:space="0" w:color="auto"/>
        <w:right w:val="none" w:sz="0" w:space="0" w:color="auto"/>
      </w:divBdr>
    </w:div>
    <w:div w:id="1449010729">
      <w:marLeft w:val="0"/>
      <w:marRight w:val="0"/>
      <w:marTop w:val="0"/>
      <w:marBottom w:val="0"/>
      <w:divBdr>
        <w:top w:val="none" w:sz="0" w:space="0" w:color="auto"/>
        <w:left w:val="none" w:sz="0" w:space="0" w:color="auto"/>
        <w:bottom w:val="none" w:sz="0" w:space="0" w:color="auto"/>
        <w:right w:val="none" w:sz="0" w:space="0" w:color="auto"/>
      </w:divBdr>
    </w:div>
    <w:div w:id="1449010730">
      <w:marLeft w:val="0"/>
      <w:marRight w:val="0"/>
      <w:marTop w:val="0"/>
      <w:marBottom w:val="0"/>
      <w:divBdr>
        <w:top w:val="none" w:sz="0" w:space="0" w:color="auto"/>
        <w:left w:val="none" w:sz="0" w:space="0" w:color="auto"/>
        <w:bottom w:val="none" w:sz="0" w:space="0" w:color="auto"/>
        <w:right w:val="none" w:sz="0" w:space="0" w:color="auto"/>
      </w:divBdr>
    </w:div>
    <w:div w:id="1449010731">
      <w:marLeft w:val="0"/>
      <w:marRight w:val="0"/>
      <w:marTop w:val="0"/>
      <w:marBottom w:val="0"/>
      <w:divBdr>
        <w:top w:val="none" w:sz="0" w:space="0" w:color="auto"/>
        <w:left w:val="none" w:sz="0" w:space="0" w:color="auto"/>
        <w:bottom w:val="none" w:sz="0" w:space="0" w:color="auto"/>
        <w:right w:val="none" w:sz="0" w:space="0" w:color="auto"/>
      </w:divBdr>
    </w:div>
    <w:div w:id="1449010732">
      <w:marLeft w:val="0"/>
      <w:marRight w:val="0"/>
      <w:marTop w:val="0"/>
      <w:marBottom w:val="0"/>
      <w:divBdr>
        <w:top w:val="none" w:sz="0" w:space="0" w:color="auto"/>
        <w:left w:val="none" w:sz="0" w:space="0" w:color="auto"/>
        <w:bottom w:val="none" w:sz="0" w:space="0" w:color="auto"/>
        <w:right w:val="none" w:sz="0" w:space="0" w:color="auto"/>
      </w:divBdr>
    </w:div>
    <w:div w:id="1449010733">
      <w:marLeft w:val="0"/>
      <w:marRight w:val="0"/>
      <w:marTop w:val="0"/>
      <w:marBottom w:val="0"/>
      <w:divBdr>
        <w:top w:val="none" w:sz="0" w:space="0" w:color="auto"/>
        <w:left w:val="none" w:sz="0" w:space="0" w:color="auto"/>
        <w:bottom w:val="none" w:sz="0" w:space="0" w:color="auto"/>
        <w:right w:val="none" w:sz="0" w:space="0" w:color="auto"/>
      </w:divBdr>
    </w:div>
    <w:div w:id="14490107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timeanddate.com/worldclock/converter.html" TargetMode="External"/><Relationship Id="rId18" Type="http://schemas.openxmlformats.org/officeDocument/2006/relationships/header" Target="header2.xml"/><Relationship Id="rId26" Type="http://schemas.openxmlformats.org/officeDocument/2006/relationships/hyperlink" Target="https://ec.europa.eu/budget/financial-transparency-system/index.html" TargetMode="External"/><Relationship Id="rId39" Type="http://schemas.openxmlformats.org/officeDocument/2006/relationships/hyperlink" Target="https://wikis.ec.europa.eu/display/ExactExternalWiki/ePRAG" TargetMode="External"/><Relationship Id="rId21" Type="http://schemas.openxmlformats.org/officeDocument/2006/relationships/header" Target="header3.xml"/><Relationship Id="rId34" Type="http://schemas.openxmlformats.org/officeDocument/2006/relationships/hyperlink" Target="mailto:ec-external-relations-application-support@ec.europa.eu" TargetMode="External"/><Relationship Id="rId42" Type="http://schemas.openxmlformats.org/officeDocument/2006/relationships/hyperlink" Target="https://ec.europa.eu/international-partnerships/financial-management-toolkit_en"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ikis.ec.europa.eu/display/ExactExternalWiki/e-Learning+Videos+-+e-Calls+PROPECT" TargetMode="External"/><Relationship Id="rId29" Type="http://schemas.openxmlformats.org/officeDocument/2006/relationships/hyperlink" Target="https://ecconf.webex.com/weblink/register/rae1acc40801625009836472b7b1d64f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europa.eu/international-partnerships/comm-visibility-requirements_en" TargetMode="External"/><Relationship Id="rId32" Type="http://schemas.openxmlformats.org/officeDocument/2006/relationships/hyperlink" Target="https://ec.europa.eu/info/funding-tenders/opportunities/portal/screen/home" TargetMode="External"/><Relationship Id="rId37" Type="http://schemas.openxmlformats.org/officeDocument/2006/relationships/hyperlink" Target="http://ec.europa.eu/budget/explained/management/protecting/protect_en.cfm" TargetMode="External"/><Relationship Id="rId40" Type="http://schemas.openxmlformats.org/officeDocument/2006/relationships/hyperlink" Target="https://ec.europa.eu/international-partnerships/funding/managing-project_en"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net1.cec.eu.int\INTPA\R\R6\APPELS%20A%20PROPOSITIONS\01%20A%20PARTIR%20DU%2001%2001%202006\1%20A%20P\Budget%202025\184659%20PRIVATE%20SECTOR\2.%20Guidelines\previous%20versions\Working%20docs\(https:\wikis.ec.europa.eu\spaces\ExactExternalWiki\pages\33522295\Manual+for+Applicants+-+e-Calls+PROSPECT)" TargetMode="External"/><Relationship Id="rId23" Type="http://schemas.openxmlformats.org/officeDocument/2006/relationships/hyperlink" Target="https://wikis.ec.europa.eu/display/ExactExternalWiki/ePRAG" TargetMode="External"/><Relationship Id="rId28" Type="http://schemas.openxmlformats.org/officeDocument/2006/relationships/hyperlink" Target="http://www.timeanddate.com/worldclock/converter.html" TargetMode="External"/><Relationship Id="rId36" Type="http://schemas.openxmlformats.org/officeDocument/2006/relationships/hyperlink" Target="https://ec.europa.eu/info/funding-tenders/opportunities/portal/screen/home"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ec.europa.eu/international-partnerships/home_fr"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conf.webex.com/weblink/register/rae1acc40801625009836472b7b1d64fb" TargetMode="External"/><Relationship Id="rId22" Type="http://schemas.openxmlformats.org/officeDocument/2006/relationships/footer" Target="footer3.xml"/><Relationship Id="rId27" Type="http://schemas.openxmlformats.org/officeDocument/2006/relationships/hyperlink" Target="https://webgate.ec.europa.eu/prospect" TargetMode="External"/><Relationship Id="rId30" Type="http://schemas.openxmlformats.org/officeDocument/2006/relationships/hyperlink" Target="https://ec.europa.eu/international-partnerships/home_fr" TargetMode="External"/><Relationship Id="rId35" Type="http://schemas.openxmlformats.org/officeDocument/2006/relationships/hyperlink" Target="https://ec.europa.eu/international-partnerships/home_fr" TargetMode="External"/><Relationship Id="rId43" Type="http://schemas.openxmlformats.org/officeDocument/2006/relationships/hyperlink" Target="https://commission.europa.eu/strategy-and-policy/eu-budget/how-it-works/annual-lifecycle/implementation/anti-fraud-measures/edes_en"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hyperlink" Target="https://ec.europa.eu/international-partnerships/comm-visibility-requirements_en" TargetMode="External"/><Relationship Id="rId33" Type="http://schemas.openxmlformats.org/officeDocument/2006/relationships/hyperlink" Target="https://ec.europa.eu/info/funding-tenders/opportunities/portal/screen/home" TargetMode="External"/><Relationship Id="rId38" Type="http://schemas.openxmlformats.org/officeDocument/2006/relationships/hyperlink" Target="https://international-partnerships.ec.europa.eu/funding/guidelines/managing-project/diem-rates_en" TargetMode="External"/><Relationship Id="rId46"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yperlink" Target="https://wikis.ec.europa.eu/pages/viewpage.action?pageId=4816923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nternational-partnerships.ec.europa.eu/funding-and-technical-assistance/guidelines/managing-intervention/single-lump-sum-grants_en" TargetMode="External"/><Relationship Id="rId1" Type="http://schemas.openxmlformats.org/officeDocument/2006/relationships/hyperlink" Target="http://www.timeanddate.com/worldclock/conver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B815E5D5322DC248B537749FDF4EA55B" ma:contentTypeVersion="4" ma:contentTypeDescription="Create a new document in this library." ma:contentTypeScope="" ma:versionID="0cb92e0532659dbeb39f721e393f9f10">
  <xsd:schema xmlns:xsd="http://www.w3.org/2001/XMLSchema" xmlns:xs="http://www.w3.org/2001/XMLSchema" xmlns:p="http://schemas.microsoft.com/office/2006/metadata/properties" xmlns:ns2="http://schemas.microsoft.com/sharepoint/v3/fields" xmlns:ns3="01fb76ba-f1d6-4c22-8aad-389d5f9739b1" xmlns:ns4="1ceba764-4fb5-4af4-9e5b-089663bda63a" xmlns:ns5="http://schemas.microsoft.com/sharepoint/v4" targetNamespace="http://schemas.microsoft.com/office/2006/metadata/properties" ma:root="true" ma:fieldsID="dbf9d64823892cfdfcd34be0e3596532" ns2:_="" ns3:_="" ns4:_="" ns5:_="">
    <xsd:import namespace="http://schemas.microsoft.com/sharepoint/v3/fields"/>
    <xsd:import namespace="01fb76ba-f1d6-4c22-8aad-389d5f9739b1"/>
    <xsd:import namespace="1ceba764-4fb5-4af4-9e5b-089663bda63a"/>
    <xsd:import namespace="http://schemas.microsoft.com/sharepoint/v4"/>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_dlc_DocId" minOccurs="0"/>
                <xsd:element ref="ns4:_dlc_DocIdUrl" minOccurs="0"/>
                <xsd:element ref="ns4:_dlc_DocIdPersistId"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1fb76ba-f1d6-4c22-8aad-389d5f9739b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1ceba764-4fb5-4af4-9e5b-089663bda63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C_Collab_DocumentLanguage xmlns="01fb76ba-f1d6-4c22-8aad-389d5f9739b1">EN</EC_Collab_DocumentLanguage>
    <_Status xmlns="http://schemas.microsoft.com/sharepoint/v3/fields">Not Started</_Status>
    <IconOverlay xmlns="http://schemas.microsoft.com/sharepoint/v4" xsi:nil="true"/>
    <EC_Collab_Reference xmlns="01fb76ba-f1d6-4c22-8aad-389d5f9739b1" xsi:nil="true"/>
    <EC_Collab_Status xmlns="01fb76ba-f1d6-4c22-8aad-389d5f9739b1">Not Started</EC_Collab_Status>
  </documentManagement>
</p:properties>
</file>

<file path=customXml/itemProps1.xml><?xml version="1.0" encoding="utf-8"?>
<ds:datastoreItem xmlns:ds="http://schemas.openxmlformats.org/officeDocument/2006/customXml" ds:itemID="{36E64376-4E43-492B-8E39-E75CF8EF2F88}">
  <ds:schemaRefs>
    <ds:schemaRef ds:uri="http://schemas.microsoft.com/sharepoint/v3/contenttype/forms"/>
  </ds:schemaRefs>
</ds:datastoreItem>
</file>

<file path=customXml/itemProps2.xml><?xml version="1.0" encoding="utf-8"?>
<ds:datastoreItem xmlns:ds="http://schemas.openxmlformats.org/officeDocument/2006/customXml" ds:itemID="{FD96A93B-53EF-4A64-96D1-9F78E40842DD}">
  <ds:schemaRefs>
    <ds:schemaRef ds:uri="http://schemas.microsoft.com/sharepoint/events"/>
  </ds:schemaRefs>
</ds:datastoreItem>
</file>

<file path=customXml/itemProps3.xml><?xml version="1.0" encoding="utf-8"?>
<ds:datastoreItem xmlns:ds="http://schemas.openxmlformats.org/officeDocument/2006/customXml" ds:itemID="{4BCE1288-7A55-4512-A847-DCCE5273D1A7}">
  <ds:schemaRefs>
    <ds:schemaRef ds:uri="http://schemas.openxmlformats.org/officeDocument/2006/bibliography"/>
  </ds:schemaRefs>
</ds:datastoreItem>
</file>

<file path=customXml/itemProps4.xml><?xml version="1.0" encoding="utf-8"?>
<ds:datastoreItem xmlns:ds="http://schemas.openxmlformats.org/officeDocument/2006/customXml" ds:itemID="{92C51DED-B5B3-4274-96CC-49FB86499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1fb76ba-f1d6-4c22-8aad-389d5f9739b1"/>
    <ds:schemaRef ds:uri="1ceba764-4fb5-4af4-9e5b-089663bda63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033932-847B-4BCE-A791-9F1FFBF4F003}">
  <ds:schemaRefs>
    <ds:schemaRef ds:uri="http://schemas.microsoft.com/office/2006/metadata/properties"/>
    <ds:schemaRef ds:uri="http://schemas.microsoft.com/office/infopath/2007/PartnerControls"/>
    <ds:schemaRef ds:uri="01fb76ba-f1d6-4c22-8aad-389d5f9739b1"/>
    <ds:schemaRef ds:uri="http://schemas.microsoft.com/sharepoint/v3/field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12866</Words>
  <Characters>75916</Characters>
  <Application>Microsoft Office Word</Application>
  <DocSecurity>0</DocSecurity>
  <Lines>632</Lines>
  <Paragraphs>177</Paragraphs>
  <ScaleCrop>false</ScaleCrop>
  <Company>European Commission</Company>
  <LinksUpToDate>false</LinksUpToDate>
  <CharactersWithSpaces>88605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florean</dc:creator>
  <cp:keywords/>
  <dc:description/>
  <cp:lastModifiedBy>Lukáš SVATEK</cp:lastModifiedBy>
  <cp:revision>3</cp:revision>
  <cp:lastPrinted>2024-12-18T10:22:00Z</cp:lastPrinted>
  <dcterms:created xsi:type="dcterms:W3CDTF">2025-12-17T15:02:00Z</dcterms:created>
  <dcterms:modified xsi:type="dcterms:W3CDTF">2025-12-17T15:02:00Z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y fmtid="{D5CDD505-2E9C-101B-9397-08002B2CF9AE}" pid="5" name="ContentTypeId">
    <vt:lpwstr>0x010100258AA79CEB83498886A3A0868112325000B815E5D5322DC248B537749FDF4EA55B</vt:lpwstr>
  </property>
  <property fmtid="{D5CDD505-2E9C-101B-9397-08002B2CF9AE}" pid="6" name="_dlc_DocIdItemGuid">
    <vt:lpwstr>5b28cadd-2879-4141-81d0-1d89a50f1f9e</vt:lpwstr>
  </property>
  <property fmtid="{D5CDD505-2E9C-101B-9397-08002B2CF9AE}" pid="7" name="MSIP_Label_f4cdc456-5864-460f-beda-883d23b78bbb_Enabled">
    <vt:lpwstr>true</vt:lpwstr>
  </property>
  <property fmtid="{D5CDD505-2E9C-101B-9397-08002B2CF9AE}" pid="8" name="MSIP_Label_f4cdc456-5864-460f-beda-883d23b78bbb_SetDate">
    <vt:lpwstr>2023-04-11T15:25:48Z</vt:lpwstr>
  </property>
  <property fmtid="{D5CDD505-2E9C-101B-9397-08002B2CF9AE}" pid="9" name="MSIP_Label_f4cdc456-5864-460f-beda-883d23b78bbb_Method">
    <vt:lpwstr>Privileged</vt:lpwstr>
  </property>
  <property fmtid="{D5CDD505-2E9C-101B-9397-08002B2CF9AE}" pid="10" name="MSIP_Label_f4cdc456-5864-460f-beda-883d23b78bbb_Name">
    <vt:lpwstr>Publicly Available</vt:lpwstr>
  </property>
  <property fmtid="{D5CDD505-2E9C-101B-9397-08002B2CF9AE}" pid="11" name="MSIP_Label_f4cdc456-5864-460f-beda-883d23b78bbb_SiteId">
    <vt:lpwstr>b24c8b06-522c-46fe-9080-70926f8dddb1</vt:lpwstr>
  </property>
  <property fmtid="{D5CDD505-2E9C-101B-9397-08002B2CF9AE}" pid="12" name="MSIP_Label_f4cdc456-5864-460f-beda-883d23b78bbb_ActionId">
    <vt:lpwstr>a5dae3a7-1e4d-4ad7-bf33-3c7c0049e253</vt:lpwstr>
  </property>
  <property fmtid="{D5CDD505-2E9C-101B-9397-08002B2CF9AE}" pid="13" name="MSIP_Label_f4cdc456-5864-460f-beda-883d23b78bbb_ContentBits">
    <vt:lpwstr>0</vt:lpwstr>
  </property>
  <property fmtid="{D5CDD505-2E9C-101B-9397-08002B2CF9AE}" pid="14" name="MSIP_Label_b3564849-fbfc-4795-ad59-055bb350645f_Enabled">
    <vt:lpwstr>true</vt:lpwstr>
  </property>
  <property fmtid="{D5CDD505-2E9C-101B-9397-08002B2CF9AE}" pid="15" name="MSIP_Label_b3564849-fbfc-4795-ad59-055bb350645f_SetDate">
    <vt:lpwstr>2025-12-17T15:02:50Z</vt:lpwstr>
  </property>
  <property fmtid="{D5CDD505-2E9C-101B-9397-08002B2CF9AE}" pid="16" name="MSIP_Label_b3564849-fbfc-4795-ad59-055bb350645f_Method">
    <vt:lpwstr>Standard</vt:lpwstr>
  </property>
  <property fmtid="{D5CDD505-2E9C-101B-9397-08002B2CF9AE}" pid="17" name="MSIP_Label_b3564849-fbfc-4795-ad59-055bb350645f_Name">
    <vt:lpwstr>M102S01</vt:lpwstr>
  </property>
  <property fmtid="{D5CDD505-2E9C-101B-9397-08002B2CF9AE}" pid="18" name="MSIP_Label_b3564849-fbfc-4795-ad59-055bb350645f_SiteId">
    <vt:lpwstr>65154e19-ce31-44e2-97af-2480f4c17f95</vt:lpwstr>
  </property>
  <property fmtid="{D5CDD505-2E9C-101B-9397-08002B2CF9AE}" pid="19" name="MSIP_Label_b3564849-fbfc-4795-ad59-055bb350645f_ActionId">
    <vt:lpwstr>e358866b-b393-456e-ad8a-1a8508e0ea26</vt:lpwstr>
  </property>
  <property fmtid="{D5CDD505-2E9C-101B-9397-08002B2CF9AE}" pid="20" name="MSIP_Label_b3564849-fbfc-4795-ad59-055bb350645f_ContentBits">
    <vt:lpwstr>0</vt:lpwstr>
  </property>
  <property fmtid="{D5CDD505-2E9C-101B-9397-08002B2CF9AE}" pid="21" name="MSIP_Label_b3564849-fbfc-4795-ad59-055bb350645f_Tag">
    <vt:lpwstr>10, 3, 0, 1</vt:lpwstr>
  </property>
</Properties>
</file>