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FCC1" w14:textId="77CD5D0E" w:rsidR="000915DB" w:rsidRPr="008328A8" w:rsidRDefault="008B302F">
      <w:pPr>
        <w:pStyle w:val="PlainText"/>
        <w:jc w:val="center"/>
        <w:rPr>
          <w:rFonts w:ascii="Times New Roman" w:hAnsi="Times New Roman"/>
          <w:sz w:val="24"/>
          <w:szCs w:val="24"/>
        </w:rPr>
      </w:pPr>
      <w:r w:rsidRPr="008328A8">
        <w:rPr>
          <w:rFonts w:ascii="Times New Roman" w:hAnsi="Times New Roman"/>
          <w:noProof/>
          <w:sz w:val="24"/>
          <w:szCs w:val="24"/>
        </w:rPr>
        <w:drawing>
          <wp:inline distT="0" distB="0" distL="0" distR="0" wp14:anchorId="190E57AD" wp14:editId="242D456E">
            <wp:extent cx="1466850" cy="847725"/>
            <wp:effectExtent l="0" t="0" r="0" b="0"/>
            <wp:docPr id="1" name="obrázek 1" descr="Obsah obrázku Písmo, logo, Grafika, symbol&#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Obsah obrázku Písmo, logo, Grafika, symbol&#10;&#10;Popis byl vytvořen automaticky"/>
                    <pic:cNvPicPr>
                      <a:picLocks noChangeArrowheads="1"/>
                    </pic:cNvPicPr>
                  </pic:nvPicPr>
                  <pic:blipFill>
                    <a:blip r:embed="rId7">
                      <a:extLst>
                        <a:ext uri="{28A0092B-C50C-407E-A947-70E740481C1C}">
                          <a14:useLocalDpi xmlns:a14="http://schemas.microsoft.com/office/drawing/2010/main" val="0"/>
                        </a:ext>
                      </a:extLst>
                    </a:blip>
                    <a:srcRect l="14648" r="13431" b="156"/>
                    <a:stretch>
                      <a:fillRect/>
                    </a:stretch>
                  </pic:blipFill>
                  <pic:spPr bwMode="auto">
                    <a:xfrm>
                      <a:off x="0" y="0"/>
                      <a:ext cx="1466850" cy="847725"/>
                    </a:xfrm>
                    <a:prstGeom prst="rect">
                      <a:avLst/>
                    </a:prstGeom>
                    <a:noFill/>
                    <a:ln>
                      <a:noFill/>
                    </a:ln>
                  </pic:spPr>
                </pic:pic>
              </a:graphicData>
            </a:graphic>
          </wp:inline>
        </w:drawing>
      </w:r>
      <w:r w:rsidRPr="008328A8">
        <w:rPr>
          <w:rFonts w:ascii="Times New Roman" w:hAnsi="Times New Roman"/>
          <w:noProof/>
          <w:sz w:val="24"/>
          <w:szCs w:val="24"/>
        </w:rPr>
        <w:drawing>
          <wp:inline distT="0" distB="0" distL="0" distR="0" wp14:anchorId="56464224" wp14:editId="0DE9850E">
            <wp:extent cx="2381250" cy="828675"/>
            <wp:effectExtent l="0" t="0" r="0" b="0"/>
            <wp:docPr id="2" name="obrázek 2" descr="Obsah obrázku text, Písmo, Grafika, logo&#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Grafika, logo&#10;&#10;Popis byl vytvořen automaticky"/>
                    <pic:cNvPicPr>
                      <a:picLocks noChangeArrowheads="1"/>
                    </pic:cNvPicPr>
                  </pic:nvPicPr>
                  <pic:blipFill>
                    <a:blip r:embed="rId8" cstate="print">
                      <a:extLst>
                        <a:ext uri="{28A0092B-C50C-407E-A947-70E740481C1C}">
                          <a14:useLocalDpi xmlns:a14="http://schemas.microsoft.com/office/drawing/2010/main" val="0"/>
                        </a:ext>
                      </a:extLst>
                    </a:blip>
                    <a:srcRect l="6844" r="2283"/>
                    <a:stretch>
                      <a:fillRect/>
                    </a:stretch>
                  </pic:blipFill>
                  <pic:spPr bwMode="auto">
                    <a:xfrm>
                      <a:off x="0" y="0"/>
                      <a:ext cx="2381250" cy="828675"/>
                    </a:xfrm>
                    <a:prstGeom prst="rect">
                      <a:avLst/>
                    </a:prstGeom>
                    <a:noFill/>
                    <a:ln>
                      <a:noFill/>
                    </a:ln>
                  </pic:spPr>
                </pic:pic>
              </a:graphicData>
            </a:graphic>
          </wp:inline>
        </w:drawing>
      </w:r>
    </w:p>
    <w:p w14:paraId="225658D9" w14:textId="77777777" w:rsidR="000915DB" w:rsidRPr="008328A8" w:rsidRDefault="000915DB">
      <w:pPr>
        <w:jc w:val="center"/>
        <w:rPr>
          <w:b/>
          <w:bCs/>
          <w:caps/>
        </w:rPr>
      </w:pPr>
      <w:r w:rsidRPr="008328A8">
        <w:rPr>
          <w:b/>
          <w:bCs/>
          <w:caps/>
        </w:rPr>
        <w:t xml:space="preserve">Ministerstvo zahraničních věcí ČR vyhlašuje Výzvu </w:t>
      </w:r>
    </w:p>
    <w:p w14:paraId="659B436A" w14:textId="77777777" w:rsidR="000915DB" w:rsidRPr="008328A8" w:rsidRDefault="000915DB">
      <w:pPr>
        <w:jc w:val="center"/>
        <w:rPr>
          <w:b/>
          <w:bCs/>
          <w:caps/>
        </w:rPr>
      </w:pPr>
      <w:r w:rsidRPr="008328A8">
        <w:rPr>
          <w:b/>
          <w:bCs/>
          <w:caps/>
        </w:rPr>
        <w:t>k podání žádostí o poskytnutí dotace PRO NESTÁTNÍ NEZISKOVÉ ORGANIZACE A DALŠÍ OPRÁVNĚNÉ SUBJEKTY v rámci dotačního titulu</w:t>
      </w:r>
    </w:p>
    <w:p w14:paraId="10761765" w14:textId="77777777" w:rsidR="000915DB" w:rsidRPr="008328A8" w:rsidRDefault="000915DB">
      <w:pPr>
        <w:jc w:val="center"/>
        <w:rPr>
          <w:b/>
          <w:bCs/>
          <w:caps/>
        </w:rPr>
      </w:pPr>
      <w:r w:rsidRPr="008328A8">
        <w:rPr>
          <w:b/>
          <w:bCs/>
          <w:caps/>
        </w:rPr>
        <w:t>„</w:t>
      </w:r>
      <w:r w:rsidRPr="008328A8">
        <w:rPr>
          <w:b/>
          <w:bCs/>
          <w:i/>
          <w:caps/>
        </w:rPr>
        <w:t>PROGRAM transformační spolupráce</w:t>
      </w:r>
      <w:r w:rsidRPr="008328A8">
        <w:rPr>
          <w:b/>
          <w:bCs/>
          <w:caps/>
        </w:rPr>
        <w:t>“</w:t>
      </w:r>
    </w:p>
    <w:p w14:paraId="1D6C4806" w14:textId="77777777" w:rsidR="000915DB" w:rsidRPr="008328A8" w:rsidRDefault="000915DB">
      <w:pPr>
        <w:jc w:val="center"/>
        <w:rPr>
          <w:b/>
          <w:bCs/>
          <w:caps/>
        </w:rPr>
      </w:pPr>
      <w:r w:rsidRPr="008328A8">
        <w:rPr>
          <w:b/>
          <w:bCs/>
          <w:caps/>
        </w:rPr>
        <w:t>v roce 202</w:t>
      </w:r>
      <w:r w:rsidRPr="008328A8">
        <w:rPr>
          <w:b/>
          <w:bCs/>
          <w:caps/>
          <w:lang w:val="en-AU"/>
        </w:rPr>
        <w:t>6</w:t>
      </w:r>
    </w:p>
    <w:p w14:paraId="5E13C8D9" w14:textId="77777777" w:rsidR="000915DB" w:rsidRPr="0070734A" w:rsidRDefault="000915DB" w:rsidP="0070734A">
      <w:pPr>
        <w:pStyle w:val="PlainText"/>
        <w:jc w:val="center"/>
        <w:rPr>
          <w:rFonts w:ascii="Times New Roman" w:eastAsia="MS Mincho" w:hAnsi="Times New Roman"/>
          <w:sz w:val="24"/>
          <w:szCs w:val="24"/>
        </w:rPr>
      </w:pPr>
    </w:p>
    <w:p w14:paraId="380D0F4A" w14:textId="77777777" w:rsidR="000915DB" w:rsidRPr="0070734A" w:rsidRDefault="000915DB" w:rsidP="0070734A">
      <w:pPr>
        <w:pStyle w:val="PlainText"/>
        <w:rPr>
          <w:rFonts w:ascii="Times New Roman" w:eastAsia="MS Mincho" w:hAnsi="Times New Roman"/>
          <w:b/>
          <w:bCs/>
          <w:sz w:val="24"/>
          <w:szCs w:val="24"/>
        </w:rPr>
      </w:pPr>
      <w:r w:rsidRPr="0070734A">
        <w:rPr>
          <w:rFonts w:ascii="Times New Roman" w:eastAsia="MS Mincho" w:hAnsi="Times New Roman"/>
          <w:b/>
          <w:bCs/>
          <w:sz w:val="24"/>
          <w:szCs w:val="24"/>
        </w:rPr>
        <w:t>PREAMBULE</w:t>
      </w:r>
    </w:p>
    <w:p w14:paraId="68105748" w14:textId="77777777" w:rsidR="000915DB" w:rsidRPr="0070734A" w:rsidRDefault="000915DB" w:rsidP="0070734A">
      <w:pPr>
        <w:spacing w:after="120"/>
        <w:jc w:val="both"/>
        <w:rPr>
          <w:bCs/>
        </w:rPr>
      </w:pPr>
      <w:r w:rsidRPr="0070734A">
        <w:t xml:space="preserve">Dotační titul je Ministerstvem zahraničních věcí (dále také „poskytovatel“ nebo </w:t>
      </w:r>
      <w:r w:rsidR="00462E35" w:rsidRPr="0070734A">
        <w:t>„</w:t>
      </w:r>
      <w:r w:rsidRPr="0070734A">
        <w:t xml:space="preserve">MZV”) vyhlašován v rámci programu státní dotační politiky a v souladu s ustanovením § 7 odst. 1 písm. e), f), i) a § 14 a násl. zákona č. 218/2000 Sb., o rozpočtových pravidlech a o změně některých souvisejících zákonů (rozpočtová pravidla), ve znění pozdějších předpisů. Při poskytování dotací se Ministerstvo zahraničních věcí dále řídí usnesením vlády České republiky ze dne 1. června 2020 č. 591, o Zásadách vlády pro poskytování dotací ze státního rozpočtu České republiky nestátním neziskovým organizacím ústředními orgány státní správy (dále „Zásady“),  usnesením vlády </w:t>
      </w:r>
      <w:r w:rsidRPr="0070734A">
        <w:rPr>
          <w:bCs/>
        </w:rPr>
        <w:t>ze dne 1</w:t>
      </w:r>
      <w:r w:rsidRPr="0070734A">
        <w:rPr>
          <w:bCs/>
          <w:lang w:val="en-AU"/>
        </w:rPr>
        <w:t>1</w:t>
      </w:r>
      <w:r w:rsidRPr="0070734A">
        <w:rPr>
          <w:bCs/>
        </w:rPr>
        <w:t>. června 202</w:t>
      </w:r>
      <w:r w:rsidRPr="0070734A">
        <w:rPr>
          <w:bCs/>
          <w:lang w:val="en-AU"/>
        </w:rPr>
        <w:t>5</w:t>
      </w:r>
      <w:r w:rsidRPr="0070734A">
        <w:rPr>
          <w:bCs/>
        </w:rPr>
        <w:t xml:space="preserve"> č. </w:t>
      </w:r>
      <w:r w:rsidRPr="0070734A">
        <w:rPr>
          <w:bCs/>
          <w:lang w:val="en-AU"/>
        </w:rPr>
        <w:t>420</w:t>
      </w:r>
      <w:r w:rsidRPr="0070734A">
        <w:rPr>
          <w:bCs/>
        </w:rPr>
        <w:t xml:space="preserve"> o Hlavních oblastech státní dotační politiky vůči nestátním neziskovým organizacím na podporu veřejně prospěšných činností pro rok 202</w:t>
      </w:r>
      <w:r w:rsidRPr="0070734A">
        <w:rPr>
          <w:bCs/>
          <w:lang w:val="en-AU"/>
        </w:rPr>
        <w:t>6. Dota</w:t>
      </w:r>
      <w:r w:rsidRPr="0070734A">
        <w:rPr>
          <w:bCs/>
        </w:rPr>
        <w:t xml:space="preserve">ční program je též realizován v návaznosti na usnesení vlády České republiky </w:t>
      </w:r>
      <w:r w:rsidRPr="0070734A">
        <w:t>ze dne 24. září 2025 č. 703 o dvoustranné zahraniční rozvojové spolupráci v roce 2026 a ke střednědobému výhledu jejího financování do roku 2028</w:t>
      </w:r>
      <w:r w:rsidRPr="0070734A">
        <w:rPr>
          <w:bCs/>
        </w:rPr>
        <w:t xml:space="preserve"> a na </w:t>
      </w:r>
      <w:bookmarkStart w:id="0" w:name="highlightHit_11"/>
      <w:bookmarkStart w:id="1" w:name="highlightHit_4"/>
      <w:bookmarkStart w:id="2" w:name="highlightHit_5"/>
      <w:bookmarkStart w:id="3" w:name="highlightHit_6"/>
      <w:bookmarkStart w:id="4" w:name="highlightHit_1"/>
      <w:bookmarkStart w:id="5" w:name="highlightHit_3"/>
      <w:bookmarkStart w:id="6" w:name="highlightHit_9"/>
      <w:bookmarkStart w:id="7" w:name="highlightHit_7"/>
      <w:bookmarkStart w:id="8" w:name="highlightHit_10"/>
      <w:bookmarkStart w:id="9" w:name="highlightHit_8"/>
      <w:bookmarkStart w:id="10" w:name="highlightHit_2"/>
      <w:bookmarkEnd w:id="0"/>
      <w:bookmarkEnd w:id="1"/>
      <w:bookmarkEnd w:id="2"/>
      <w:bookmarkEnd w:id="3"/>
      <w:bookmarkEnd w:id="4"/>
      <w:bookmarkEnd w:id="5"/>
      <w:bookmarkEnd w:id="6"/>
      <w:bookmarkEnd w:id="7"/>
      <w:bookmarkEnd w:id="8"/>
      <w:bookmarkEnd w:id="9"/>
      <w:bookmarkEnd w:id="10"/>
      <w:r w:rsidRPr="0070734A">
        <w:t>usnesení vlády České republiky č. 669 ze dne 3. září 2025 o pokračování Programu humanitární, stabilizační, rekonstrukční a hospodářské asistence Ukrajině v letech 2026 -2030.</w:t>
      </w:r>
    </w:p>
    <w:p w14:paraId="55F15759" w14:textId="77777777" w:rsidR="000915DB" w:rsidRPr="0070734A" w:rsidRDefault="000915DB" w:rsidP="0070734A">
      <w:pPr>
        <w:pStyle w:val="PlainText"/>
        <w:rPr>
          <w:rFonts w:ascii="Times New Roman" w:eastAsia="MS Mincho" w:hAnsi="Times New Roman"/>
          <w:sz w:val="24"/>
          <w:szCs w:val="24"/>
        </w:rPr>
      </w:pPr>
      <w:r w:rsidRPr="0070734A">
        <w:rPr>
          <w:rFonts w:ascii="Times New Roman" w:eastAsia="MS Mincho" w:hAnsi="Times New Roman"/>
          <w:sz w:val="24"/>
          <w:szCs w:val="24"/>
        </w:rPr>
        <w:t xml:space="preserve"> </w:t>
      </w:r>
    </w:p>
    <w:p w14:paraId="26B0C448" w14:textId="77777777" w:rsidR="000915DB" w:rsidRPr="0070734A" w:rsidRDefault="000915DB" w:rsidP="0070734A">
      <w:pPr>
        <w:pStyle w:val="PlainText"/>
        <w:rPr>
          <w:rFonts w:ascii="Times New Roman" w:eastAsia="MS Mincho" w:hAnsi="Times New Roman"/>
          <w:b/>
          <w:bCs/>
          <w:sz w:val="24"/>
          <w:szCs w:val="24"/>
        </w:rPr>
      </w:pPr>
      <w:r w:rsidRPr="0070734A">
        <w:rPr>
          <w:rFonts w:ascii="Times New Roman" w:eastAsia="MS Mincho" w:hAnsi="Times New Roman"/>
          <w:b/>
          <w:bCs/>
          <w:sz w:val="24"/>
          <w:szCs w:val="24"/>
        </w:rPr>
        <w:t>I. PŘEDMĚT VÝZVY</w:t>
      </w:r>
    </w:p>
    <w:p w14:paraId="6666B48D" w14:textId="77777777" w:rsidR="000915DB" w:rsidRPr="0070734A" w:rsidRDefault="000915DB" w:rsidP="0070734A">
      <w:pPr>
        <w:pStyle w:val="PlainText"/>
        <w:rPr>
          <w:rFonts w:ascii="Times New Roman" w:eastAsia="MS Mincho" w:hAnsi="Times New Roman"/>
          <w:b/>
          <w:bCs/>
          <w:sz w:val="24"/>
          <w:szCs w:val="24"/>
        </w:rPr>
      </w:pPr>
    </w:p>
    <w:p w14:paraId="0D29807C" w14:textId="77777777" w:rsidR="000915DB" w:rsidRPr="0070734A" w:rsidRDefault="000915DB" w:rsidP="0070734A">
      <w:pPr>
        <w:pStyle w:val="BodyText"/>
        <w:numPr>
          <w:ilvl w:val="0"/>
          <w:numId w:val="2"/>
        </w:numPr>
        <w:jc w:val="both"/>
        <w:rPr>
          <w:rFonts w:eastAsia="MS Mincho"/>
          <w:b w:val="0"/>
          <w:bCs w:val="0"/>
          <w:caps w:val="0"/>
        </w:rPr>
      </w:pPr>
      <w:r w:rsidRPr="0070734A">
        <w:rPr>
          <w:rFonts w:eastAsia="MS Mincho"/>
          <w:bCs w:val="0"/>
          <w:caps w:val="0"/>
        </w:rPr>
        <w:t>Předmětem</w:t>
      </w:r>
      <w:r w:rsidRPr="0070734A">
        <w:rPr>
          <w:rFonts w:eastAsia="MS Mincho"/>
          <w:b w:val="0"/>
          <w:bCs w:val="0"/>
          <w:caps w:val="0"/>
        </w:rPr>
        <w:t xml:space="preserve"> této výzvy je </w:t>
      </w:r>
      <w:r w:rsidRPr="0070734A">
        <w:rPr>
          <w:rFonts w:eastAsia="MS Mincho"/>
          <w:bCs w:val="0"/>
          <w:caps w:val="0"/>
        </w:rPr>
        <w:t>výběr projektů</w:t>
      </w:r>
      <w:r w:rsidRPr="0070734A">
        <w:rPr>
          <w:rFonts w:eastAsia="MS Mincho"/>
          <w:b w:val="0"/>
          <w:bCs w:val="0"/>
          <w:caps w:val="0"/>
        </w:rPr>
        <w:t xml:space="preserve"> předložených nevládními neziskovými organizacemi a dalšími oprávněnými subjekty (viz bod II.) na </w:t>
      </w:r>
      <w:r w:rsidRPr="0070734A">
        <w:rPr>
          <w:rFonts w:eastAsia="MS Mincho"/>
          <w:bCs w:val="0"/>
          <w:caps w:val="0"/>
        </w:rPr>
        <w:t>realizaci Programu transformační spolupráce</w:t>
      </w:r>
      <w:r w:rsidRPr="0070734A">
        <w:rPr>
          <w:rFonts w:eastAsia="MS Mincho"/>
          <w:b w:val="0"/>
          <w:bCs w:val="0"/>
          <w:caps w:val="0"/>
        </w:rPr>
        <w:t xml:space="preserve"> (dále jen “Program TRANS”)</w:t>
      </w:r>
      <w:r w:rsidR="00462E35" w:rsidRPr="0070734A">
        <w:rPr>
          <w:rFonts w:eastAsia="MS Mincho"/>
          <w:b w:val="0"/>
          <w:bCs w:val="0"/>
          <w:caps w:val="0"/>
        </w:rPr>
        <w:t xml:space="preserve">. </w:t>
      </w:r>
      <w:r w:rsidRPr="0070734A">
        <w:rPr>
          <w:rFonts w:eastAsia="MS Mincho"/>
          <w:b w:val="0"/>
          <w:bCs w:val="0"/>
          <w:caps w:val="0"/>
        </w:rPr>
        <w:t xml:space="preserve"> Projekty v rámci Programu TRANS se zaměřují na tyto tématické priority:</w:t>
      </w:r>
    </w:p>
    <w:p w14:paraId="0C32C0CF" w14:textId="77777777" w:rsidR="000915DB" w:rsidRPr="0070734A" w:rsidRDefault="000915DB" w:rsidP="0070734A">
      <w:pPr>
        <w:numPr>
          <w:ilvl w:val="0"/>
          <w:numId w:val="3"/>
        </w:numPr>
        <w:spacing w:after="120"/>
        <w:jc w:val="both"/>
        <w:rPr>
          <w:rStyle w:val="Strong"/>
          <w:b w:val="0"/>
          <w:bCs w:val="0"/>
          <w:color w:val="000000"/>
          <w:shd w:val="clear" w:color="auto" w:fill="FFFFFF"/>
        </w:rPr>
      </w:pPr>
      <w:r w:rsidRPr="0070734A">
        <w:rPr>
          <w:rStyle w:val="Strong"/>
          <w:b w:val="0"/>
          <w:color w:val="000000"/>
          <w:shd w:val="clear" w:color="auto" w:fill="FFFFFF"/>
        </w:rPr>
        <w:t>podpora obránců lidských práv;</w:t>
      </w:r>
    </w:p>
    <w:p w14:paraId="121B7BAD" w14:textId="77777777" w:rsidR="000915DB" w:rsidRPr="0070734A" w:rsidRDefault="000915DB" w:rsidP="0070734A">
      <w:pPr>
        <w:numPr>
          <w:ilvl w:val="0"/>
          <w:numId w:val="3"/>
        </w:numPr>
        <w:spacing w:after="120"/>
        <w:jc w:val="both"/>
        <w:rPr>
          <w:rStyle w:val="Strong"/>
          <w:b w:val="0"/>
          <w:bCs w:val="0"/>
          <w:color w:val="000000"/>
          <w:shd w:val="clear" w:color="auto" w:fill="FFFFFF"/>
        </w:rPr>
      </w:pPr>
      <w:r w:rsidRPr="0070734A">
        <w:rPr>
          <w:rStyle w:val="Strong"/>
          <w:b w:val="0"/>
          <w:color w:val="000000"/>
          <w:shd w:val="clear" w:color="auto" w:fill="FFFFFF"/>
        </w:rPr>
        <w:t xml:space="preserve">podpora občanské společnosti; </w:t>
      </w:r>
    </w:p>
    <w:p w14:paraId="43645159" w14:textId="77777777" w:rsidR="000915DB" w:rsidRPr="0070734A" w:rsidRDefault="000915DB" w:rsidP="0070734A">
      <w:pPr>
        <w:numPr>
          <w:ilvl w:val="0"/>
          <w:numId w:val="3"/>
        </w:numPr>
        <w:spacing w:after="120"/>
        <w:jc w:val="both"/>
        <w:rPr>
          <w:rStyle w:val="Strong"/>
          <w:b w:val="0"/>
          <w:bCs w:val="0"/>
          <w:color w:val="000000"/>
          <w:shd w:val="clear" w:color="auto" w:fill="FFFFFF"/>
        </w:rPr>
      </w:pPr>
      <w:r w:rsidRPr="0070734A">
        <w:rPr>
          <w:rStyle w:val="Strong"/>
          <w:b w:val="0"/>
          <w:color w:val="000000"/>
          <w:shd w:val="clear" w:color="auto" w:fill="FFFFFF"/>
        </w:rPr>
        <w:t xml:space="preserve">podpora svobody projevu a médií;  </w:t>
      </w:r>
    </w:p>
    <w:p w14:paraId="7A919154" w14:textId="77777777" w:rsidR="000915DB" w:rsidRPr="0070734A" w:rsidRDefault="000915DB" w:rsidP="0070734A">
      <w:pPr>
        <w:numPr>
          <w:ilvl w:val="0"/>
          <w:numId w:val="3"/>
        </w:numPr>
        <w:spacing w:after="120"/>
        <w:jc w:val="both"/>
        <w:rPr>
          <w:rStyle w:val="Strong"/>
          <w:b w:val="0"/>
          <w:bCs w:val="0"/>
          <w:color w:val="000000"/>
          <w:shd w:val="clear" w:color="auto" w:fill="FFFFFF"/>
        </w:rPr>
      </w:pPr>
      <w:r w:rsidRPr="0070734A">
        <w:rPr>
          <w:rStyle w:val="Strong"/>
          <w:b w:val="0"/>
          <w:color w:val="000000"/>
          <w:shd w:val="clear" w:color="auto" w:fill="FFFFFF"/>
        </w:rPr>
        <w:t xml:space="preserve">podpora volebních práv a politické a veřejné participace;  </w:t>
      </w:r>
    </w:p>
    <w:p w14:paraId="3D814717" w14:textId="77777777" w:rsidR="000915DB" w:rsidRPr="0070734A" w:rsidRDefault="000915DB" w:rsidP="0070734A">
      <w:pPr>
        <w:numPr>
          <w:ilvl w:val="0"/>
          <w:numId w:val="3"/>
        </w:numPr>
        <w:spacing w:after="120"/>
        <w:jc w:val="both"/>
        <w:rPr>
          <w:color w:val="000000"/>
          <w:shd w:val="clear" w:color="auto" w:fill="FFFFFF"/>
        </w:rPr>
      </w:pPr>
      <w:r w:rsidRPr="0070734A">
        <w:t>podpora budování institucí právního státu;</w:t>
      </w:r>
    </w:p>
    <w:p w14:paraId="239115B3" w14:textId="77777777" w:rsidR="000915DB" w:rsidRPr="0070734A" w:rsidRDefault="000915DB" w:rsidP="0070734A">
      <w:pPr>
        <w:numPr>
          <w:ilvl w:val="0"/>
          <w:numId w:val="3"/>
        </w:numPr>
        <w:spacing w:after="120"/>
        <w:jc w:val="both"/>
        <w:rPr>
          <w:rStyle w:val="Strong"/>
          <w:b w:val="0"/>
          <w:bCs w:val="0"/>
          <w:color w:val="000000"/>
          <w:shd w:val="clear" w:color="auto" w:fill="FFFFFF"/>
        </w:rPr>
      </w:pPr>
      <w:r w:rsidRPr="0070734A">
        <w:rPr>
          <w:rStyle w:val="Strong"/>
          <w:b w:val="0"/>
          <w:color w:val="000000"/>
          <w:shd w:val="clear" w:color="auto" w:fill="FFFFFF"/>
        </w:rPr>
        <w:t xml:space="preserve">podpora rovnosti a nediskriminace;  </w:t>
      </w:r>
    </w:p>
    <w:p w14:paraId="0FFA2D6D" w14:textId="77777777" w:rsidR="000915DB" w:rsidRPr="0070734A" w:rsidRDefault="000915DB" w:rsidP="0070734A">
      <w:pPr>
        <w:numPr>
          <w:ilvl w:val="0"/>
          <w:numId w:val="3"/>
        </w:numPr>
        <w:spacing w:after="120"/>
        <w:jc w:val="both"/>
        <w:rPr>
          <w:rStyle w:val="Strong"/>
          <w:b w:val="0"/>
          <w:bCs w:val="0"/>
          <w:color w:val="000000"/>
          <w:shd w:val="clear" w:color="auto" w:fill="FFFFFF"/>
        </w:rPr>
      </w:pPr>
      <w:r w:rsidRPr="0070734A">
        <w:rPr>
          <w:rStyle w:val="Strong"/>
          <w:b w:val="0"/>
          <w:color w:val="000000"/>
          <w:shd w:val="clear" w:color="auto" w:fill="FFFFFF"/>
        </w:rPr>
        <w:t>podpora lidských práv spojených s životním prostředím.</w:t>
      </w:r>
    </w:p>
    <w:p w14:paraId="0BAD6752" w14:textId="77777777" w:rsidR="000915DB" w:rsidRPr="0070734A" w:rsidRDefault="00A127FA" w:rsidP="0070734A">
      <w:pPr>
        <w:numPr>
          <w:ilvl w:val="0"/>
          <w:numId w:val="2"/>
        </w:numPr>
        <w:spacing w:after="120"/>
        <w:jc w:val="both"/>
        <w:rPr>
          <w:rStyle w:val="Strong"/>
          <w:b w:val="0"/>
          <w:bCs w:val="0"/>
          <w:color w:val="000000"/>
          <w:shd w:val="clear" w:color="auto" w:fill="FFFFFF"/>
        </w:rPr>
      </w:pPr>
      <w:r w:rsidRPr="0070734A">
        <w:rPr>
          <w:rStyle w:val="Strong"/>
          <w:bCs w:val="0"/>
          <w:color w:val="000000"/>
          <w:shd w:val="clear" w:color="auto" w:fill="FFFFFF"/>
        </w:rPr>
        <w:t>A</w:t>
      </w:r>
      <w:r w:rsidR="000915DB" w:rsidRPr="0070734A">
        <w:rPr>
          <w:rStyle w:val="Strong"/>
          <w:bCs w:val="0"/>
          <w:color w:val="000000"/>
          <w:shd w:val="clear" w:color="auto" w:fill="FFFFFF"/>
        </w:rPr>
        <w:t>ktivity a výstupy</w:t>
      </w:r>
      <w:r w:rsidR="000915DB" w:rsidRPr="0070734A">
        <w:rPr>
          <w:rStyle w:val="Strong"/>
          <w:b w:val="0"/>
          <w:bCs w:val="0"/>
          <w:color w:val="000000"/>
          <w:shd w:val="clear" w:color="auto" w:fill="FFFFFF"/>
        </w:rPr>
        <w:t xml:space="preserve"> v rámci této výzvy jsou:</w:t>
      </w:r>
    </w:p>
    <w:p w14:paraId="16617B86" w14:textId="77777777" w:rsidR="003137DE" w:rsidRPr="0070734A" w:rsidRDefault="003137DE" w:rsidP="0070734A">
      <w:pPr>
        <w:jc w:val="both"/>
      </w:pPr>
      <w:r w:rsidRPr="0070734A">
        <w:t xml:space="preserve">Podstatou programu TRANS je podpora neinvestičních (tzv. </w:t>
      </w:r>
      <w:r w:rsidRPr="0070734A">
        <w:rPr>
          <w:i/>
        </w:rPr>
        <w:t>soft</w:t>
      </w:r>
      <w:r w:rsidRPr="0070734A">
        <w:t xml:space="preserve">) projektů spočívajících </w:t>
      </w:r>
      <w:r w:rsidRPr="0070734A">
        <w:br/>
        <w:t xml:space="preserve">ve sdílení a přenášení zkušeností českých realizátorů. Tomu odpovídají metody, které jsou pro dosahování vytčených cílů ve stanovených oblastech využívány. Nejčastěji se jedná o předávání informací, zkušeností a příkladů dobré praxe, organizaci participativních školení, prakticky </w:t>
      </w:r>
      <w:r w:rsidRPr="0070734A">
        <w:lastRenderedPageBreak/>
        <w:t xml:space="preserve">zaměřených seminářů, tréninků, stáží či sekondmentů českých expertů v cílových zemích, pořádání studijních cest a stáží v Česku pro zahraniční účastníky projektů. </w:t>
      </w:r>
    </w:p>
    <w:p w14:paraId="34CC8924" w14:textId="77777777" w:rsidR="003137DE" w:rsidRPr="0070734A" w:rsidRDefault="003137DE" w:rsidP="0070734A">
      <w:pPr>
        <w:jc w:val="both"/>
      </w:pPr>
    </w:p>
    <w:p w14:paraId="25B5EC2B" w14:textId="77777777" w:rsidR="003137DE" w:rsidRPr="0070734A" w:rsidRDefault="003137DE" w:rsidP="0070734A">
      <w:pPr>
        <w:jc w:val="both"/>
      </w:pPr>
      <w:r w:rsidRPr="0070734A">
        <w:t xml:space="preserve">Zvláštní metodou je poskytování tzv. mikrograntů, zejména malým a začínajícím nevládním neziskovým organizacím nebo iniciativám (tzv. </w:t>
      </w:r>
      <w:r w:rsidRPr="0070734A">
        <w:rPr>
          <w:i/>
        </w:rPr>
        <w:t>grassroots</w:t>
      </w:r>
      <w:r w:rsidRPr="0070734A">
        <w:t xml:space="preserve">). Mikrogranty doplňují poskytovaná školení a umožňují poznatky efektivně ověřit v praxi s pomocí konzultantských služeb realizátora projektu TRANS. V případě obránců lidských práv, i v případě nezávislých médií nebo v případech hodných zvláštního zřetele (např. v podmínkách válečného konfliktu) je přípustná i přímá finanční či materiální podpora. </w:t>
      </w:r>
    </w:p>
    <w:p w14:paraId="4F31E90A" w14:textId="77777777" w:rsidR="000915DB" w:rsidRPr="0070734A" w:rsidRDefault="000915DB" w:rsidP="0070734A">
      <w:pPr>
        <w:pStyle w:val="BodyText"/>
        <w:jc w:val="both"/>
        <w:rPr>
          <w:bCs w:val="0"/>
          <w:caps w:val="0"/>
        </w:rPr>
      </w:pPr>
    </w:p>
    <w:p w14:paraId="48C6000C" w14:textId="77777777" w:rsidR="00A127FA" w:rsidRPr="0070734A" w:rsidRDefault="00A127FA" w:rsidP="0070734A">
      <w:pPr>
        <w:pStyle w:val="BodyText"/>
        <w:jc w:val="both"/>
        <w:rPr>
          <w:b w:val="0"/>
          <w:bCs w:val="0"/>
          <w:caps w:val="0"/>
        </w:rPr>
      </w:pPr>
      <w:r w:rsidRPr="0070734A">
        <w:rPr>
          <w:b w:val="0"/>
          <w:bCs w:val="0"/>
          <w:caps w:val="0"/>
        </w:rPr>
        <w:t xml:space="preserve">Příklady možných </w:t>
      </w:r>
      <w:r w:rsidRPr="0070734A">
        <w:rPr>
          <w:bCs w:val="0"/>
          <w:caps w:val="0"/>
        </w:rPr>
        <w:t>projektových aktivit</w:t>
      </w:r>
      <w:r w:rsidRPr="0070734A">
        <w:rPr>
          <w:b w:val="0"/>
          <w:bCs w:val="0"/>
          <w:caps w:val="0"/>
        </w:rPr>
        <w:t>:</w:t>
      </w:r>
    </w:p>
    <w:p w14:paraId="6EFC96E9" w14:textId="77777777" w:rsidR="00A127FA" w:rsidRPr="0070734A" w:rsidRDefault="00A127FA" w:rsidP="0070734A">
      <w:pPr>
        <w:pStyle w:val="BodyText"/>
        <w:jc w:val="both"/>
        <w:rPr>
          <w:bCs w:val="0"/>
          <w:caps w:val="0"/>
        </w:rPr>
      </w:pPr>
    </w:p>
    <w:p w14:paraId="6B365E94" w14:textId="77777777" w:rsidR="00A127FA" w:rsidRPr="0070734A" w:rsidRDefault="00A127FA" w:rsidP="0070734A">
      <w:pPr>
        <w:jc w:val="both"/>
      </w:pPr>
      <w:r w:rsidRPr="0070734A">
        <w:t xml:space="preserve">• Spolupráce s pracovníky občanských organizací a občanskými aktivisty a podpora jejich činností zaměřených na systémová řešení občanských, sociálních, a environmentálních otázek. Předávání zkušeností např. v oblasti fundraisingu, advokacie, přípravy projektů, zapojování do evropských sítí, apod. </w:t>
      </w:r>
    </w:p>
    <w:p w14:paraId="1FD75060" w14:textId="77777777" w:rsidR="00A127FA" w:rsidRPr="0070734A" w:rsidRDefault="00A127FA" w:rsidP="0070734A">
      <w:pPr>
        <w:jc w:val="both"/>
      </w:pPr>
      <w:r w:rsidRPr="0070734A">
        <w:t>• Participativní školení místních politiků, volených představitelů a pracovníků státní správy a samosprávy; podpora spolupráce státní správy, místní a regionální samosprávy, subjektů občanské společnosti a dalších relevantních subjektů se zaměřením na předávání zkušeností se společenskou a ekonomickou transformací a integrací do euroatlantických struktur.</w:t>
      </w:r>
    </w:p>
    <w:p w14:paraId="2233290D" w14:textId="77777777" w:rsidR="00A127FA" w:rsidRPr="0070734A" w:rsidRDefault="00A127FA" w:rsidP="0070734A">
      <w:pPr>
        <w:jc w:val="both"/>
      </w:pPr>
      <w:r w:rsidRPr="0070734A">
        <w:t>• Posilování role práva, zapojení občanské společnosti a veřejnosti do rozhodovacích procesů a zvyšování transparentnosti těchto procesů, včetně implementace doporučení volebních misí EU a OBSE.</w:t>
      </w:r>
    </w:p>
    <w:p w14:paraId="1FBA97B7" w14:textId="77777777" w:rsidR="00A127FA" w:rsidRPr="0070734A" w:rsidRDefault="00A127FA" w:rsidP="0070734A">
      <w:pPr>
        <w:jc w:val="both"/>
      </w:pPr>
      <w:r w:rsidRPr="0070734A">
        <w:t>• Podpora nezávislých médií, školení jejich pracovníků, předávání českých zkušeností, podpora investigativní žurnalistiky, mediální gramotnosti, zvyšování odolnosti vůči dezinformačním kampaním, informování o tématech souvisejících se společenskou a ekonomickou transformací, Evropskou unií, NATO atd., využívání nových médií a sociálních sítí jako platforem pro šíření a sdílení informací a svobodnou diskusi.</w:t>
      </w:r>
    </w:p>
    <w:p w14:paraId="545AFF9A" w14:textId="77777777" w:rsidR="00A127FA" w:rsidRPr="0070734A" w:rsidRDefault="00A127FA" w:rsidP="0070734A">
      <w:pPr>
        <w:jc w:val="both"/>
      </w:pPr>
      <w:r w:rsidRPr="0070734A">
        <w:t>• Podpora aktivizace mladých lidí a jejich zapojování do komunitních a společenských aktivit, vzdělávání a výchova k aktivnímu občanství, kritickému přístupu k informacím a schopnosti formulovat a prezentovat názory, zavádění nových vzdělávacích metod (interaktivní výuka, využívání filmů, diskusí) a témat ve výuce (multikulturní výchova, informování o Evropské unii, zvyšování povědomí o lidských právech, ochraně životního prostředí apod.) a možnosti spolupráce s českými vysokými školami.</w:t>
      </w:r>
    </w:p>
    <w:p w14:paraId="420C92A8" w14:textId="77777777" w:rsidR="00A127FA" w:rsidRPr="0070734A" w:rsidRDefault="00A127FA" w:rsidP="0070734A">
      <w:pPr>
        <w:jc w:val="both"/>
      </w:pPr>
      <w:r w:rsidRPr="0070734A">
        <w:t>• Aktivity směřující k prosazování rovných příležitostí žen a mužů a k</w:t>
      </w:r>
      <w:r w:rsidR="00462E35" w:rsidRPr="0070734A">
        <w:t> odstranění diskriminace menšin.</w:t>
      </w:r>
    </w:p>
    <w:p w14:paraId="77631D75" w14:textId="77777777" w:rsidR="00A127FA" w:rsidRPr="0070734A" w:rsidRDefault="00A127FA" w:rsidP="0070734A">
      <w:pPr>
        <w:jc w:val="both"/>
      </w:pPr>
      <w:r w:rsidRPr="0070734A">
        <w:t>• Podpora obránců lidských práv.</w:t>
      </w:r>
    </w:p>
    <w:p w14:paraId="306DF6F5" w14:textId="77777777" w:rsidR="000915DB" w:rsidRPr="0070734A" w:rsidRDefault="000915DB" w:rsidP="0070734A">
      <w:pPr>
        <w:pStyle w:val="BodyText"/>
        <w:jc w:val="both"/>
        <w:rPr>
          <w:b w:val="0"/>
          <w:caps w:val="0"/>
        </w:rPr>
      </w:pPr>
    </w:p>
    <w:p w14:paraId="05A7ECC0" w14:textId="77777777" w:rsidR="000915DB" w:rsidRPr="0070734A" w:rsidRDefault="000915DB" w:rsidP="0070734A">
      <w:pPr>
        <w:pStyle w:val="BodyText"/>
        <w:jc w:val="both"/>
        <w:rPr>
          <w:b w:val="0"/>
          <w:caps w:val="0"/>
        </w:rPr>
      </w:pPr>
      <w:r w:rsidRPr="0070734A">
        <w:rPr>
          <w:b w:val="0"/>
          <w:caps w:val="0"/>
        </w:rPr>
        <w:t>3.</w:t>
      </w:r>
      <w:r w:rsidRPr="0070734A">
        <w:rPr>
          <w:caps w:val="0"/>
        </w:rPr>
        <w:t xml:space="preserve"> </w:t>
      </w:r>
      <w:r w:rsidRPr="0070734A">
        <w:rPr>
          <w:b w:val="0"/>
          <w:caps w:val="0"/>
        </w:rPr>
        <w:t xml:space="preserve">Poskytovatel v rámci tohoto dotačního titulu přijímá žádosti o dotaci </w:t>
      </w:r>
    </w:p>
    <w:p w14:paraId="163229C4" w14:textId="77777777" w:rsidR="000915DB" w:rsidRPr="0070734A" w:rsidRDefault="000915DB" w:rsidP="0070734A">
      <w:pPr>
        <w:pStyle w:val="BodyText"/>
        <w:jc w:val="both"/>
        <w:rPr>
          <w:b w:val="0"/>
          <w:caps w:val="0"/>
        </w:rPr>
      </w:pPr>
      <w:r w:rsidRPr="0070734A">
        <w:rPr>
          <w:b w:val="0"/>
          <w:caps w:val="0"/>
        </w:rPr>
        <w:t xml:space="preserve">• na </w:t>
      </w:r>
      <w:r w:rsidRPr="0070734A">
        <w:rPr>
          <w:caps w:val="0"/>
        </w:rPr>
        <w:t>krátkodobé projekty</w:t>
      </w:r>
      <w:r w:rsidRPr="0070734A">
        <w:rPr>
          <w:b w:val="0"/>
          <w:caps w:val="0"/>
        </w:rPr>
        <w:t xml:space="preserve"> v rozsahu 9–12 měsíců, se zahájením a ukončením realizace v roce 2026,</w:t>
      </w:r>
    </w:p>
    <w:p w14:paraId="1D78F788" w14:textId="77777777" w:rsidR="000915DB" w:rsidRPr="0070734A" w:rsidRDefault="000915DB" w:rsidP="0070734A">
      <w:pPr>
        <w:pStyle w:val="BodyText"/>
        <w:jc w:val="both"/>
        <w:rPr>
          <w:b w:val="0"/>
          <w:caps w:val="0"/>
        </w:rPr>
      </w:pPr>
      <w:r w:rsidRPr="0070734A">
        <w:rPr>
          <w:b w:val="0"/>
          <w:caps w:val="0"/>
        </w:rPr>
        <w:t xml:space="preserve">• na </w:t>
      </w:r>
      <w:r w:rsidRPr="0070734A">
        <w:rPr>
          <w:caps w:val="0"/>
        </w:rPr>
        <w:t>dlouhodobé projekty</w:t>
      </w:r>
      <w:r w:rsidRPr="0070734A">
        <w:rPr>
          <w:b w:val="0"/>
          <w:caps w:val="0"/>
        </w:rPr>
        <w:t xml:space="preserve"> v délce 18–36 měsíců s předpokládaným zahájením v lednu 2026, přičemž v prvním roce musí realizace dlouhodobého projektu trvat minimálně 9 měsíců.</w:t>
      </w:r>
    </w:p>
    <w:p w14:paraId="44BCE024" w14:textId="77777777" w:rsidR="000915DB" w:rsidRPr="0070734A" w:rsidRDefault="000915DB" w:rsidP="0070734A">
      <w:pPr>
        <w:jc w:val="both"/>
        <w:rPr>
          <w:rFonts w:eastAsia="MS Mincho"/>
        </w:rPr>
      </w:pPr>
      <w:r w:rsidRPr="0070734A">
        <w:rPr>
          <w:rFonts w:eastAsia="MS Mincho"/>
        </w:rPr>
        <w:t>V případě dlouhodobých projektů v délce 18–36 měsíců je podpořený subjekt oprávněn požádat o dotaci (v termínu stanoveném poskytovatelem) rovněž na roky 2027, příp. 2028. Podmínkou je splnění podmínek stanovených poskytovatelem, zejména řádné a úplné vyúčtování dotace z prvního, respektive druhého roku trvání projektu.</w:t>
      </w:r>
    </w:p>
    <w:p w14:paraId="1CEFA6B6" w14:textId="77777777" w:rsidR="00462E35" w:rsidRPr="0070734A" w:rsidRDefault="00462E35" w:rsidP="0070734A">
      <w:pPr>
        <w:jc w:val="both"/>
        <w:rPr>
          <w:highlight w:val="cyan"/>
        </w:rPr>
      </w:pPr>
    </w:p>
    <w:p w14:paraId="30DB6198" w14:textId="77777777" w:rsidR="000915DB" w:rsidRPr="0070734A" w:rsidRDefault="000915DB" w:rsidP="0070734A">
      <w:pPr>
        <w:pStyle w:val="PlainText"/>
        <w:numPr>
          <w:ilvl w:val="0"/>
          <w:numId w:val="5"/>
        </w:numPr>
        <w:spacing w:after="120"/>
        <w:jc w:val="both"/>
        <w:rPr>
          <w:rFonts w:ascii="Times New Roman" w:hAnsi="Times New Roman"/>
          <w:sz w:val="24"/>
          <w:szCs w:val="24"/>
        </w:rPr>
      </w:pPr>
      <w:r w:rsidRPr="0070734A">
        <w:rPr>
          <w:rFonts w:ascii="Times New Roman" w:hAnsi="Times New Roman"/>
          <w:sz w:val="24"/>
          <w:szCs w:val="24"/>
        </w:rPr>
        <w:t xml:space="preserve">O dotaci lze žádat na projekty realizované v těchto </w:t>
      </w:r>
      <w:r w:rsidRPr="0070734A">
        <w:rPr>
          <w:rFonts w:ascii="Times New Roman" w:hAnsi="Times New Roman"/>
          <w:b/>
          <w:sz w:val="24"/>
          <w:szCs w:val="24"/>
        </w:rPr>
        <w:t>programových zemích Programu TRANS:</w:t>
      </w:r>
      <w:r w:rsidRPr="0070734A">
        <w:rPr>
          <w:rFonts w:ascii="Times New Roman" w:hAnsi="Times New Roman"/>
          <w:sz w:val="24"/>
          <w:szCs w:val="24"/>
        </w:rPr>
        <w:t xml:space="preserve"> Arménie, Ázerbájdžán, Myanmar/Barma, Bělorusko, Bosna a Hercegovina, Gruzie, Kosovo, Kuba, </w:t>
      </w:r>
      <w:r w:rsidRPr="0070734A">
        <w:rPr>
          <w:rFonts w:ascii="Times New Roman" w:hAnsi="Times New Roman"/>
          <w:sz w:val="24"/>
          <w:szCs w:val="24"/>
        </w:rPr>
        <w:lastRenderedPageBreak/>
        <w:t xml:space="preserve">Moldavsko, Rusko, Srbsko, Ukrajina a Vietnam. </w:t>
      </w:r>
      <w:r w:rsidRPr="0070734A">
        <w:rPr>
          <w:rFonts w:ascii="Times New Roman" w:hAnsi="Times New Roman"/>
          <w:b/>
          <w:sz w:val="24"/>
          <w:szCs w:val="24"/>
        </w:rPr>
        <w:t>Dotační projekty v rámci tématické priority podpora obránců lidských práv mohou být realizovány v kterékoliv zemi nebo zemích na světě.</w:t>
      </w:r>
    </w:p>
    <w:p w14:paraId="6B3BD703" w14:textId="77777777" w:rsidR="000915DB" w:rsidRPr="0070734A" w:rsidRDefault="000915DB" w:rsidP="0070734A">
      <w:pPr>
        <w:pStyle w:val="PlainText"/>
        <w:numPr>
          <w:ilvl w:val="0"/>
          <w:numId w:val="5"/>
        </w:numPr>
        <w:spacing w:after="120"/>
        <w:jc w:val="both"/>
        <w:rPr>
          <w:rFonts w:ascii="Times New Roman" w:hAnsi="Times New Roman"/>
          <w:sz w:val="24"/>
          <w:szCs w:val="24"/>
        </w:rPr>
      </w:pPr>
      <w:r w:rsidRPr="0070734A">
        <w:rPr>
          <w:rFonts w:ascii="Times New Roman" w:hAnsi="Times New Roman"/>
          <w:sz w:val="24"/>
          <w:szCs w:val="24"/>
        </w:rPr>
        <w:t>Celková výše prostředků, které jsou alokovány v rámci tohoto dotačního programu, činí</w:t>
      </w:r>
      <w:r w:rsidR="0070734A">
        <w:rPr>
          <w:rFonts w:ascii="Times New Roman" w:hAnsi="Times New Roman"/>
          <w:sz w:val="24"/>
          <w:szCs w:val="24"/>
        </w:rPr>
        <w:t xml:space="preserve"> </w:t>
      </w:r>
      <w:r w:rsidRPr="0070734A">
        <w:rPr>
          <w:rFonts w:ascii="Times New Roman" w:hAnsi="Times New Roman"/>
          <w:b/>
          <w:sz w:val="24"/>
          <w:szCs w:val="24"/>
        </w:rPr>
        <w:t>36</w:t>
      </w:r>
      <w:r w:rsidR="0070734A">
        <w:rPr>
          <w:rFonts w:ascii="Times New Roman" w:hAnsi="Times New Roman"/>
          <w:b/>
          <w:sz w:val="24"/>
          <w:szCs w:val="24"/>
        </w:rPr>
        <w:t> </w:t>
      </w:r>
      <w:r w:rsidRPr="0070734A">
        <w:rPr>
          <w:rFonts w:ascii="Times New Roman" w:hAnsi="Times New Roman"/>
          <w:b/>
          <w:sz w:val="24"/>
          <w:szCs w:val="24"/>
        </w:rPr>
        <w:t>000</w:t>
      </w:r>
      <w:r w:rsidR="0070734A">
        <w:rPr>
          <w:rFonts w:ascii="Times New Roman" w:hAnsi="Times New Roman"/>
          <w:b/>
          <w:sz w:val="24"/>
          <w:szCs w:val="24"/>
        </w:rPr>
        <w:t> </w:t>
      </w:r>
      <w:r w:rsidRPr="0070734A">
        <w:rPr>
          <w:rFonts w:ascii="Times New Roman" w:hAnsi="Times New Roman"/>
          <w:b/>
          <w:sz w:val="24"/>
          <w:szCs w:val="24"/>
        </w:rPr>
        <w:t>000</w:t>
      </w:r>
      <w:r w:rsidR="0070734A">
        <w:rPr>
          <w:rFonts w:ascii="Times New Roman" w:hAnsi="Times New Roman"/>
          <w:b/>
          <w:sz w:val="24"/>
          <w:szCs w:val="24"/>
        </w:rPr>
        <w:t>,-</w:t>
      </w:r>
      <w:r w:rsidRPr="0070734A">
        <w:rPr>
          <w:rFonts w:ascii="Times New Roman" w:hAnsi="Times New Roman"/>
          <w:b/>
          <w:sz w:val="24"/>
          <w:szCs w:val="24"/>
        </w:rPr>
        <w:t> Kč</w:t>
      </w:r>
      <w:r w:rsidRPr="0070734A">
        <w:rPr>
          <w:rFonts w:ascii="Times New Roman" w:hAnsi="Times New Roman"/>
          <w:sz w:val="24"/>
          <w:szCs w:val="24"/>
        </w:rPr>
        <w:t xml:space="preserve">. </w:t>
      </w:r>
    </w:p>
    <w:p w14:paraId="71B48346" w14:textId="77777777" w:rsidR="000915DB" w:rsidRPr="0070734A" w:rsidRDefault="000915DB" w:rsidP="0070734A">
      <w:pPr>
        <w:pStyle w:val="PlainText"/>
        <w:jc w:val="both"/>
        <w:rPr>
          <w:rFonts w:ascii="Times New Roman" w:eastAsia="MS Mincho" w:hAnsi="Times New Roman"/>
          <w:b/>
          <w:sz w:val="24"/>
          <w:szCs w:val="24"/>
        </w:rPr>
      </w:pPr>
    </w:p>
    <w:p w14:paraId="351D17EE" w14:textId="77777777" w:rsidR="000915DB" w:rsidRPr="0070734A" w:rsidRDefault="000915DB" w:rsidP="0070734A">
      <w:pPr>
        <w:pStyle w:val="PlainText"/>
        <w:jc w:val="both"/>
        <w:rPr>
          <w:rFonts w:ascii="Times New Roman" w:hAnsi="Times New Roman"/>
          <w:b/>
          <w:bCs/>
          <w:caps/>
          <w:sz w:val="24"/>
          <w:szCs w:val="24"/>
        </w:rPr>
      </w:pPr>
      <w:r w:rsidRPr="0070734A">
        <w:rPr>
          <w:rFonts w:ascii="Times New Roman" w:hAnsi="Times New Roman"/>
          <w:b/>
          <w:bCs/>
          <w:caps/>
          <w:sz w:val="24"/>
          <w:szCs w:val="24"/>
        </w:rPr>
        <w:t>II. Oprávněné subjekty – příjemci dotace</w:t>
      </w:r>
    </w:p>
    <w:p w14:paraId="382BD6E9" w14:textId="77777777" w:rsidR="000915DB" w:rsidRPr="0070734A" w:rsidRDefault="000915DB" w:rsidP="0070734A">
      <w:pPr>
        <w:pStyle w:val="PlainText"/>
        <w:jc w:val="both"/>
        <w:rPr>
          <w:rFonts w:ascii="Times New Roman" w:hAnsi="Times New Roman"/>
          <w:sz w:val="24"/>
          <w:szCs w:val="24"/>
        </w:rPr>
      </w:pPr>
    </w:p>
    <w:p w14:paraId="04E06D22" w14:textId="77777777" w:rsidR="000915DB" w:rsidRPr="0070734A" w:rsidRDefault="000915DB" w:rsidP="0070734A">
      <w:pPr>
        <w:jc w:val="both"/>
        <w:rPr>
          <w:color w:val="000000"/>
        </w:rPr>
      </w:pPr>
      <w:r w:rsidRPr="0070734A">
        <w:t xml:space="preserve">Žadatelé o dotaci v dotačním Programu transformační spolupráce musí spadat do následujícího okruhu oprávněných subjektů: </w:t>
      </w:r>
    </w:p>
    <w:p w14:paraId="30C76594" w14:textId="77777777" w:rsidR="000915DB" w:rsidRPr="0070734A" w:rsidRDefault="000915DB" w:rsidP="0070734A">
      <w:pPr>
        <w:jc w:val="both"/>
        <w:rPr>
          <w:color w:val="000000"/>
        </w:rPr>
      </w:pPr>
    </w:p>
    <w:p w14:paraId="6C90A964" w14:textId="77777777" w:rsidR="000915DB" w:rsidRPr="0070734A" w:rsidRDefault="000915DB" w:rsidP="0070734A">
      <w:pPr>
        <w:pStyle w:val="NormalWeb"/>
        <w:numPr>
          <w:ilvl w:val="0"/>
          <w:numId w:val="6"/>
        </w:numPr>
        <w:tabs>
          <w:tab w:val="left" w:pos="426"/>
        </w:tabs>
        <w:spacing w:before="0" w:after="120"/>
        <w:jc w:val="both"/>
      </w:pPr>
      <w:r w:rsidRPr="0070734A">
        <w:t>spolky zřízené podle zákona č. 89/2012 Sb., občanský zákoník</w:t>
      </w:r>
      <w:r w:rsidRPr="0070734A">
        <w:rPr>
          <w:lang w:eastAsia="cs-CZ"/>
        </w:rPr>
        <w:t>, ve znění pozdějších předpisů (dále také „občanský zákoník“)</w:t>
      </w:r>
      <w:r w:rsidRPr="0070734A">
        <w:t>;</w:t>
      </w:r>
    </w:p>
    <w:p w14:paraId="04BF5E3D" w14:textId="77777777" w:rsidR="000915DB" w:rsidRPr="0070734A" w:rsidRDefault="000915DB" w:rsidP="0070734A">
      <w:pPr>
        <w:pStyle w:val="NormalWeb"/>
        <w:numPr>
          <w:ilvl w:val="0"/>
          <w:numId w:val="6"/>
        </w:numPr>
        <w:tabs>
          <w:tab w:val="left" w:pos="426"/>
        </w:tabs>
        <w:spacing w:before="0" w:after="120"/>
        <w:jc w:val="both"/>
      </w:pPr>
      <w:r w:rsidRPr="0070734A">
        <w:t xml:space="preserve">obecně prospěšné společnosti (zřízené podle zrušeného zákona č. 248/1995 Sb., o obecně prospěšných společnostech a o změně a doplnění některých zákonů ve znění pozdějších předpisů a pokračující v činnosti podle § 3050 občanského zákoníku). </w:t>
      </w:r>
    </w:p>
    <w:p w14:paraId="3C8EF5D8" w14:textId="77777777" w:rsidR="000915DB" w:rsidRPr="0070734A" w:rsidRDefault="000915DB" w:rsidP="0070734A">
      <w:pPr>
        <w:pStyle w:val="NormalWeb"/>
        <w:numPr>
          <w:ilvl w:val="0"/>
          <w:numId w:val="6"/>
        </w:numPr>
        <w:tabs>
          <w:tab w:val="left" w:pos="426"/>
        </w:tabs>
        <w:spacing w:before="0" w:after="120"/>
        <w:jc w:val="both"/>
      </w:pPr>
      <w:r w:rsidRPr="0070734A">
        <w:t>právnické osoby (zejména spolky reprezentující oborová sdružení a asociace), které jsou založeny nebo zřízeny k poskytování zdravotních, kulturních, vzdělávacích a sociálních služeb v souladu s § 7 odst. 1. písm. f) rozpočtových pravidel;</w:t>
      </w:r>
    </w:p>
    <w:p w14:paraId="537A3556" w14:textId="77777777" w:rsidR="000915DB" w:rsidRPr="0070734A" w:rsidRDefault="000915DB" w:rsidP="0070734A">
      <w:pPr>
        <w:pStyle w:val="NormalWeb"/>
        <w:numPr>
          <w:ilvl w:val="0"/>
          <w:numId w:val="6"/>
        </w:numPr>
        <w:tabs>
          <w:tab w:val="left" w:pos="426"/>
        </w:tabs>
        <w:spacing w:before="0" w:after="120"/>
        <w:jc w:val="both"/>
      </w:pPr>
      <w:r w:rsidRPr="0070734A">
        <w:t>nadace a nadační fondy zřízené podle občanského zákoníku;</w:t>
      </w:r>
    </w:p>
    <w:p w14:paraId="125D043A" w14:textId="77777777" w:rsidR="000915DB" w:rsidRPr="0070734A" w:rsidRDefault="000915DB" w:rsidP="0070734A">
      <w:pPr>
        <w:pStyle w:val="NormalWeb"/>
        <w:numPr>
          <w:ilvl w:val="0"/>
          <w:numId w:val="6"/>
        </w:numPr>
        <w:tabs>
          <w:tab w:val="left" w:pos="426"/>
        </w:tabs>
        <w:spacing w:before="0" w:after="120"/>
        <w:jc w:val="both"/>
      </w:pPr>
      <w:r w:rsidRPr="0070734A">
        <w:t>účelová zařízení registrovaných církví a náboženských společností zřízená podle zákona č. 3/2002 Sb., o svobodě náboženského vyznání a postavení církví a náboženských společností</w:t>
      </w:r>
      <w:r w:rsidRPr="0070734A">
        <w:rPr>
          <w:lang w:eastAsia="cs-CZ"/>
        </w:rPr>
        <w:t xml:space="preserve"> a o změně některých zákonů (zákon o církvích a náboženských společnostech)</w:t>
      </w:r>
      <w:r w:rsidRPr="0070734A">
        <w:t>, ve znění pozdějších předpisů;</w:t>
      </w:r>
    </w:p>
    <w:p w14:paraId="1577F2B3" w14:textId="77777777" w:rsidR="000915DB" w:rsidRPr="0070734A" w:rsidRDefault="000915DB" w:rsidP="0070734A">
      <w:pPr>
        <w:pStyle w:val="NormalWeb"/>
        <w:numPr>
          <w:ilvl w:val="0"/>
          <w:numId w:val="6"/>
        </w:numPr>
        <w:tabs>
          <w:tab w:val="left" w:pos="426"/>
        </w:tabs>
        <w:spacing w:after="120"/>
        <w:rPr>
          <w:color w:val="000000"/>
        </w:rPr>
      </w:pPr>
      <w:r w:rsidRPr="0070734A">
        <w:t xml:space="preserve">ústavy (zapsané ústavy zřízené podle občanského zákoníku). </w:t>
      </w:r>
    </w:p>
    <w:p w14:paraId="35A67766" w14:textId="77777777" w:rsidR="000915DB" w:rsidRPr="0070734A" w:rsidRDefault="000915DB" w:rsidP="0070734A">
      <w:pPr>
        <w:autoSpaceDE w:val="0"/>
        <w:autoSpaceDN w:val="0"/>
        <w:adjustRightInd w:val="0"/>
      </w:pPr>
    </w:p>
    <w:p w14:paraId="4E3F4AA3" w14:textId="77777777" w:rsidR="000915DB" w:rsidRPr="0070734A" w:rsidRDefault="000915DB" w:rsidP="0070734A">
      <w:pPr>
        <w:jc w:val="both"/>
      </w:pPr>
      <w:r w:rsidRPr="0070734A">
        <w:t>V souladu s Koncepcí podpory lidských práv a transformační spolupráce a příslušným metodickým pokynem nejsou dotace z Programu transformační spolupráce poskytovány územním samosprávným celkům, mezinárodním organizacím, dobrovolným svazkům obcí a univerzitám.</w:t>
      </w:r>
    </w:p>
    <w:p w14:paraId="6D1F2D19" w14:textId="77777777" w:rsidR="00282546" w:rsidRPr="0070734A" w:rsidRDefault="00282546" w:rsidP="0070734A">
      <w:pPr>
        <w:jc w:val="both"/>
      </w:pPr>
    </w:p>
    <w:p w14:paraId="601208C6" w14:textId="77777777" w:rsidR="000915DB" w:rsidRPr="0070734A" w:rsidRDefault="000915DB" w:rsidP="0070734A">
      <w:pPr>
        <w:pStyle w:val="PlainText"/>
        <w:jc w:val="both"/>
        <w:rPr>
          <w:rFonts w:ascii="Times New Roman" w:hAnsi="Times New Roman"/>
          <w:bCs/>
          <w:sz w:val="24"/>
          <w:szCs w:val="24"/>
        </w:rPr>
      </w:pPr>
    </w:p>
    <w:p w14:paraId="2EE774F7" w14:textId="77777777" w:rsidR="000915DB" w:rsidRPr="0070734A" w:rsidRDefault="000915DB" w:rsidP="0070734A">
      <w:pPr>
        <w:pStyle w:val="PlainText"/>
        <w:rPr>
          <w:rFonts w:ascii="Times New Roman" w:eastAsia="MS Mincho" w:hAnsi="Times New Roman"/>
          <w:b/>
          <w:bCs/>
          <w:sz w:val="24"/>
          <w:szCs w:val="24"/>
        </w:rPr>
      </w:pPr>
      <w:r w:rsidRPr="0070734A">
        <w:rPr>
          <w:rFonts w:ascii="Times New Roman" w:eastAsia="MS Mincho" w:hAnsi="Times New Roman"/>
          <w:b/>
          <w:bCs/>
          <w:sz w:val="24"/>
          <w:szCs w:val="24"/>
        </w:rPr>
        <w:t>III. PODMÍNKY ÚČASTI VE VÝBĚROVÉM ŘÍZENÍ</w:t>
      </w:r>
    </w:p>
    <w:p w14:paraId="007EE3D4" w14:textId="77777777" w:rsidR="000915DB" w:rsidRPr="0070734A" w:rsidRDefault="000915DB" w:rsidP="0070734A">
      <w:pPr>
        <w:pStyle w:val="PlainText"/>
        <w:rPr>
          <w:rFonts w:ascii="Times New Roman" w:eastAsia="MS Mincho" w:hAnsi="Times New Roman"/>
          <w:b/>
          <w:bCs/>
          <w:sz w:val="24"/>
          <w:szCs w:val="24"/>
        </w:rPr>
      </w:pPr>
    </w:p>
    <w:p w14:paraId="1EF6E30E" w14:textId="77777777" w:rsidR="000915DB" w:rsidRPr="0070734A" w:rsidRDefault="000915DB" w:rsidP="0070734A">
      <w:pPr>
        <w:pStyle w:val="Prosttext1"/>
        <w:widowControl/>
        <w:numPr>
          <w:ilvl w:val="0"/>
          <w:numId w:val="7"/>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Účastníkem řízení o poskytnutí dotace je pouze žadatel o dotaci (dále jen „žadatel“).</w:t>
      </w:r>
      <w:r w:rsidRPr="0070734A">
        <w:rPr>
          <w:rStyle w:val="FootnoteReference"/>
          <w:rFonts w:ascii="Times New Roman" w:hAnsi="Times New Roman" w:cs="Times New Roman"/>
          <w:sz w:val="24"/>
          <w:szCs w:val="24"/>
        </w:rPr>
        <w:footnoteReference w:id="1"/>
      </w:r>
    </w:p>
    <w:p w14:paraId="00715BEB" w14:textId="77777777" w:rsidR="000915DB" w:rsidRPr="0070734A" w:rsidRDefault="000915DB" w:rsidP="0070734A">
      <w:pPr>
        <w:pStyle w:val="Prosttext1"/>
        <w:widowControl/>
        <w:numPr>
          <w:ilvl w:val="0"/>
          <w:numId w:val="7"/>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Dodržení předepsaného způsobu a termínu pro předložení návrhu projektu.</w:t>
      </w:r>
    </w:p>
    <w:p w14:paraId="17DFFE75" w14:textId="77777777" w:rsidR="000915DB" w:rsidRPr="0070734A" w:rsidRDefault="000915DB" w:rsidP="0070734A">
      <w:pPr>
        <w:pStyle w:val="Prosttext1"/>
        <w:widowControl/>
        <w:numPr>
          <w:ilvl w:val="0"/>
          <w:numId w:val="7"/>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Dodržení předepsaného okruhu oprávněných žadatelů.</w:t>
      </w:r>
    </w:p>
    <w:p w14:paraId="0731938E" w14:textId="77777777" w:rsidR="000915DB" w:rsidRPr="0070734A" w:rsidRDefault="000915DB" w:rsidP="0070734A">
      <w:pPr>
        <w:pStyle w:val="Prosttext1"/>
        <w:widowControl/>
        <w:numPr>
          <w:ilvl w:val="0"/>
          <w:numId w:val="7"/>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Soulad žádosti s vyhlašovaným tematickým a geografickým zaměřením dotace, výší dotace a podílem spolufinancování žadatele.</w:t>
      </w:r>
    </w:p>
    <w:p w14:paraId="13F66908" w14:textId="77777777" w:rsidR="000915DB" w:rsidRPr="0070734A" w:rsidRDefault="000915DB" w:rsidP="0070734A">
      <w:pPr>
        <w:pStyle w:val="Prosttext1"/>
        <w:widowControl/>
        <w:numPr>
          <w:ilvl w:val="0"/>
          <w:numId w:val="7"/>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Správné a úplné vyplnění závazných formulářů žádosti a jejích příloh a jejich včasné a úplné vložení do elektronického systému Grantys.</w:t>
      </w:r>
    </w:p>
    <w:p w14:paraId="6F282574" w14:textId="77777777" w:rsidR="000915DB" w:rsidRPr="0070734A" w:rsidRDefault="000915DB" w:rsidP="0070734A">
      <w:pPr>
        <w:pStyle w:val="PlainText"/>
        <w:rPr>
          <w:rFonts w:ascii="Times New Roman" w:eastAsia="MS Mincho" w:hAnsi="Times New Roman"/>
          <w:sz w:val="24"/>
          <w:szCs w:val="24"/>
        </w:rPr>
      </w:pPr>
    </w:p>
    <w:p w14:paraId="7231D344" w14:textId="77777777" w:rsidR="00282546" w:rsidRPr="0070734A" w:rsidRDefault="00282546" w:rsidP="0070734A">
      <w:pPr>
        <w:pStyle w:val="PlainText"/>
        <w:rPr>
          <w:rFonts w:ascii="Times New Roman" w:eastAsia="MS Mincho" w:hAnsi="Times New Roman"/>
          <w:sz w:val="24"/>
          <w:szCs w:val="24"/>
        </w:rPr>
      </w:pPr>
    </w:p>
    <w:p w14:paraId="7C82C8EB" w14:textId="77777777" w:rsidR="000915DB" w:rsidRPr="0070734A" w:rsidRDefault="000915DB" w:rsidP="0070734A">
      <w:pPr>
        <w:pStyle w:val="PlainText"/>
        <w:rPr>
          <w:rFonts w:ascii="Times New Roman" w:eastAsia="MS Mincho" w:hAnsi="Times New Roman"/>
          <w:b/>
          <w:bCs/>
          <w:sz w:val="24"/>
          <w:szCs w:val="24"/>
        </w:rPr>
      </w:pPr>
      <w:r w:rsidRPr="0070734A">
        <w:rPr>
          <w:rFonts w:ascii="Times New Roman" w:eastAsia="MS Mincho" w:hAnsi="Times New Roman"/>
          <w:b/>
          <w:bCs/>
          <w:sz w:val="24"/>
          <w:szCs w:val="24"/>
        </w:rPr>
        <w:lastRenderedPageBreak/>
        <w:t>IV. POUŽITÍ DOTACE</w:t>
      </w:r>
    </w:p>
    <w:p w14:paraId="4062CAE5" w14:textId="77777777" w:rsidR="000915DB" w:rsidRPr="0070734A" w:rsidRDefault="000915DB" w:rsidP="0070734A">
      <w:pPr>
        <w:pStyle w:val="PlainText"/>
        <w:jc w:val="both"/>
        <w:rPr>
          <w:rFonts w:ascii="Times New Roman" w:eastAsia="MS Mincho" w:hAnsi="Times New Roman"/>
          <w:sz w:val="24"/>
          <w:szCs w:val="24"/>
        </w:rPr>
      </w:pPr>
    </w:p>
    <w:p w14:paraId="290E7FD8" w14:textId="77777777" w:rsidR="000915DB" w:rsidRDefault="000915DB" w:rsidP="0070734A">
      <w:pPr>
        <w:pStyle w:val="PlainText"/>
        <w:numPr>
          <w:ilvl w:val="0"/>
          <w:numId w:val="8"/>
        </w:numPr>
        <w:tabs>
          <w:tab w:val="left" w:pos="360"/>
        </w:tabs>
        <w:jc w:val="both"/>
        <w:rPr>
          <w:rFonts w:ascii="Times New Roman" w:eastAsia="MS Mincho" w:hAnsi="Times New Roman"/>
          <w:b/>
          <w:sz w:val="24"/>
          <w:szCs w:val="24"/>
        </w:rPr>
      </w:pPr>
      <w:r w:rsidRPr="0070734A">
        <w:rPr>
          <w:rFonts w:ascii="Times New Roman" w:hAnsi="Times New Roman"/>
          <w:b/>
          <w:sz w:val="24"/>
          <w:szCs w:val="24"/>
        </w:rPr>
        <w:t>Dotace může být poskytnuta</w:t>
      </w:r>
      <w:r w:rsidRPr="0070734A">
        <w:rPr>
          <w:rFonts w:ascii="Times New Roman" w:hAnsi="Times New Roman"/>
          <w:sz w:val="24"/>
          <w:szCs w:val="24"/>
        </w:rPr>
        <w:t xml:space="preserve"> </w:t>
      </w:r>
      <w:r w:rsidRPr="0070734A">
        <w:rPr>
          <w:rFonts w:ascii="Times New Roman" w:eastAsia="MS Mincho" w:hAnsi="Times New Roman"/>
          <w:b/>
          <w:sz w:val="24"/>
          <w:szCs w:val="24"/>
        </w:rPr>
        <w:t>do maximální výše 90 % rozpočtovaných výdajů schváleného projektu, v případě víceletých projektů do maximální výše 90 % rozpočtovaných výdajů schváleného projektu v každém jednotlivém roce.</w:t>
      </w:r>
    </w:p>
    <w:p w14:paraId="2C4B5457" w14:textId="77777777" w:rsidR="0070734A" w:rsidRPr="0070734A" w:rsidRDefault="0070734A" w:rsidP="0070734A">
      <w:pPr>
        <w:pStyle w:val="PlainText"/>
        <w:tabs>
          <w:tab w:val="left" w:pos="360"/>
        </w:tabs>
        <w:ind w:left="360"/>
        <w:jc w:val="both"/>
        <w:rPr>
          <w:rFonts w:ascii="Times New Roman" w:eastAsia="MS Mincho" w:hAnsi="Times New Roman"/>
          <w:b/>
          <w:sz w:val="24"/>
          <w:szCs w:val="24"/>
        </w:rPr>
      </w:pPr>
    </w:p>
    <w:p w14:paraId="60EF6366" w14:textId="77777777" w:rsidR="000915DB" w:rsidRPr="0070734A" w:rsidRDefault="000915DB" w:rsidP="0070734A">
      <w:pPr>
        <w:pStyle w:val="Prosttext1"/>
        <w:widowControl/>
        <w:numPr>
          <w:ilvl w:val="0"/>
          <w:numId w:val="8"/>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 xml:space="preserve">Dotace se poskytuje jen na úhradu nezbytných výdajů projektu, jmenovitě těch, které jsou uvedeny jako uznatelné výdaje v příloze č. VIII. </w:t>
      </w:r>
      <w:r w:rsidRPr="0070734A">
        <w:rPr>
          <w:rFonts w:ascii="Times New Roman" w:eastAsia="MS Mincho" w:hAnsi="Times New Roman" w:cs="Times New Roman"/>
          <w:sz w:val="24"/>
          <w:szCs w:val="24"/>
        </w:rPr>
        <w:t>O případných výjimkách může rozhodnout poskytovatel dotace na základě odůvodněné žádosti příjemce dotace.</w:t>
      </w:r>
    </w:p>
    <w:p w14:paraId="5AC51911" w14:textId="77777777" w:rsidR="000915DB" w:rsidRPr="0070734A" w:rsidRDefault="000915DB" w:rsidP="0070734A">
      <w:pPr>
        <w:pStyle w:val="Prosttext1"/>
        <w:widowControl/>
        <w:numPr>
          <w:ilvl w:val="0"/>
          <w:numId w:val="8"/>
        </w:numPr>
        <w:tabs>
          <w:tab w:val="left" w:pos="360"/>
        </w:tabs>
        <w:spacing w:after="120"/>
        <w:jc w:val="both"/>
        <w:rPr>
          <w:rFonts w:ascii="Times New Roman" w:hAnsi="Times New Roman" w:cs="Times New Roman"/>
          <w:sz w:val="24"/>
          <w:szCs w:val="24"/>
        </w:rPr>
      </w:pPr>
      <w:r w:rsidRPr="0070734A">
        <w:rPr>
          <w:rFonts w:ascii="Times New Roman" w:eastAsia="MS Mincho" w:hAnsi="Times New Roman" w:cs="Times New Roman"/>
          <w:sz w:val="24"/>
          <w:szCs w:val="24"/>
        </w:rPr>
        <w:t>V případě předložení víceletého projektu musí být projekt zpracován tak, že každá etapa bude ukončena vždy ke konci kalendářního roku. Na každý rok realizace projektu bude vystaveno nové rozhodnutí o poskytnutí dotace (dále jen „rozhodnutí“). Jestliže bude u víceletého projektu na základě roční zprávy kladně vyhodnocena jeho realizace, je MZV připraveno poskytnout z účelově vázaných prostředků na transformační spolupráci finanční prostředky na realizaci daného projektu v roce následujícím. To vše za předpokladu, že schválený státní rozpočet na daný rok MZV poskytnutí příslušných prostředků umožní.</w:t>
      </w:r>
    </w:p>
    <w:p w14:paraId="565F9949" w14:textId="77777777" w:rsidR="000915DB" w:rsidRPr="0070734A" w:rsidRDefault="000915DB" w:rsidP="0070734A">
      <w:pPr>
        <w:pStyle w:val="Prosttext1"/>
        <w:widowControl/>
        <w:numPr>
          <w:ilvl w:val="0"/>
          <w:numId w:val="8"/>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lang w:eastAsia="cs-CZ"/>
        </w:rPr>
        <w:t>Úspěšný žadatel o dotaci (dále „</w:t>
      </w:r>
      <w:r w:rsidRPr="0070734A">
        <w:rPr>
          <w:rFonts w:ascii="Times New Roman" w:hAnsi="Times New Roman" w:cs="Times New Roman"/>
          <w:bCs/>
          <w:sz w:val="24"/>
          <w:szCs w:val="24"/>
          <w:lang w:eastAsia="cs-CZ"/>
        </w:rPr>
        <w:t>příjemce</w:t>
      </w:r>
      <w:r w:rsidRPr="0070734A">
        <w:rPr>
          <w:rFonts w:ascii="Times New Roman" w:hAnsi="Times New Roman" w:cs="Times New Roman"/>
          <w:sz w:val="24"/>
          <w:szCs w:val="24"/>
          <w:lang w:eastAsia="cs-CZ"/>
        </w:rPr>
        <w:t>“)</w:t>
      </w:r>
      <w:r w:rsidRPr="0070734A">
        <w:rPr>
          <w:rFonts w:ascii="Times New Roman" w:hAnsi="Times New Roman" w:cs="Times New Roman"/>
          <w:sz w:val="24"/>
          <w:szCs w:val="24"/>
        </w:rPr>
        <w:t xml:space="preserve"> může poskytovat prostředky z dotace ze státního rozpočtu jiným fyzickým nebo právnickým osobám pouze tehdy, jedná-li se o  úhradu výrobků, materiálu, výkonů, služeb a mezd (včetně odvodů zaměstnavatele) prokazatelně spojených s realizací schváleného projektu, na který byly prostředky poskytnuty. Dotaci nelze použít k financování podnikatelských aktivit ani ke generování zisku.</w:t>
      </w:r>
    </w:p>
    <w:p w14:paraId="2C8865E1" w14:textId="77777777" w:rsidR="000915DB" w:rsidRPr="0070734A" w:rsidRDefault="000915DB" w:rsidP="0070734A">
      <w:pPr>
        <w:numPr>
          <w:ilvl w:val="0"/>
          <w:numId w:val="8"/>
        </w:numPr>
        <w:tabs>
          <w:tab w:val="left" w:pos="360"/>
        </w:tabs>
        <w:autoSpaceDE w:val="0"/>
        <w:autoSpaceDN w:val="0"/>
        <w:adjustRightInd w:val="0"/>
        <w:spacing w:after="120"/>
        <w:ind w:left="357" w:hanging="357"/>
        <w:jc w:val="both"/>
      </w:pPr>
      <w:r w:rsidRPr="0070734A">
        <w:t>Na poskytnutí dotace není právní nárok. Proti rozhodnutí poskytovatele o poskytnutí, zamítnutí nebo částečném zamítnutí žádosti o dotaci není přípustné odvolání ani rozklad. Obnova řízení se nepřipouští. Přezkumné řízení se nepřipouští, s výjimkou postupu podle § 153 odst. 1 písm. a) správního řádu.</w:t>
      </w:r>
    </w:p>
    <w:p w14:paraId="07B932D9" w14:textId="77777777" w:rsidR="000915DB" w:rsidRPr="0070734A" w:rsidRDefault="000915DB" w:rsidP="0070734A">
      <w:pPr>
        <w:pStyle w:val="Prosttext1"/>
        <w:widowControl/>
        <w:numPr>
          <w:ilvl w:val="0"/>
          <w:numId w:val="8"/>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 xml:space="preserve">Realizace celého projektu, včetně využití dotace, musí být evidována tak, aby bylo možné </w:t>
      </w:r>
      <w:r w:rsidRPr="0070734A">
        <w:rPr>
          <w:rFonts w:ascii="Times New Roman" w:hAnsi="Times New Roman" w:cs="Times New Roman"/>
          <w:sz w:val="24"/>
          <w:szCs w:val="24"/>
          <w:lang w:eastAsia="cs-CZ"/>
        </w:rPr>
        <w:t xml:space="preserve">podle příslušných právních předpisů </w:t>
      </w:r>
      <w:r w:rsidRPr="0070734A">
        <w:rPr>
          <w:rFonts w:ascii="Times New Roman" w:hAnsi="Times New Roman" w:cs="Times New Roman"/>
          <w:sz w:val="24"/>
          <w:szCs w:val="24"/>
        </w:rPr>
        <w:t xml:space="preserve">dohledat příslušné účetní doklady. </w:t>
      </w:r>
    </w:p>
    <w:p w14:paraId="66E05498" w14:textId="77777777" w:rsidR="000915DB" w:rsidRPr="0070734A" w:rsidRDefault="000915DB" w:rsidP="0070734A">
      <w:pPr>
        <w:pStyle w:val="PlainText"/>
        <w:jc w:val="both"/>
        <w:rPr>
          <w:rFonts w:ascii="Times New Roman" w:eastAsia="MS Mincho" w:hAnsi="Times New Roman"/>
          <w:sz w:val="24"/>
          <w:szCs w:val="24"/>
        </w:rPr>
      </w:pPr>
    </w:p>
    <w:p w14:paraId="471A3A0A" w14:textId="77777777" w:rsidR="000915DB" w:rsidRPr="0070734A" w:rsidRDefault="000915DB" w:rsidP="0070734A">
      <w:pPr>
        <w:pStyle w:val="PlainText"/>
        <w:rPr>
          <w:rFonts w:ascii="Times New Roman" w:eastAsia="MS Mincho" w:hAnsi="Times New Roman"/>
          <w:b/>
          <w:bCs/>
          <w:sz w:val="24"/>
          <w:szCs w:val="24"/>
        </w:rPr>
      </w:pPr>
    </w:p>
    <w:p w14:paraId="54315DE9" w14:textId="77777777" w:rsidR="000915DB" w:rsidRPr="0070734A" w:rsidRDefault="000915DB" w:rsidP="0070734A">
      <w:pPr>
        <w:pStyle w:val="PlainText"/>
        <w:keepLines/>
        <w:rPr>
          <w:rFonts w:ascii="Times New Roman" w:eastAsia="MS Mincho" w:hAnsi="Times New Roman"/>
          <w:b/>
          <w:bCs/>
          <w:sz w:val="24"/>
          <w:szCs w:val="24"/>
        </w:rPr>
      </w:pPr>
      <w:r w:rsidRPr="0070734A">
        <w:rPr>
          <w:rFonts w:ascii="Times New Roman" w:eastAsia="MS Mincho" w:hAnsi="Times New Roman"/>
          <w:b/>
          <w:bCs/>
          <w:sz w:val="24"/>
          <w:szCs w:val="24"/>
        </w:rPr>
        <w:t xml:space="preserve">V. POSKYTNUTÍ DOTACE </w:t>
      </w:r>
    </w:p>
    <w:p w14:paraId="04EC8A0A" w14:textId="77777777" w:rsidR="000915DB" w:rsidRPr="0070734A" w:rsidRDefault="000915DB" w:rsidP="0070734A">
      <w:pPr>
        <w:pStyle w:val="PlainText"/>
        <w:keepLines/>
        <w:rPr>
          <w:rFonts w:ascii="Times New Roman" w:eastAsia="MS Mincho" w:hAnsi="Times New Roman"/>
          <w:b/>
          <w:bCs/>
          <w:sz w:val="24"/>
          <w:szCs w:val="24"/>
        </w:rPr>
      </w:pPr>
    </w:p>
    <w:p w14:paraId="017865AC" w14:textId="77777777" w:rsidR="000915DB" w:rsidRPr="0070734A" w:rsidRDefault="000915DB" w:rsidP="0070734A">
      <w:pPr>
        <w:pStyle w:val="Prosttext1"/>
        <w:widowControl/>
        <w:numPr>
          <w:ilvl w:val="0"/>
          <w:numId w:val="9"/>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 xml:space="preserve">Dotace bude poskytována z prostředků státního rozpočtu na základě rozhodnutí poskytovatele o poskytnutí neinvestiční dotace ze státního rozpočtu ČR na rok 2026 a lze ji použít pouze na účel uvedený v rozhodnutí. Přitom je potřebné dodržet výši a skladbu výdajů týkajících se poskytnuté dotace tak, jak byly v rozhodnutí schváleny. </w:t>
      </w:r>
      <w:r w:rsidRPr="0070734A">
        <w:rPr>
          <w:rFonts w:ascii="Times New Roman" w:eastAsia="MS Mincho" w:hAnsi="Times New Roman" w:cs="Times New Roman"/>
          <w:sz w:val="24"/>
          <w:szCs w:val="24"/>
        </w:rPr>
        <w:t>Na každý rok realizace projektu bude vystaveno samostatné rozhodnutí.</w:t>
      </w:r>
    </w:p>
    <w:p w14:paraId="02E12844" w14:textId="77777777" w:rsidR="000915DB" w:rsidRPr="0070734A" w:rsidRDefault="000915DB" w:rsidP="0070734A">
      <w:pPr>
        <w:pStyle w:val="Prosttext1"/>
        <w:widowControl/>
        <w:numPr>
          <w:ilvl w:val="0"/>
          <w:numId w:val="9"/>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 xml:space="preserve">Dotace se poskytuje zpravidla ve dvou splátkách po vydání rozhodnutí. Případné zásadní změny výdajů v rozhodnutí v průběhu rozpočtového roku může poskytovatel provést na základě žádosti příjemce generované v systému Grantys vydáním nového rozhodnutí. V rozhodnutí o poskytnutí dotace ze státního rozpočtu stanoví poskytovatel písemně podmínky, které je příjemce při používání dotace povinen dodržet. </w:t>
      </w:r>
    </w:p>
    <w:p w14:paraId="12D275B3" w14:textId="77777777" w:rsidR="000915DB" w:rsidRPr="0070734A" w:rsidRDefault="000915DB" w:rsidP="0070734A">
      <w:pPr>
        <w:numPr>
          <w:ilvl w:val="0"/>
          <w:numId w:val="9"/>
        </w:numPr>
        <w:tabs>
          <w:tab w:val="left" w:pos="360"/>
        </w:tabs>
        <w:suppressAutoHyphens/>
        <w:jc w:val="both"/>
      </w:pPr>
      <w:r w:rsidRPr="0070734A">
        <w:t>Poskytovatel na základě žádosti o poskytnutí dotace rozhodnutím:</w:t>
      </w:r>
    </w:p>
    <w:p w14:paraId="2EFA0D75" w14:textId="77777777" w:rsidR="000915DB" w:rsidRPr="0070734A" w:rsidRDefault="000915DB" w:rsidP="0070734A">
      <w:pPr>
        <w:ind w:left="360"/>
        <w:jc w:val="both"/>
      </w:pPr>
      <w:r w:rsidRPr="0070734A">
        <w:t>- dotaci zcela poskytne, nebo</w:t>
      </w:r>
    </w:p>
    <w:p w14:paraId="49E32040" w14:textId="77777777" w:rsidR="000915DB" w:rsidRPr="0070734A" w:rsidRDefault="000915DB" w:rsidP="0070734A">
      <w:pPr>
        <w:ind w:left="360"/>
        <w:jc w:val="both"/>
      </w:pPr>
      <w:r w:rsidRPr="0070734A">
        <w:t>- žádost o poskytnutí dotace zcela zamítne, nebo</w:t>
      </w:r>
    </w:p>
    <w:p w14:paraId="2959182C" w14:textId="77777777" w:rsidR="000915DB" w:rsidRPr="0070734A" w:rsidRDefault="000915DB" w:rsidP="0070734A">
      <w:pPr>
        <w:ind w:left="360"/>
        <w:jc w:val="both"/>
      </w:pPr>
      <w:r w:rsidRPr="0070734A">
        <w:t>- dotaci zčásti poskytne a zároveň žádost ve zbytku zamítne.</w:t>
      </w:r>
    </w:p>
    <w:p w14:paraId="5A0114C4" w14:textId="77777777" w:rsidR="000915DB" w:rsidRPr="0070734A" w:rsidRDefault="000915DB" w:rsidP="0070734A">
      <w:pPr>
        <w:pStyle w:val="Prosttext1"/>
        <w:widowControl/>
        <w:numPr>
          <w:ilvl w:val="0"/>
          <w:numId w:val="9"/>
        </w:numPr>
        <w:tabs>
          <w:tab w:val="left" w:pos="360"/>
        </w:tabs>
        <w:spacing w:before="240" w:after="120"/>
        <w:jc w:val="both"/>
        <w:rPr>
          <w:rFonts w:ascii="Times New Roman" w:hAnsi="Times New Roman" w:cs="Times New Roman"/>
          <w:sz w:val="24"/>
          <w:szCs w:val="24"/>
        </w:rPr>
      </w:pPr>
      <w:r w:rsidRPr="0070734A">
        <w:rPr>
          <w:rFonts w:ascii="Times New Roman" w:hAnsi="Times New Roman" w:cs="Times New Roman"/>
          <w:sz w:val="24"/>
          <w:szCs w:val="24"/>
        </w:rPr>
        <w:t xml:space="preserve">Rozhodnutí zohlední ustanovení uvedená v Zásadách. Nedílnou součástí rozhodnutí jsou: </w:t>
      </w:r>
    </w:p>
    <w:p w14:paraId="768699A9" w14:textId="77777777" w:rsidR="000915DB" w:rsidRPr="0070734A" w:rsidRDefault="000915DB" w:rsidP="0070734A">
      <w:pPr>
        <w:pStyle w:val="NormalWeb"/>
        <w:numPr>
          <w:ilvl w:val="0"/>
          <w:numId w:val="10"/>
        </w:numPr>
        <w:tabs>
          <w:tab w:val="left" w:pos="426"/>
        </w:tabs>
        <w:spacing w:before="0" w:after="120"/>
        <w:jc w:val="both"/>
      </w:pPr>
      <w:r w:rsidRPr="0070734A">
        <w:lastRenderedPageBreak/>
        <w:t xml:space="preserve">tabulka výstupů a aktivit projektu (příloha č. I  výzvy a rozhodnutí), </w:t>
      </w:r>
    </w:p>
    <w:p w14:paraId="24C1EF44" w14:textId="77777777" w:rsidR="000915DB" w:rsidRPr="0070734A" w:rsidRDefault="000915DB" w:rsidP="0070734A">
      <w:pPr>
        <w:pStyle w:val="NormalWeb"/>
        <w:numPr>
          <w:ilvl w:val="0"/>
          <w:numId w:val="10"/>
        </w:numPr>
        <w:tabs>
          <w:tab w:val="left" w:pos="426"/>
        </w:tabs>
        <w:spacing w:before="0" w:after="120"/>
        <w:jc w:val="both"/>
      </w:pPr>
      <w:r w:rsidRPr="0070734A">
        <w:t>strukturovaný rozpočet projektu (příloha č. II výzvy a rozhodnutí) a</w:t>
      </w:r>
    </w:p>
    <w:p w14:paraId="3F04DBBF" w14:textId="77777777" w:rsidR="000915DB" w:rsidRPr="0070734A" w:rsidRDefault="000915DB" w:rsidP="0070734A">
      <w:pPr>
        <w:pStyle w:val="NormalWeb"/>
        <w:keepLines/>
        <w:numPr>
          <w:ilvl w:val="0"/>
          <w:numId w:val="10"/>
        </w:numPr>
        <w:tabs>
          <w:tab w:val="left" w:pos="426"/>
        </w:tabs>
        <w:spacing w:before="0" w:after="120"/>
        <w:jc w:val="both"/>
        <w:rPr>
          <w:rFonts w:eastAsia="MS Mincho"/>
          <w:b/>
          <w:bCs/>
        </w:rPr>
      </w:pPr>
      <w:r w:rsidRPr="0070734A">
        <w:t>stanovení uznatelných výdajů projektu pro rok 2026 (příloha č. VIII výzvy a č. III rozhodnutí).</w:t>
      </w:r>
    </w:p>
    <w:p w14:paraId="386EF246" w14:textId="77777777" w:rsidR="000915DB" w:rsidRPr="0070734A" w:rsidRDefault="000915DB" w:rsidP="0070734A">
      <w:pPr>
        <w:jc w:val="both"/>
        <w:rPr>
          <w:rFonts w:eastAsia="MS Mincho"/>
        </w:rPr>
      </w:pPr>
    </w:p>
    <w:p w14:paraId="135130A3" w14:textId="77777777" w:rsidR="000915DB" w:rsidRPr="0070734A" w:rsidRDefault="000915DB" w:rsidP="0070734A">
      <w:pPr>
        <w:pStyle w:val="PlainText"/>
        <w:widowControl w:val="0"/>
        <w:jc w:val="both"/>
        <w:rPr>
          <w:rFonts w:ascii="Times New Roman" w:eastAsia="MS Mincho" w:hAnsi="Times New Roman"/>
          <w:sz w:val="24"/>
          <w:szCs w:val="24"/>
        </w:rPr>
      </w:pPr>
      <w:r w:rsidRPr="0070734A">
        <w:rPr>
          <w:rFonts w:ascii="Times New Roman" w:eastAsia="MS Mincho" w:hAnsi="Times New Roman"/>
          <w:sz w:val="24"/>
          <w:szCs w:val="24"/>
        </w:rPr>
        <w:t xml:space="preserve">Finanční prostředky budou uvolňovány v souladu s regulací čerpání výdajů státního rozpočtu ČR na rok </w:t>
      </w:r>
      <w:r w:rsidRPr="0070734A">
        <w:rPr>
          <w:rFonts w:ascii="Times New Roman" w:eastAsia="MS Mincho" w:hAnsi="Times New Roman"/>
          <w:iCs/>
          <w:sz w:val="24"/>
          <w:szCs w:val="24"/>
        </w:rPr>
        <w:t>2026</w:t>
      </w:r>
      <w:r w:rsidRPr="0070734A">
        <w:rPr>
          <w:rFonts w:ascii="Times New Roman" w:eastAsia="MS Mincho" w:hAnsi="Times New Roman"/>
          <w:i/>
          <w:iCs/>
          <w:sz w:val="24"/>
          <w:szCs w:val="24"/>
        </w:rPr>
        <w:t xml:space="preserve"> </w:t>
      </w:r>
      <w:r w:rsidRPr="0070734A">
        <w:rPr>
          <w:rFonts w:ascii="Times New Roman" w:eastAsia="MS Mincho" w:hAnsi="Times New Roman"/>
          <w:sz w:val="24"/>
          <w:szCs w:val="24"/>
        </w:rPr>
        <w:t xml:space="preserve">ve výši stanovené rozhodnutím. Poskytnutí dotace je vázáno na přidělení prostředků ze státního rozpočtu vyhlašovateli dotačního titulu. </w:t>
      </w:r>
    </w:p>
    <w:p w14:paraId="2CC3A273" w14:textId="77777777" w:rsidR="000915DB" w:rsidRPr="0070734A" w:rsidRDefault="000915DB" w:rsidP="0070734A">
      <w:pPr>
        <w:pStyle w:val="PlainText"/>
        <w:widowControl w:val="0"/>
        <w:jc w:val="both"/>
        <w:rPr>
          <w:rFonts w:ascii="Times New Roman" w:eastAsia="MS Mincho" w:hAnsi="Times New Roman"/>
          <w:sz w:val="24"/>
          <w:szCs w:val="24"/>
        </w:rPr>
      </w:pPr>
    </w:p>
    <w:p w14:paraId="683BE952" w14:textId="77777777" w:rsidR="000915DB" w:rsidRPr="0070734A" w:rsidRDefault="000915DB" w:rsidP="0070734A">
      <w:pPr>
        <w:pStyle w:val="PlainText"/>
        <w:keepLines/>
        <w:jc w:val="both"/>
        <w:rPr>
          <w:rFonts w:ascii="Times New Roman" w:eastAsia="MS Mincho" w:hAnsi="Times New Roman"/>
          <w:b/>
          <w:bCs/>
          <w:sz w:val="24"/>
          <w:szCs w:val="24"/>
        </w:rPr>
      </w:pPr>
      <w:r w:rsidRPr="0070734A">
        <w:rPr>
          <w:rFonts w:ascii="Times New Roman" w:eastAsia="MS Mincho" w:hAnsi="Times New Roman"/>
          <w:b/>
          <w:bCs/>
          <w:sz w:val="24"/>
          <w:szCs w:val="24"/>
        </w:rPr>
        <w:t>VI. KONTROLA VYUŽITÍ DOTACE</w:t>
      </w:r>
    </w:p>
    <w:p w14:paraId="5D72DCEF" w14:textId="77777777" w:rsidR="000915DB" w:rsidRPr="0070734A" w:rsidRDefault="000915DB" w:rsidP="0070734A">
      <w:pPr>
        <w:pStyle w:val="PlainText"/>
        <w:keepLines/>
        <w:jc w:val="both"/>
        <w:rPr>
          <w:rFonts w:ascii="Times New Roman" w:eastAsia="MS Mincho" w:hAnsi="Times New Roman"/>
          <w:sz w:val="24"/>
          <w:szCs w:val="24"/>
        </w:rPr>
      </w:pPr>
    </w:p>
    <w:p w14:paraId="1A92971E" w14:textId="77777777" w:rsidR="000915DB" w:rsidRPr="0070734A" w:rsidRDefault="000915DB" w:rsidP="0070734A">
      <w:pPr>
        <w:keepLines/>
        <w:autoSpaceDE w:val="0"/>
        <w:autoSpaceDN w:val="0"/>
        <w:adjustRightInd w:val="0"/>
        <w:jc w:val="both"/>
      </w:pPr>
      <w:r w:rsidRPr="0070734A">
        <w:t xml:space="preserve">Poskytovatel je oprávněn průběžně i po skončení kontrolovat realizaci projektu, průběh čerpání dotace a dodržení zásad </w:t>
      </w:r>
      <w:r w:rsidRPr="0070734A">
        <w:rPr>
          <w:rFonts w:eastAsia="Georgia"/>
        </w:rPr>
        <w:t>hospodárnosti, efektivnosti, účelnosti, a to v souladu se zákonem č. 255/2012 Sb., o kontrole (kontrolní řád)</w:t>
      </w:r>
      <w:r w:rsidRPr="0070734A">
        <w:t xml:space="preserve">, ve znění zákona č. 183/2017 Sb. Tím nejsou dotčena kontrolní oprávnění finančních orgánů a orgánů kontroly České republiky. Příjemce dotace umožní na požádání kontrolního orgánu provedení kontroly a ověření správnosti použití prostředků dotace v účetnictví </w:t>
      </w:r>
      <w:bookmarkStart w:id="13" w:name="_Hlk57035244"/>
      <w:bookmarkStart w:id="14" w:name="_Hlk57034306"/>
      <w:r w:rsidRPr="0070734A">
        <w:t>i ověřením uskutečnění činností příjemcem dotace</w:t>
      </w:r>
      <w:bookmarkEnd w:id="13"/>
      <w:r w:rsidRPr="0070734A">
        <w:t xml:space="preserve">. </w:t>
      </w:r>
      <w:bookmarkEnd w:id="14"/>
      <w:r w:rsidRPr="0070734A">
        <w:rPr>
          <w:rFonts w:eastAsia="Georgia"/>
        </w:rPr>
        <w:t xml:space="preserve">Předmětem kontrol je zejména fyzická kontrola originálů účetních dokladů vykázaných ve vyúčtování realizovaného projektu, jejich zaúčtování a jejich přímé souvislosti s realizovaným projektem a dodržení dalších ustanovení rozhodnutí o poskytnutí dotace. </w:t>
      </w:r>
      <w:r w:rsidRPr="0070734A">
        <w:t xml:space="preserve">Finanční kontrola, řízení o odnětí dotace a ukládání sankcí za porušení rozpočtové kázně se provádí v souladu s příslušnými ustanoveními rozpočtových pravidel, kontrolního řádu </w:t>
      </w:r>
      <w:r w:rsidRPr="0070734A">
        <w:rPr>
          <w:color w:val="000000"/>
        </w:rPr>
        <w:t xml:space="preserve">a zákona č. 320/2001 Sb., o finanční kontrole ve státní správě, v platném znění. </w:t>
      </w:r>
      <w:r w:rsidRPr="0070734A">
        <w:t>V případě, že kontrolní orgán zjistí kontrolou neoprávněné použití prostředků nebo zadržení prostředků, zajistí jejich vrácení do státního rozpočtu v souladu s platnými právními předpisy.</w:t>
      </w:r>
    </w:p>
    <w:p w14:paraId="04BC08A8" w14:textId="77777777" w:rsidR="000915DB" w:rsidRPr="0070734A" w:rsidRDefault="000915DB" w:rsidP="0070734A">
      <w:pPr>
        <w:keepLines/>
        <w:autoSpaceDE w:val="0"/>
        <w:autoSpaceDN w:val="0"/>
        <w:adjustRightInd w:val="0"/>
        <w:jc w:val="both"/>
        <w:rPr>
          <w:rFonts w:eastAsia="MS Mincho"/>
        </w:rPr>
      </w:pPr>
    </w:p>
    <w:p w14:paraId="3CA4D5B2" w14:textId="77777777" w:rsidR="000915DB" w:rsidRPr="0070734A" w:rsidRDefault="000915DB" w:rsidP="0070734A">
      <w:pPr>
        <w:pStyle w:val="PlainText"/>
        <w:rPr>
          <w:rFonts w:ascii="Times New Roman" w:eastAsia="MS Mincho" w:hAnsi="Times New Roman"/>
          <w:sz w:val="24"/>
          <w:szCs w:val="24"/>
        </w:rPr>
      </w:pPr>
    </w:p>
    <w:p w14:paraId="1AA6DE24" w14:textId="77777777" w:rsidR="000915DB" w:rsidRPr="0070734A" w:rsidRDefault="000915DB" w:rsidP="0070734A">
      <w:pPr>
        <w:pStyle w:val="PlainText"/>
        <w:keepLines/>
        <w:rPr>
          <w:rFonts w:ascii="Times New Roman" w:eastAsia="MS Mincho" w:hAnsi="Times New Roman"/>
          <w:b/>
          <w:bCs/>
          <w:sz w:val="24"/>
          <w:szCs w:val="24"/>
        </w:rPr>
      </w:pPr>
      <w:r w:rsidRPr="0070734A">
        <w:rPr>
          <w:rFonts w:ascii="Times New Roman" w:eastAsia="MS Mincho" w:hAnsi="Times New Roman"/>
          <w:b/>
          <w:bCs/>
          <w:sz w:val="24"/>
          <w:szCs w:val="24"/>
        </w:rPr>
        <w:t>VII. FINANČNÍ ZÚČTOVÁNÍ DOTACE SE STÁTNÍM ROZPOČTEM</w:t>
      </w:r>
    </w:p>
    <w:p w14:paraId="0EA4C1B4" w14:textId="77777777" w:rsidR="000915DB" w:rsidRPr="0070734A" w:rsidRDefault="000915DB" w:rsidP="0070734A">
      <w:pPr>
        <w:pStyle w:val="PlainText"/>
        <w:keepLines/>
        <w:rPr>
          <w:rFonts w:ascii="Times New Roman" w:eastAsia="MS Mincho" w:hAnsi="Times New Roman"/>
          <w:b/>
          <w:bCs/>
          <w:sz w:val="24"/>
          <w:szCs w:val="24"/>
        </w:rPr>
      </w:pPr>
    </w:p>
    <w:p w14:paraId="61A7D9D3" w14:textId="77777777" w:rsidR="000915DB" w:rsidRPr="0070734A" w:rsidRDefault="000915DB" w:rsidP="0070734A">
      <w:pPr>
        <w:pStyle w:val="Prosttext1"/>
        <w:widowControl/>
        <w:numPr>
          <w:ilvl w:val="0"/>
          <w:numId w:val="11"/>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Příjemce je povinen předložit poskytovateli nejpozději do 15. února 2027</w:t>
      </w:r>
      <w:r w:rsidR="00282546" w:rsidRPr="0070734A">
        <w:rPr>
          <w:rFonts w:ascii="Times New Roman" w:hAnsi="Times New Roman" w:cs="Times New Roman"/>
          <w:sz w:val="24"/>
          <w:szCs w:val="24"/>
        </w:rPr>
        <w:t xml:space="preserve"> </w:t>
      </w:r>
      <w:r w:rsidRPr="0070734A">
        <w:rPr>
          <w:rFonts w:ascii="Times New Roman" w:hAnsi="Times New Roman" w:cs="Times New Roman"/>
          <w:sz w:val="24"/>
          <w:szCs w:val="24"/>
        </w:rPr>
        <w:t xml:space="preserve">v elektronickém systému Grantys závěrečnou zprávu o realizaci projektu, včetně vyúčtování přidělené dotace spolu s dalšími výstupy a dokumenty specifikovanými v rozhodnutí. </w:t>
      </w:r>
    </w:p>
    <w:p w14:paraId="7F5C5FC5" w14:textId="77777777" w:rsidR="000915DB" w:rsidRPr="0070734A" w:rsidRDefault="000915DB" w:rsidP="0070734A">
      <w:pPr>
        <w:pStyle w:val="Prosttext1"/>
        <w:widowControl/>
        <w:numPr>
          <w:ilvl w:val="0"/>
          <w:numId w:val="11"/>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V rámci vyúčtování příjemce uvede:</w:t>
      </w:r>
    </w:p>
    <w:p w14:paraId="15D30CE5" w14:textId="77777777" w:rsidR="000915DB" w:rsidRPr="0070734A" w:rsidRDefault="000915DB" w:rsidP="0070734A">
      <w:pPr>
        <w:pStyle w:val="NormalWeb"/>
        <w:numPr>
          <w:ilvl w:val="0"/>
          <w:numId w:val="12"/>
        </w:numPr>
        <w:tabs>
          <w:tab w:val="left" w:pos="426"/>
        </w:tabs>
        <w:spacing w:before="0" w:after="120"/>
        <w:jc w:val="both"/>
      </w:pPr>
      <w:r w:rsidRPr="0070734A">
        <w:t>celkový rozpočet projektu schválený poskytovatelem;</w:t>
      </w:r>
    </w:p>
    <w:p w14:paraId="5CA25846" w14:textId="77777777" w:rsidR="000915DB" w:rsidRPr="0070734A" w:rsidRDefault="000915DB" w:rsidP="0070734A">
      <w:pPr>
        <w:pStyle w:val="NormalWeb"/>
        <w:numPr>
          <w:ilvl w:val="0"/>
          <w:numId w:val="12"/>
        </w:numPr>
        <w:tabs>
          <w:tab w:val="left" w:pos="426"/>
        </w:tabs>
        <w:spacing w:before="0" w:after="120"/>
        <w:jc w:val="both"/>
      </w:pPr>
      <w:r w:rsidRPr="0070734A">
        <w:t>rozpočet poskytnuté dotace na rok 2026;</w:t>
      </w:r>
    </w:p>
    <w:p w14:paraId="5B216047" w14:textId="77777777" w:rsidR="000915DB" w:rsidRPr="0070734A" w:rsidRDefault="000915DB" w:rsidP="0070734A">
      <w:pPr>
        <w:pStyle w:val="NormalWeb"/>
        <w:numPr>
          <w:ilvl w:val="0"/>
          <w:numId w:val="12"/>
        </w:numPr>
        <w:tabs>
          <w:tab w:val="left" w:pos="426"/>
        </w:tabs>
        <w:spacing w:before="0" w:after="120"/>
        <w:jc w:val="both"/>
      </w:pPr>
      <w:r w:rsidRPr="0070734A">
        <w:t>celkové uskutečněné výdaje projektu (spolu s uvedením vlastních a dalších zdrojů) v členění na jednotlivé položky v souladu s předloženým strukturovaným rozpočtem projektu k 31. 12. 2026;</w:t>
      </w:r>
    </w:p>
    <w:p w14:paraId="2A775E62" w14:textId="77777777" w:rsidR="000915DB" w:rsidRPr="0070734A" w:rsidRDefault="000915DB" w:rsidP="0070734A">
      <w:pPr>
        <w:pStyle w:val="NormalWeb"/>
        <w:numPr>
          <w:ilvl w:val="0"/>
          <w:numId w:val="12"/>
        </w:numPr>
        <w:tabs>
          <w:tab w:val="left" w:pos="426"/>
        </w:tabs>
        <w:spacing w:before="0" w:after="120"/>
        <w:jc w:val="both"/>
      </w:pPr>
      <w:r w:rsidRPr="0070734A">
        <w:t>skutečnou výši dotace, která byla použita na realizaci projektu v roce 2026 v členění na jednotlivé položky v souladu s předloženým rozpočtem projektu k 31. 12. 2026;</w:t>
      </w:r>
    </w:p>
    <w:p w14:paraId="406CA03B" w14:textId="77777777" w:rsidR="000915DB" w:rsidRPr="0070734A" w:rsidRDefault="000915DB" w:rsidP="0070734A">
      <w:pPr>
        <w:pStyle w:val="Prosttext1"/>
        <w:widowControl/>
        <w:numPr>
          <w:ilvl w:val="0"/>
          <w:numId w:val="11"/>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V rámci finančního vypořádání musí příjemce dotace předložit výsledek externího účetního auditu (zprávu nezávislého auditora) o správnosti vynaložení finančních prostředků na realizaci projektu. Zprávu vypracuje auditor s platným oprávněním Komory auditorů České republiky. Provedení externího auditu je uznatelným výdajem na realizaci projektu. Náklady vynaložené na uvedenou zprávu je nutno zahrnout do struktury rozpočtu projektu pro rok 2026.</w:t>
      </w:r>
    </w:p>
    <w:p w14:paraId="224BCDFA" w14:textId="77777777" w:rsidR="000915DB" w:rsidRPr="0070734A" w:rsidRDefault="000915DB" w:rsidP="0070734A">
      <w:pPr>
        <w:pStyle w:val="Prosttext1"/>
        <w:widowControl/>
        <w:numPr>
          <w:ilvl w:val="0"/>
          <w:numId w:val="11"/>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Příjemce je povinen současně s vyúčtováním dotace zaslat zprávu o realizaci projektu v rozpočtovém období, v němž mu byla poskytnuta.</w:t>
      </w:r>
    </w:p>
    <w:p w14:paraId="5129C1CB" w14:textId="77777777" w:rsidR="000915DB" w:rsidRPr="0070734A" w:rsidRDefault="000915DB" w:rsidP="0070734A">
      <w:pPr>
        <w:pStyle w:val="Prosttext1"/>
        <w:widowControl/>
        <w:numPr>
          <w:ilvl w:val="0"/>
          <w:numId w:val="11"/>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lastRenderedPageBreak/>
        <w:t xml:space="preserve">Příjemce je povinen přednostně vypořádat vztahy se státním rozpočtem a vrátit nevyčerpané prostředky spolu s vyúčtováním dotace. Lhůta je max. 30 kalendářních dnů od ukončení projektu, řádného či předčasného, případně od odstoupení od projektu. </w:t>
      </w:r>
    </w:p>
    <w:p w14:paraId="49FC57A5" w14:textId="77777777" w:rsidR="000915DB" w:rsidRPr="0070734A" w:rsidRDefault="000915DB" w:rsidP="0070734A">
      <w:pPr>
        <w:pStyle w:val="Prosttext1"/>
        <w:widowControl/>
        <w:numPr>
          <w:ilvl w:val="0"/>
          <w:numId w:val="11"/>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 xml:space="preserve">Poskytovatel je oprávněn ověřovat správnost věcného použití dotace ze státního rozpočtu. </w:t>
      </w:r>
    </w:p>
    <w:p w14:paraId="70BB390B" w14:textId="77777777" w:rsidR="000915DB" w:rsidRPr="0070734A" w:rsidRDefault="000915DB" w:rsidP="0070734A">
      <w:pPr>
        <w:pStyle w:val="Prosttext1"/>
        <w:keepLines/>
        <w:widowControl/>
        <w:numPr>
          <w:ilvl w:val="0"/>
          <w:numId w:val="11"/>
        </w:numPr>
        <w:tabs>
          <w:tab w:val="left" w:pos="360"/>
        </w:tabs>
        <w:autoSpaceDN w:val="0"/>
        <w:adjustRightInd w:val="0"/>
        <w:spacing w:after="120"/>
        <w:jc w:val="both"/>
        <w:rPr>
          <w:rFonts w:ascii="Times New Roman" w:eastAsia="MS Mincho" w:hAnsi="Times New Roman" w:cs="Times New Roman"/>
          <w:sz w:val="24"/>
          <w:szCs w:val="24"/>
        </w:rPr>
      </w:pPr>
      <w:r w:rsidRPr="0070734A">
        <w:rPr>
          <w:rFonts w:ascii="Times New Roman" w:hAnsi="Times New Roman" w:cs="Times New Roman"/>
          <w:sz w:val="24"/>
          <w:szCs w:val="24"/>
        </w:rPr>
        <w:t xml:space="preserve">Pokud příjemce nepředloží ve stanoveném termínu vyúčtování poskytnuté dotace a neodvede-li nevyčerpané prostředky z dotace do státního rozpočtu, vztahují se na něj sankce podle příslušných právních předpisů. V případě, že v další výzvě požádá o dotaci na následující rozpočtový rok, nebude mu dotace poskytovatelem poskytnuta. Výjimku z tohoto pravidla může povolit ministr zahraničních věcí za předpokladu, že již bylo provedeno finanční vyrovnání se státním rozpočtem. </w:t>
      </w:r>
    </w:p>
    <w:p w14:paraId="59884E9C" w14:textId="77777777" w:rsidR="000915DB" w:rsidRPr="0070734A" w:rsidRDefault="000915DB" w:rsidP="0070734A">
      <w:pPr>
        <w:pStyle w:val="BodyText"/>
        <w:numPr>
          <w:ilvl w:val="0"/>
          <w:numId w:val="11"/>
        </w:numPr>
        <w:tabs>
          <w:tab w:val="left" w:pos="360"/>
        </w:tabs>
        <w:jc w:val="both"/>
        <w:rPr>
          <w:rFonts w:eastAsia="MS Mincho"/>
        </w:rPr>
      </w:pPr>
      <w:r w:rsidRPr="0070734A">
        <w:rPr>
          <w:b w:val="0"/>
          <w:bCs w:val="0"/>
          <w:caps w:val="0"/>
        </w:rPr>
        <w:t>Povinnost externího auditu se vztahuje na projekty s přiznanou dotací vyšší než 300 tis. Kč na příslušný kalendářní rok.</w:t>
      </w:r>
      <w:r w:rsidRPr="0070734A">
        <w:rPr>
          <w:b w:val="0"/>
          <w:caps w:val="0"/>
        </w:rPr>
        <w:t xml:space="preserve"> </w:t>
      </w:r>
    </w:p>
    <w:p w14:paraId="5D3C9B00" w14:textId="77777777" w:rsidR="003050FC" w:rsidRPr="0070734A" w:rsidRDefault="003050FC" w:rsidP="0070734A">
      <w:pPr>
        <w:pStyle w:val="BodyText"/>
        <w:ind w:left="360"/>
        <w:jc w:val="both"/>
        <w:rPr>
          <w:rFonts w:eastAsia="MS Mincho"/>
        </w:rPr>
      </w:pPr>
    </w:p>
    <w:p w14:paraId="79133127" w14:textId="77777777" w:rsidR="000915DB" w:rsidRPr="0070734A" w:rsidRDefault="000915DB" w:rsidP="0070734A">
      <w:pPr>
        <w:pStyle w:val="PlainText"/>
        <w:jc w:val="both"/>
        <w:rPr>
          <w:rFonts w:ascii="Times New Roman" w:eastAsia="MS Mincho" w:hAnsi="Times New Roman"/>
          <w:sz w:val="24"/>
          <w:szCs w:val="24"/>
        </w:rPr>
      </w:pPr>
    </w:p>
    <w:p w14:paraId="7051A36B" w14:textId="77777777" w:rsidR="000915DB" w:rsidRPr="0070734A" w:rsidRDefault="000915DB" w:rsidP="0070734A">
      <w:pPr>
        <w:pStyle w:val="PlainText"/>
        <w:keepNext/>
        <w:keepLines/>
        <w:jc w:val="both"/>
        <w:rPr>
          <w:rFonts w:ascii="Times New Roman" w:eastAsia="MS Mincho" w:hAnsi="Times New Roman"/>
          <w:b/>
          <w:bCs/>
          <w:sz w:val="24"/>
          <w:szCs w:val="24"/>
        </w:rPr>
      </w:pPr>
      <w:r w:rsidRPr="0070734A">
        <w:rPr>
          <w:rFonts w:ascii="Times New Roman" w:eastAsia="MS Mincho" w:hAnsi="Times New Roman"/>
          <w:b/>
          <w:bCs/>
          <w:sz w:val="24"/>
          <w:szCs w:val="24"/>
        </w:rPr>
        <w:t>VIII. ZPŮSOB PODÁNÍ</w:t>
      </w:r>
    </w:p>
    <w:p w14:paraId="06F742A0" w14:textId="77777777" w:rsidR="000915DB" w:rsidRPr="0070734A" w:rsidRDefault="000915DB" w:rsidP="0070734A">
      <w:pPr>
        <w:pStyle w:val="PlainText"/>
        <w:keepNext/>
        <w:keepLines/>
        <w:rPr>
          <w:rFonts w:ascii="Times New Roman" w:eastAsia="MS Mincho" w:hAnsi="Times New Roman"/>
          <w:sz w:val="24"/>
          <w:szCs w:val="24"/>
        </w:rPr>
      </w:pPr>
    </w:p>
    <w:p w14:paraId="56C3A640" w14:textId="77777777" w:rsidR="000915DB" w:rsidRPr="0070734A" w:rsidRDefault="000915DB" w:rsidP="0070734A">
      <w:pPr>
        <w:pStyle w:val="PlainText"/>
        <w:keepNext/>
        <w:keepLines/>
        <w:rPr>
          <w:rFonts w:ascii="Times New Roman" w:eastAsia="MS Mincho" w:hAnsi="Times New Roman"/>
          <w:b/>
          <w:bCs/>
          <w:i/>
          <w:sz w:val="24"/>
          <w:szCs w:val="24"/>
        </w:rPr>
      </w:pPr>
      <w:r w:rsidRPr="0070734A">
        <w:rPr>
          <w:rFonts w:ascii="Times New Roman" w:eastAsia="MS Mincho" w:hAnsi="Times New Roman"/>
          <w:sz w:val="24"/>
          <w:szCs w:val="24"/>
        </w:rPr>
        <w:t xml:space="preserve">Výzva k podání žádostí je veřejně vyhlášena dne </w:t>
      </w:r>
      <w:r w:rsidR="00BC4086" w:rsidRPr="00BC4086">
        <w:rPr>
          <w:rFonts w:ascii="Times New Roman" w:eastAsia="MS Mincho" w:hAnsi="Times New Roman"/>
          <w:b/>
          <w:sz w:val="24"/>
          <w:szCs w:val="24"/>
        </w:rPr>
        <w:t>23</w:t>
      </w:r>
      <w:r w:rsidRPr="00BC4086">
        <w:rPr>
          <w:rFonts w:ascii="Times New Roman" w:eastAsia="MS Mincho" w:hAnsi="Times New Roman"/>
          <w:b/>
          <w:sz w:val="24"/>
          <w:szCs w:val="24"/>
        </w:rPr>
        <w:t>.</w:t>
      </w:r>
      <w:r w:rsidRPr="0070734A">
        <w:rPr>
          <w:rFonts w:ascii="Times New Roman" w:eastAsia="MS Mincho" w:hAnsi="Times New Roman"/>
          <w:b/>
          <w:sz w:val="24"/>
          <w:szCs w:val="24"/>
        </w:rPr>
        <w:t xml:space="preserve"> října 2025</w:t>
      </w:r>
      <w:r w:rsidRPr="0070734A">
        <w:rPr>
          <w:rFonts w:ascii="Times New Roman" w:eastAsia="MS Mincho" w:hAnsi="Times New Roman"/>
          <w:b/>
          <w:bCs/>
          <w:i/>
          <w:sz w:val="24"/>
          <w:szCs w:val="24"/>
        </w:rPr>
        <w:t>.</w:t>
      </w:r>
    </w:p>
    <w:p w14:paraId="2ACDD2F2" w14:textId="77777777" w:rsidR="000915DB" w:rsidRPr="0070734A" w:rsidRDefault="000915DB" w:rsidP="0070734A">
      <w:pPr>
        <w:pStyle w:val="PlainText"/>
        <w:keepLines/>
        <w:jc w:val="both"/>
        <w:rPr>
          <w:rFonts w:ascii="Times New Roman" w:eastAsia="MS Mincho" w:hAnsi="Times New Roman"/>
          <w:b/>
          <w:bCs/>
          <w:sz w:val="24"/>
          <w:szCs w:val="24"/>
        </w:rPr>
      </w:pPr>
    </w:p>
    <w:p w14:paraId="352264C2" w14:textId="77777777" w:rsidR="000915DB" w:rsidRPr="0070734A" w:rsidRDefault="000915DB" w:rsidP="0070734A">
      <w:pPr>
        <w:pStyle w:val="PlainText"/>
        <w:keepLines/>
        <w:jc w:val="both"/>
        <w:rPr>
          <w:rFonts w:ascii="Times New Roman" w:eastAsia="MS Mincho" w:hAnsi="Times New Roman"/>
          <w:sz w:val="24"/>
          <w:szCs w:val="24"/>
        </w:rPr>
      </w:pPr>
      <w:r w:rsidRPr="0070734A">
        <w:rPr>
          <w:rFonts w:ascii="Times New Roman" w:eastAsia="MS Mincho" w:hAnsi="Times New Roman"/>
          <w:bCs/>
          <w:sz w:val="24"/>
          <w:szCs w:val="24"/>
        </w:rPr>
        <w:t>1. Žádost o dotaci spolu s dalšími dokumenty zasílejte</w:t>
      </w:r>
      <w:r w:rsidRPr="0070734A">
        <w:rPr>
          <w:rFonts w:ascii="Times New Roman" w:hAnsi="Times New Roman"/>
          <w:sz w:val="24"/>
          <w:szCs w:val="24"/>
        </w:rPr>
        <w:t xml:space="preserve"> prostřednictvím on-line databázového systému GRANTYS na adrese </w:t>
      </w:r>
      <w:hyperlink r:id="rId9" w:history="1">
        <w:r w:rsidRPr="0070734A">
          <w:rPr>
            <w:rStyle w:val="Hyperlink"/>
            <w:rFonts w:ascii="Times New Roman" w:hAnsi="Times New Roman"/>
            <w:sz w:val="24"/>
            <w:szCs w:val="24"/>
          </w:rPr>
          <w:t>www.mzv.grantys.cz</w:t>
        </w:r>
      </w:hyperlink>
      <w:r w:rsidRPr="0070734A">
        <w:rPr>
          <w:rFonts w:ascii="Times New Roman" w:hAnsi="Times New Roman"/>
          <w:sz w:val="24"/>
          <w:szCs w:val="24"/>
          <w:u w:val="single"/>
        </w:rPr>
        <w:t xml:space="preserve"> </w:t>
      </w:r>
      <w:r w:rsidRPr="0070734A">
        <w:rPr>
          <w:rFonts w:ascii="Times New Roman" w:hAnsi="Times New Roman"/>
          <w:sz w:val="24"/>
          <w:szCs w:val="24"/>
        </w:rPr>
        <w:t xml:space="preserve">. </w:t>
      </w:r>
      <w:r w:rsidRPr="0070734A">
        <w:rPr>
          <w:rFonts w:ascii="Times New Roman" w:eastAsia="MS Mincho" w:hAnsi="Times New Roman"/>
          <w:sz w:val="24"/>
          <w:szCs w:val="24"/>
        </w:rPr>
        <w:t xml:space="preserve">Přílohy, které nelze z technických důvodů vložit elektronicky do uvedeného portálu, zašlete prosím ve stanoveném termínu datovou schránkou nebo v listinné podobě na níže uvedenou adresu: </w:t>
      </w:r>
    </w:p>
    <w:p w14:paraId="03802DF6" w14:textId="77777777" w:rsidR="000915DB" w:rsidRPr="0070734A" w:rsidRDefault="000915DB" w:rsidP="0070734A">
      <w:pPr>
        <w:pStyle w:val="PlainText"/>
        <w:keepLines/>
        <w:rPr>
          <w:rFonts w:ascii="Times New Roman" w:eastAsia="MS Mincho" w:hAnsi="Times New Roman"/>
          <w:b/>
          <w:bCs/>
          <w:iCs/>
          <w:sz w:val="24"/>
          <w:szCs w:val="24"/>
        </w:rPr>
      </w:pPr>
      <w:r w:rsidRPr="0070734A">
        <w:rPr>
          <w:rFonts w:ascii="Times New Roman" w:eastAsia="MS Mincho" w:hAnsi="Times New Roman"/>
          <w:b/>
          <w:bCs/>
          <w:iCs/>
          <w:sz w:val="24"/>
          <w:szCs w:val="24"/>
        </w:rPr>
        <w:t>Ministerstvo zahraničních věcí ČR</w:t>
      </w:r>
    </w:p>
    <w:p w14:paraId="676FF4C8" w14:textId="77777777" w:rsidR="000915DB" w:rsidRPr="0070734A" w:rsidRDefault="000915DB" w:rsidP="0070734A">
      <w:pPr>
        <w:pStyle w:val="PlainText"/>
        <w:keepLines/>
        <w:rPr>
          <w:rFonts w:ascii="Times New Roman" w:eastAsia="MS Mincho" w:hAnsi="Times New Roman"/>
          <w:b/>
          <w:bCs/>
          <w:iCs/>
          <w:sz w:val="24"/>
          <w:szCs w:val="24"/>
        </w:rPr>
      </w:pPr>
      <w:r w:rsidRPr="0070734A">
        <w:rPr>
          <w:rFonts w:ascii="Times New Roman" w:eastAsia="MS Mincho" w:hAnsi="Times New Roman"/>
          <w:b/>
          <w:bCs/>
          <w:iCs/>
          <w:sz w:val="24"/>
          <w:szCs w:val="24"/>
        </w:rPr>
        <w:t>Odbor lidských práv a transformační politiky</w:t>
      </w:r>
    </w:p>
    <w:p w14:paraId="4D0E8242" w14:textId="77777777" w:rsidR="000915DB" w:rsidRPr="0070734A" w:rsidRDefault="000915DB" w:rsidP="0070734A">
      <w:pPr>
        <w:pStyle w:val="PlainText"/>
        <w:keepLines/>
        <w:rPr>
          <w:rFonts w:ascii="Times New Roman" w:eastAsia="MS Mincho" w:hAnsi="Times New Roman"/>
          <w:b/>
          <w:bCs/>
          <w:iCs/>
          <w:sz w:val="24"/>
          <w:szCs w:val="24"/>
        </w:rPr>
      </w:pPr>
      <w:r w:rsidRPr="0070734A">
        <w:rPr>
          <w:rFonts w:ascii="Times New Roman" w:eastAsia="MS Mincho" w:hAnsi="Times New Roman"/>
          <w:b/>
          <w:bCs/>
          <w:iCs/>
          <w:sz w:val="24"/>
          <w:szCs w:val="24"/>
        </w:rPr>
        <w:t>Loretánské náměstí 5</w:t>
      </w:r>
    </w:p>
    <w:p w14:paraId="40A80381" w14:textId="77777777" w:rsidR="000915DB" w:rsidRPr="0070734A" w:rsidRDefault="000915DB" w:rsidP="0070734A">
      <w:pPr>
        <w:pStyle w:val="PlainText"/>
        <w:keepLines/>
        <w:rPr>
          <w:rFonts w:ascii="Times New Roman" w:eastAsia="MS Mincho" w:hAnsi="Times New Roman"/>
          <w:b/>
          <w:bCs/>
          <w:iCs/>
          <w:sz w:val="24"/>
          <w:szCs w:val="24"/>
        </w:rPr>
      </w:pPr>
      <w:r w:rsidRPr="0070734A">
        <w:rPr>
          <w:rFonts w:ascii="Times New Roman" w:eastAsia="MS Mincho" w:hAnsi="Times New Roman"/>
          <w:b/>
          <w:bCs/>
          <w:iCs/>
          <w:sz w:val="24"/>
          <w:szCs w:val="24"/>
        </w:rPr>
        <w:t>118 00 Praha 1</w:t>
      </w:r>
    </w:p>
    <w:p w14:paraId="089B4A6D" w14:textId="77777777" w:rsidR="000915DB" w:rsidRPr="0070734A" w:rsidRDefault="000915DB" w:rsidP="0070734A">
      <w:pPr>
        <w:pStyle w:val="PlainText"/>
        <w:keepLines/>
        <w:rPr>
          <w:rFonts w:ascii="Times New Roman" w:eastAsia="MS Mincho" w:hAnsi="Times New Roman"/>
          <w:b/>
          <w:bCs/>
          <w:iCs/>
          <w:sz w:val="24"/>
          <w:szCs w:val="24"/>
        </w:rPr>
      </w:pPr>
      <w:r w:rsidRPr="0070734A">
        <w:rPr>
          <w:rFonts w:ascii="Times New Roman" w:eastAsia="MS Mincho" w:hAnsi="Times New Roman"/>
          <w:b/>
          <w:bCs/>
          <w:iCs/>
          <w:sz w:val="24"/>
          <w:szCs w:val="24"/>
        </w:rPr>
        <w:t>ID datové schránky: e4xaaxh</w:t>
      </w:r>
    </w:p>
    <w:p w14:paraId="4882F3EA" w14:textId="77777777" w:rsidR="000915DB" w:rsidRPr="0070734A" w:rsidRDefault="000915DB" w:rsidP="0070734A">
      <w:pPr>
        <w:pStyle w:val="PlainText"/>
        <w:keepLines/>
        <w:rPr>
          <w:rFonts w:ascii="Times New Roman" w:eastAsia="MS Mincho" w:hAnsi="Times New Roman"/>
          <w:b/>
          <w:bCs/>
          <w:iCs/>
          <w:sz w:val="24"/>
          <w:szCs w:val="24"/>
        </w:rPr>
      </w:pPr>
    </w:p>
    <w:p w14:paraId="62D43A50" w14:textId="77777777" w:rsidR="000915DB" w:rsidRPr="0070734A" w:rsidRDefault="000915DB" w:rsidP="0070734A">
      <w:pPr>
        <w:pStyle w:val="PlainText"/>
        <w:keepLines/>
        <w:rPr>
          <w:rFonts w:ascii="Times New Roman" w:eastAsia="MS Mincho" w:hAnsi="Times New Roman"/>
          <w:bCs/>
          <w:iCs/>
          <w:sz w:val="24"/>
          <w:szCs w:val="24"/>
        </w:rPr>
      </w:pPr>
      <w:r w:rsidRPr="0070734A">
        <w:rPr>
          <w:rFonts w:ascii="Times New Roman" w:eastAsia="MS Mincho" w:hAnsi="Times New Roman"/>
          <w:bCs/>
          <w:iCs/>
          <w:sz w:val="24"/>
          <w:szCs w:val="24"/>
        </w:rPr>
        <w:t>2</w:t>
      </w:r>
      <w:r w:rsidR="008328A8" w:rsidRPr="0070734A">
        <w:rPr>
          <w:rFonts w:ascii="Times New Roman" w:eastAsia="MS Mincho" w:hAnsi="Times New Roman"/>
          <w:bCs/>
          <w:iCs/>
          <w:sz w:val="24"/>
          <w:szCs w:val="24"/>
        </w:rPr>
        <w:t>.</w:t>
      </w:r>
      <w:r w:rsidRPr="0070734A">
        <w:rPr>
          <w:rFonts w:ascii="Times New Roman" w:eastAsia="MS Mincho" w:hAnsi="Times New Roman"/>
          <w:bCs/>
          <w:iCs/>
          <w:sz w:val="24"/>
          <w:szCs w:val="24"/>
        </w:rPr>
        <w:t xml:space="preserve"> Kontaktní údaje pro případné dotazy a konzultace v průběhu dotačního řízení:</w:t>
      </w:r>
    </w:p>
    <w:p w14:paraId="02CDF4E5" w14:textId="77777777" w:rsidR="000915DB" w:rsidRPr="0070734A" w:rsidRDefault="000915DB" w:rsidP="0070734A">
      <w:pPr>
        <w:pStyle w:val="PlainText"/>
        <w:keepLines/>
        <w:rPr>
          <w:rFonts w:ascii="Times New Roman" w:eastAsia="MS Mincho" w:hAnsi="Times New Roman"/>
          <w:b/>
          <w:bCs/>
          <w:iCs/>
          <w:sz w:val="24"/>
          <w:szCs w:val="24"/>
        </w:rPr>
      </w:pPr>
    </w:p>
    <w:p w14:paraId="3238A2E6" w14:textId="77777777" w:rsidR="000915DB" w:rsidRPr="0070734A" w:rsidRDefault="000915DB" w:rsidP="0070734A">
      <w:pPr>
        <w:pStyle w:val="PlainText"/>
        <w:keepLines/>
        <w:rPr>
          <w:rFonts w:ascii="Times New Roman" w:eastAsia="MS Mincho" w:hAnsi="Times New Roman"/>
          <w:bCs/>
          <w:iCs/>
          <w:sz w:val="24"/>
          <w:szCs w:val="24"/>
        </w:rPr>
      </w:pPr>
      <w:r w:rsidRPr="0070734A">
        <w:rPr>
          <w:rFonts w:ascii="Times New Roman" w:eastAsia="MS Mincho" w:hAnsi="Times New Roman"/>
          <w:bCs/>
          <w:iCs/>
          <w:sz w:val="24"/>
          <w:szCs w:val="24"/>
        </w:rPr>
        <w:t xml:space="preserve">E-mail: </w:t>
      </w:r>
      <w:hyperlink r:id="rId10" w:history="1">
        <w:r w:rsidRPr="0070734A">
          <w:rPr>
            <w:rStyle w:val="Hyperlink"/>
            <w:rFonts w:ascii="Times New Roman" w:eastAsia="MS Mincho" w:hAnsi="Times New Roman"/>
            <w:bCs/>
            <w:iCs/>
            <w:sz w:val="24"/>
            <w:szCs w:val="24"/>
          </w:rPr>
          <w:t>trans@mzv.gov.cz</w:t>
        </w:r>
      </w:hyperlink>
    </w:p>
    <w:p w14:paraId="41CE23C1" w14:textId="77777777" w:rsidR="000915DB" w:rsidRPr="0070734A" w:rsidRDefault="000915DB" w:rsidP="0070734A">
      <w:pPr>
        <w:jc w:val="both"/>
        <w:rPr>
          <w:bCs/>
        </w:rPr>
      </w:pPr>
      <w:r w:rsidRPr="0070734A">
        <w:rPr>
          <w:rFonts w:eastAsia="MS Mincho"/>
          <w:bCs/>
          <w:iCs/>
        </w:rPr>
        <w:t xml:space="preserve">Telefon: 224 </w:t>
      </w:r>
      <w:r w:rsidRPr="0070734A">
        <w:rPr>
          <w:bCs/>
        </w:rPr>
        <w:t>182 </w:t>
      </w:r>
      <w:r w:rsidR="00282546" w:rsidRPr="0070734A">
        <w:rPr>
          <w:bCs/>
        </w:rPr>
        <w:t>311</w:t>
      </w:r>
    </w:p>
    <w:p w14:paraId="1C3E778F" w14:textId="77777777" w:rsidR="000915DB" w:rsidRPr="0070734A" w:rsidRDefault="000915DB" w:rsidP="0070734A">
      <w:pPr>
        <w:pStyle w:val="PlainText"/>
        <w:keepLines/>
        <w:rPr>
          <w:rFonts w:ascii="Times New Roman" w:eastAsia="MS Mincho" w:hAnsi="Times New Roman"/>
          <w:b/>
          <w:bCs/>
          <w:iCs/>
          <w:sz w:val="24"/>
          <w:szCs w:val="24"/>
        </w:rPr>
      </w:pPr>
    </w:p>
    <w:p w14:paraId="237D77A0" w14:textId="77777777" w:rsidR="000915DB" w:rsidRPr="0070734A" w:rsidRDefault="000915DB" w:rsidP="0070734A">
      <w:pPr>
        <w:pStyle w:val="PlainText"/>
        <w:keepLines/>
        <w:numPr>
          <w:ilvl w:val="0"/>
          <w:numId w:val="2"/>
        </w:numPr>
        <w:rPr>
          <w:rFonts w:ascii="Times New Roman" w:eastAsia="MS Mincho" w:hAnsi="Times New Roman"/>
          <w:bCs/>
          <w:iCs/>
          <w:sz w:val="24"/>
          <w:szCs w:val="24"/>
        </w:rPr>
      </w:pPr>
      <w:r w:rsidRPr="0070734A">
        <w:rPr>
          <w:rFonts w:ascii="Times New Roman" w:eastAsia="MS Mincho" w:hAnsi="Times New Roman"/>
          <w:bCs/>
          <w:iCs/>
          <w:sz w:val="24"/>
          <w:szCs w:val="24"/>
        </w:rPr>
        <w:t xml:space="preserve">Příjem návrhů projektů končí dne </w:t>
      </w:r>
      <w:r w:rsidR="00BC4086">
        <w:rPr>
          <w:rFonts w:ascii="Times New Roman" w:eastAsia="MS Mincho" w:hAnsi="Times New Roman"/>
          <w:bCs/>
          <w:iCs/>
          <w:sz w:val="24"/>
          <w:szCs w:val="24"/>
        </w:rPr>
        <w:t xml:space="preserve"> 24</w:t>
      </w:r>
      <w:r w:rsidRPr="0070734A">
        <w:rPr>
          <w:rFonts w:ascii="Times New Roman" w:eastAsia="MS Mincho" w:hAnsi="Times New Roman"/>
          <w:bCs/>
          <w:iCs/>
          <w:sz w:val="24"/>
          <w:szCs w:val="24"/>
        </w:rPr>
        <w:t xml:space="preserve">.11.2025 v 10:00 </w:t>
      </w:r>
      <w:r w:rsidR="00282546" w:rsidRPr="0070734A">
        <w:rPr>
          <w:rFonts w:ascii="Times New Roman" w:eastAsia="MS Mincho" w:hAnsi="Times New Roman"/>
          <w:bCs/>
          <w:iCs/>
          <w:sz w:val="24"/>
          <w:szCs w:val="24"/>
        </w:rPr>
        <w:t xml:space="preserve"> </w:t>
      </w:r>
      <w:r w:rsidRPr="0070734A">
        <w:rPr>
          <w:rFonts w:ascii="Times New Roman" w:eastAsia="MS Mincho" w:hAnsi="Times New Roman"/>
          <w:bCs/>
          <w:iCs/>
          <w:sz w:val="24"/>
          <w:szCs w:val="24"/>
        </w:rPr>
        <w:t>hodin.</w:t>
      </w:r>
    </w:p>
    <w:p w14:paraId="1F630454" w14:textId="77777777" w:rsidR="000915DB" w:rsidRPr="0070734A" w:rsidRDefault="000915DB" w:rsidP="0070734A">
      <w:pPr>
        <w:pStyle w:val="PlainText"/>
        <w:keepLines/>
        <w:rPr>
          <w:rFonts w:ascii="Times New Roman" w:eastAsia="MS Mincho" w:hAnsi="Times New Roman"/>
          <w:bCs/>
          <w:iCs/>
          <w:sz w:val="24"/>
          <w:szCs w:val="24"/>
        </w:rPr>
      </w:pPr>
    </w:p>
    <w:p w14:paraId="34A9BDC5" w14:textId="77777777" w:rsidR="000915DB" w:rsidRPr="0070734A" w:rsidRDefault="000915DB" w:rsidP="0070734A">
      <w:pPr>
        <w:pStyle w:val="PlainText"/>
        <w:keepLines/>
        <w:numPr>
          <w:ilvl w:val="0"/>
          <w:numId w:val="2"/>
        </w:numPr>
        <w:rPr>
          <w:rFonts w:ascii="Times New Roman" w:eastAsia="MS Mincho" w:hAnsi="Times New Roman"/>
          <w:bCs/>
          <w:iCs/>
          <w:sz w:val="24"/>
          <w:szCs w:val="24"/>
        </w:rPr>
      </w:pPr>
      <w:r w:rsidRPr="0070734A">
        <w:rPr>
          <w:rFonts w:ascii="Times New Roman" w:eastAsia="MS Mincho" w:hAnsi="Times New Roman"/>
          <w:bCs/>
          <w:iCs/>
          <w:sz w:val="24"/>
          <w:szCs w:val="24"/>
        </w:rPr>
        <w:t>Náležitosti žádosti:</w:t>
      </w:r>
    </w:p>
    <w:p w14:paraId="6EE1EB55" w14:textId="77777777" w:rsidR="000915DB" w:rsidRPr="0070734A" w:rsidRDefault="000915DB" w:rsidP="0070734A">
      <w:pPr>
        <w:pStyle w:val="NormalWeb"/>
        <w:numPr>
          <w:ilvl w:val="0"/>
          <w:numId w:val="13"/>
        </w:numPr>
        <w:tabs>
          <w:tab w:val="left" w:pos="426"/>
        </w:tabs>
        <w:spacing w:before="0" w:after="120"/>
        <w:jc w:val="both"/>
      </w:pPr>
      <w:r w:rsidRPr="0070734A">
        <w:t>identifikace příjemce, tj. název, adresa sídla a identifikační číslo žadatele,</w:t>
      </w:r>
    </w:p>
    <w:p w14:paraId="6C0E01A1" w14:textId="77777777" w:rsidR="000915DB" w:rsidRPr="0070734A" w:rsidRDefault="000915DB" w:rsidP="0070734A">
      <w:pPr>
        <w:pStyle w:val="NormalWeb"/>
        <w:numPr>
          <w:ilvl w:val="0"/>
          <w:numId w:val="13"/>
        </w:numPr>
        <w:tabs>
          <w:tab w:val="left" w:pos="426"/>
        </w:tabs>
        <w:spacing w:before="0" w:after="120"/>
        <w:jc w:val="both"/>
      </w:pPr>
      <w:r w:rsidRPr="0070734A">
        <w:t>identifikace výzvy, na jejímž základě je žádost podána,</w:t>
      </w:r>
    </w:p>
    <w:p w14:paraId="7061711A" w14:textId="77777777" w:rsidR="000915DB" w:rsidRPr="0070734A" w:rsidRDefault="000915DB" w:rsidP="0070734A">
      <w:pPr>
        <w:pStyle w:val="NormalWeb"/>
        <w:numPr>
          <w:ilvl w:val="0"/>
          <w:numId w:val="13"/>
        </w:numPr>
        <w:tabs>
          <w:tab w:val="left" w:pos="426"/>
        </w:tabs>
        <w:spacing w:before="0" w:after="120"/>
        <w:jc w:val="both"/>
      </w:pPr>
      <w:r w:rsidRPr="0070734A">
        <w:t xml:space="preserve">identifikace poskytovatele, tj. název a adresa, </w:t>
      </w:r>
    </w:p>
    <w:p w14:paraId="653CD6C6" w14:textId="77777777" w:rsidR="000915DB" w:rsidRPr="0070734A" w:rsidRDefault="000915DB" w:rsidP="0070734A">
      <w:pPr>
        <w:pStyle w:val="NormalWeb"/>
        <w:numPr>
          <w:ilvl w:val="0"/>
          <w:numId w:val="13"/>
        </w:numPr>
        <w:tabs>
          <w:tab w:val="left" w:pos="426"/>
        </w:tabs>
        <w:spacing w:before="0" w:after="120"/>
        <w:jc w:val="both"/>
      </w:pPr>
      <w:r w:rsidRPr="0070734A">
        <w:t xml:space="preserve">požadovaná částka, </w:t>
      </w:r>
    </w:p>
    <w:p w14:paraId="6A084C29" w14:textId="77777777" w:rsidR="000915DB" w:rsidRPr="0070734A" w:rsidRDefault="000915DB" w:rsidP="0070734A">
      <w:pPr>
        <w:pStyle w:val="NormalWeb"/>
        <w:numPr>
          <w:ilvl w:val="0"/>
          <w:numId w:val="13"/>
        </w:numPr>
        <w:tabs>
          <w:tab w:val="left" w:pos="426"/>
        </w:tabs>
        <w:spacing w:before="0" w:after="120"/>
        <w:jc w:val="both"/>
      </w:pPr>
      <w:r w:rsidRPr="0070734A">
        <w:t xml:space="preserve">účel, na který chce žadatel prostředky použít, </w:t>
      </w:r>
    </w:p>
    <w:p w14:paraId="5B5E9FC1" w14:textId="77777777" w:rsidR="000915DB" w:rsidRPr="0070734A" w:rsidRDefault="000915DB" w:rsidP="0070734A">
      <w:pPr>
        <w:pStyle w:val="NormalWeb"/>
        <w:numPr>
          <w:ilvl w:val="0"/>
          <w:numId w:val="13"/>
        </w:numPr>
        <w:tabs>
          <w:tab w:val="left" w:pos="426"/>
        </w:tabs>
        <w:spacing w:before="0" w:after="120"/>
        <w:jc w:val="both"/>
      </w:pPr>
      <w:r w:rsidRPr="0070734A">
        <w:t xml:space="preserve">lhůtu, v níž má být tohoto účelu dosaženo, </w:t>
      </w:r>
    </w:p>
    <w:p w14:paraId="5823874D" w14:textId="77777777" w:rsidR="000915DB" w:rsidRPr="0070734A" w:rsidRDefault="000915DB" w:rsidP="0070734A">
      <w:pPr>
        <w:pStyle w:val="NormalWeb"/>
        <w:numPr>
          <w:ilvl w:val="0"/>
          <w:numId w:val="13"/>
        </w:numPr>
        <w:tabs>
          <w:tab w:val="left" w:pos="426"/>
        </w:tabs>
        <w:spacing w:before="0" w:after="120"/>
        <w:jc w:val="both"/>
      </w:pPr>
      <w:r w:rsidRPr="0070734A">
        <w:t>je-li žadatel o dotaci právnickou osobou:</w:t>
      </w:r>
    </w:p>
    <w:p w14:paraId="660A8D28" w14:textId="77777777" w:rsidR="000915DB" w:rsidRPr="0070734A" w:rsidRDefault="000915DB" w:rsidP="0070734A">
      <w:pPr>
        <w:pStyle w:val="Prosttext1"/>
        <w:widowControl/>
        <w:numPr>
          <w:ilvl w:val="0"/>
          <w:numId w:val="14"/>
        </w:numPr>
        <w:tabs>
          <w:tab w:val="left" w:pos="142"/>
        </w:tabs>
        <w:spacing w:after="120"/>
        <w:ind w:left="1134" w:hanging="283"/>
        <w:jc w:val="both"/>
        <w:rPr>
          <w:rFonts w:ascii="Times New Roman" w:hAnsi="Times New Roman" w:cs="Times New Roman"/>
          <w:sz w:val="24"/>
          <w:szCs w:val="24"/>
        </w:rPr>
      </w:pPr>
      <w:r w:rsidRPr="0070734A">
        <w:rPr>
          <w:rFonts w:ascii="Times New Roman" w:hAnsi="Times New Roman" w:cs="Times New Roman"/>
          <w:sz w:val="24"/>
          <w:szCs w:val="24"/>
        </w:rPr>
        <w:t xml:space="preserve">informace o identifikaci osob jednajících jeho jménem s uvedením, zda jednají jako jeho statutární orgán nebo jednají na základě udělené plné moci, </w:t>
      </w:r>
    </w:p>
    <w:p w14:paraId="3DD61EDC" w14:textId="77777777" w:rsidR="000915DB" w:rsidRPr="0070734A" w:rsidRDefault="000915DB" w:rsidP="0070734A">
      <w:pPr>
        <w:pStyle w:val="Prosttext1"/>
        <w:widowControl/>
        <w:numPr>
          <w:ilvl w:val="0"/>
          <w:numId w:val="14"/>
        </w:numPr>
        <w:tabs>
          <w:tab w:val="left" w:pos="142"/>
        </w:tabs>
        <w:spacing w:after="120"/>
        <w:ind w:left="1134" w:hanging="283"/>
        <w:jc w:val="both"/>
        <w:rPr>
          <w:rFonts w:ascii="Times New Roman" w:hAnsi="Times New Roman" w:cs="Times New Roman"/>
          <w:sz w:val="24"/>
          <w:szCs w:val="24"/>
        </w:rPr>
      </w:pPr>
      <w:r w:rsidRPr="0070734A">
        <w:rPr>
          <w:rFonts w:ascii="Times New Roman" w:hAnsi="Times New Roman" w:cs="Times New Roman"/>
          <w:sz w:val="24"/>
          <w:szCs w:val="24"/>
        </w:rPr>
        <w:lastRenderedPageBreak/>
        <w:t xml:space="preserve">údaje o skutečném majiteli právnické osoby podle zákona upravujícího evidenci skutečných majitelů ve formě úplného výpisu platných údajů a údajů, které byly vymazány bez náhrady nebo s nahrazením novými údaji, </w:t>
      </w:r>
    </w:p>
    <w:p w14:paraId="5A6AA3E7" w14:textId="77777777" w:rsidR="000915DB" w:rsidRPr="0070734A" w:rsidRDefault="000915DB" w:rsidP="0070734A">
      <w:pPr>
        <w:pStyle w:val="Prosttext1"/>
        <w:widowControl/>
        <w:numPr>
          <w:ilvl w:val="0"/>
          <w:numId w:val="14"/>
        </w:numPr>
        <w:tabs>
          <w:tab w:val="left" w:pos="142"/>
        </w:tabs>
        <w:spacing w:after="120"/>
        <w:ind w:left="1134" w:hanging="283"/>
        <w:jc w:val="both"/>
        <w:rPr>
          <w:rFonts w:ascii="Times New Roman" w:hAnsi="Times New Roman" w:cs="Times New Roman"/>
          <w:sz w:val="24"/>
          <w:szCs w:val="24"/>
        </w:rPr>
      </w:pPr>
      <w:r w:rsidRPr="0070734A">
        <w:rPr>
          <w:rFonts w:ascii="Times New Roman" w:hAnsi="Times New Roman" w:cs="Times New Roman"/>
          <w:sz w:val="24"/>
          <w:szCs w:val="24"/>
        </w:rPr>
        <w:t>informace o identifikaci osob, v nichž má podíl, a o výši tohoto podílu,</w:t>
      </w:r>
    </w:p>
    <w:p w14:paraId="481EC7C8" w14:textId="77777777" w:rsidR="000915DB" w:rsidRPr="0070734A" w:rsidRDefault="000915DB" w:rsidP="0070734A">
      <w:pPr>
        <w:pStyle w:val="Prosttext1"/>
        <w:widowControl/>
        <w:numPr>
          <w:ilvl w:val="0"/>
          <w:numId w:val="14"/>
        </w:numPr>
        <w:tabs>
          <w:tab w:val="left" w:pos="142"/>
        </w:tabs>
        <w:spacing w:after="120"/>
        <w:ind w:left="1134" w:hanging="283"/>
        <w:jc w:val="both"/>
        <w:rPr>
          <w:rFonts w:ascii="Times New Roman" w:hAnsi="Times New Roman" w:cs="Times New Roman"/>
          <w:sz w:val="24"/>
          <w:szCs w:val="24"/>
        </w:rPr>
      </w:pPr>
      <w:r w:rsidRPr="0070734A">
        <w:rPr>
          <w:rFonts w:ascii="Times New Roman" w:hAnsi="Times New Roman" w:cs="Times New Roman"/>
          <w:sz w:val="24"/>
          <w:szCs w:val="24"/>
        </w:rPr>
        <w:t>prohlášení, že jeho skutečný majitel není občanem státu nebo nemá bydliště ve státě nebo jurisdikci uvedených na unijním seznamu jurisdikcí nespolupracujících v daňové oblasti schváleném Radou Evropské unie,</w:t>
      </w:r>
    </w:p>
    <w:p w14:paraId="5FE32EF4" w14:textId="77777777" w:rsidR="000915DB" w:rsidRPr="0070734A" w:rsidRDefault="000915DB" w:rsidP="0070734A">
      <w:pPr>
        <w:pStyle w:val="Prosttext1"/>
        <w:widowControl/>
        <w:numPr>
          <w:ilvl w:val="0"/>
          <w:numId w:val="14"/>
        </w:numPr>
        <w:tabs>
          <w:tab w:val="left" w:pos="142"/>
        </w:tabs>
        <w:spacing w:after="120"/>
        <w:ind w:left="1134" w:hanging="283"/>
        <w:jc w:val="both"/>
        <w:rPr>
          <w:rFonts w:ascii="Times New Roman" w:hAnsi="Times New Roman" w:cs="Times New Roman"/>
          <w:sz w:val="24"/>
          <w:szCs w:val="24"/>
        </w:rPr>
      </w:pPr>
      <w:r w:rsidRPr="0070734A">
        <w:rPr>
          <w:rFonts w:ascii="Times New Roman" w:hAnsi="Times New Roman" w:cs="Times New Roman"/>
          <w:sz w:val="24"/>
          <w:szCs w:val="24"/>
        </w:rPr>
        <w:t>v případě žadatele o dotaci, u kterého existuje struktura vztahů podle zákona upravujícího evidenci skutečných majitelů, ve které vystupují zahraniční právnické osoby nebo zahraniční právní uspořádání, dále prohlášení, že právnické osoby nebo právní uspořádání ve struktuře vztahů nesídlí nebo v případě právních uspořádání nejsou spravovány ve státě či v jurisdikci uvedených na unijním seznamu jurisdikcí nespolupracujících v daňové oblasti schváleném Radou Evropské unie.</w:t>
      </w:r>
    </w:p>
    <w:p w14:paraId="298D24AD" w14:textId="77777777" w:rsidR="000915DB" w:rsidRPr="0070734A" w:rsidRDefault="000915DB" w:rsidP="0070734A">
      <w:pPr>
        <w:pStyle w:val="PlainText"/>
        <w:keepLines/>
        <w:rPr>
          <w:rFonts w:ascii="Times New Roman" w:eastAsia="MS Mincho" w:hAnsi="Times New Roman"/>
          <w:bCs/>
          <w:iCs/>
          <w:sz w:val="24"/>
          <w:szCs w:val="24"/>
        </w:rPr>
      </w:pPr>
    </w:p>
    <w:p w14:paraId="26C4D91D" w14:textId="77777777" w:rsidR="000915DB" w:rsidRPr="0070734A" w:rsidRDefault="000915DB" w:rsidP="0070734A">
      <w:pPr>
        <w:pStyle w:val="PlainText"/>
        <w:keepNext/>
        <w:keepLines/>
        <w:numPr>
          <w:ilvl w:val="0"/>
          <w:numId w:val="2"/>
        </w:numPr>
        <w:jc w:val="both"/>
        <w:rPr>
          <w:rFonts w:ascii="Times New Roman" w:eastAsia="MS Mincho" w:hAnsi="Times New Roman"/>
          <w:sz w:val="24"/>
          <w:szCs w:val="24"/>
        </w:rPr>
      </w:pPr>
      <w:r w:rsidRPr="0070734A">
        <w:rPr>
          <w:rFonts w:ascii="Times New Roman" w:eastAsia="MS Mincho" w:hAnsi="Times New Roman"/>
          <w:sz w:val="24"/>
          <w:szCs w:val="24"/>
        </w:rPr>
        <w:t>Návrh projektu – projektový dokument (vyplněné přílohy č. I. – VII. a další povinné dokumenty), který může být zpracován v českém nebo anglickém jazyce v souladu s dalšími specifikacemi, uvedenými v příloze IX., předkládá žadatel elektronicky.</w:t>
      </w:r>
    </w:p>
    <w:p w14:paraId="68CA0653" w14:textId="77777777" w:rsidR="003050FC" w:rsidRPr="0070734A" w:rsidRDefault="003050FC" w:rsidP="0070734A">
      <w:pPr>
        <w:pStyle w:val="PlainText"/>
        <w:keepNext/>
        <w:keepLines/>
        <w:rPr>
          <w:rFonts w:ascii="Times New Roman" w:eastAsia="MS Mincho" w:hAnsi="Times New Roman"/>
          <w:sz w:val="24"/>
          <w:szCs w:val="24"/>
        </w:rPr>
      </w:pPr>
    </w:p>
    <w:p w14:paraId="2961815C" w14:textId="77777777" w:rsidR="000915DB" w:rsidRPr="0070734A" w:rsidRDefault="000915DB" w:rsidP="0070734A">
      <w:pPr>
        <w:pStyle w:val="PlainText"/>
        <w:keepNext/>
        <w:keepLines/>
        <w:numPr>
          <w:ilvl w:val="0"/>
          <w:numId w:val="2"/>
        </w:numPr>
        <w:jc w:val="both"/>
        <w:rPr>
          <w:rFonts w:ascii="Times New Roman" w:eastAsia="MS Mincho" w:hAnsi="Times New Roman"/>
          <w:sz w:val="24"/>
          <w:szCs w:val="24"/>
        </w:rPr>
      </w:pPr>
      <w:r w:rsidRPr="0070734A">
        <w:rPr>
          <w:rFonts w:ascii="Times New Roman" w:hAnsi="Times New Roman"/>
          <w:sz w:val="24"/>
          <w:szCs w:val="24"/>
        </w:rPr>
        <w:t xml:space="preserve">V průběhu posuzování žádosti budou vybraní žadatelé vyzváni k předložení následujících dokladů (povinných příloh), které každý žadatel přikládá pro daný kalendářní rok pouze jednou, a to bez ohledu na počet předkládaných žádostí. Lze je také uložit v elektronickém systému tak, aby byly využitelné pro všechny </w:t>
      </w:r>
      <w:r w:rsidRPr="0070734A">
        <w:rPr>
          <w:rFonts w:ascii="Times New Roman" w:hAnsi="Times New Roman"/>
          <w:sz w:val="24"/>
          <w:szCs w:val="24"/>
          <w:lang w:val="en-AU"/>
        </w:rPr>
        <w:t>pod</w:t>
      </w:r>
      <w:r w:rsidRPr="0070734A">
        <w:rPr>
          <w:rFonts w:ascii="Times New Roman" w:hAnsi="Times New Roman"/>
          <w:sz w:val="24"/>
          <w:szCs w:val="24"/>
        </w:rPr>
        <w:t>ávané žádosti daného subjektu:</w:t>
      </w:r>
    </w:p>
    <w:p w14:paraId="1CAC6CC8" w14:textId="77777777" w:rsidR="000915DB" w:rsidRPr="0070734A" w:rsidRDefault="000915DB" w:rsidP="0070734A">
      <w:pPr>
        <w:numPr>
          <w:ilvl w:val="0"/>
          <w:numId w:val="16"/>
        </w:numPr>
        <w:ind w:left="714" w:hanging="357"/>
        <w:jc w:val="both"/>
      </w:pPr>
      <w:r w:rsidRPr="0070734A">
        <w:t xml:space="preserve">doklad o právní osobnosti v souladu s právní formou žadatele; </w:t>
      </w:r>
    </w:p>
    <w:p w14:paraId="1DD5FDA4" w14:textId="77777777" w:rsidR="000915DB" w:rsidRPr="0070734A" w:rsidRDefault="000915DB" w:rsidP="0070734A">
      <w:pPr>
        <w:numPr>
          <w:ilvl w:val="0"/>
          <w:numId w:val="16"/>
        </w:numPr>
        <w:ind w:left="714" w:hanging="357"/>
        <w:jc w:val="both"/>
      </w:pPr>
      <w:r w:rsidRPr="0070734A">
        <w:t>doklad o volbě nebo jmenování statutárního zástupce, případně současně s dokladem osvědčujícím oprávnění zástupce jednat jménem subjektu navenek, v případě pověřence;</w:t>
      </w:r>
    </w:p>
    <w:p w14:paraId="35702CE8" w14:textId="77777777" w:rsidR="000915DB" w:rsidRPr="0070734A" w:rsidRDefault="000915DB" w:rsidP="0070734A">
      <w:pPr>
        <w:numPr>
          <w:ilvl w:val="0"/>
          <w:numId w:val="16"/>
        </w:numPr>
        <w:ind w:left="714" w:hanging="357"/>
        <w:jc w:val="both"/>
      </w:pPr>
      <w:r w:rsidRPr="0070734A">
        <w:t>doklad o přidělení identifikačního čísla osoby (IČO);</w:t>
      </w:r>
    </w:p>
    <w:p w14:paraId="2B77A031" w14:textId="77777777" w:rsidR="000915DB" w:rsidRPr="0070734A" w:rsidRDefault="000915DB" w:rsidP="0070734A">
      <w:pPr>
        <w:numPr>
          <w:ilvl w:val="0"/>
          <w:numId w:val="16"/>
        </w:numPr>
        <w:ind w:left="714" w:hanging="357"/>
        <w:jc w:val="both"/>
      </w:pPr>
      <w:r w:rsidRPr="0070734A">
        <w:t>osvědčení o registraci daňového identifikačního čísla (DIČ), pokud bylo přiděleno;</w:t>
      </w:r>
    </w:p>
    <w:p w14:paraId="27493E76" w14:textId="77777777" w:rsidR="000915DB" w:rsidRPr="0070734A" w:rsidRDefault="000915DB" w:rsidP="0070734A">
      <w:pPr>
        <w:numPr>
          <w:ilvl w:val="0"/>
          <w:numId w:val="16"/>
        </w:numPr>
        <w:ind w:left="714" w:hanging="357"/>
        <w:jc w:val="both"/>
      </w:pPr>
      <w:r w:rsidRPr="0070734A">
        <w:rPr>
          <w:b/>
        </w:rPr>
        <w:t>ověřený doklad</w:t>
      </w:r>
      <w:r w:rsidRPr="0070734A">
        <w:t xml:space="preserve"> místně příslušného finančního úřadu </w:t>
      </w:r>
      <w:r w:rsidRPr="0070734A">
        <w:rPr>
          <w:b/>
        </w:rPr>
        <w:t xml:space="preserve">ne starší šesti měsíců </w:t>
      </w:r>
      <w:r w:rsidRPr="0070734A">
        <w:t>o tom, že žadatel u něj nemá závazky po lhůtě splatnosti;</w:t>
      </w:r>
    </w:p>
    <w:p w14:paraId="3FEDF35C" w14:textId="77777777" w:rsidR="000915DB" w:rsidRPr="0070734A" w:rsidRDefault="000915DB" w:rsidP="0070734A">
      <w:pPr>
        <w:numPr>
          <w:ilvl w:val="0"/>
          <w:numId w:val="16"/>
        </w:numPr>
        <w:ind w:left="714" w:hanging="357"/>
        <w:jc w:val="both"/>
      </w:pPr>
      <w:r w:rsidRPr="0070734A">
        <w:rPr>
          <w:b/>
        </w:rPr>
        <w:t>ověřený doklad</w:t>
      </w:r>
      <w:r w:rsidRPr="0070734A">
        <w:t xml:space="preserve"> místně příslušné okresí správy sociálního zabezpečení </w:t>
      </w:r>
      <w:r w:rsidRPr="0070734A">
        <w:rPr>
          <w:b/>
        </w:rPr>
        <w:t xml:space="preserve">ne starší šesti měsíců </w:t>
      </w:r>
      <w:r w:rsidRPr="0070734A">
        <w:t>o tom, že žadatel u ní nemá závazky po lhůtě splatnosti;</w:t>
      </w:r>
    </w:p>
    <w:p w14:paraId="269DD6A2" w14:textId="77777777" w:rsidR="000915DB" w:rsidRPr="0070734A" w:rsidRDefault="000915DB" w:rsidP="0070734A">
      <w:pPr>
        <w:numPr>
          <w:ilvl w:val="0"/>
          <w:numId w:val="16"/>
        </w:numPr>
        <w:ind w:left="714" w:hanging="357"/>
        <w:jc w:val="both"/>
      </w:pPr>
      <w:r w:rsidRPr="0070734A">
        <w:t xml:space="preserve">doklad o zřízení běžného účtu u peněžního ústavu v ČR shodného s účtem uvedeným v žádosti; </w:t>
      </w:r>
    </w:p>
    <w:p w14:paraId="103FBFE6" w14:textId="77777777" w:rsidR="000915DB" w:rsidRPr="0070734A" w:rsidRDefault="000915DB" w:rsidP="0070734A">
      <w:pPr>
        <w:pStyle w:val="NormalWeb"/>
        <w:numPr>
          <w:ilvl w:val="0"/>
          <w:numId w:val="16"/>
        </w:numPr>
        <w:tabs>
          <w:tab w:val="left" w:pos="426"/>
        </w:tabs>
        <w:spacing w:before="0" w:after="120"/>
        <w:jc w:val="both"/>
      </w:pPr>
      <w:r w:rsidRPr="0070734A">
        <w:t xml:space="preserve">čestné prohlášení, že žadatel nemá žádné závazky po lhůtě splatnosti vůči zdravotním pojišťovnám, Celní správě, Pozemkovému fondu, Státnímu fondu životního prostředí a Státnímu zemědělskému intervenčnímu fondu, (za vypořádání přitom nelze považovat posečkání s úhradou dlužných závazků), ani dalším fondům či rozpočtům orgánů veřejné moci; </w:t>
      </w:r>
    </w:p>
    <w:p w14:paraId="78B1931F" w14:textId="77777777" w:rsidR="000915DB" w:rsidRPr="0070734A" w:rsidRDefault="000915DB" w:rsidP="0070734A">
      <w:pPr>
        <w:numPr>
          <w:ilvl w:val="0"/>
          <w:numId w:val="16"/>
        </w:numPr>
        <w:ind w:left="714" w:hanging="357"/>
        <w:jc w:val="both"/>
      </w:pPr>
      <w:r w:rsidRPr="0070734A">
        <w:t xml:space="preserve">čestné prohlášení, že žadatel nemá žádné závazky po lhůtě splatnosti vůči státnímu rozpočtu; </w:t>
      </w:r>
    </w:p>
    <w:p w14:paraId="4F6611C9" w14:textId="77777777" w:rsidR="000915DB" w:rsidRPr="0070734A" w:rsidRDefault="000915DB" w:rsidP="0070734A">
      <w:pPr>
        <w:numPr>
          <w:ilvl w:val="0"/>
          <w:numId w:val="16"/>
        </w:numPr>
        <w:ind w:left="714" w:hanging="357"/>
        <w:jc w:val="both"/>
      </w:pPr>
      <w:r w:rsidRPr="0070734A">
        <w:t>seznam organizací a institucí, u kterých žadatel současně požaduje poskytnutí finančních prostředků na realizaci předkládaného projektu, včetně výše žáda</w:t>
      </w:r>
      <w:r w:rsidR="003137DE" w:rsidRPr="0070734A">
        <w:t>n</w:t>
      </w:r>
      <w:r w:rsidRPr="0070734A">
        <w:t>ých prostředků od jednotl</w:t>
      </w:r>
      <w:r w:rsidR="003137DE" w:rsidRPr="0070734A">
        <w:t>i</w:t>
      </w:r>
      <w:r w:rsidRPr="0070734A">
        <w:t>vých organizací a jejich celkový součet.</w:t>
      </w:r>
    </w:p>
    <w:p w14:paraId="19C519DF" w14:textId="77777777" w:rsidR="003050FC" w:rsidRPr="0070734A" w:rsidRDefault="003050FC" w:rsidP="0070734A">
      <w:pPr>
        <w:ind w:left="714"/>
        <w:jc w:val="both"/>
      </w:pPr>
    </w:p>
    <w:p w14:paraId="397E4F49" w14:textId="77777777" w:rsidR="000915DB" w:rsidRPr="0070734A" w:rsidRDefault="000915DB" w:rsidP="0070734A">
      <w:pPr>
        <w:pStyle w:val="PlainText"/>
        <w:keepNext/>
        <w:keepLines/>
        <w:numPr>
          <w:ilvl w:val="0"/>
          <w:numId w:val="2"/>
        </w:numPr>
        <w:rPr>
          <w:rFonts w:ascii="Times New Roman" w:eastAsia="MS Mincho" w:hAnsi="Times New Roman"/>
          <w:sz w:val="24"/>
          <w:szCs w:val="24"/>
        </w:rPr>
      </w:pPr>
      <w:r w:rsidRPr="0070734A">
        <w:rPr>
          <w:rFonts w:ascii="Times New Roman" w:eastAsia="MS Mincho" w:hAnsi="Times New Roman"/>
          <w:sz w:val="24"/>
          <w:szCs w:val="24"/>
        </w:rPr>
        <w:lastRenderedPageBreak/>
        <w:t xml:space="preserve"> V případě úředních dokumentů přijatých prostředni</w:t>
      </w:r>
      <w:r w:rsidR="00322D37" w:rsidRPr="0070734A">
        <w:rPr>
          <w:rFonts w:ascii="Times New Roman" w:eastAsia="MS Mincho" w:hAnsi="Times New Roman"/>
          <w:sz w:val="24"/>
          <w:szCs w:val="24"/>
        </w:rPr>
        <w:t>ctvím datové schránky je nutná „</w:t>
      </w:r>
      <w:r w:rsidRPr="0070734A">
        <w:rPr>
          <w:rFonts w:ascii="Times New Roman" w:eastAsia="MS Mincho" w:hAnsi="Times New Roman"/>
          <w:sz w:val="24"/>
          <w:szCs w:val="24"/>
        </w:rPr>
        <w:t>ověřovací doložka konverze na žádost do dokumentu v listinné podobě”.</w:t>
      </w:r>
    </w:p>
    <w:p w14:paraId="3DB4841A" w14:textId="77777777" w:rsidR="003050FC" w:rsidRPr="0070734A" w:rsidRDefault="003050FC" w:rsidP="0070734A">
      <w:pPr>
        <w:pStyle w:val="PlainText"/>
        <w:keepNext/>
        <w:keepLines/>
        <w:rPr>
          <w:rFonts w:ascii="Times New Roman" w:eastAsia="MS Mincho" w:hAnsi="Times New Roman"/>
          <w:sz w:val="24"/>
          <w:szCs w:val="24"/>
        </w:rPr>
      </w:pPr>
    </w:p>
    <w:p w14:paraId="513CB874" w14:textId="77777777" w:rsidR="000915DB" w:rsidRPr="0070734A" w:rsidRDefault="000915DB" w:rsidP="0070734A">
      <w:pPr>
        <w:pStyle w:val="PlainText"/>
        <w:keepNext/>
        <w:keepLines/>
        <w:numPr>
          <w:ilvl w:val="0"/>
          <w:numId w:val="2"/>
        </w:numPr>
        <w:jc w:val="both"/>
        <w:rPr>
          <w:rFonts w:ascii="Times New Roman" w:eastAsia="MS Mincho" w:hAnsi="Times New Roman"/>
          <w:sz w:val="24"/>
          <w:szCs w:val="24"/>
        </w:rPr>
      </w:pPr>
      <w:r w:rsidRPr="0070734A">
        <w:rPr>
          <w:rFonts w:ascii="Times New Roman" w:eastAsia="MS Mincho" w:hAnsi="Times New Roman"/>
          <w:sz w:val="24"/>
          <w:szCs w:val="24"/>
        </w:rPr>
        <w:t>Při listinném podání příloh, které nebylo možné vložit do Gran</w:t>
      </w:r>
      <w:r w:rsidR="003050FC" w:rsidRPr="0070734A">
        <w:rPr>
          <w:rFonts w:ascii="Times New Roman" w:eastAsia="MS Mincho" w:hAnsi="Times New Roman"/>
          <w:sz w:val="24"/>
          <w:szCs w:val="24"/>
        </w:rPr>
        <w:t>tysu, musí být obálka označena „</w:t>
      </w:r>
      <w:r w:rsidRPr="0070734A">
        <w:rPr>
          <w:rFonts w:ascii="Times New Roman" w:eastAsia="MS Mincho" w:hAnsi="Times New Roman"/>
          <w:sz w:val="24"/>
          <w:szCs w:val="24"/>
        </w:rPr>
        <w:t>Program transformační spolup</w:t>
      </w:r>
      <w:r w:rsidR="00322D37" w:rsidRPr="0070734A">
        <w:rPr>
          <w:rFonts w:ascii="Times New Roman" w:eastAsia="MS Mincho" w:hAnsi="Times New Roman"/>
          <w:sz w:val="24"/>
          <w:szCs w:val="24"/>
        </w:rPr>
        <w:t>ráce” a „</w:t>
      </w:r>
      <w:r w:rsidRPr="0070734A">
        <w:rPr>
          <w:rFonts w:ascii="Times New Roman" w:eastAsia="MS Mincho" w:hAnsi="Times New Roman"/>
          <w:sz w:val="24"/>
          <w:szCs w:val="24"/>
        </w:rPr>
        <w:t>NEOTVÍRA</w:t>
      </w:r>
      <w:r w:rsidR="003050FC" w:rsidRPr="0070734A">
        <w:rPr>
          <w:rFonts w:ascii="Times New Roman" w:eastAsia="MS Mincho" w:hAnsi="Times New Roman"/>
          <w:sz w:val="24"/>
          <w:szCs w:val="24"/>
        </w:rPr>
        <w:t xml:space="preserve">T” a musí obsahovat také název </w:t>
      </w:r>
      <w:r w:rsidRPr="0070734A">
        <w:rPr>
          <w:rFonts w:ascii="Times New Roman" w:eastAsia="MS Mincho" w:hAnsi="Times New Roman"/>
          <w:sz w:val="24"/>
          <w:szCs w:val="24"/>
        </w:rPr>
        <w:t xml:space="preserve">a adresu žadatele. </w:t>
      </w:r>
    </w:p>
    <w:p w14:paraId="217D2045" w14:textId="77777777" w:rsidR="00322D37" w:rsidRPr="0070734A" w:rsidRDefault="00322D37" w:rsidP="0070734A">
      <w:pPr>
        <w:pStyle w:val="PlainText"/>
        <w:keepNext/>
        <w:keepLines/>
        <w:jc w:val="both"/>
        <w:rPr>
          <w:rFonts w:ascii="Times New Roman" w:eastAsia="MS Mincho" w:hAnsi="Times New Roman"/>
          <w:sz w:val="24"/>
          <w:szCs w:val="24"/>
        </w:rPr>
      </w:pPr>
    </w:p>
    <w:p w14:paraId="584BC0A5" w14:textId="77777777" w:rsidR="000915DB" w:rsidRPr="0070734A" w:rsidRDefault="000915DB" w:rsidP="0070734A">
      <w:pPr>
        <w:pStyle w:val="CommentText"/>
        <w:numPr>
          <w:ilvl w:val="0"/>
          <w:numId w:val="17"/>
        </w:numPr>
        <w:suppressAutoHyphens/>
        <w:spacing w:after="200"/>
        <w:jc w:val="both"/>
        <w:rPr>
          <w:sz w:val="24"/>
          <w:szCs w:val="24"/>
        </w:rPr>
      </w:pPr>
      <w:r w:rsidRPr="0070734A">
        <w:rPr>
          <w:sz w:val="24"/>
          <w:szCs w:val="24"/>
        </w:rPr>
        <w:t xml:space="preserve">Dle § 14k odst. 1 a 14j odst. 4 zákona o rozpočtových pravidlech nebude MZV žadatele </w:t>
      </w:r>
      <w:r w:rsidRPr="0070734A">
        <w:rPr>
          <w:sz w:val="24"/>
          <w:szCs w:val="24"/>
        </w:rPr>
        <w:br/>
        <w:t xml:space="preserve">o dotaci vyzývat k odstranění případných následujících vad: </w:t>
      </w:r>
    </w:p>
    <w:p w14:paraId="6D2A6204" w14:textId="77777777" w:rsidR="000915DB" w:rsidRPr="0070734A" w:rsidRDefault="000915DB" w:rsidP="0070734A">
      <w:pPr>
        <w:pStyle w:val="CommentText"/>
        <w:numPr>
          <w:ilvl w:val="0"/>
          <w:numId w:val="18"/>
        </w:numPr>
        <w:suppressAutoHyphens/>
        <w:spacing w:after="200"/>
        <w:jc w:val="both"/>
        <w:rPr>
          <w:sz w:val="24"/>
          <w:szCs w:val="24"/>
        </w:rPr>
      </w:pPr>
      <w:r w:rsidRPr="0070734A">
        <w:rPr>
          <w:sz w:val="24"/>
          <w:szCs w:val="24"/>
        </w:rPr>
        <w:t xml:space="preserve">nepřítomnost jedné či více příloh dle vzorové osnovy projektového dokumentu; </w:t>
      </w:r>
    </w:p>
    <w:p w14:paraId="0DFF18C2" w14:textId="77777777" w:rsidR="000915DB" w:rsidRPr="0070734A" w:rsidRDefault="000915DB" w:rsidP="0070734A">
      <w:pPr>
        <w:pStyle w:val="CommentText"/>
        <w:numPr>
          <w:ilvl w:val="0"/>
          <w:numId w:val="18"/>
        </w:numPr>
        <w:suppressAutoHyphens/>
        <w:spacing w:after="200"/>
        <w:jc w:val="both"/>
        <w:rPr>
          <w:sz w:val="24"/>
          <w:szCs w:val="24"/>
        </w:rPr>
      </w:pPr>
      <w:r w:rsidRPr="0070734A">
        <w:rPr>
          <w:sz w:val="24"/>
          <w:szCs w:val="24"/>
        </w:rPr>
        <w:t xml:space="preserve">procento kofinace nižší než 10 % celkových projektových výdajů; </w:t>
      </w:r>
    </w:p>
    <w:p w14:paraId="0E659422" w14:textId="77777777" w:rsidR="000915DB" w:rsidRPr="0070734A" w:rsidRDefault="000915DB" w:rsidP="0070734A">
      <w:pPr>
        <w:pStyle w:val="CommentText"/>
        <w:numPr>
          <w:ilvl w:val="0"/>
          <w:numId w:val="18"/>
        </w:numPr>
        <w:suppressAutoHyphens/>
        <w:spacing w:after="200"/>
        <w:jc w:val="both"/>
        <w:rPr>
          <w:sz w:val="24"/>
          <w:szCs w:val="24"/>
        </w:rPr>
      </w:pPr>
      <w:r w:rsidRPr="0070734A">
        <w:rPr>
          <w:sz w:val="24"/>
          <w:szCs w:val="24"/>
        </w:rPr>
        <w:t xml:space="preserve">procento administrativních výdajů vyšší než 7 % z celkových přímých výdajů projektu; </w:t>
      </w:r>
    </w:p>
    <w:p w14:paraId="69F0A508" w14:textId="77777777" w:rsidR="000915DB" w:rsidRPr="0070734A" w:rsidRDefault="000915DB" w:rsidP="0070734A">
      <w:pPr>
        <w:pStyle w:val="CommentText"/>
        <w:numPr>
          <w:ilvl w:val="0"/>
          <w:numId w:val="18"/>
        </w:numPr>
        <w:suppressAutoHyphens/>
        <w:spacing w:after="200"/>
        <w:jc w:val="both"/>
        <w:rPr>
          <w:sz w:val="24"/>
          <w:szCs w:val="24"/>
        </w:rPr>
      </w:pPr>
      <w:r w:rsidRPr="0070734A">
        <w:rPr>
          <w:sz w:val="24"/>
          <w:szCs w:val="24"/>
        </w:rPr>
        <w:t xml:space="preserve">numerická chyba v rozpočtu; </w:t>
      </w:r>
    </w:p>
    <w:p w14:paraId="4FF80516" w14:textId="77777777" w:rsidR="000915DB" w:rsidRPr="0070734A" w:rsidRDefault="000915DB" w:rsidP="0070734A">
      <w:pPr>
        <w:pStyle w:val="CommentText"/>
        <w:numPr>
          <w:ilvl w:val="0"/>
          <w:numId w:val="18"/>
        </w:numPr>
        <w:suppressAutoHyphens/>
        <w:spacing w:after="200"/>
        <w:jc w:val="both"/>
        <w:rPr>
          <w:sz w:val="24"/>
          <w:szCs w:val="24"/>
        </w:rPr>
      </w:pPr>
      <w:r w:rsidRPr="0070734A">
        <w:rPr>
          <w:sz w:val="24"/>
          <w:szCs w:val="24"/>
        </w:rPr>
        <w:t xml:space="preserve">více než 3 drobnější chyby administrativního charakteru u podané žádosti. </w:t>
      </w:r>
    </w:p>
    <w:p w14:paraId="78E80D62" w14:textId="77777777" w:rsidR="000915DB" w:rsidRPr="0070734A" w:rsidRDefault="000915DB" w:rsidP="0070734A">
      <w:pPr>
        <w:pStyle w:val="CommentText"/>
        <w:suppressAutoHyphens/>
        <w:spacing w:after="200"/>
        <w:jc w:val="both"/>
        <w:rPr>
          <w:sz w:val="24"/>
          <w:szCs w:val="24"/>
        </w:rPr>
      </w:pPr>
      <w:r w:rsidRPr="0070734A">
        <w:rPr>
          <w:sz w:val="24"/>
          <w:szCs w:val="24"/>
        </w:rPr>
        <w:t>V případě, že žádost o poskytnutí dotace bude trpět vadou či vadami uvedenými výše, MZV řízení bez dalšího usnesení zastaví. Dle § 14k odst. 3</w:t>
      </w:r>
      <w:r w:rsidR="00796DB2" w:rsidRPr="0070734A">
        <w:rPr>
          <w:sz w:val="24"/>
          <w:szCs w:val="24"/>
        </w:rPr>
        <w:t xml:space="preserve"> a 4</w:t>
      </w:r>
      <w:r w:rsidRPr="0070734A">
        <w:rPr>
          <w:sz w:val="24"/>
          <w:szCs w:val="24"/>
        </w:rPr>
        <w:t xml:space="preserve"> může MZV kdykoli v průběhu řízení vyzvat žadatele k doložení dalších podkladů nebo údajů nezbytných pro vydání rozhodnutí o poskytnutí dotace, k čemuž žadateli poskytne přiměřenou lhůtu, a MZV může žadateli doporučit úpravu žádosti, lze-li předpokládat, že upravené žádosti bude zcela vyhověno. </w:t>
      </w:r>
    </w:p>
    <w:p w14:paraId="7956541F" w14:textId="77777777" w:rsidR="000915DB" w:rsidRPr="0070734A" w:rsidRDefault="000915DB" w:rsidP="0070734A">
      <w:pPr>
        <w:pStyle w:val="PlainText"/>
        <w:jc w:val="both"/>
        <w:rPr>
          <w:rFonts w:ascii="Times New Roman" w:eastAsia="MS Mincho" w:hAnsi="Times New Roman"/>
          <w:b/>
          <w:bCs/>
          <w:sz w:val="24"/>
          <w:szCs w:val="24"/>
        </w:rPr>
      </w:pPr>
    </w:p>
    <w:p w14:paraId="7FE61C46" w14:textId="77777777" w:rsidR="000915DB" w:rsidRPr="0070734A" w:rsidRDefault="000915DB" w:rsidP="0070734A">
      <w:pPr>
        <w:pStyle w:val="PlainText"/>
        <w:jc w:val="both"/>
        <w:rPr>
          <w:rFonts w:ascii="Times New Roman" w:eastAsia="MS Mincho" w:hAnsi="Times New Roman"/>
          <w:b/>
          <w:bCs/>
          <w:sz w:val="24"/>
          <w:szCs w:val="24"/>
        </w:rPr>
      </w:pPr>
      <w:r w:rsidRPr="0070734A">
        <w:rPr>
          <w:rFonts w:ascii="Times New Roman" w:eastAsia="MS Mincho" w:hAnsi="Times New Roman"/>
          <w:b/>
          <w:bCs/>
          <w:sz w:val="24"/>
          <w:szCs w:val="24"/>
        </w:rPr>
        <w:t>IX. KRITÉRIA PRO HODNOCENÍ NÁVRHŮ PROJEKTŮ</w:t>
      </w:r>
    </w:p>
    <w:p w14:paraId="39D7A2BD" w14:textId="77777777" w:rsidR="000915DB" w:rsidRPr="0070734A" w:rsidRDefault="000915DB" w:rsidP="0070734A">
      <w:pPr>
        <w:pStyle w:val="PlainText"/>
        <w:jc w:val="both"/>
        <w:rPr>
          <w:rFonts w:ascii="Times New Roman" w:eastAsia="MS Mincho" w:hAnsi="Times New Roman"/>
          <w:b/>
          <w:bCs/>
          <w:sz w:val="24"/>
          <w:szCs w:val="24"/>
        </w:rPr>
      </w:pPr>
    </w:p>
    <w:p w14:paraId="208B0980" w14:textId="77777777" w:rsidR="000915DB" w:rsidRPr="0070734A" w:rsidRDefault="000915DB" w:rsidP="0070734A">
      <w:pPr>
        <w:pStyle w:val="CommentText"/>
        <w:suppressAutoHyphens/>
        <w:spacing w:after="200"/>
        <w:jc w:val="both"/>
        <w:rPr>
          <w:sz w:val="24"/>
          <w:szCs w:val="24"/>
        </w:rPr>
      </w:pPr>
      <w:r w:rsidRPr="0070734A">
        <w:rPr>
          <w:sz w:val="24"/>
          <w:szCs w:val="24"/>
        </w:rPr>
        <w:t>Posouzení a výběr předložených žádostí bude probíhat v souladu s metodickým pokynem a metodikou Programu transformační spolupráce. Došlé žádosti o dotaci budou evidovány a zpracovány pověřeným administrátorem. Formální správnost předložené žádosti o dotaci bude posuzována administrátorem a koordinátory v systému Grantys. Administrátor a koordinátoři systému Grantys mohou po zjištění méně závažných formálních nedostatků požádat žadatele o dotaci o jejich dodatečné</w:t>
      </w:r>
      <w:r w:rsidR="00607CB0" w:rsidRPr="0070734A">
        <w:rPr>
          <w:sz w:val="24"/>
          <w:szCs w:val="24"/>
        </w:rPr>
        <w:t xml:space="preserve"> odstranění ve stanovené lhůtě.</w:t>
      </w:r>
    </w:p>
    <w:p w14:paraId="10F82901" w14:textId="77777777" w:rsidR="000915DB" w:rsidRPr="0070734A" w:rsidRDefault="000915DB" w:rsidP="0070734A">
      <w:pPr>
        <w:pStyle w:val="CommentText"/>
        <w:suppressAutoHyphens/>
        <w:spacing w:after="200"/>
        <w:jc w:val="both"/>
        <w:rPr>
          <w:sz w:val="24"/>
          <w:szCs w:val="24"/>
        </w:rPr>
      </w:pPr>
      <w:r w:rsidRPr="0070734A">
        <w:rPr>
          <w:sz w:val="24"/>
          <w:szCs w:val="24"/>
        </w:rPr>
        <w:t>Členové hodnoticí komise jsou povinni před zasedáním hodnoticí komise podepsat prohlášení o nestrannosti a mlčenlivosti. Hodnoticí komise vybere vítězné projekty a stanoví doporučenou výši dotace. Hodnoticí komise rovněž navrhne seznam náhradních projektů pro případ, že vítězní žadatelé od realizace projektu pře</w:t>
      </w:r>
      <w:r w:rsidR="008328A8" w:rsidRPr="0070734A">
        <w:rPr>
          <w:sz w:val="24"/>
          <w:szCs w:val="24"/>
        </w:rPr>
        <w:t>d podpisem rozhodnutí odstoupí.</w:t>
      </w:r>
    </w:p>
    <w:p w14:paraId="1B49B301" w14:textId="77777777" w:rsidR="000915DB" w:rsidRPr="0070734A" w:rsidRDefault="000915DB" w:rsidP="0070734A">
      <w:pPr>
        <w:pStyle w:val="PlainText"/>
        <w:jc w:val="both"/>
        <w:rPr>
          <w:rFonts w:ascii="Times New Roman" w:eastAsia="MS Mincho" w:hAnsi="Times New Roman"/>
          <w:sz w:val="24"/>
          <w:szCs w:val="24"/>
        </w:rPr>
      </w:pPr>
      <w:r w:rsidRPr="0070734A">
        <w:rPr>
          <w:rFonts w:ascii="Times New Roman" w:eastAsia="MS Mincho" w:hAnsi="Times New Roman"/>
          <w:sz w:val="24"/>
          <w:szCs w:val="24"/>
        </w:rPr>
        <w:t>1. Návrhy projektů, které splní formální náležitosti (viz čl. VIII</w:t>
      </w:r>
      <w:r w:rsidR="002F7C0F" w:rsidRPr="0070734A">
        <w:rPr>
          <w:rFonts w:ascii="Times New Roman" w:eastAsia="MS Mincho" w:hAnsi="Times New Roman"/>
          <w:sz w:val="24"/>
          <w:szCs w:val="24"/>
        </w:rPr>
        <w:t xml:space="preserve">. </w:t>
      </w:r>
      <w:r w:rsidRPr="0070734A">
        <w:rPr>
          <w:rFonts w:ascii="Times New Roman" w:eastAsia="MS Mincho" w:hAnsi="Times New Roman"/>
          <w:sz w:val="24"/>
          <w:szCs w:val="24"/>
        </w:rPr>
        <w:t>bod 4), budou hodnotící komisí posu</w:t>
      </w:r>
      <w:r w:rsidR="002F7C0F" w:rsidRPr="0070734A">
        <w:rPr>
          <w:rFonts w:ascii="Times New Roman" w:eastAsia="MS Mincho" w:hAnsi="Times New Roman"/>
          <w:sz w:val="24"/>
          <w:szCs w:val="24"/>
        </w:rPr>
        <w:t xml:space="preserve">zováni podle těchto kritérií: </w:t>
      </w:r>
    </w:p>
    <w:p w14:paraId="7564E435" w14:textId="77777777" w:rsidR="000915DB" w:rsidRPr="0070734A" w:rsidRDefault="000915DB" w:rsidP="0070734A">
      <w:pPr>
        <w:pStyle w:val="Zaznam"/>
        <w:numPr>
          <w:ilvl w:val="0"/>
          <w:numId w:val="23"/>
        </w:numPr>
        <w:tabs>
          <w:tab w:val="left" w:pos="720"/>
          <w:tab w:val="left" w:pos="1800"/>
          <w:tab w:val="left" w:pos="9000"/>
        </w:tabs>
        <w:spacing w:before="0" w:after="0"/>
        <w:rPr>
          <w:szCs w:val="24"/>
        </w:rPr>
      </w:pPr>
      <w:r w:rsidRPr="0070734A">
        <w:rPr>
          <w:b/>
          <w:bCs/>
          <w:szCs w:val="24"/>
        </w:rPr>
        <w:t xml:space="preserve">relevance </w:t>
      </w:r>
      <w:r w:rsidRPr="0070734A">
        <w:rPr>
          <w:b/>
          <w:szCs w:val="24"/>
        </w:rPr>
        <w:t>projektu</w:t>
      </w:r>
      <w:r w:rsidRPr="0070734A">
        <w:rPr>
          <w:szCs w:val="24"/>
        </w:rPr>
        <w:t xml:space="preserve"> – odůvodněný předpoklad potřebnosti a přínosu projektu pro rozvoj demokracie a lidských práv v cílové zemi, znalost místních podmínek; max. 30 bodů;</w:t>
      </w:r>
    </w:p>
    <w:p w14:paraId="3A93C3F5" w14:textId="77777777" w:rsidR="000915DB" w:rsidRPr="0070734A" w:rsidRDefault="000915DB" w:rsidP="0070734A">
      <w:pPr>
        <w:pStyle w:val="Zaznam"/>
        <w:numPr>
          <w:ilvl w:val="0"/>
          <w:numId w:val="23"/>
        </w:numPr>
        <w:tabs>
          <w:tab w:val="left" w:pos="720"/>
          <w:tab w:val="left" w:pos="1800"/>
          <w:tab w:val="left" w:pos="9000"/>
        </w:tabs>
        <w:spacing w:before="0" w:after="0"/>
        <w:rPr>
          <w:szCs w:val="24"/>
        </w:rPr>
      </w:pPr>
      <w:r w:rsidRPr="0070734A">
        <w:rPr>
          <w:b/>
          <w:bCs/>
          <w:szCs w:val="24"/>
        </w:rPr>
        <w:t xml:space="preserve">kapacita předkladatele projektu </w:t>
      </w:r>
      <w:r w:rsidRPr="0070734A">
        <w:rPr>
          <w:szCs w:val="24"/>
        </w:rPr>
        <w:t>– odborná úroveň organizace a řešitelského týmu – délka praxe, zkušenosti v teritoriu, vlastní výsledky činnosti, úspěšnost při realizaci obdobných projektů; max. 20 bodů;</w:t>
      </w:r>
    </w:p>
    <w:p w14:paraId="51D16DD6" w14:textId="77777777" w:rsidR="000915DB" w:rsidRPr="0070734A" w:rsidRDefault="000915DB" w:rsidP="0070734A">
      <w:pPr>
        <w:pStyle w:val="Zaznam"/>
        <w:numPr>
          <w:ilvl w:val="0"/>
          <w:numId w:val="23"/>
        </w:numPr>
        <w:tabs>
          <w:tab w:val="left" w:pos="720"/>
        </w:tabs>
        <w:spacing w:before="0" w:after="0"/>
        <w:rPr>
          <w:szCs w:val="24"/>
        </w:rPr>
      </w:pPr>
      <w:r w:rsidRPr="0070734A">
        <w:rPr>
          <w:b/>
          <w:bCs/>
          <w:szCs w:val="24"/>
        </w:rPr>
        <w:t>účelnost</w:t>
      </w:r>
      <w:r w:rsidRPr="0070734A">
        <w:rPr>
          <w:szCs w:val="24"/>
        </w:rPr>
        <w:t xml:space="preserve"> vynaložení finančních prostředků vzhledem ke stanovenému cíli, dopad projektu, zviditelnění ČR; max. 20 bodů;</w:t>
      </w:r>
    </w:p>
    <w:p w14:paraId="6A6F90CB" w14:textId="77777777" w:rsidR="000915DB" w:rsidRPr="0070734A" w:rsidRDefault="000915DB" w:rsidP="0070734A">
      <w:pPr>
        <w:pStyle w:val="Zaznam"/>
        <w:numPr>
          <w:ilvl w:val="0"/>
          <w:numId w:val="23"/>
        </w:numPr>
        <w:tabs>
          <w:tab w:val="left" w:pos="720"/>
          <w:tab w:val="left" w:pos="1800"/>
          <w:tab w:val="left" w:pos="9000"/>
        </w:tabs>
        <w:spacing w:before="0" w:after="0"/>
        <w:rPr>
          <w:szCs w:val="24"/>
        </w:rPr>
      </w:pPr>
      <w:r w:rsidRPr="0070734A">
        <w:rPr>
          <w:b/>
          <w:bCs/>
          <w:szCs w:val="24"/>
        </w:rPr>
        <w:t>proveditelnost</w:t>
      </w:r>
      <w:r w:rsidRPr="0070734A">
        <w:rPr>
          <w:szCs w:val="24"/>
        </w:rPr>
        <w:t xml:space="preserve"> z časového, organizačního, finančního a technického hlediska; max. 10 bodů;</w:t>
      </w:r>
    </w:p>
    <w:p w14:paraId="5512A4B8" w14:textId="77777777" w:rsidR="000915DB" w:rsidRPr="0070734A" w:rsidRDefault="000915DB" w:rsidP="0070734A">
      <w:pPr>
        <w:pStyle w:val="Zaznam"/>
        <w:numPr>
          <w:ilvl w:val="0"/>
          <w:numId w:val="23"/>
        </w:numPr>
        <w:tabs>
          <w:tab w:val="left" w:pos="720"/>
          <w:tab w:val="left" w:pos="1800"/>
          <w:tab w:val="left" w:pos="9000"/>
        </w:tabs>
        <w:spacing w:before="0" w:after="0"/>
        <w:rPr>
          <w:szCs w:val="24"/>
        </w:rPr>
      </w:pPr>
      <w:r w:rsidRPr="0070734A">
        <w:rPr>
          <w:b/>
          <w:bCs/>
          <w:szCs w:val="24"/>
        </w:rPr>
        <w:lastRenderedPageBreak/>
        <w:t>kvalita zpracování</w:t>
      </w:r>
      <w:r w:rsidRPr="0070734A">
        <w:rPr>
          <w:szCs w:val="24"/>
        </w:rPr>
        <w:t xml:space="preserve"> </w:t>
      </w:r>
      <w:r w:rsidRPr="0070734A">
        <w:rPr>
          <w:b/>
          <w:szCs w:val="24"/>
        </w:rPr>
        <w:t>projektu</w:t>
      </w:r>
      <w:r w:rsidRPr="0070734A">
        <w:rPr>
          <w:szCs w:val="24"/>
        </w:rPr>
        <w:t xml:space="preserve"> – po formální i obsahové stránce, jeho odborná úroveň; max. 10 bodů;</w:t>
      </w:r>
    </w:p>
    <w:p w14:paraId="4746130A" w14:textId="77777777" w:rsidR="000915DB" w:rsidRPr="0070734A" w:rsidRDefault="000915DB" w:rsidP="0070734A">
      <w:pPr>
        <w:pStyle w:val="Zaznam"/>
        <w:numPr>
          <w:ilvl w:val="0"/>
          <w:numId w:val="23"/>
        </w:numPr>
        <w:tabs>
          <w:tab w:val="left" w:pos="-2160"/>
          <w:tab w:val="left" w:pos="720"/>
        </w:tabs>
        <w:spacing w:before="0" w:after="0"/>
        <w:rPr>
          <w:szCs w:val="24"/>
        </w:rPr>
      </w:pPr>
      <w:r w:rsidRPr="0070734A">
        <w:rPr>
          <w:b/>
          <w:bCs/>
          <w:szCs w:val="24"/>
        </w:rPr>
        <w:t xml:space="preserve">udržitelnost </w:t>
      </w:r>
      <w:r w:rsidRPr="0070734A">
        <w:rPr>
          <w:bCs/>
          <w:szCs w:val="24"/>
        </w:rPr>
        <w:t>výstupů a cílů projektu</w:t>
      </w:r>
      <w:r w:rsidRPr="0070734A">
        <w:rPr>
          <w:szCs w:val="24"/>
        </w:rPr>
        <w:t>; max. 10 bodů.</w:t>
      </w:r>
    </w:p>
    <w:p w14:paraId="66554B8F" w14:textId="77777777" w:rsidR="000915DB" w:rsidRPr="0070734A" w:rsidRDefault="000915DB" w:rsidP="0070734A">
      <w:pPr>
        <w:pStyle w:val="ListParagraph"/>
        <w:jc w:val="both"/>
        <w:rPr>
          <w:rFonts w:eastAsia="MS Mincho"/>
        </w:rPr>
      </w:pPr>
    </w:p>
    <w:p w14:paraId="7140A07C" w14:textId="77777777" w:rsidR="000915DB" w:rsidRPr="0070734A" w:rsidRDefault="000915DB" w:rsidP="0070734A">
      <w:pPr>
        <w:pStyle w:val="Zaznam"/>
        <w:tabs>
          <w:tab w:val="left" w:pos="1800"/>
          <w:tab w:val="left" w:pos="9000"/>
        </w:tabs>
        <w:spacing w:before="0" w:after="0"/>
        <w:rPr>
          <w:szCs w:val="24"/>
        </w:rPr>
      </w:pPr>
      <w:r w:rsidRPr="0070734A">
        <w:rPr>
          <w:rFonts w:eastAsia="MS Mincho"/>
          <w:szCs w:val="24"/>
        </w:rPr>
        <w:t xml:space="preserve">Maximální bodový zisk, kterého při hodnocení může projekt dosáhnout, činí 100 bodů. </w:t>
      </w:r>
      <w:r w:rsidRPr="0070734A">
        <w:rPr>
          <w:szCs w:val="24"/>
        </w:rPr>
        <w:t>Realizované mohou být pouze projekty, které obdrží alespoň 66 bodů.</w:t>
      </w:r>
    </w:p>
    <w:p w14:paraId="5759B8B2" w14:textId="77777777" w:rsidR="000915DB" w:rsidRPr="0070734A" w:rsidRDefault="000915DB" w:rsidP="0070734A">
      <w:pPr>
        <w:pStyle w:val="Zaznam"/>
        <w:tabs>
          <w:tab w:val="left" w:pos="1800"/>
          <w:tab w:val="left" w:pos="9000"/>
        </w:tabs>
        <w:spacing w:before="0" w:after="0"/>
        <w:rPr>
          <w:szCs w:val="24"/>
        </w:rPr>
      </w:pPr>
    </w:p>
    <w:p w14:paraId="280F640D" w14:textId="77777777" w:rsidR="000915DB" w:rsidRPr="0070734A" w:rsidRDefault="000915DB" w:rsidP="0070734A">
      <w:pPr>
        <w:pStyle w:val="Zaznam"/>
        <w:numPr>
          <w:ilvl w:val="0"/>
          <w:numId w:val="24"/>
        </w:numPr>
        <w:tabs>
          <w:tab w:val="left" w:pos="1800"/>
          <w:tab w:val="left" w:pos="9000"/>
        </w:tabs>
        <w:spacing w:before="0" w:after="0"/>
        <w:rPr>
          <w:szCs w:val="24"/>
        </w:rPr>
      </w:pPr>
      <w:r w:rsidRPr="0070734A">
        <w:rPr>
          <w:szCs w:val="24"/>
        </w:rPr>
        <w:t>Výsledky výběru a schvalování projektů budou u jednotlivch projektů vyznačeny v systému Grantys. Úspěšní žadatelé obdrží od posytovatele rozhodnutí obsahující náležitosti vedené v čl. V., případně další náležitosti nezbytné dle příslušných právních předpisů.</w:t>
      </w:r>
    </w:p>
    <w:p w14:paraId="717E02F6" w14:textId="77777777" w:rsidR="000915DB" w:rsidRPr="0070734A" w:rsidRDefault="000915DB" w:rsidP="0070734A">
      <w:pPr>
        <w:pStyle w:val="Zaznam"/>
        <w:tabs>
          <w:tab w:val="left" w:pos="1800"/>
          <w:tab w:val="left" w:pos="9000"/>
        </w:tabs>
        <w:spacing w:before="0" w:after="0"/>
        <w:rPr>
          <w:szCs w:val="24"/>
        </w:rPr>
      </w:pPr>
    </w:p>
    <w:p w14:paraId="0A449912" w14:textId="77777777" w:rsidR="000915DB" w:rsidRPr="0070734A" w:rsidRDefault="000915DB" w:rsidP="0070734A">
      <w:pPr>
        <w:pStyle w:val="PlainText"/>
        <w:rPr>
          <w:rFonts w:ascii="Times New Roman" w:eastAsia="MS Mincho" w:hAnsi="Times New Roman"/>
          <w:b/>
          <w:bCs/>
          <w:sz w:val="24"/>
          <w:szCs w:val="24"/>
        </w:rPr>
      </w:pPr>
      <w:r w:rsidRPr="0070734A">
        <w:rPr>
          <w:rFonts w:ascii="Times New Roman" w:eastAsia="MS Mincho" w:hAnsi="Times New Roman"/>
          <w:b/>
          <w:bCs/>
          <w:sz w:val="24"/>
          <w:szCs w:val="24"/>
        </w:rPr>
        <w:t xml:space="preserve">X. ZÁVĚREČNÉ USTANOVENÍ </w:t>
      </w:r>
    </w:p>
    <w:p w14:paraId="04B10B34" w14:textId="77777777" w:rsidR="000915DB" w:rsidRPr="0070734A" w:rsidRDefault="000915DB" w:rsidP="0070734A">
      <w:pPr>
        <w:pStyle w:val="PlainText"/>
        <w:rPr>
          <w:rFonts w:ascii="Times New Roman" w:eastAsia="MS Mincho" w:hAnsi="Times New Roman"/>
          <w:b/>
          <w:bCs/>
          <w:sz w:val="24"/>
          <w:szCs w:val="24"/>
        </w:rPr>
      </w:pPr>
    </w:p>
    <w:p w14:paraId="17077E32" w14:textId="77777777" w:rsidR="000915DB" w:rsidRPr="0070734A" w:rsidRDefault="000915DB" w:rsidP="0070734A">
      <w:pPr>
        <w:pStyle w:val="Prosttext1"/>
        <w:widowControl/>
        <w:numPr>
          <w:ilvl w:val="0"/>
          <w:numId w:val="25"/>
        </w:numPr>
        <w:tabs>
          <w:tab w:val="left" w:pos="360"/>
        </w:tabs>
        <w:spacing w:after="120"/>
        <w:ind w:left="357" w:hanging="357"/>
        <w:jc w:val="both"/>
        <w:rPr>
          <w:rFonts w:ascii="Times New Roman" w:hAnsi="Times New Roman" w:cs="Times New Roman"/>
          <w:b/>
          <w:sz w:val="24"/>
          <w:szCs w:val="24"/>
        </w:rPr>
      </w:pPr>
      <w:r w:rsidRPr="0070734A">
        <w:rPr>
          <w:rFonts w:ascii="Times New Roman" w:hAnsi="Times New Roman" w:cs="Times New Roman"/>
          <w:sz w:val="24"/>
          <w:szCs w:val="24"/>
        </w:rPr>
        <w:t xml:space="preserve">Poskytovatel si vyhrazuje právo přidělit dotaci v nižší než požadované výši. V tomto případě bude žadateli doporučena úprava žádosti, lze-li předpokládat, že upravené žádosti bude zcela vyhověno. Vyhoví-li žadatel o dotaci tomuto doporučení, posuzuje poskytovatel upravenou žádost. </w:t>
      </w:r>
    </w:p>
    <w:p w14:paraId="1580EF67" w14:textId="77777777" w:rsidR="000915DB" w:rsidRPr="0070734A" w:rsidRDefault="000915DB" w:rsidP="0070734A">
      <w:pPr>
        <w:pStyle w:val="Prosttext1"/>
        <w:widowControl/>
        <w:numPr>
          <w:ilvl w:val="0"/>
          <w:numId w:val="25"/>
        </w:numPr>
        <w:tabs>
          <w:tab w:val="left" w:pos="360"/>
        </w:tabs>
        <w:spacing w:after="120"/>
        <w:jc w:val="both"/>
        <w:rPr>
          <w:rFonts w:ascii="Times New Roman" w:hAnsi="Times New Roman" w:cs="Times New Roman"/>
          <w:sz w:val="24"/>
          <w:szCs w:val="24"/>
        </w:rPr>
      </w:pPr>
      <w:r w:rsidRPr="0070734A">
        <w:rPr>
          <w:rFonts w:ascii="Times New Roman" w:hAnsi="Times New Roman" w:cs="Times New Roman"/>
          <w:sz w:val="24"/>
          <w:szCs w:val="24"/>
        </w:rPr>
        <w:t xml:space="preserve">Výsledky dotačního řízení budou vyznačeny </w:t>
      </w:r>
      <w:r w:rsidR="00607CB0" w:rsidRPr="0070734A">
        <w:rPr>
          <w:rFonts w:ascii="Times New Roman" w:hAnsi="Times New Roman" w:cs="Times New Roman"/>
          <w:sz w:val="24"/>
          <w:szCs w:val="24"/>
        </w:rPr>
        <w:t>v elektronickém systému Grantys.</w:t>
      </w:r>
    </w:p>
    <w:p w14:paraId="0E6CEE7B" w14:textId="77777777" w:rsidR="000915DB" w:rsidRPr="0070734A" w:rsidRDefault="000915DB" w:rsidP="0070734A">
      <w:pPr>
        <w:pStyle w:val="Prosttext1"/>
        <w:widowControl/>
        <w:spacing w:after="120"/>
        <w:ind w:left="360"/>
        <w:jc w:val="both"/>
        <w:rPr>
          <w:rFonts w:ascii="Times New Roman" w:hAnsi="Times New Roman" w:cs="Times New Roman"/>
          <w:b/>
          <w:sz w:val="24"/>
          <w:szCs w:val="24"/>
        </w:rPr>
      </w:pPr>
    </w:p>
    <w:p w14:paraId="040590AC" w14:textId="77777777" w:rsidR="000915DB" w:rsidRPr="0070734A" w:rsidRDefault="000915DB" w:rsidP="0070734A">
      <w:pPr>
        <w:pStyle w:val="Prosttext1"/>
        <w:widowControl/>
        <w:spacing w:after="120"/>
        <w:jc w:val="both"/>
        <w:rPr>
          <w:rFonts w:ascii="Times New Roman" w:hAnsi="Times New Roman" w:cs="Times New Roman"/>
          <w:b/>
          <w:sz w:val="24"/>
          <w:szCs w:val="24"/>
        </w:rPr>
      </w:pPr>
      <w:r w:rsidRPr="0070734A">
        <w:rPr>
          <w:rFonts w:ascii="Times New Roman" w:hAnsi="Times New Roman" w:cs="Times New Roman"/>
          <w:b/>
          <w:sz w:val="24"/>
          <w:szCs w:val="24"/>
        </w:rPr>
        <w:t>XI. SOUČÁSTÍ TÉTO VÝZVY JSOU NÁSLEDUJÍCÍ PŘÍLOHY:</w:t>
      </w:r>
    </w:p>
    <w:p w14:paraId="648BBB7F" w14:textId="77777777" w:rsidR="000915DB" w:rsidRPr="0070734A" w:rsidRDefault="000915DB" w:rsidP="0070734A">
      <w:pPr>
        <w:spacing w:after="120"/>
      </w:pPr>
      <w:r w:rsidRPr="0070734A">
        <w:t>Příloha č. I: Tabulka výstupů a aktivit projektu (v českém jazyce, příloha č. I dotačního rozhodnutí)</w:t>
      </w:r>
    </w:p>
    <w:p w14:paraId="5FA4ECFF" w14:textId="77777777" w:rsidR="000915DB" w:rsidRPr="0070734A" w:rsidRDefault="000915DB" w:rsidP="0070734A">
      <w:pPr>
        <w:spacing w:after="120"/>
      </w:pPr>
      <w:r w:rsidRPr="0070734A">
        <w:t xml:space="preserve">Příloha č. II: Struktura rozpočtu projektu (v českém jazyce, příloha č. II dotačního rozhodnutí) </w:t>
      </w:r>
    </w:p>
    <w:p w14:paraId="5524E820" w14:textId="77777777" w:rsidR="000915DB" w:rsidRPr="0070734A" w:rsidRDefault="000915DB" w:rsidP="0070734A">
      <w:pPr>
        <w:spacing w:after="120"/>
      </w:pPr>
      <w:r w:rsidRPr="0070734A">
        <w:t>Příloha č. III: Žádost nestátních neziskových organizací o dotaci ze státního rozpočtu na rok 202</w:t>
      </w:r>
      <w:r w:rsidR="00753D47">
        <w:t>6</w:t>
      </w:r>
      <w:r w:rsidRPr="0070734A">
        <w:t xml:space="preserve"> (v českém jazyce)</w:t>
      </w:r>
    </w:p>
    <w:p w14:paraId="03E9E646" w14:textId="77777777" w:rsidR="000915DB" w:rsidRPr="0070734A" w:rsidRDefault="000915DB" w:rsidP="0070734A">
      <w:pPr>
        <w:spacing w:after="120"/>
      </w:pPr>
      <w:r w:rsidRPr="0070734A">
        <w:t>Příloha č. IV: Identifikační formulář projektu (v české a/nebo anglickém jazyce)</w:t>
      </w:r>
    </w:p>
    <w:p w14:paraId="3F33CC51" w14:textId="77777777" w:rsidR="000915DB" w:rsidRPr="0070734A" w:rsidRDefault="000915DB" w:rsidP="0070734A">
      <w:pPr>
        <w:spacing w:after="120"/>
      </w:pPr>
      <w:r w:rsidRPr="0070734A">
        <w:t xml:space="preserve">Příloha č. V: Časový harmonogram projektu </w:t>
      </w:r>
    </w:p>
    <w:p w14:paraId="413224CE" w14:textId="77777777" w:rsidR="000915DB" w:rsidRPr="0070734A" w:rsidRDefault="000915DB" w:rsidP="0070734A">
      <w:pPr>
        <w:spacing w:after="120"/>
      </w:pPr>
      <w:r w:rsidRPr="0070734A">
        <w:t>Příloha č. VI: Souhlas se zpracováním osobních údajů (v českém jazyce)</w:t>
      </w:r>
    </w:p>
    <w:p w14:paraId="3BBAC376" w14:textId="77777777" w:rsidR="000915DB" w:rsidRPr="0070734A" w:rsidRDefault="000915DB" w:rsidP="0070734A">
      <w:pPr>
        <w:spacing w:after="120"/>
      </w:pPr>
      <w:r w:rsidRPr="0070734A">
        <w:t>Příloha č. VII:</w:t>
      </w:r>
      <w:r w:rsidR="008328A8" w:rsidRPr="0070734A">
        <w:t xml:space="preserve"> </w:t>
      </w:r>
      <w:r w:rsidRPr="0070734A">
        <w:t>Čestné</w:t>
      </w:r>
      <w:r w:rsidR="003050FC" w:rsidRPr="0070734A">
        <w:t xml:space="preserve"> </w:t>
      </w:r>
      <w:r w:rsidR="008328A8" w:rsidRPr="0070734A">
        <w:t>prohlášení</w:t>
      </w:r>
      <w:r w:rsidRPr="0070734A">
        <w:t xml:space="preserve"> </w:t>
      </w:r>
      <w:r w:rsidR="00E325C6" w:rsidRPr="0070734A">
        <w:t xml:space="preserve">o </w:t>
      </w:r>
      <w:r w:rsidRPr="0070734A">
        <w:t>skutečném</w:t>
      </w:r>
      <w:r w:rsidR="00E325C6" w:rsidRPr="0070734A">
        <w:t xml:space="preserve"> </w:t>
      </w:r>
      <w:r w:rsidRPr="0070734A">
        <w:t>majiteli (v českém jazyce)</w:t>
      </w:r>
    </w:p>
    <w:p w14:paraId="06E94A6E" w14:textId="77777777" w:rsidR="000915DB" w:rsidRPr="0070734A" w:rsidRDefault="000915DB" w:rsidP="0070734A">
      <w:pPr>
        <w:spacing w:after="120"/>
      </w:pPr>
      <w:r w:rsidRPr="0070734A">
        <w:t>Příloha č. VIII: Posuzování uznatelných výdajů na realizaci projektů (vodítko, nepřikládat k žádosti)</w:t>
      </w:r>
    </w:p>
    <w:p w14:paraId="3ED91928" w14:textId="77777777" w:rsidR="000915DB" w:rsidRPr="0070734A" w:rsidRDefault="000915DB" w:rsidP="0070734A">
      <w:pPr>
        <w:spacing w:after="120"/>
      </w:pPr>
      <w:r w:rsidRPr="0070734A">
        <w:t>Příloha č. IX: Osnova projektového dokumentu (vodítko, nepřikládat k žádosti)</w:t>
      </w:r>
    </w:p>
    <w:p w14:paraId="29A6DA0A" w14:textId="77777777" w:rsidR="000915DB" w:rsidRPr="0070734A" w:rsidRDefault="000915DB" w:rsidP="0070734A">
      <w:pPr>
        <w:spacing w:after="120"/>
      </w:pPr>
      <w:r w:rsidRPr="0070734A">
        <w:t>Příloha č. X: Manuál pro uživatele dotačního systému Grantys (vodítko, nepřikládat k žádosti)</w:t>
      </w:r>
    </w:p>
    <w:p w14:paraId="0107888E" w14:textId="77777777" w:rsidR="000915DB" w:rsidRPr="008328A8" w:rsidRDefault="000915DB">
      <w:pPr>
        <w:pStyle w:val="Prosttext1"/>
        <w:widowControl/>
        <w:spacing w:after="120"/>
        <w:ind w:left="360"/>
        <w:jc w:val="both"/>
        <w:rPr>
          <w:rFonts w:ascii="Times New Roman" w:hAnsi="Times New Roman" w:cs="Times New Roman"/>
          <w:b/>
          <w:sz w:val="24"/>
          <w:szCs w:val="24"/>
        </w:rPr>
      </w:pPr>
    </w:p>
    <w:sectPr w:rsidR="000915DB" w:rsidRPr="008328A8">
      <w:footerReference w:type="even" r:id="rId11"/>
      <w:footerReference w:type="default" r:id="rId12"/>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DB0C" w14:textId="77777777" w:rsidR="00492E5A" w:rsidRDefault="00492E5A">
      <w:r>
        <w:separator/>
      </w:r>
    </w:p>
  </w:endnote>
  <w:endnote w:type="continuationSeparator" w:id="0">
    <w:p w14:paraId="3C74654C" w14:textId="77777777" w:rsidR="00492E5A" w:rsidRDefault="0049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F77F" w14:textId="77777777" w:rsidR="000915DB" w:rsidRDefault="00091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0938F1E" w14:textId="77777777" w:rsidR="000915DB" w:rsidRDefault="00091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D964" w14:textId="77777777" w:rsidR="000915DB" w:rsidRDefault="00091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086">
      <w:rPr>
        <w:rStyle w:val="PageNumber"/>
        <w:noProof/>
      </w:rPr>
      <w:t>9</w:t>
    </w:r>
    <w:r>
      <w:rPr>
        <w:rStyle w:val="PageNumber"/>
      </w:rPr>
      <w:fldChar w:fldCharType="end"/>
    </w:r>
  </w:p>
  <w:p w14:paraId="539AA6F8" w14:textId="77777777" w:rsidR="000915DB" w:rsidRDefault="000915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4848" w14:textId="77777777" w:rsidR="00492E5A" w:rsidRDefault="00492E5A">
      <w:r>
        <w:separator/>
      </w:r>
    </w:p>
  </w:footnote>
  <w:footnote w:type="continuationSeparator" w:id="0">
    <w:p w14:paraId="79FAFD1B" w14:textId="77777777" w:rsidR="00492E5A" w:rsidRDefault="00492E5A">
      <w:r>
        <w:continuationSeparator/>
      </w:r>
    </w:p>
  </w:footnote>
  <w:footnote w:id="1">
    <w:p w14:paraId="2DABA029" w14:textId="77777777" w:rsidR="000915DB" w:rsidRDefault="000915DB">
      <w:pPr>
        <w:pStyle w:val="FootnoteText"/>
        <w:jc w:val="both"/>
      </w:pPr>
      <w:bookmarkStart w:id="11" w:name="_Hlk57034203"/>
      <w:r>
        <w:rPr>
          <w:rStyle w:val="FootnoteReference"/>
        </w:rPr>
        <w:footnoteRef/>
      </w:r>
      <w:r>
        <w:t xml:space="preserve"> </w:t>
      </w:r>
      <w:bookmarkStart w:id="12" w:name="_Hlk57035190"/>
      <w:r>
        <w:t>v případě konsorcií jedná jeho jménem jedna ze společností na základě společné smlouvy mezi členy konsorcia.</w:t>
      </w:r>
      <w:bookmarkEnd w:id="11"/>
      <w:bookmarkEnd w:id="1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84CC9"/>
    <w:multiLevelType w:val="singleLevel"/>
    <w:tmpl w:val="86F84CC9"/>
    <w:lvl w:ilvl="0">
      <w:start w:val="1"/>
      <w:numFmt w:val="decimal"/>
      <w:suff w:val="space"/>
      <w:lvlText w:val="%1."/>
      <w:lvlJc w:val="left"/>
    </w:lvl>
  </w:abstractNum>
  <w:abstractNum w:abstractNumId="1" w15:restartNumberingAfterBreak="0">
    <w:nsid w:val="E96D21CB"/>
    <w:multiLevelType w:val="singleLevel"/>
    <w:tmpl w:val="E96D21CB"/>
    <w:lvl w:ilvl="0">
      <w:start w:val="4"/>
      <w:numFmt w:val="decimal"/>
      <w:suff w:val="space"/>
      <w:lvlText w:val="%1-"/>
      <w:lvlJc w:val="left"/>
    </w:lvl>
  </w:abstractNum>
  <w:abstractNum w:abstractNumId="2" w15:restartNumberingAfterBreak="0">
    <w:nsid w:val="00000004"/>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3" w15:restartNumberingAfterBreak="0">
    <w:nsid w:val="0945518F"/>
    <w:multiLevelType w:val="multilevel"/>
    <w:tmpl w:val="0945518F"/>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D68A6"/>
    <w:multiLevelType w:val="multilevel"/>
    <w:tmpl w:val="0F7D68A6"/>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421B9"/>
    <w:multiLevelType w:val="multilevel"/>
    <w:tmpl w:val="10E421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5C6785"/>
    <w:multiLevelType w:val="multilevel"/>
    <w:tmpl w:val="175C6785"/>
    <w:lvl w:ilvl="0">
      <w:start w:val="1"/>
      <w:numFmt w:val="lowerLetter"/>
      <w:lvlText w:val="%1)"/>
      <w:lvlJc w:val="left"/>
      <w:pPr>
        <w:ind w:left="720" w:hanging="360"/>
      </w:pPr>
      <w:rPr>
        <w:rFont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0E4959"/>
    <w:multiLevelType w:val="hybridMultilevel"/>
    <w:tmpl w:val="8EF4AA32"/>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E2C271E"/>
    <w:multiLevelType w:val="singleLevel"/>
    <w:tmpl w:val="1E2C271E"/>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9" w15:restartNumberingAfterBreak="0">
    <w:nsid w:val="2067B377"/>
    <w:multiLevelType w:val="singleLevel"/>
    <w:tmpl w:val="53042466"/>
    <w:lvl w:ilvl="0">
      <w:start w:val="4"/>
      <w:numFmt w:val="decimal"/>
      <w:suff w:val="space"/>
      <w:lvlText w:val="%1."/>
      <w:lvlJc w:val="left"/>
    </w:lvl>
  </w:abstractNum>
  <w:abstractNum w:abstractNumId="10" w15:restartNumberingAfterBreak="0">
    <w:nsid w:val="235D70B6"/>
    <w:multiLevelType w:val="singleLevel"/>
    <w:tmpl w:val="235D70B6"/>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1" w15:restartNumberingAfterBreak="0">
    <w:nsid w:val="23B04F75"/>
    <w:multiLevelType w:val="multilevel"/>
    <w:tmpl w:val="23B04F75"/>
    <w:lvl w:ilvl="0">
      <w:start w:val="1"/>
      <w:numFmt w:val="lowerLetter"/>
      <w:lvlText w:val="%1)"/>
      <w:lvlJc w:val="left"/>
      <w:pPr>
        <w:ind w:left="360" w:hanging="360"/>
      </w:pPr>
      <w:rPr>
        <w:rFonts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BC5E5C"/>
    <w:multiLevelType w:val="singleLevel"/>
    <w:tmpl w:val="33BC5E5C"/>
    <w:lvl w:ilvl="0">
      <w:start w:val="1"/>
      <w:numFmt w:val="decimal"/>
      <w:suff w:val="space"/>
      <w:lvlText w:val="%1."/>
      <w:lvlJc w:val="left"/>
    </w:lvl>
  </w:abstractNum>
  <w:abstractNum w:abstractNumId="13" w15:restartNumberingAfterBreak="0">
    <w:nsid w:val="37492552"/>
    <w:multiLevelType w:val="multilevel"/>
    <w:tmpl w:val="374925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CF9B6"/>
    <w:multiLevelType w:val="singleLevel"/>
    <w:tmpl w:val="39CCF9B6"/>
    <w:lvl w:ilvl="0">
      <w:start w:val="9"/>
      <w:numFmt w:val="decimal"/>
      <w:suff w:val="space"/>
      <w:lvlText w:val="%1."/>
      <w:lvlJc w:val="left"/>
    </w:lvl>
  </w:abstractNum>
  <w:abstractNum w:abstractNumId="15" w15:restartNumberingAfterBreak="0">
    <w:nsid w:val="3B8D4767"/>
    <w:multiLevelType w:val="singleLevel"/>
    <w:tmpl w:val="3B8D4767"/>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6" w15:restartNumberingAfterBreak="0">
    <w:nsid w:val="3BBE18A2"/>
    <w:multiLevelType w:val="multilevel"/>
    <w:tmpl w:val="3BBE18A2"/>
    <w:lvl w:ilvl="0">
      <w:start w:val="1"/>
      <w:numFmt w:val="bullet"/>
      <w:lvlText w:val=""/>
      <w:lvlJc w:val="left"/>
      <w:pPr>
        <w:ind w:left="1771" w:hanging="360"/>
      </w:pPr>
      <w:rPr>
        <w:rFonts w:ascii="Symbol" w:hAnsi="Symbol" w:hint="default"/>
      </w:rPr>
    </w:lvl>
    <w:lvl w:ilvl="1">
      <w:start w:val="1"/>
      <w:numFmt w:val="lowerLetter"/>
      <w:lvlText w:val="%2."/>
      <w:lvlJc w:val="left"/>
      <w:pPr>
        <w:ind w:left="2491" w:hanging="360"/>
      </w:pPr>
    </w:lvl>
    <w:lvl w:ilvl="2">
      <w:start w:val="1"/>
      <w:numFmt w:val="lowerRoman"/>
      <w:lvlText w:val="%3."/>
      <w:lvlJc w:val="right"/>
      <w:pPr>
        <w:ind w:left="3211" w:hanging="180"/>
      </w:pPr>
    </w:lvl>
    <w:lvl w:ilvl="3">
      <w:start w:val="1"/>
      <w:numFmt w:val="decimal"/>
      <w:lvlText w:val="%4."/>
      <w:lvlJc w:val="left"/>
      <w:pPr>
        <w:ind w:left="3931" w:hanging="360"/>
      </w:pPr>
    </w:lvl>
    <w:lvl w:ilvl="4">
      <w:start w:val="1"/>
      <w:numFmt w:val="lowerLetter"/>
      <w:lvlText w:val="%5."/>
      <w:lvlJc w:val="left"/>
      <w:pPr>
        <w:ind w:left="4651" w:hanging="360"/>
      </w:pPr>
    </w:lvl>
    <w:lvl w:ilvl="5">
      <w:start w:val="1"/>
      <w:numFmt w:val="lowerRoman"/>
      <w:lvlText w:val="%6."/>
      <w:lvlJc w:val="right"/>
      <w:pPr>
        <w:ind w:left="5371" w:hanging="180"/>
      </w:pPr>
    </w:lvl>
    <w:lvl w:ilvl="6">
      <w:start w:val="1"/>
      <w:numFmt w:val="decimal"/>
      <w:lvlText w:val="%7."/>
      <w:lvlJc w:val="left"/>
      <w:pPr>
        <w:ind w:left="6091" w:hanging="360"/>
      </w:pPr>
    </w:lvl>
    <w:lvl w:ilvl="7">
      <w:start w:val="1"/>
      <w:numFmt w:val="lowerLetter"/>
      <w:lvlText w:val="%8."/>
      <w:lvlJc w:val="left"/>
      <w:pPr>
        <w:ind w:left="6811" w:hanging="360"/>
      </w:pPr>
    </w:lvl>
    <w:lvl w:ilvl="8">
      <w:start w:val="1"/>
      <w:numFmt w:val="lowerRoman"/>
      <w:lvlText w:val="%9."/>
      <w:lvlJc w:val="right"/>
      <w:pPr>
        <w:ind w:left="7531" w:hanging="180"/>
      </w:pPr>
    </w:lvl>
  </w:abstractNum>
  <w:abstractNum w:abstractNumId="17" w15:restartNumberingAfterBreak="0">
    <w:nsid w:val="41D950E6"/>
    <w:multiLevelType w:val="multilevel"/>
    <w:tmpl w:val="41D950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491B4E"/>
    <w:multiLevelType w:val="singleLevel"/>
    <w:tmpl w:val="79AE85C0"/>
    <w:lvl w:ilvl="0">
      <w:start w:val="1"/>
      <w:numFmt w:val="decimal"/>
      <w:lvlText w:val="%1."/>
      <w:lvlJc w:val="left"/>
      <w:pPr>
        <w:tabs>
          <w:tab w:val="num" w:pos="360"/>
        </w:tabs>
        <w:ind w:left="360" w:hanging="360"/>
      </w:pPr>
      <w:rPr>
        <w:rFonts w:ascii="Times New Roman" w:hAnsi="Times New Roman" w:cs="Times New Roman" w:hint="default"/>
        <w:b w:val="0"/>
        <w:sz w:val="22"/>
        <w:szCs w:val="22"/>
      </w:rPr>
    </w:lvl>
  </w:abstractNum>
  <w:abstractNum w:abstractNumId="19" w15:restartNumberingAfterBreak="0">
    <w:nsid w:val="5C66777E"/>
    <w:multiLevelType w:val="singleLevel"/>
    <w:tmpl w:val="5C66777E"/>
    <w:lvl w:ilvl="0">
      <w:start w:val="2"/>
      <w:numFmt w:val="decimal"/>
      <w:suff w:val="space"/>
      <w:lvlText w:val="%1."/>
      <w:lvlJc w:val="left"/>
    </w:lvl>
  </w:abstractNum>
  <w:abstractNum w:abstractNumId="20" w15:restartNumberingAfterBreak="0">
    <w:nsid w:val="5D862B90"/>
    <w:multiLevelType w:val="multilevel"/>
    <w:tmpl w:val="5D862B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5702CC"/>
    <w:multiLevelType w:val="multilevel"/>
    <w:tmpl w:val="655702C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AD01B6"/>
    <w:multiLevelType w:val="multilevel"/>
    <w:tmpl w:val="6FAD01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065460"/>
    <w:multiLevelType w:val="multilevel"/>
    <w:tmpl w:val="7006546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0DF62DD"/>
    <w:multiLevelType w:val="multilevel"/>
    <w:tmpl w:val="33443996"/>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505BC0"/>
    <w:multiLevelType w:val="multilevel"/>
    <w:tmpl w:val="7C505BC0"/>
    <w:lvl w:ilvl="0">
      <w:start w:val="1"/>
      <w:numFmt w:val="lowerLetter"/>
      <w:lvlText w:val="%1)"/>
      <w:lvlJc w:val="left"/>
      <w:pPr>
        <w:ind w:left="720" w:hanging="360"/>
      </w:pPr>
      <w:rPr>
        <w:rFont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0474596">
    <w:abstractNumId w:val="3"/>
  </w:num>
  <w:num w:numId="2" w16cid:durableId="2124952817">
    <w:abstractNumId w:val="12"/>
  </w:num>
  <w:num w:numId="3" w16cid:durableId="815413103">
    <w:abstractNumId w:val="5"/>
  </w:num>
  <w:num w:numId="4" w16cid:durableId="1857882300">
    <w:abstractNumId w:val="1"/>
  </w:num>
  <w:num w:numId="5" w16cid:durableId="1450932079">
    <w:abstractNumId w:val="9"/>
  </w:num>
  <w:num w:numId="6" w16cid:durableId="480660692">
    <w:abstractNumId w:val="11"/>
  </w:num>
  <w:num w:numId="7" w16cid:durableId="953754673">
    <w:abstractNumId w:val="2"/>
  </w:num>
  <w:num w:numId="8" w16cid:durableId="441413172">
    <w:abstractNumId w:val="15"/>
  </w:num>
  <w:num w:numId="9" w16cid:durableId="93207641">
    <w:abstractNumId w:val="8"/>
  </w:num>
  <w:num w:numId="10" w16cid:durableId="1716998493">
    <w:abstractNumId w:val="24"/>
  </w:num>
  <w:num w:numId="11" w16cid:durableId="374893853">
    <w:abstractNumId w:val="18"/>
  </w:num>
  <w:num w:numId="12" w16cid:durableId="1073813641">
    <w:abstractNumId w:val="6"/>
  </w:num>
  <w:num w:numId="13" w16cid:durableId="1795102109">
    <w:abstractNumId w:val="25"/>
  </w:num>
  <w:num w:numId="14" w16cid:durableId="1720858101">
    <w:abstractNumId w:val="16"/>
  </w:num>
  <w:num w:numId="15" w16cid:durableId="929582927">
    <w:abstractNumId w:val="17"/>
  </w:num>
  <w:num w:numId="16" w16cid:durableId="1198470640">
    <w:abstractNumId w:val="21"/>
  </w:num>
  <w:num w:numId="17" w16cid:durableId="21564250">
    <w:abstractNumId w:val="14"/>
  </w:num>
  <w:num w:numId="18" w16cid:durableId="713191109">
    <w:abstractNumId w:val="13"/>
  </w:num>
  <w:num w:numId="19" w16cid:durableId="1078014321">
    <w:abstractNumId w:val="22"/>
  </w:num>
  <w:num w:numId="20" w16cid:durableId="71240988">
    <w:abstractNumId w:val="20"/>
  </w:num>
  <w:num w:numId="21" w16cid:durableId="791216523">
    <w:abstractNumId w:val="4"/>
  </w:num>
  <w:num w:numId="22" w16cid:durableId="1419671219">
    <w:abstractNumId w:val="0"/>
  </w:num>
  <w:num w:numId="23" w16cid:durableId="210459284">
    <w:abstractNumId w:val="23"/>
  </w:num>
  <w:num w:numId="24" w16cid:durableId="772896562">
    <w:abstractNumId w:val="19"/>
  </w:num>
  <w:num w:numId="25" w16cid:durableId="2063402252">
    <w:abstractNumId w:val="10"/>
  </w:num>
  <w:num w:numId="26" w16cid:durableId="1387073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9F"/>
    <w:rsid w:val="00006CD0"/>
    <w:rsid w:val="000118E6"/>
    <w:rsid w:val="00015384"/>
    <w:rsid w:val="00022EA1"/>
    <w:rsid w:val="00024CB6"/>
    <w:rsid w:val="00030C1A"/>
    <w:rsid w:val="000316CC"/>
    <w:rsid w:val="0003434D"/>
    <w:rsid w:val="000432C0"/>
    <w:rsid w:val="00043484"/>
    <w:rsid w:val="00044579"/>
    <w:rsid w:val="000449BD"/>
    <w:rsid w:val="00045E55"/>
    <w:rsid w:val="00047172"/>
    <w:rsid w:val="0007287F"/>
    <w:rsid w:val="00073658"/>
    <w:rsid w:val="00073724"/>
    <w:rsid w:val="000759FD"/>
    <w:rsid w:val="000843B6"/>
    <w:rsid w:val="0009081F"/>
    <w:rsid w:val="000915DB"/>
    <w:rsid w:val="000973CD"/>
    <w:rsid w:val="00097927"/>
    <w:rsid w:val="000A562B"/>
    <w:rsid w:val="000B155E"/>
    <w:rsid w:val="000B2FCA"/>
    <w:rsid w:val="000B43B6"/>
    <w:rsid w:val="000B52A6"/>
    <w:rsid w:val="000C62AD"/>
    <w:rsid w:val="000C79CB"/>
    <w:rsid w:val="000D1592"/>
    <w:rsid w:val="000D74D1"/>
    <w:rsid w:val="000E0B31"/>
    <w:rsid w:val="000E189A"/>
    <w:rsid w:val="000E2D91"/>
    <w:rsid w:val="000F1C90"/>
    <w:rsid w:val="000F63B2"/>
    <w:rsid w:val="001049C2"/>
    <w:rsid w:val="00107D1D"/>
    <w:rsid w:val="0012274E"/>
    <w:rsid w:val="0013347E"/>
    <w:rsid w:val="00133A47"/>
    <w:rsid w:val="001374E9"/>
    <w:rsid w:val="00142B77"/>
    <w:rsid w:val="0015585D"/>
    <w:rsid w:val="001603C1"/>
    <w:rsid w:val="001617A0"/>
    <w:rsid w:val="00164215"/>
    <w:rsid w:val="00164968"/>
    <w:rsid w:val="00165178"/>
    <w:rsid w:val="0016601C"/>
    <w:rsid w:val="001763F2"/>
    <w:rsid w:val="00180EE5"/>
    <w:rsid w:val="00185A4B"/>
    <w:rsid w:val="00190C07"/>
    <w:rsid w:val="00191DA2"/>
    <w:rsid w:val="001970B3"/>
    <w:rsid w:val="001A108A"/>
    <w:rsid w:val="001A693E"/>
    <w:rsid w:val="001B58C9"/>
    <w:rsid w:val="001C5AF0"/>
    <w:rsid w:val="001D003E"/>
    <w:rsid w:val="001D635B"/>
    <w:rsid w:val="001D672C"/>
    <w:rsid w:val="001D7AA4"/>
    <w:rsid w:val="001E242B"/>
    <w:rsid w:val="001E25A9"/>
    <w:rsid w:val="001E4174"/>
    <w:rsid w:val="001E5856"/>
    <w:rsid w:val="001F0CF6"/>
    <w:rsid w:val="001F1B31"/>
    <w:rsid w:val="001F3E57"/>
    <w:rsid w:val="001F428B"/>
    <w:rsid w:val="001F7E3C"/>
    <w:rsid w:val="00207D17"/>
    <w:rsid w:val="00211803"/>
    <w:rsid w:val="002118F4"/>
    <w:rsid w:val="0021547F"/>
    <w:rsid w:val="002218FB"/>
    <w:rsid w:val="00221A73"/>
    <w:rsid w:val="00221E6E"/>
    <w:rsid w:val="002274C7"/>
    <w:rsid w:val="00233A35"/>
    <w:rsid w:val="00241A3C"/>
    <w:rsid w:val="00247595"/>
    <w:rsid w:val="00254E10"/>
    <w:rsid w:val="0025562F"/>
    <w:rsid w:val="002557B1"/>
    <w:rsid w:val="00257AAF"/>
    <w:rsid w:val="00260E9F"/>
    <w:rsid w:val="002733D5"/>
    <w:rsid w:val="00282546"/>
    <w:rsid w:val="00287248"/>
    <w:rsid w:val="002921E2"/>
    <w:rsid w:val="00296290"/>
    <w:rsid w:val="002A1315"/>
    <w:rsid w:val="002A1556"/>
    <w:rsid w:val="002C003E"/>
    <w:rsid w:val="002C17DE"/>
    <w:rsid w:val="002C78C5"/>
    <w:rsid w:val="002D511D"/>
    <w:rsid w:val="002D5266"/>
    <w:rsid w:val="002D658E"/>
    <w:rsid w:val="002E34EF"/>
    <w:rsid w:val="002F51D0"/>
    <w:rsid w:val="002F7C0F"/>
    <w:rsid w:val="003050FC"/>
    <w:rsid w:val="003137DE"/>
    <w:rsid w:val="00320D66"/>
    <w:rsid w:val="00322D37"/>
    <w:rsid w:val="003244EF"/>
    <w:rsid w:val="00340C56"/>
    <w:rsid w:val="003424DE"/>
    <w:rsid w:val="00343727"/>
    <w:rsid w:val="00350FD4"/>
    <w:rsid w:val="003518FF"/>
    <w:rsid w:val="00362B79"/>
    <w:rsid w:val="00374AF2"/>
    <w:rsid w:val="003B0CC8"/>
    <w:rsid w:val="003B25A0"/>
    <w:rsid w:val="003B4B4B"/>
    <w:rsid w:val="003C6561"/>
    <w:rsid w:val="003D521E"/>
    <w:rsid w:val="003E74DC"/>
    <w:rsid w:val="003F2B0E"/>
    <w:rsid w:val="00402F6D"/>
    <w:rsid w:val="00403156"/>
    <w:rsid w:val="00417D7C"/>
    <w:rsid w:val="00423AB9"/>
    <w:rsid w:val="00426D77"/>
    <w:rsid w:val="0044015D"/>
    <w:rsid w:val="00442F4E"/>
    <w:rsid w:val="00446091"/>
    <w:rsid w:val="00447A62"/>
    <w:rsid w:val="00462E35"/>
    <w:rsid w:val="00466A28"/>
    <w:rsid w:val="00477C20"/>
    <w:rsid w:val="004811B0"/>
    <w:rsid w:val="0048478B"/>
    <w:rsid w:val="00487000"/>
    <w:rsid w:val="00492E5A"/>
    <w:rsid w:val="004E2267"/>
    <w:rsid w:val="004E6E39"/>
    <w:rsid w:val="004F0E07"/>
    <w:rsid w:val="004F4BBD"/>
    <w:rsid w:val="00503633"/>
    <w:rsid w:val="00505630"/>
    <w:rsid w:val="00506BD1"/>
    <w:rsid w:val="00516B8E"/>
    <w:rsid w:val="00517656"/>
    <w:rsid w:val="0053532A"/>
    <w:rsid w:val="00556783"/>
    <w:rsid w:val="00557A13"/>
    <w:rsid w:val="00573C3D"/>
    <w:rsid w:val="005751D9"/>
    <w:rsid w:val="00585A6C"/>
    <w:rsid w:val="005909FD"/>
    <w:rsid w:val="00595C34"/>
    <w:rsid w:val="00596F23"/>
    <w:rsid w:val="005A2876"/>
    <w:rsid w:val="005A4BD7"/>
    <w:rsid w:val="005A54C3"/>
    <w:rsid w:val="005A77F7"/>
    <w:rsid w:val="005B0B95"/>
    <w:rsid w:val="005C317E"/>
    <w:rsid w:val="005D6310"/>
    <w:rsid w:val="005D6DC2"/>
    <w:rsid w:val="005E1A83"/>
    <w:rsid w:val="005E2F5E"/>
    <w:rsid w:val="005E3000"/>
    <w:rsid w:val="005E3D9B"/>
    <w:rsid w:val="005E44C1"/>
    <w:rsid w:val="005E6F36"/>
    <w:rsid w:val="0060557F"/>
    <w:rsid w:val="00607CB0"/>
    <w:rsid w:val="00611984"/>
    <w:rsid w:val="00620E14"/>
    <w:rsid w:val="006229F7"/>
    <w:rsid w:val="0063327C"/>
    <w:rsid w:val="00641A7B"/>
    <w:rsid w:val="00643C0B"/>
    <w:rsid w:val="00647F5B"/>
    <w:rsid w:val="00666FE6"/>
    <w:rsid w:val="00670129"/>
    <w:rsid w:val="006747DD"/>
    <w:rsid w:val="0067519C"/>
    <w:rsid w:val="006763B2"/>
    <w:rsid w:val="00684978"/>
    <w:rsid w:val="006926B8"/>
    <w:rsid w:val="00694CAF"/>
    <w:rsid w:val="006A21A2"/>
    <w:rsid w:val="006B0E13"/>
    <w:rsid w:val="006B2CF9"/>
    <w:rsid w:val="006B354F"/>
    <w:rsid w:val="006B6B5C"/>
    <w:rsid w:val="006D5378"/>
    <w:rsid w:val="006E4640"/>
    <w:rsid w:val="006E59CE"/>
    <w:rsid w:val="006E5CE2"/>
    <w:rsid w:val="006E7C38"/>
    <w:rsid w:val="006F6A02"/>
    <w:rsid w:val="00700DED"/>
    <w:rsid w:val="00701F4C"/>
    <w:rsid w:val="00705F7B"/>
    <w:rsid w:val="00706487"/>
    <w:rsid w:val="0070734A"/>
    <w:rsid w:val="0070799B"/>
    <w:rsid w:val="00710C38"/>
    <w:rsid w:val="00714EDE"/>
    <w:rsid w:val="007241F5"/>
    <w:rsid w:val="007263F7"/>
    <w:rsid w:val="00727294"/>
    <w:rsid w:val="00733F8D"/>
    <w:rsid w:val="00737A0A"/>
    <w:rsid w:val="00743C2C"/>
    <w:rsid w:val="00744DBE"/>
    <w:rsid w:val="007458A7"/>
    <w:rsid w:val="00745F5F"/>
    <w:rsid w:val="007468C2"/>
    <w:rsid w:val="00750468"/>
    <w:rsid w:val="00752106"/>
    <w:rsid w:val="00753D47"/>
    <w:rsid w:val="007547E7"/>
    <w:rsid w:val="00764549"/>
    <w:rsid w:val="00764D5E"/>
    <w:rsid w:val="00771820"/>
    <w:rsid w:val="0077335F"/>
    <w:rsid w:val="00776EC5"/>
    <w:rsid w:val="00777442"/>
    <w:rsid w:val="0078588F"/>
    <w:rsid w:val="0079148C"/>
    <w:rsid w:val="00796DB2"/>
    <w:rsid w:val="007C23BB"/>
    <w:rsid w:val="007D5FCE"/>
    <w:rsid w:val="007D7E63"/>
    <w:rsid w:val="007E280D"/>
    <w:rsid w:val="007E2CE0"/>
    <w:rsid w:val="007E6B2B"/>
    <w:rsid w:val="00812EE2"/>
    <w:rsid w:val="00816225"/>
    <w:rsid w:val="008220EA"/>
    <w:rsid w:val="008228AD"/>
    <w:rsid w:val="00822D3A"/>
    <w:rsid w:val="00823CDE"/>
    <w:rsid w:val="008328A8"/>
    <w:rsid w:val="00836592"/>
    <w:rsid w:val="008405C1"/>
    <w:rsid w:val="008458E4"/>
    <w:rsid w:val="00845BAD"/>
    <w:rsid w:val="0084692C"/>
    <w:rsid w:val="00850A32"/>
    <w:rsid w:val="00854DF4"/>
    <w:rsid w:val="00861D9F"/>
    <w:rsid w:val="00862131"/>
    <w:rsid w:val="00870AE9"/>
    <w:rsid w:val="00872532"/>
    <w:rsid w:val="00874636"/>
    <w:rsid w:val="00874E29"/>
    <w:rsid w:val="00874E7F"/>
    <w:rsid w:val="00876390"/>
    <w:rsid w:val="008802AF"/>
    <w:rsid w:val="00894074"/>
    <w:rsid w:val="00896000"/>
    <w:rsid w:val="008A1894"/>
    <w:rsid w:val="008A2038"/>
    <w:rsid w:val="008A503C"/>
    <w:rsid w:val="008A52F9"/>
    <w:rsid w:val="008A6991"/>
    <w:rsid w:val="008A78F8"/>
    <w:rsid w:val="008B0BF3"/>
    <w:rsid w:val="008B302F"/>
    <w:rsid w:val="008B5245"/>
    <w:rsid w:val="008B577E"/>
    <w:rsid w:val="008B68B0"/>
    <w:rsid w:val="008C111B"/>
    <w:rsid w:val="008C158D"/>
    <w:rsid w:val="008C20FE"/>
    <w:rsid w:val="008C760F"/>
    <w:rsid w:val="008D0DFA"/>
    <w:rsid w:val="008D50E7"/>
    <w:rsid w:val="008E75E5"/>
    <w:rsid w:val="008F27C2"/>
    <w:rsid w:val="008F537D"/>
    <w:rsid w:val="00901ADD"/>
    <w:rsid w:val="00916D32"/>
    <w:rsid w:val="00920B99"/>
    <w:rsid w:val="009349C5"/>
    <w:rsid w:val="00935CE0"/>
    <w:rsid w:val="0095755B"/>
    <w:rsid w:val="00961C9E"/>
    <w:rsid w:val="009638A3"/>
    <w:rsid w:val="009715C5"/>
    <w:rsid w:val="0097302A"/>
    <w:rsid w:val="00977FEA"/>
    <w:rsid w:val="00981DB6"/>
    <w:rsid w:val="00997AEC"/>
    <w:rsid w:val="009B559F"/>
    <w:rsid w:val="009D1467"/>
    <w:rsid w:val="009E19AF"/>
    <w:rsid w:val="009F7EEB"/>
    <w:rsid w:val="00A01068"/>
    <w:rsid w:val="00A027DD"/>
    <w:rsid w:val="00A07BD8"/>
    <w:rsid w:val="00A07E30"/>
    <w:rsid w:val="00A10ECA"/>
    <w:rsid w:val="00A127FA"/>
    <w:rsid w:val="00A1496C"/>
    <w:rsid w:val="00A2346B"/>
    <w:rsid w:val="00A255EA"/>
    <w:rsid w:val="00A31B6E"/>
    <w:rsid w:val="00A36057"/>
    <w:rsid w:val="00A50B01"/>
    <w:rsid w:val="00A54758"/>
    <w:rsid w:val="00A71C17"/>
    <w:rsid w:val="00A77A30"/>
    <w:rsid w:val="00A80C58"/>
    <w:rsid w:val="00A847AA"/>
    <w:rsid w:val="00A8707E"/>
    <w:rsid w:val="00A94F94"/>
    <w:rsid w:val="00A97E99"/>
    <w:rsid w:val="00AB0ACA"/>
    <w:rsid w:val="00AC03D4"/>
    <w:rsid w:val="00AC0E4C"/>
    <w:rsid w:val="00AC3F6A"/>
    <w:rsid w:val="00AC4D0E"/>
    <w:rsid w:val="00AD11A1"/>
    <w:rsid w:val="00AD4992"/>
    <w:rsid w:val="00AD4DC5"/>
    <w:rsid w:val="00AE006A"/>
    <w:rsid w:val="00AE1BE8"/>
    <w:rsid w:val="00AF1B17"/>
    <w:rsid w:val="00AF1BCE"/>
    <w:rsid w:val="00AF3891"/>
    <w:rsid w:val="00AF7627"/>
    <w:rsid w:val="00B05AAA"/>
    <w:rsid w:val="00B116CD"/>
    <w:rsid w:val="00B11869"/>
    <w:rsid w:val="00B1318B"/>
    <w:rsid w:val="00B263B6"/>
    <w:rsid w:val="00B2692E"/>
    <w:rsid w:val="00B27431"/>
    <w:rsid w:val="00B301FF"/>
    <w:rsid w:val="00B307E3"/>
    <w:rsid w:val="00B33C51"/>
    <w:rsid w:val="00B462F5"/>
    <w:rsid w:val="00B64DEA"/>
    <w:rsid w:val="00B677CC"/>
    <w:rsid w:val="00B7766E"/>
    <w:rsid w:val="00B851B4"/>
    <w:rsid w:val="00BA58FE"/>
    <w:rsid w:val="00BB0713"/>
    <w:rsid w:val="00BB1D4F"/>
    <w:rsid w:val="00BC0A46"/>
    <w:rsid w:val="00BC4086"/>
    <w:rsid w:val="00BC78F0"/>
    <w:rsid w:val="00BD24C8"/>
    <w:rsid w:val="00BD2E0E"/>
    <w:rsid w:val="00BD3E53"/>
    <w:rsid w:val="00BD504E"/>
    <w:rsid w:val="00BD7037"/>
    <w:rsid w:val="00BE394C"/>
    <w:rsid w:val="00BE471D"/>
    <w:rsid w:val="00BE5B01"/>
    <w:rsid w:val="00BF4AC6"/>
    <w:rsid w:val="00C17920"/>
    <w:rsid w:val="00C20784"/>
    <w:rsid w:val="00C23BB9"/>
    <w:rsid w:val="00C2541E"/>
    <w:rsid w:val="00C265B3"/>
    <w:rsid w:val="00C31D96"/>
    <w:rsid w:val="00C41A2D"/>
    <w:rsid w:val="00C45C74"/>
    <w:rsid w:val="00C46EFC"/>
    <w:rsid w:val="00C538BD"/>
    <w:rsid w:val="00C6103F"/>
    <w:rsid w:val="00C66090"/>
    <w:rsid w:val="00C71730"/>
    <w:rsid w:val="00C76B89"/>
    <w:rsid w:val="00C777BF"/>
    <w:rsid w:val="00C81D2E"/>
    <w:rsid w:val="00C83CCC"/>
    <w:rsid w:val="00C8565E"/>
    <w:rsid w:val="00C945D4"/>
    <w:rsid w:val="00C949B4"/>
    <w:rsid w:val="00C95839"/>
    <w:rsid w:val="00CA5BBC"/>
    <w:rsid w:val="00CB17AD"/>
    <w:rsid w:val="00CB55FC"/>
    <w:rsid w:val="00CB6906"/>
    <w:rsid w:val="00CC36D0"/>
    <w:rsid w:val="00CC3743"/>
    <w:rsid w:val="00CC43C6"/>
    <w:rsid w:val="00CD669A"/>
    <w:rsid w:val="00CE4B38"/>
    <w:rsid w:val="00CE7D8F"/>
    <w:rsid w:val="00CF04B6"/>
    <w:rsid w:val="00CF0A61"/>
    <w:rsid w:val="00D04885"/>
    <w:rsid w:val="00D05B46"/>
    <w:rsid w:val="00D1660F"/>
    <w:rsid w:val="00D20489"/>
    <w:rsid w:val="00D21C34"/>
    <w:rsid w:val="00D406AB"/>
    <w:rsid w:val="00D462FD"/>
    <w:rsid w:val="00D5438A"/>
    <w:rsid w:val="00D5713B"/>
    <w:rsid w:val="00D7041A"/>
    <w:rsid w:val="00D72B42"/>
    <w:rsid w:val="00D75C31"/>
    <w:rsid w:val="00D77561"/>
    <w:rsid w:val="00D8599F"/>
    <w:rsid w:val="00D85DB8"/>
    <w:rsid w:val="00D920B0"/>
    <w:rsid w:val="00D97519"/>
    <w:rsid w:val="00DA2BEC"/>
    <w:rsid w:val="00DA397E"/>
    <w:rsid w:val="00DB04D3"/>
    <w:rsid w:val="00DB56B9"/>
    <w:rsid w:val="00DB65EC"/>
    <w:rsid w:val="00DD1D69"/>
    <w:rsid w:val="00DD7108"/>
    <w:rsid w:val="00DD78DE"/>
    <w:rsid w:val="00E00FFB"/>
    <w:rsid w:val="00E101DE"/>
    <w:rsid w:val="00E112D1"/>
    <w:rsid w:val="00E129FA"/>
    <w:rsid w:val="00E210C6"/>
    <w:rsid w:val="00E232E9"/>
    <w:rsid w:val="00E25CF8"/>
    <w:rsid w:val="00E325C6"/>
    <w:rsid w:val="00E66A6C"/>
    <w:rsid w:val="00E851D2"/>
    <w:rsid w:val="00EA1A44"/>
    <w:rsid w:val="00EA1C70"/>
    <w:rsid w:val="00EA325F"/>
    <w:rsid w:val="00EB0BD8"/>
    <w:rsid w:val="00EB3396"/>
    <w:rsid w:val="00EC6EDB"/>
    <w:rsid w:val="00ED06F1"/>
    <w:rsid w:val="00EE1135"/>
    <w:rsid w:val="00EE1E1B"/>
    <w:rsid w:val="00EE5AF9"/>
    <w:rsid w:val="00EF5F88"/>
    <w:rsid w:val="00EF64C8"/>
    <w:rsid w:val="00F02338"/>
    <w:rsid w:val="00F03800"/>
    <w:rsid w:val="00F05925"/>
    <w:rsid w:val="00F07160"/>
    <w:rsid w:val="00F15227"/>
    <w:rsid w:val="00F15918"/>
    <w:rsid w:val="00F211FD"/>
    <w:rsid w:val="00F26E25"/>
    <w:rsid w:val="00F270D7"/>
    <w:rsid w:val="00F31401"/>
    <w:rsid w:val="00F31808"/>
    <w:rsid w:val="00F431DE"/>
    <w:rsid w:val="00F44FDB"/>
    <w:rsid w:val="00F54DF4"/>
    <w:rsid w:val="00F56C78"/>
    <w:rsid w:val="00F73216"/>
    <w:rsid w:val="00F920E9"/>
    <w:rsid w:val="00F95A88"/>
    <w:rsid w:val="00F967B3"/>
    <w:rsid w:val="00FA702C"/>
    <w:rsid w:val="00FA79DF"/>
    <w:rsid w:val="00FA7F7A"/>
    <w:rsid w:val="00FB1BE6"/>
    <w:rsid w:val="00FC0758"/>
    <w:rsid w:val="00FD51E0"/>
    <w:rsid w:val="00FD5A5D"/>
    <w:rsid w:val="00FD641A"/>
    <w:rsid w:val="00FE08BB"/>
    <w:rsid w:val="00FE11A2"/>
    <w:rsid w:val="00FE55B1"/>
    <w:rsid w:val="00FF0A64"/>
    <w:rsid w:val="00FF62F0"/>
    <w:rsid w:val="00FF7033"/>
    <w:rsid w:val="1152536B"/>
    <w:rsid w:val="121A7943"/>
    <w:rsid w:val="151759D1"/>
    <w:rsid w:val="15D51B51"/>
    <w:rsid w:val="15EF3EEE"/>
    <w:rsid w:val="18386B49"/>
    <w:rsid w:val="184E0E42"/>
    <w:rsid w:val="18AB3C6C"/>
    <w:rsid w:val="1C1710A3"/>
    <w:rsid w:val="1C6E5335"/>
    <w:rsid w:val="35953936"/>
    <w:rsid w:val="38044B88"/>
    <w:rsid w:val="3F8355DA"/>
    <w:rsid w:val="4A07542C"/>
    <w:rsid w:val="560F6B60"/>
    <w:rsid w:val="5E722B66"/>
    <w:rsid w:val="777C61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F6FF"/>
  <w15:chartTrackingRefBased/>
  <w15:docId w15:val="{3634D637-3005-457E-B2CF-D970E85B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unhideWhenUsed="1"/>
    <w:lsdException w:name="header" w:semiHidden="1"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cs-CZ" w:eastAsia="cs-CZ"/>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pPr>
      <w:jc w:val="center"/>
    </w:pPr>
    <w:rPr>
      <w:b/>
      <w:bCs/>
      <w:caps/>
    </w:rPr>
  </w:style>
  <w:style w:type="character" w:customStyle="1" w:styleId="BodyTextChar">
    <w:name w:val="Body Text Char"/>
    <w:link w:val="BodyText"/>
    <w:semiHidden/>
    <w:rPr>
      <w:b/>
      <w:bCs/>
      <w:caps/>
      <w:sz w:val="24"/>
      <w:szCs w:val="24"/>
    </w:rPr>
  </w:style>
  <w:style w:type="paragraph" w:styleId="BodyText2">
    <w:name w:val="Body Text 2"/>
    <w:basedOn w:val="Normal"/>
    <w:semiHidden/>
    <w:pPr>
      <w:jc w:val="center"/>
    </w:pPr>
    <w:rPr>
      <w:b/>
      <w:bCs/>
      <w:i/>
      <w:iCs/>
      <w:caps/>
    </w:rPr>
  </w:style>
  <w:style w:type="character" w:styleId="CommentReference">
    <w:name w:val="annotation reference"/>
    <w:uiPriority w:val="99"/>
    <w:unhideWhenUsed/>
    <w:rPr>
      <w:sz w:val="16"/>
      <w:szCs w:val="16"/>
    </w:rPr>
  </w:style>
  <w:style w:type="paragraph" w:styleId="CommentText">
    <w:name w:val="annotation text"/>
    <w:basedOn w:val="Normal"/>
    <w:unhideWhenUsed/>
    <w:rPr>
      <w:sz w:val="20"/>
      <w:szCs w:val="20"/>
    </w:rPr>
  </w:style>
  <w:style w:type="paragraph" w:styleId="CommentSubject">
    <w:name w:val="annotation subject"/>
    <w:basedOn w:val="CommentText"/>
    <w:next w:val="CommentText"/>
    <w:unhideWhenUsed/>
    <w:rPr>
      <w:b/>
      <w:bCs/>
    </w:rPr>
  </w:style>
  <w:style w:type="paragraph" w:styleId="Footer">
    <w:name w:val="footer"/>
    <w:basedOn w:val="Normal"/>
    <w:semiHidden/>
    <w:pPr>
      <w:tabs>
        <w:tab w:val="center" w:pos="4536"/>
        <w:tab w:val="right" w:pos="9072"/>
      </w:tabs>
    </w:pPr>
  </w:style>
  <w:style w:type="character" w:styleId="FootnoteReference">
    <w:name w:val="footnote reference"/>
    <w:rPr>
      <w:vertAlign w:val="superscript"/>
    </w:rPr>
  </w:style>
  <w:style w:type="paragraph" w:styleId="FootnoteText">
    <w:name w:val="footnote text"/>
    <w:basedOn w:val="Normal"/>
    <w:link w:val="FootnoteTextChar"/>
    <w:pPr>
      <w:suppressAutoHyphens/>
    </w:pPr>
    <w:rPr>
      <w:sz w:val="20"/>
      <w:szCs w:val="20"/>
      <w:lang w:eastAsia="zh-CN"/>
    </w:rPr>
  </w:style>
  <w:style w:type="character" w:customStyle="1" w:styleId="FootnoteTextChar">
    <w:name w:val="Footnote Text Char"/>
    <w:link w:val="FootnoteText"/>
    <w:rPr>
      <w:lang w:eastAsia="zh-CN"/>
    </w:rPr>
  </w:style>
  <w:style w:type="character" w:styleId="Hyperlink">
    <w:name w:val="Hyperlink"/>
    <w:uiPriority w:val="99"/>
    <w:unhideWhenUsed/>
    <w:rPr>
      <w:color w:val="0000FF"/>
      <w:u w:val="single"/>
    </w:rPr>
  </w:style>
  <w:style w:type="paragraph" w:styleId="NormalWeb">
    <w:name w:val="Normal (Web)"/>
    <w:basedOn w:val="Normal"/>
    <w:pPr>
      <w:suppressAutoHyphens/>
      <w:spacing w:before="100" w:after="100"/>
    </w:pPr>
    <w:rPr>
      <w:lang w:eastAsia="zh-CN"/>
    </w:rPr>
  </w:style>
  <w:style w:type="character" w:styleId="PageNumber">
    <w:name w:val="page number"/>
    <w:semiHidden/>
  </w:style>
  <w:style w:type="paragraph" w:styleId="PlainText">
    <w:name w:val="Plain Text"/>
    <w:basedOn w:val="Normal"/>
    <w:link w:val="PlainTextChar"/>
    <w:semiHidden/>
    <w:rPr>
      <w:rFonts w:ascii="Courier New" w:hAnsi="Courier New"/>
      <w:sz w:val="20"/>
      <w:szCs w:val="20"/>
    </w:rPr>
  </w:style>
  <w:style w:type="character" w:customStyle="1" w:styleId="PlainTextChar">
    <w:name w:val="Plain Text Char"/>
    <w:link w:val="PlainText"/>
    <w:semiHidden/>
    <w:rPr>
      <w:rFonts w:ascii="Courier New" w:hAnsi="Courier New" w:cs="Courier New"/>
    </w:rPr>
  </w:style>
  <w:style w:type="character" w:styleId="Strong">
    <w:name w:val="Strong"/>
    <w:qFormat/>
    <w:rPr>
      <w:b/>
      <w:bCs/>
    </w:rPr>
  </w:style>
  <w:style w:type="paragraph" w:styleId="Title">
    <w:name w:val="Title"/>
    <w:basedOn w:val="Normal"/>
    <w:qFormat/>
    <w:pPr>
      <w:jc w:val="center"/>
    </w:pPr>
    <w:rPr>
      <w:b/>
      <w:sz w:val="28"/>
      <w:szCs w:val="20"/>
    </w:rPr>
  </w:style>
  <w:style w:type="character" w:customStyle="1" w:styleId="TextkomenteChar">
    <w:name w:val="Text komentáře Char"/>
  </w:style>
  <w:style w:type="character" w:customStyle="1" w:styleId="PedmtkomenteChar">
    <w:name w:val="Předmět komentáře Char"/>
    <w:semiHidden/>
    <w:rPr>
      <w:b/>
      <w:bCs/>
    </w:rPr>
  </w:style>
  <w:style w:type="paragraph" w:customStyle="1" w:styleId="western">
    <w:name w:val="western"/>
    <w:basedOn w:val="Normal"/>
    <w:pPr>
      <w:spacing w:before="100" w:beforeAutospacing="1" w:after="100" w:afterAutospacing="1"/>
    </w:pPr>
  </w:style>
  <w:style w:type="paragraph" w:styleId="ListParagraph">
    <w:name w:val="List Paragraph"/>
    <w:basedOn w:val="Normal"/>
    <w:qFormat/>
    <w:pPr>
      <w:ind w:left="708"/>
    </w:pPr>
  </w:style>
  <w:style w:type="paragraph" w:customStyle="1" w:styleId="Perupodnadpis">
    <w:name w:val="Peru_podnadpis"/>
    <w:basedOn w:val="Normal"/>
    <w:next w:val="Normal"/>
    <w:pPr>
      <w:keepNext/>
      <w:numPr>
        <w:ilvl w:val="1"/>
        <w:numId w:val="1"/>
      </w:numPr>
      <w:tabs>
        <w:tab w:val="left" w:pos="1440"/>
      </w:tabs>
      <w:spacing w:after="120"/>
      <w:outlineLvl w:val="0"/>
    </w:pPr>
    <w:rPr>
      <w:b/>
      <w:bCs/>
      <w:smallCaps/>
      <w:sz w:val="26"/>
      <w:szCs w:val="26"/>
    </w:rPr>
  </w:style>
  <w:style w:type="paragraph" w:customStyle="1" w:styleId="Zaznam">
    <w:name w:val="Zaznam"/>
    <w:basedOn w:val="Normal"/>
    <w:pPr>
      <w:suppressAutoHyphens/>
      <w:spacing w:before="20" w:after="40"/>
      <w:jc w:val="both"/>
    </w:pPr>
    <w:rPr>
      <w:szCs w:val="20"/>
      <w:lang w:eastAsia="ar-SA"/>
    </w:rPr>
  </w:style>
  <w:style w:type="paragraph" w:customStyle="1" w:styleId="Default">
    <w:name w:val="Default"/>
    <w:pPr>
      <w:autoSpaceDE w:val="0"/>
      <w:autoSpaceDN w:val="0"/>
      <w:adjustRightInd w:val="0"/>
    </w:pPr>
    <w:rPr>
      <w:color w:val="000000"/>
      <w:sz w:val="24"/>
      <w:szCs w:val="24"/>
      <w:lang w:val="cs-CZ" w:eastAsia="cs-CZ"/>
    </w:rPr>
  </w:style>
  <w:style w:type="paragraph" w:customStyle="1" w:styleId="Prosttext1">
    <w:name w:val="Prostý text1"/>
    <w:basedOn w:val="Normal"/>
    <w:pPr>
      <w:widowControl w:val="0"/>
      <w:suppressAutoHyphens/>
      <w:autoSpaceDE w:val="0"/>
    </w:pPr>
    <w:rPr>
      <w:rFonts w:ascii="Courier New" w:hAnsi="Courier New" w:cs="Courier New"/>
      <w:sz w:val="20"/>
      <w:szCs w:val="20"/>
      <w:lang w:eastAsia="zh-CN"/>
    </w:rPr>
  </w:style>
  <w:style w:type="paragraph" w:styleId="Revision">
    <w:name w:val="Revision"/>
    <w:uiPriority w:val="99"/>
    <w:semiHidden/>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rans@mzv.gov.cz" TargetMode="External"/><Relationship Id="rId4" Type="http://schemas.openxmlformats.org/officeDocument/2006/relationships/webSettings" Target="webSettings.xml"/><Relationship Id="rId9" Type="http://schemas.openxmlformats.org/officeDocument/2006/relationships/hyperlink" Target="http://www.mzv.granty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3627</Words>
  <Characters>20674</Characters>
  <Application>Microsoft Office Word</Application>
  <DocSecurity>4</DocSecurity>
  <Lines>172</Lines>
  <Paragraphs>48</Paragraphs>
  <ScaleCrop>false</ScaleCrop>
  <HeadingPairs>
    <vt:vector size="2" baseType="variant">
      <vt:variant>
        <vt:lpstr>Název</vt:lpstr>
      </vt:variant>
      <vt:variant>
        <vt:i4>1</vt:i4>
      </vt:variant>
    </vt:vector>
  </HeadingPairs>
  <TitlesOfParts>
    <vt:vector size="1" baseType="lpstr">
      <vt:lpstr>Výběrové řízení na podporu projektů předložených nestátními neziskovými organizacemi pro rok 2004</vt:lpstr>
    </vt:vector>
  </TitlesOfParts>
  <Company>Ústav mezinárodních vztahů</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Výběrové řízení na podporu projektů předložených nestátními neziskovými organizacemi pro rok 2004</dc:title>
  <dc:subject/>
  <dc:creator>Petr Halaxa</dc:creator>
  <cp:keywords/>
  <cp:lastModifiedBy>Zdeňka CAISOVÁ</cp:lastModifiedBy>
  <cp:revision>2</cp:revision>
  <cp:lastPrinted>2025-09-30T11:02:00Z</cp:lastPrinted>
  <dcterms:created xsi:type="dcterms:W3CDTF">2025-10-22T13:50:00Z</dcterms:created>
  <dcterms:modified xsi:type="dcterms:W3CDTF">2025-10-22T13:50:00Z</dcterms:modified>
</cp:coreProperties>
</file>