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8C04" w14:textId="3D76CE0C" w:rsidR="00770D76" w:rsidRPr="005032EA" w:rsidRDefault="00770D76" w:rsidP="00770D76">
      <w:pPr>
        <w:spacing w:after="120"/>
        <w:ind w:firstLine="540"/>
        <w:jc w:val="center"/>
        <w:rPr>
          <w:b/>
        </w:rPr>
      </w:pPr>
      <w:r w:rsidRPr="005032EA">
        <w:rPr>
          <w:b/>
        </w:rPr>
        <w:t>Informace o realizaci zahraniční rozvojové spolupráce a humanitární pomoci České republiky v roce 2024 a změna usnesení vlády ze dne 12. října 2022 č. 855, o Programu humanitární, stabilizační, rekonstrukční a hospodářské asistence Ukrajině v letech 2023–2025</w:t>
      </w:r>
    </w:p>
    <w:p w14:paraId="0B956529" w14:textId="77777777" w:rsidR="00413B75" w:rsidRPr="005032EA" w:rsidRDefault="00413B75" w:rsidP="00813BA0">
      <w:pPr>
        <w:pStyle w:val="Nadpisobsahu"/>
        <w:spacing w:line="264" w:lineRule="auto"/>
      </w:pPr>
      <w:r w:rsidRPr="005032EA">
        <w:t>Obsah</w:t>
      </w:r>
    </w:p>
    <w:p w14:paraId="4173D7F8" w14:textId="4312A8C1" w:rsidR="004433E4" w:rsidRPr="005032EA" w:rsidRDefault="00413B75" w:rsidP="00813BA0">
      <w:pPr>
        <w:pStyle w:val="Obsah1"/>
        <w:spacing w:line="264" w:lineRule="auto"/>
        <w:rPr>
          <w:rFonts w:eastAsiaTheme="minorEastAsia"/>
        </w:rPr>
      </w:pPr>
      <w:r w:rsidRPr="005032EA">
        <w:fldChar w:fldCharType="begin"/>
      </w:r>
      <w:r w:rsidRPr="005032EA">
        <w:instrText xml:space="preserve"> TOC \o "1-3" \h \z \u </w:instrText>
      </w:r>
      <w:r w:rsidRPr="005032EA">
        <w:fldChar w:fldCharType="separate"/>
      </w:r>
      <w:hyperlink w:anchor="_Toc200633254" w:history="1">
        <w:r w:rsidR="004433E4" w:rsidRPr="005032EA">
          <w:rPr>
            <w:rStyle w:val="Hypertextovodkaz"/>
            <w:color w:val="auto"/>
          </w:rPr>
          <w:t>1.</w:t>
        </w:r>
        <w:r w:rsidR="004433E4" w:rsidRPr="005032EA">
          <w:rPr>
            <w:rFonts w:eastAsiaTheme="minorEastAsia"/>
          </w:rPr>
          <w:tab/>
        </w:r>
        <w:r w:rsidR="004433E4" w:rsidRPr="005032EA">
          <w:rPr>
            <w:rStyle w:val="Hypertextovodkaz"/>
            <w:color w:val="auto"/>
          </w:rPr>
          <w:t>Úvod</w:t>
        </w:r>
        <w:r w:rsidR="004433E4" w:rsidRPr="005032EA">
          <w:rPr>
            <w:webHidden/>
          </w:rPr>
          <w:tab/>
        </w:r>
        <w:r w:rsidR="004433E4" w:rsidRPr="005032EA">
          <w:rPr>
            <w:webHidden/>
          </w:rPr>
          <w:fldChar w:fldCharType="begin"/>
        </w:r>
        <w:r w:rsidR="004433E4" w:rsidRPr="005032EA">
          <w:rPr>
            <w:webHidden/>
          </w:rPr>
          <w:instrText xml:space="preserve"> PAGEREF _Toc200633254 \h </w:instrText>
        </w:r>
        <w:r w:rsidR="004433E4" w:rsidRPr="005032EA">
          <w:rPr>
            <w:webHidden/>
          </w:rPr>
        </w:r>
        <w:r w:rsidR="004433E4" w:rsidRPr="005032EA">
          <w:rPr>
            <w:webHidden/>
          </w:rPr>
          <w:fldChar w:fldCharType="separate"/>
        </w:r>
        <w:r w:rsidR="00AA0731">
          <w:rPr>
            <w:webHidden/>
          </w:rPr>
          <w:t>1</w:t>
        </w:r>
        <w:r w:rsidR="004433E4" w:rsidRPr="005032EA">
          <w:rPr>
            <w:webHidden/>
          </w:rPr>
          <w:fldChar w:fldCharType="end"/>
        </w:r>
      </w:hyperlink>
    </w:p>
    <w:p w14:paraId="143116FE" w14:textId="25EE3666" w:rsidR="004433E4" w:rsidRPr="005032EA" w:rsidRDefault="00000000" w:rsidP="00813BA0">
      <w:pPr>
        <w:pStyle w:val="Obsah1"/>
        <w:spacing w:line="264" w:lineRule="auto"/>
        <w:rPr>
          <w:rFonts w:eastAsiaTheme="minorEastAsia"/>
        </w:rPr>
      </w:pPr>
      <w:hyperlink w:anchor="_Toc200633255" w:history="1">
        <w:r w:rsidR="004433E4" w:rsidRPr="005032EA">
          <w:rPr>
            <w:rStyle w:val="Hypertextovodkaz"/>
            <w:color w:val="auto"/>
          </w:rPr>
          <w:t>2.</w:t>
        </w:r>
        <w:r w:rsidR="004433E4" w:rsidRPr="005032EA">
          <w:rPr>
            <w:rFonts w:eastAsiaTheme="minorEastAsia"/>
          </w:rPr>
          <w:tab/>
        </w:r>
        <w:r w:rsidR="004433E4" w:rsidRPr="005032EA">
          <w:rPr>
            <w:rStyle w:val="Hypertextovodkaz"/>
            <w:color w:val="auto"/>
          </w:rPr>
          <w:t>Zahraniční rozvojová spolupráce České republiky</w:t>
        </w:r>
        <w:r w:rsidR="004433E4" w:rsidRPr="005032EA">
          <w:rPr>
            <w:webHidden/>
          </w:rPr>
          <w:tab/>
        </w:r>
        <w:r w:rsidR="004433E4" w:rsidRPr="005032EA">
          <w:rPr>
            <w:webHidden/>
          </w:rPr>
          <w:fldChar w:fldCharType="begin"/>
        </w:r>
        <w:r w:rsidR="004433E4" w:rsidRPr="005032EA">
          <w:rPr>
            <w:webHidden/>
          </w:rPr>
          <w:instrText xml:space="preserve"> PAGEREF _Toc200633255 \h </w:instrText>
        </w:r>
        <w:r w:rsidR="004433E4" w:rsidRPr="005032EA">
          <w:rPr>
            <w:webHidden/>
          </w:rPr>
        </w:r>
        <w:r w:rsidR="004433E4" w:rsidRPr="005032EA">
          <w:rPr>
            <w:webHidden/>
          </w:rPr>
          <w:fldChar w:fldCharType="separate"/>
        </w:r>
        <w:r w:rsidR="00AA0731">
          <w:rPr>
            <w:webHidden/>
          </w:rPr>
          <w:t>2</w:t>
        </w:r>
        <w:r w:rsidR="004433E4" w:rsidRPr="005032EA">
          <w:rPr>
            <w:webHidden/>
          </w:rPr>
          <w:fldChar w:fldCharType="end"/>
        </w:r>
      </w:hyperlink>
    </w:p>
    <w:p w14:paraId="3A4BD635" w14:textId="5BCA87A6"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56" w:history="1">
        <w:r w:rsidR="004433E4" w:rsidRPr="005032EA">
          <w:rPr>
            <w:rStyle w:val="Hypertextovodkaz"/>
            <w:rFonts w:ascii="Times New Roman" w:hAnsi="Times New Roman"/>
            <w:color w:val="auto"/>
            <w:sz w:val="24"/>
            <w:szCs w:val="24"/>
          </w:rPr>
          <w:t>2.1.</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Rozvojové aktivity v gesci ČRA</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_Toc200633256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2</w:t>
        </w:r>
        <w:r w:rsidR="004433E4" w:rsidRPr="005032EA">
          <w:rPr>
            <w:rFonts w:ascii="Times New Roman" w:hAnsi="Times New Roman" w:cs="Times New Roman"/>
            <w:webHidden/>
            <w:sz w:val="24"/>
            <w:szCs w:val="24"/>
          </w:rPr>
          <w:fldChar w:fldCharType="end"/>
        </w:r>
      </w:hyperlink>
    </w:p>
    <w:p w14:paraId="0A65711F" w14:textId="3FEDF46C"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57" w:history="1">
        <w:r w:rsidR="004433E4" w:rsidRPr="005032EA">
          <w:rPr>
            <w:rStyle w:val="Hypertextovodkaz"/>
            <w:rFonts w:eastAsia="DengXian Light"/>
            <w:noProof/>
            <w:color w:val="auto"/>
          </w:rPr>
          <w:t>2.1.2.</w:t>
        </w:r>
        <w:r w:rsidR="004433E4" w:rsidRPr="005032EA">
          <w:rPr>
            <w:rFonts w:eastAsiaTheme="minorEastAsia"/>
            <w:noProof/>
          </w:rPr>
          <w:tab/>
        </w:r>
        <w:r w:rsidR="004433E4" w:rsidRPr="005032EA">
          <w:rPr>
            <w:rStyle w:val="Hypertextovodkaz"/>
            <w:rFonts w:eastAsia="DengXian Light"/>
            <w:noProof/>
            <w:color w:val="auto"/>
          </w:rPr>
          <w:t>Rozvojové aktivity ČRA dle tematického zaměření</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_Toc200633257 \h </w:instrText>
        </w:r>
        <w:r w:rsidR="004433E4" w:rsidRPr="005032EA">
          <w:rPr>
            <w:noProof/>
            <w:webHidden/>
          </w:rPr>
        </w:r>
        <w:r w:rsidR="004433E4" w:rsidRPr="005032EA">
          <w:rPr>
            <w:noProof/>
            <w:webHidden/>
          </w:rPr>
          <w:fldChar w:fldCharType="separate"/>
        </w:r>
        <w:r w:rsidR="00AA0731">
          <w:rPr>
            <w:noProof/>
            <w:webHidden/>
          </w:rPr>
          <w:t>14</w:t>
        </w:r>
        <w:r w:rsidR="004433E4" w:rsidRPr="005032EA">
          <w:rPr>
            <w:noProof/>
            <w:webHidden/>
          </w:rPr>
          <w:fldChar w:fldCharType="end"/>
        </w:r>
      </w:hyperlink>
    </w:p>
    <w:p w14:paraId="70B158C6" w14:textId="09B1B8F5"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58" w:history="1">
        <w:r w:rsidR="004433E4" w:rsidRPr="005032EA">
          <w:rPr>
            <w:rStyle w:val="Hypertextovodkaz"/>
            <w:rFonts w:eastAsia="DengXian Light"/>
            <w:noProof/>
            <w:color w:val="auto"/>
          </w:rPr>
          <w:t>2.1.3.</w:t>
        </w:r>
        <w:r w:rsidR="004433E4" w:rsidRPr="005032EA">
          <w:rPr>
            <w:rFonts w:eastAsiaTheme="minorEastAsia"/>
            <w:noProof/>
          </w:rPr>
          <w:tab/>
        </w:r>
        <w:r w:rsidR="004433E4" w:rsidRPr="005032EA">
          <w:rPr>
            <w:rStyle w:val="Hypertextovodkaz"/>
            <w:rFonts w:eastAsia="DengXian Light"/>
            <w:noProof/>
            <w:color w:val="auto"/>
          </w:rPr>
          <w:t>Rozvojové aktivity ČRA podle forem a programů</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_Toc200633258 \h </w:instrText>
        </w:r>
        <w:r w:rsidR="004433E4" w:rsidRPr="005032EA">
          <w:rPr>
            <w:noProof/>
            <w:webHidden/>
          </w:rPr>
        </w:r>
        <w:r w:rsidR="004433E4" w:rsidRPr="005032EA">
          <w:rPr>
            <w:noProof/>
            <w:webHidden/>
          </w:rPr>
          <w:fldChar w:fldCharType="separate"/>
        </w:r>
        <w:r w:rsidR="00AA0731">
          <w:rPr>
            <w:noProof/>
            <w:webHidden/>
          </w:rPr>
          <w:t>16</w:t>
        </w:r>
        <w:r w:rsidR="004433E4" w:rsidRPr="005032EA">
          <w:rPr>
            <w:noProof/>
            <w:webHidden/>
          </w:rPr>
          <w:fldChar w:fldCharType="end"/>
        </w:r>
      </w:hyperlink>
    </w:p>
    <w:p w14:paraId="1D578D16" w14:textId="220562BB"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61" w:history="1">
        <w:r w:rsidR="004433E4" w:rsidRPr="005032EA">
          <w:rPr>
            <w:rStyle w:val="Hypertextovodkaz"/>
            <w:rFonts w:ascii="Times New Roman" w:hAnsi="Times New Roman"/>
            <w:color w:val="auto"/>
            <w:sz w:val="24"/>
            <w:szCs w:val="24"/>
          </w:rPr>
          <w:t>2.2.</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Rozvojové a humanitární aktivity v gesci MZV</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_Toc200633261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20</w:t>
        </w:r>
        <w:r w:rsidR="004433E4" w:rsidRPr="005032EA">
          <w:rPr>
            <w:rFonts w:ascii="Times New Roman" w:hAnsi="Times New Roman" w:cs="Times New Roman"/>
            <w:webHidden/>
            <w:sz w:val="24"/>
            <w:szCs w:val="24"/>
          </w:rPr>
          <w:fldChar w:fldCharType="end"/>
        </w:r>
      </w:hyperlink>
    </w:p>
    <w:p w14:paraId="42CC480E" w14:textId="6A215077"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62" w:history="1">
        <w:r w:rsidR="004433E4" w:rsidRPr="005032EA">
          <w:rPr>
            <w:rStyle w:val="Hypertextovodkaz"/>
            <w:noProof/>
            <w:color w:val="auto"/>
          </w:rPr>
          <w:t>2.2.1.</w:t>
        </w:r>
        <w:r w:rsidR="004433E4" w:rsidRPr="005032EA">
          <w:rPr>
            <w:rFonts w:eastAsiaTheme="minorEastAsia"/>
            <w:noProof/>
          </w:rPr>
          <w:tab/>
        </w:r>
        <w:r w:rsidR="004433E4" w:rsidRPr="005032EA">
          <w:rPr>
            <w:rStyle w:val="Hypertextovodkaz"/>
            <w:noProof/>
            <w:color w:val="auto"/>
          </w:rPr>
          <w:t>Malé lokální projekty</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_Toc200633262 \h </w:instrText>
        </w:r>
        <w:r w:rsidR="004433E4" w:rsidRPr="005032EA">
          <w:rPr>
            <w:noProof/>
            <w:webHidden/>
          </w:rPr>
        </w:r>
        <w:r w:rsidR="004433E4" w:rsidRPr="005032EA">
          <w:rPr>
            <w:noProof/>
            <w:webHidden/>
          </w:rPr>
          <w:fldChar w:fldCharType="separate"/>
        </w:r>
        <w:r w:rsidR="00AA0731">
          <w:rPr>
            <w:noProof/>
            <w:webHidden/>
          </w:rPr>
          <w:t>20</w:t>
        </w:r>
        <w:r w:rsidR="004433E4" w:rsidRPr="005032EA">
          <w:rPr>
            <w:noProof/>
            <w:webHidden/>
          </w:rPr>
          <w:fldChar w:fldCharType="end"/>
        </w:r>
      </w:hyperlink>
    </w:p>
    <w:p w14:paraId="31F50A5E" w14:textId="2C21B056"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63" w:history="1">
        <w:r w:rsidR="004433E4" w:rsidRPr="005032EA">
          <w:rPr>
            <w:rStyle w:val="Hypertextovodkaz"/>
            <w:noProof/>
            <w:color w:val="auto"/>
          </w:rPr>
          <w:t>2.2.2.</w:t>
        </w:r>
        <w:r w:rsidR="004433E4" w:rsidRPr="005032EA">
          <w:rPr>
            <w:rFonts w:eastAsiaTheme="minorEastAsia"/>
            <w:noProof/>
          </w:rPr>
          <w:tab/>
        </w:r>
        <w:r w:rsidR="004433E4" w:rsidRPr="005032EA">
          <w:rPr>
            <w:rStyle w:val="Hypertextovodkaz"/>
            <w:noProof/>
            <w:color w:val="auto"/>
          </w:rPr>
          <w:t>Programy s resorty</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_Toc200633263 \h </w:instrText>
        </w:r>
        <w:r w:rsidR="004433E4" w:rsidRPr="005032EA">
          <w:rPr>
            <w:noProof/>
            <w:webHidden/>
          </w:rPr>
        </w:r>
        <w:r w:rsidR="004433E4" w:rsidRPr="005032EA">
          <w:rPr>
            <w:noProof/>
            <w:webHidden/>
          </w:rPr>
          <w:fldChar w:fldCharType="separate"/>
        </w:r>
        <w:r w:rsidR="00AA0731">
          <w:rPr>
            <w:noProof/>
            <w:webHidden/>
          </w:rPr>
          <w:t>20</w:t>
        </w:r>
        <w:r w:rsidR="004433E4" w:rsidRPr="005032EA">
          <w:rPr>
            <w:noProof/>
            <w:webHidden/>
          </w:rPr>
          <w:fldChar w:fldCharType="end"/>
        </w:r>
      </w:hyperlink>
    </w:p>
    <w:p w14:paraId="209B845A" w14:textId="1B429120"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64" w:history="1">
        <w:r w:rsidR="004433E4" w:rsidRPr="005032EA">
          <w:rPr>
            <w:rStyle w:val="Hypertextovodkaz"/>
            <w:noProof/>
            <w:color w:val="auto"/>
          </w:rPr>
          <w:t>2.2.3.</w:t>
        </w:r>
        <w:r w:rsidR="004433E4" w:rsidRPr="005032EA">
          <w:rPr>
            <w:rFonts w:eastAsiaTheme="minorEastAsia"/>
            <w:noProof/>
          </w:rPr>
          <w:tab/>
        </w:r>
        <w:r w:rsidR="004433E4" w:rsidRPr="005032EA">
          <w:rPr>
            <w:rStyle w:val="Hypertextovodkaz"/>
            <w:noProof/>
            <w:color w:val="auto"/>
          </w:rPr>
          <w:t>Posilování kapacit veřejných vysokých škol v rozvojových zemích</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_Toc200633264 \h </w:instrText>
        </w:r>
        <w:r w:rsidR="004433E4" w:rsidRPr="005032EA">
          <w:rPr>
            <w:noProof/>
            <w:webHidden/>
          </w:rPr>
        </w:r>
        <w:r w:rsidR="004433E4" w:rsidRPr="005032EA">
          <w:rPr>
            <w:noProof/>
            <w:webHidden/>
          </w:rPr>
          <w:fldChar w:fldCharType="separate"/>
        </w:r>
        <w:r w:rsidR="00AA0731">
          <w:rPr>
            <w:noProof/>
            <w:webHidden/>
          </w:rPr>
          <w:t>23</w:t>
        </w:r>
        <w:r w:rsidR="004433E4" w:rsidRPr="005032EA">
          <w:rPr>
            <w:noProof/>
            <w:webHidden/>
          </w:rPr>
          <w:fldChar w:fldCharType="end"/>
        </w:r>
      </w:hyperlink>
    </w:p>
    <w:p w14:paraId="0931401F" w14:textId="63BF4BBD"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65" w:history="1">
        <w:r w:rsidR="004433E4" w:rsidRPr="005032EA">
          <w:rPr>
            <w:rStyle w:val="Hypertextovodkaz"/>
            <w:noProof/>
            <w:color w:val="auto"/>
          </w:rPr>
          <w:t>2.2.4.</w:t>
        </w:r>
        <w:r w:rsidR="004433E4" w:rsidRPr="005032EA">
          <w:rPr>
            <w:rFonts w:eastAsiaTheme="minorEastAsia"/>
            <w:noProof/>
          </w:rPr>
          <w:tab/>
        </w:r>
        <w:r w:rsidR="004433E4" w:rsidRPr="005032EA">
          <w:rPr>
            <w:rStyle w:val="Hypertextovodkaz"/>
            <w:noProof/>
            <w:color w:val="auto"/>
          </w:rPr>
          <w:t>Program Cybervac</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_Toc200633265 \h </w:instrText>
        </w:r>
        <w:r w:rsidR="004433E4" w:rsidRPr="005032EA">
          <w:rPr>
            <w:noProof/>
            <w:webHidden/>
          </w:rPr>
        </w:r>
        <w:r w:rsidR="004433E4" w:rsidRPr="005032EA">
          <w:rPr>
            <w:noProof/>
            <w:webHidden/>
          </w:rPr>
          <w:fldChar w:fldCharType="separate"/>
        </w:r>
        <w:r w:rsidR="00AA0731">
          <w:rPr>
            <w:noProof/>
            <w:webHidden/>
          </w:rPr>
          <w:t>24</w:t>
        </w:r>
        <w:r w:rsidR="004433E4" w:rsidRPr="005032EA">
          <w:rPr>
            <w:noProof/>
            <w:webHidden/>
          </w:rPr>
          <w:fldChar w:fldCharType="end"/>
        </w:r>
      </w:hyperlink>
    </w:p>
    <w:p w14:paraId="4175AD6B" w14:textId="05119D3C"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66" w:history="1">
        <w:r w:rsidR="004433E4" w:rsidRPr="005032EA">
          <w:rPr>
            <w:rStyle w:val="Hypertextovodkaz"/>
            <w:noProof/>
            <w:color w:val="auto"/>
          </w:rPr>
          <w:t>2.2.5.</w:t>
        </w:r>
        <w:r w:rsidR="004433E4" w:rsidRPr="005032EA">
          <w:rPr>
            <w:rFonts w:eastAsiaTheme="minorEastAsia"/>
            <w:noProof/>
          </w:rPr>
          <w:tab/>
        </w:r>
        <w:r w:rsidR="004433E4" w:rsidRPr="005032EA">
          <w:rPr>
            <w:rStyle w:val="Hypertextovodkaz"/>
            <w:noProof/>
            <w:color w:val="auto"/>
          </w:rPr>
          <w:t>Záruka ZRS ČR</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_Toc200633266 \h </w:instrText>
        </w:r>
        <w:r w:rsidR="004433E4" w:rsidRPr="005032EA">
          <w:rPr>
            <w:noProof/>
            <w:webHidden/>
          </w:rPr>
        </w:r>
        <w:r w:rsidR="004433E4" w:rsidRPr="005032EA">
          <w:rPr>
            <w:noProof/>
            <w:webHidden/>
          </w:rPr>
          <w:fldChar w:fldCharType="separate"/>
        </w:r>
        <w:r w:rsidR="00AA0731">
          <w:rPr>
            <w:noProof/>
            <w:webHidden/>
          </w:rPr>
          <w:t>24</w:t>
        </w:r>
        <w:r w:rsidR="004433E4" w:rsidRPr="005032EA">
          <w:rPr>
            <w:noProof/>
            <w:webHidden/>
          </w:rPr>
          <w:fldChar w:fldCharType="end"/>
        </w:r>
      </w:hyperlink>
    </w:p>
    <w:p w14:paraId="5A8AB8A3" w14:textId="22EBE0C2"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67" w:history="1">
        <w:r w:rsidR="004433E4" w:rsidRPr="005032EA">
          <w:rPr>
            <w:rStyle w:val="Hypertextovodkaz"/>
            <w:noProof/>
            <w:color w:val="auto"/>
          </w:rPr>
          <w:t>2.2.6.</w:t>
        </w:r>
        <w:r w:rsidR="004433E4" w:rsidRPr="005032EA">
          <w:rPr>
            <w:rFonts w:eastAsiaTheme="minorEastAsia"/>
            <w:noProof/>
          </w:rPr>
          <w:tab/>
        </w:r>
        <w:r w:rsidR="004433E4" w:rsidRPr="005032EA">
          <w:rPr>
            <w:rStyle w:val="Hypertextovodkaz"/>
            <w:noProof/>
            <w:color w:val="auto"/>
          </w:rPr>
          <w:t>Peněžní dary v bilaterální ZRS</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_Toc200633267 \h </w:instrText>
        </w:r>
        <w:r w:rsidR="004433E4" w:rsidRPr="005032EA">
          <w:rPr>
            <w:noProof/>
            <w:webHidden/>
          </w:rPr>
        </w:r>
        <w:r w:rsidR="004433E4" w:rsidRPr="005032EA">
          <w:rPr>
            <w:noProof/>
            <w:webHidden/>
          </w:rPr>
          <w:fldChar w:fldCharType="separate"/>
        </w:r>
        <w:r w:rsidR="00AA0731">
          <w:rPr>
            <w:noProof/>
            <w:webHidden/>
          </w:rPr>
          <w:t>24</w:t>
        </w:r>
        <w:r w:rsidR="004433E4" w:rsidRPr="005032EA">
          <w:rPr>
            <w:noProof/>
            <w:webHidden/>
          </w:rPr>
          <w:fldChar w:fldCharType="end"/>
        </w:r>
      </w:hyperlink>
    </w:p>
    <w:p w14:paraId="16DA2C18" w14:textId="0ED8699C"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68" w:history="1">
        <w:r w:rsidR="004433E4" w:rsidRPr="005032EA">
          <w:rPr>
            <w:rStyle w:val="Hypertextovodkaz"/>
            <w:noProof/>
            <w:color w:val="auto"/>
          </w:rPr>
          <w:t>2.2.7.</w:t>
        </w:r>
        <w:r w:rsidR="004433E4" w:rsidRPr="005032EA">
          <w:rPr>
            <w:rFonts w:eastAsiaTheme="minorEastAsia"/>
            <w:noProof/>
          </w:rPr>
          <w:tab/>
        </w:r>
        <w:r w:rsidR="004433E4" w:rsidRPr="005032EA">
          <w:rPr>
            <w:rStyle w:val="Hypertextovodkaz"/>
            <w:noProof/>
            <w:color w:val="auto"/>
          </w:rPr>
          <w:t>Evaluace programů a projektů ZRS a HP</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_Toc200633268 \h </w:instrText>
        </w:r>
        <w:r w:rsidR="004433E4" w:rsidRPr="005032EA">
          <w:rPr>
            <w:noProof/>
            <w:webHidden/>
          </w:rPr>
        </w:r>
        <w:r w:rsidR="004433E4" w:rsidRPr="005032EA">
          <w:rPr>
            <w:noProof/>
            <w:webHidden/>
          </w:rPr>
          <w:fldChar w:fldCharType="separate"/>
        </w:r>
        <w:r w:rsidR="00AA0731">
          <w:rPr>
            <w:noProof/>
            <w:webHidden/>
          </w:rPr>
          <w:t>25</w:t>
        </w:r>
        <w:r w:rsidR="004433E4" w:rsidRPr="005032EA">
          <w:rPr>
            <w:noProof/>
            <w:webHidden/>
          </w:rPr>
          <w:fldChar w:fldCharType="end"/>
        </w:r>
      </w:hyperlink>
    </w:p>
    <w:p w14:paraId="4ADA5741" w14:textId="0087FD33"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69" w:history="1">
        <w:r w:rsidR="004433E4" w:rsidRPr="005032EA">
          <w:rPr>
            <w:rStyle w:val="Hypertextovodkaz"/>
            <w:noProof/>
            <w:color w:val="auto"/>
          </w:rPr>
          <w:t>2.2.8.</w:t>
        </w:r>
        <w:r w:rsidR="004433E4" w:rsidRPr="005032EA">
          <w:rPr>
            <w:rFonts w:eastAsiaTheme="minorEastAsia"/>
            <w:noProof/>
          </w:rPr>
          <w:tab/>
        </w:r>
        <w:r w:rsidR="004433E4" w:rsidRPr="005032EA">
          <w:rPr>
            <w:rStyle w:val="Hypertextovodkaz"/>
            <w:noProof/>
            <w:color w:val="auto"/>
          </w:rPr>
          <w:t>Komunikace, prezentace, GV a osvěta</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_Toc200633269 \h </w:instrText>
        </w:r>
        <w:r w:rsidR="004433E4" w:rsidRPr="005032EA">
          <w:rPr>
            <w:noProof/>
            <w:webHidden/>
          </w:rPr>
        </w:r>
        <w:r w:rsidR="004433E4" w:rsidRPr="005032EA">
          <w:rPr>
            <w:noProof/>
            <w:webHidden/>
          </w:rPr>
          <w:fldChar w:fldCharType="separate"/>
        </w:r>
        <w:r w:rsidR="00AA0731">
          <w:rPr>
            <w:noProof/>
            <w:webHidden/>
          </w:rPr>
          <w:t>26</w:t>
        </w:r>
        <w:r w:rsidR="004433E4" w:rsidRPr="005032EA">
          <w:rPr>
            <w:noProof/>
            <w:webHidden/>
          </w:rPr>
          <w:fldChar w:fldCharType="end"/>
        </w:r>
      </w:hyperlink>
    </w:p>
    <w:p w14:paraId="35523DD8" w14:textId="62B6F904"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70" w:history="1">
        <w:r w:rsidR="004433E4" w:rsidRPr="005032EA">
          <w:rPr>
            <w:rStyle w:val="Hypertextovodkaz"/>
            <w:noProof/>
            <w:color w:val="auto"/>
          </w:rPr>
          <w:t>2.2.9.</w:t>
        </w:r>
        <w:r w:rsidR="004433E4" w:rsidRPr="005032EA">
          <w:rPr>
            <w:rFonts w:eastAsiaTheme="minorEastAsia"/>
            <w:noProof/>
          </w:rPr>
          <w:tab/>
        </w:r>
        <w:r w:rsidR="004433E4" w:rsidRPr="005032EA">
          <w:rPr>
            <w:rStyle w:val="Hypertextovodkaz"/>
            <w:noProof/>
            <w:color w:val="auto"/>
          </w:rPr>
          <w:t>Humanitární pomoc</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_Toc200633270 \h </w:instrText>
        </w:r>
        <w:r w:rsidR="004433E4" w:rsidRPr="005032EA">
          <w:rPr>
            <w:noProof/>
            <w:webHidden/>
          </w:rPr>
        </w:r>
        <w:r w:rsidR="004433E4" w:rsidRPr="005032EA">
          <w:rPr>
            <w:noProof/>
            <w:webHidden/>
          </w:rPr>
          <w:fldChar w:fldCharType="separate"/>
        </w:r>
        <w:r w:rsidR="00AA0731">
          <w:rPr>
            <w:noProof/>
            <w:webHidden/>
          </w:rPr>
          <w:t>27</w:t>
        </w:r>
        <w:r w:rsidR="004433E4" w:rsidRPr="005032EA">
          <w:rPr>
            <w:noProof/>
            <w:webHidden/>
          </w:rPr>
          <w:fldChar w:fldCharType="end"/>
        </w:r>
      </w:hyperlink>
    </w:p>
    <w:p w14:paraId="2F1B4A28" w14:textId="2AAED35F" w:rsidR="004433E4" w:rsidRPr="005032EA" w:rsidRDefault="00000000" w:rsidP="00813BA0">
      <w:pPr>
        <w:pStyle w:val="Obsah3"/>
        <w:tabs>
          <w:tab w:val="left" w:pos="1540"/>
          <w:tab w:val="right" w:leader="dot" w:pos="9062"/>
        </w:tabs>
        <w:spacing w:line="264" w:lineRule="auto"/>
        <w:rPr>
          <w:rFonts w:eastAsiaTheme="minorEastAsia"/>
          <w:noProof/>
        </w:rPr>
      </w:pPr>
      <w:hyperlink w:anchor="_Toc200633271" w:history="1">
        <w:r w:rsidR="004433E4" w:rsidRPr="005032EA">
          <w:rPr>
            <w:rStyle w:val="Hypertextovodkaz"/>
            <w:noProof/>
            <w:color w:val="auto"/>
          </w:rPr>
          <w:t>2.2.10.</w:t>
        </w:r>
        <w:r w:rsidR="004433E4" w:rsidRPr="005032EA">
          <w:rPr>
            <w:rFonts w:eastAsiaTheme="minorEastAsia"/>
            <w:noProof/>
          </w:rPr>
          <w:tab/>
        </w:r>
        <w:r w:rsidR="004433E4" w:rsidRPr="005032EA">
          <w:rPr>
            <w:rStyle w:val="Hypertextovodkaz"/>
            <w:noProof/>
            <w:color w:val="auto"/>
          </w:rPr>
          <w:t>Program transformační spolupráce</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_Toc200633271 \h </w:instrText>
        </w:r>
        <w:r w:rsidR="004433E4" w:rsidRPr="005032EA">
          <w:rPr>
            <w:noProof/>
            <w:webHidden/>
          </w:rPr>
        </w:r>
        <w:r w:rsidR="004433E4" w:rsidRPr="005032EA">
          <w:rPr>
            <w:noProof/>
            <w:webHidden/>
          </w:rPr>
          <w:fldChar w:fldCharType="separate"/>
        </w:r>
        <w:r w:rsidR="00AA0731">
          <w:rPr>
            <w:noProof/>
            <w:webHidden/>
          </w:rPr>
          <w:t>28</w:t>
        </w:r>
        <w:r w:rsidR="004433E4" w:rsidRPr="005032EA">
          <w:rPr>
            <w:noProof/>
            <w:webHidden/>
          </w:rPr>
          <w:fldChar w:fldCharType="end"/>
        </w:r>
      </w:hyperlink>
    </w:p>
    <w:p w14:paraId="44F8AD55" w14:textId="309E4E95" w:rsidR="004433E4" w:rsidRPr="005032EA" w:rsidRDefault="00000000" w:rsidP="00813BA0">
      <w:pPr>
        <w:pStyle w:val="Obsah3"/>
        <w:tabs>
          <w:tab w:val="left" w:pos="1540"/>
          <w:tab w:val="right" w:leader="dot" w:pos="9062"/>
        </w:tabs>
        <w:spacing w:line="264" w:lineRule="auto"/>
        <w:rPr>
          <w:rFonts w:eastAsiaTheme="minorEastAsia"/>
          <w:noProof/>
        </w:rPr>
      </w:pPr>
      <w:hyperlink w:anchor="_Toc200633272" w:history="1">
        <w:r w:rsidR="004433E4" w:rsidRPr="005032EA">
          <w:rPr>
            <w:rStyle w:val="Hypertextovodkaz"/>
            <w:noProof/>
            <w:color w:val="auto"/>
          </w:rPr>
          <w:t>2.2.11.</w:t>
        </w:r>
        <w:r w:rsidR="004433E4" w:rsidRPr="005032EA">
          <w:rPr>
            <w:rFonts w:eastAsiaTheme="minorEastAsia"/>
            <w:noProof/>
          </w:rPr>
          <w:tab/>
        </w:r>
        <w:r w:rsidR="004433E4" w:rsidRPr="005032EA">
          <w:rPr>
            <w:rStyle w:val="Hypertextovodkaz"/>
            <w:noProof/>
            <w:color w:val="auto"/>
          </w:rPr>
          <w:t>Projekty ZÚ zaměřené na naplňování Agendy 2030</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_Toc200633272 \h </w:instrText>
        </w:r>
        <w:r w:rsidR="004433E4" w:rsidRPr="005032EA">
          <w:rPr>
            <w:noProof/>
            <w:webHidden/>
          </w:rPr>
        </w:r>
        <w:r w:rsidR="004433E4" w:rsidRPr="005032EA">
          <w:rPr>
            <w:noProof/>
            <w:webHidden/>
          </w:rPr>
          <w:fldChar w:fldCharType="separate"/>
        </w:r>
        <w:r w:rsidR="00AA0731">
          <w:rPr>
            <w:noProof/>
            <w:webHidden/>
          </w:rPr>
          <w:t>28</w:t>
        </w:r>
        <w:r w:rsidR="004433E4" w:rsidRPr="005032EA">
          <w:rPr>
            <w:noProof/>
            <w:webHidden/>
          </w:rPr>
          <w:fldChar w:fldCharType="end"/>
        </w:r>
      </w:hyperlink>
    </w:p>
    <w:p w14:paraId="131E76B0" w14:textId="0F36E94F" w:rsidR="004433E4" w:rsidRPr="005032EA" w:rsidRDefault="00000000" w:rsidP="00813BA0">
      <w:pPr>
        <w:pStyle w:val="Obsah3"/>
        <w:tabs>
          <w:tab w:val="left" w:pos="1540"/>
          <w:tab w:val="right" w:leader="dot" w:pos="9062"/>
        </w:tabs>
        <w:spacing w:line="264" w:lineRule="auto"/>
        <w:rPr>
          <w:rFonts w:eastAsiaTheme="minorEastAsia"/>
          <w:noProof/>
        </w:rPr>
      </w:pPr>
      <w:hyperlink w:anchor="_Toc200633273" w:history="1">
        <w:r w:rsidR="004433E4" w:rsidRPr="005032EA">
          <w:rPr>
            <w:rStyle w:val="Hypertextovodkaz"/>
            <w:noProof/>
            <w:color w:val="auto"/>
          </w:rPr>
          <w:t>2.2.12.</w:t>
        </w:r>
        <w:r w:rsidR="004433E4" w:rsidRPr="005032EA">
          <w:rPr>
            <w:rFonts w:eastAsiaTheme="minorEastAsia"/>
            <w:noProof/>
          </w:rPr>
          <w:tab/>
        </w:r>
        <w:r w:rsidR="004433E4" w:rsidRPr="005032EA">
          <w:rPr>
            <w:rStyle w:val="Hypertextovodkaz"/>
            <w:noProof/>
            <w:color w:val="auto"/>
          </w:rPr>
          <w:t>Mnohostranná rozvojová spolupráce</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_Toc200633273 \h </w:instrText>
        </w:r>
        <w:r w:rsidR="004433E4" w:rsidRPr="005032EA">
          <w:rPr>
            <w:noProof/>
            <w:webHidden/>
          </w:rPr>
        </w:r>
        <w:r w:rsidR="004433E4" w:rsidRPr="005032EA">
          <w:rPr>
            <w:noProof/>
            <w:webHidden/>
          </w:rPr>
          <w:fldChar w:fldCharType="separate"/>
        </w:r>
        <w:r w:rsidR="00AA0731">
          <w:rPr>
            <w:noProof/>
            <w:webHidden/>
          </w:rPr>
          <w:t>28</w:t>
        </w:r>
        <w:r w:rsidR="004433E4" w:rsidRPr="005032EA">
          <w:rPr>
            <w:noProof/>
            <w:webHidden/>
          </w:rPr>
          <w:fldChar w:fldCharType="end"/>
        </w:r>
      </w:hyperlink>
    </w:p>
    <w:p w14:paraId="12BC0B7E" w14:textId="1D082E6F"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74" w:history="1">
        <w:r w:rsidR="004433E4" w:rsidRPr="005032EA">
          <w:rPr>
            <w:rStyle w:val="Hypertextovodkaz"/>
            <w:rFonts w:ascii="Times New Roman" w:hAnsi="Times New Roman"/>
            <w:color w:val="auto"/>
            <w:sz w:val="24"/>
            <w:szCs w:val="24"/>
          </w:rPr>
          <w:t>2.3.</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Vládní stabilizační programy v gesci MZV</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_Toc200633274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32</w:t>
        </w:r>
        <w:r w:rsidR="004433E4" w:rsidRPr="005032EA">
          <w:rPr>
            <w:rFonts w:ascii="Times New Roman" w:hAnsi="Times New Roman" w:cs="Times New Roman"/>
            <w:webHidden/>
            <w:sz w:val="24"/>
            <w:szCs w:val="24"/>
          </w:rPr>
          <w:fldChar w:fldCharType="end"/>
        </w:r>
      </w:hyperlink>
    </w:p>
    <w:p w14:paraId="5311942C" w14:textId="4CF1ED39"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75" w:history="1">
        <w:r w:rsidR="004433E4" w:rsidRPr="005032EA">
          <w:rPr>
            <w:rStyle w:val="Hypertextovodkaz"/>
            <w:noProof/>
            <w:color w:val="auto"/>
          </w:rPr>
          <w:t>2.3.1.</w:t>
        </w:r>
        <w:r w:rsidR="004433E4" w:rsidRPr="005032EA">
          <w:rPr>
            <w:rFonts w:eastAsiaTheme="minorEastAsia"/>
            <w:noProof/>
          </w:rPr>
          <w:tab/>
        </w:r>
        <w:r w:rsidR="004433E4" w:rsidRPr="005032EA">
          <w:rPr>
            <w:rStyle w:val="Hypertextovodkaz"/>
            <w:noProof/>
            <w:color w:val="auto"/>
          </w:rPr>
          <w:t>Program Afrika dle UV 5/2023 v r. 2024</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_Toc200633275 \h </w:instrText>
        </w:r>
        <w:r w:rsidR="004433E4" w:rsidRPr="005032EA">
          <w:rPr>
            <w:noProof/>
            <w:webHidden/>
          </w:rPr>
        </w:r>
        <w:r w:rsidR="004433E4" w:rsidRPr="005032EA">
          <w:rPr>
            <w:noProof/>
            <w:webHidden/>
          </w:rPr>
          <w:fldChar w:fldCharType="separate"/>
        </w:r>
        <w:r w:rsidR="00AA0731">
          <w:rPr>
            <w:noProof/>
            <w:webHidden/>
          </w:rPr>
          <w:t>32</w:t>
        </w:r>
        <w:r w:rsidR="004433E4" w:rsidRPr="005032EA">
          <w:rPr>
            <w:noProof/>
            <w:webHidden/>
          </w:rPr>
          <w:fldChar w:fldCharType="end"/>
        </w:r>
      </w:hyperlink>
    </w:p>
    <w:p w14:paraId="646E4D0D" w14:textId="4989478E"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76" w:history="1">
        <w:r w:rsidR="004433E4" w:rsidRPr="005032EA">
          <w:rPr>
            <w:rStyle w:val="Hypertextovodkaz"/>
            <w:noProof/>
            <w:color w:val="auto"/>
          </w:rPr>
          <w:t>2.3.2.</w:t>
        </w:r>
        <w:r w:rsidR="004433E4" w:rsidRPr="005032EA">
          <w:rPr>
            <w:rFonts w:eastAsiaTheme="minorEastAsia"/>
            <w:noProof/>
          </w:rPr>
          <w:tab/>
        </w:r>
        <w:r w:rsidR="004433E4" w:rsidRPr="005032EA">
          <w:rPr>
            <w:rStyle w:val="Hypertextovodkaz"/>
            <w:noProof/>
            <w:color w:val="auto"/>
          </w:rPr>
          <w:t>Program BVA dle UV 965/2021 v r. 2024</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_Toc200633276 \h </w:instrText>
        </w:r>
        <w:r w:rsidR="004433E4" w:rsidRPr="005032EA">
          <w:rPr>
            <w:noProof/>
            <w:webHidden/>
          </w:rPr>
        </w:r>
        <w:r w:rsidR="004433E4" w:rsidRPr="005032EA">
          <w:rPr>
            <w:noProof/>
            <w:webHidden/>
          </w:rPr>
          <w:fldChar w:fldCharType="separate"/>
        </w:r>
        <w:r w:rsidR="00AA0731">
          <w:rPr>
            <w:noProof/>
            <w:webHidden/>
          </w:rPr>
          <w:t>33</w:t>
        </w:r>
        <w:r w:rsidR="004433E4" w:rsidRPr="005032EA">
          <w:rPr>
            <w:noProof/>
            <w:webHidden/>
          </w:rPr>
          <w:fldChar w:fldCharType="end"/>
        </w:r>
      </w:hyperlink>
    </w:p>
    <w:p w14:paraId="768EC93B" w14:textId="48B3C02A"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77" w:history="1">
        <w:r w:rsidR="004433E4" w:rsidRPr="005032EA">
          <w:rPr>
            <w:rStyle w:val="Hypertextovodkaz"/>
            <w:noProof/>
            <w:color w:val="auto"/>
          </w:rPr>
          <w:t>2.3.3.</w:t>
        </w:r>
        <w:r w:rsidR="004433E4" w:rsidRPr="005032EA">
          <w:rPr>
            <w:rFonts w:eastAsiaTheme="minorEastAsia"/>
            <w:noProof/>
          </w:rPr>
          <w:tab/>
        </w:r>
        <w:r w:rsidR="004433E4" w:rsidRPr="005032EA">
          <w:rPr>
            <w:rStyle w:val="Hypertextovodkaz"/>
            <w:noProof/>
            <w:color w:val="auto"/>
          </w:rPr>
          <w:t>Program Ukrajina dle UV 855/2022 v r. 2024</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_Toc200633277 \h </w:instrText>
        </w:r>
        <w:r w:rsidR="004433E4" w:rsidRPr="005032EA">
          <w:rPr>
            <w:noProof/>
            <w:webHidden/>
          </w:rPr>
        </w:r>
        <w:r w:rsidR="004433E4" w:rsidRPr="005032EA">
          <w:rPr>
            <w:noProof/>
            <w:webHidden/>
          </w:rPr>
          <w:fldChar w:fldCharType="separate"/>
        </w:r>
        <w:r w:rsidR="00AA0731">
          <w:rPr>
            <w:noProof/>
            <w:webHidden/>
          </w:rPr>
          <w:t>34</w:t>
        </w:r>
        <w:r w:rsidR="004433E4" w:rsidRPr="005032EA">
          <w:rPr>
            <w:noProof/>
            <w:webHidden/>
          </w:rPr>
          <w:fldChar w:fldCharType="end"/>
        </w:r>
      </w:hyperlink>
    </w:p>
    <w:p w14:paraId="5ECAD0A5" w14:textId="2ED0E4BD" w:rsidR="004433E4" w:rsidRPr="005032EA" w:rsidRDefault="00000000" w:rsidP="00813BA0">
      <w:pPr>
        <w:pStyle w:val="Obsah1"/>
        <w:spacing w:line="264" w:lineRule="auto"/>
        <w:rPr>
          <w:rFonts w:eastAsiaTheme="minorEastAsia"/>
        </w:rPr>
      </w:pPr>
      <w:hyperlink w:anchor="_Toc200633278" w:history="1">
        <w:r w:rsidR="004433E4" w:rsidRPr="005032EA">
          <w:rPr>
            <w:rStyle w:val="Hypertextovodkaz"/>
            <w:color w:val="auto"/>
          </w:rPr>
          <w:t>3.</w:t>
        </w:r>
        <w:r w:rsidR="004433E4" w:rsidRPr="005032EA">
          <w:rPr>
            <w:rFonts w:eastAsiaTheme="minorEastAsia"/>
          </w:rPr>
          <w:tab/>
        </w:r>
        <w:r w:rsidR="004433E4" w:rsidRPr="005032EA">
          <w:rPr>
            <w:rStyle w:val="Hypertextovodkaz"/>
            <w:color w:val="auto"/>
          </w:rPr>
          <w:t>Přehled dalších forem započitatelných jako ODA</w:t>
        </w:r>
        <w:r w:rsidR="004433E4" w:rsidRPr="005032EA">
          <w:rPr>
            <w:webHidden/>
          </w:rPr>
          <w:tab/>
        </w:r>
        <w:r w:rsidR="004433E4" w:rsidRPr="005032EA">
          <w:rPr>
            <w:webHidden/>
          </w:rPr>
          <w:fldChar w:fldCharType="begin"/>
        </w:r>
        <w:r w:rsidR="004433E4" w:rsidRPr="005032EA">
          <w:rPr>
            <w:webHidden/>
          </w:rPr>
          <w:instrText xml:space="preserve"> PAGEREF _Toc200633278 \h </w:instrText>
        </w:r>
        <w:r w:rsidR="004433E4" w:rsidRPr="005032EA">
          <w:rPr>
            <w:webHidden/>
          </w:rPr>
        </w:r>
        <w:r w:rsidR="004433E4" w:rsidRPr="005032EA">
          <w:rPr>
            <w:webHidden/>
          </w:rPr>
          <w:fldChar w:fldCharType="separate"/>
        </w:r>
        <w:r w:rsidR="00AA0731">
          <w:rPr>
            <w:webHidden/>
          </w:rPr>
          <w:t>37</w:t>
        </w:r>
        <w:r w:rsidR="004433E4" w:rsidRPr="005032EA">
          <w:rPr>
            <w:webHidden/>
          </w:rPr>
          <w:fldChar w:fldCharType="end"/>
        </w:r>
      </w:hyperlink>
    </w:p>
    <w:p w14:paraId="25B33FA8" w14:textId="525143C2"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79" w:history="1">
        <w:r w:rsidR="004433E4" w:rsidRPr="005032EA">
          <w:rPr>
            <w:rStyle w:val="Hypertextovodkaz"/>
            <w:rFonts w:ascii="Times New Roman" w:hAnsi="Times New Roman"/>
            <w:color w:val="auto"/>
            <w:sz w:val="24"/>
            <w:szCs w:val="24"/>
          </w:rPr>
          <w:t>3.1.</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Program Pomoc na místě</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_Toc200633279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37</w:t>
        </w:r>
        <w:r w:rsidR="004433E4" w:rsidRPr="005032EA">
          <w:rPr>
            <w:rFonts w:ascii="Times New Roman" w:hAnsi="Times New Roman" w:cs="Times New Roman"/>
            <w:webHidden/>
            <w:sz w:val="24"/>
            <w:szCs w:val="24"/>
          </w:rPr>
          <w:fldChar w:fldCharType="end"/>
        </w:r>
      </w:hyperlink>
    </w:p>
    <w:p w14:paraId="689DD137" w14:textId="0AAC44D5"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80" w:history="1">
        <w:r w:rsidR="004433E4" w:rsidRPr="005032EA">
          <w:rPr>
            <w:rStyle w:val="Hypertextovodkaz"/>
            <w:rFonts w:ascii="Times New Roman" w:hAnsi="Times New Roman"/>
            <w:color w:val="auto"/>
            <w:sz w:val="24"/>
            <w:szCs w:val="24"/>
          </w:rPr>
          <w:t>3.2.</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MEDEVAC</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_Toc200633280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37</w:t>
        </w:r>
        <w:r w:rsidR="004433E4" w:rsidRPr="005032EA">
          <w:rPr>
            <w:rFonts w:ascii="Times New Roman" w:hAnsi="Times New Roman" w:cs="Times New Roman"/>
            <w:webHidden/>
            <w:sz w:val="24"/>
            <w:szCs w:val="24"/>
          </w:rPr>
          <w:fldChar w:fldCharType="end"/>
        </w:r>
      </w:hyperlink>
    </w:p>
    <w:p w14:paraId="09702C3C" w14:textId="7B4C72AB"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81" w:history="1">
        <w:r w:rsidR="004433E4" w:rsidRPr="005032EA">
          <w:rPr>
            <w:rStyle w:val="Hypertextovodkaz"/>
            <w:rFonts w:ascii="Times New Roman" w:hAnsi="Times New Roman"/>
            <w:color w:val="auto"/>
            <w:sz w:val="24"/>
            <w:szCs w:val="24"/>
          </w:rPr>
          <w:t>3.3.</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Oddlužení</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_Toc200633281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37</w:t>
        </w:r>
        <w:r w:rsidR="004433E4" w:rsidRPr="005032EA">
          <w:rPr>
            <w:rFonts w:ascii="Times New Roman" w:hAnsi="Times New Roman" w:cs="Times New Roman"/>
            <w:webHidden/>
            <w:sz w:val="24"/>
            <w:szCs w:val="24"/>
          </w:rPr>
          <w:fldChar w:fldCharType="end"/>
        </w:r>
      </w:hyperlink>
    </w:p>
    <w:p w14:paraId="2F5DB9F0" w14:textId="01D09F3C"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82" w:history="1">
        <w:r w:rsidR="004433E4" w:rsidRPr="005032EA">
          <w:rPr>
            <w:rStyle w:val="Hypertextovodkaz"/>
            <w:rFonts w:ascii="Times New Roman" w:hAnsi="Times New Roman"/>
            <w:color w:val="auto"/>
            <w:sz w:val="24"/>
            <w:szCs w:val="24"/>
          </w:rPr>
          <w:t>3.4.</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Mezinárodní finanční instituce</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_Toc200633282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38</w:t>
        </w:r>
        <w:r w:rsidR="004433E4" w:rsidRPr="005032EA">
          <w:rPr>
            <w:rFonts w:ascii="Times New Roman" w:hAnsi="Times New Roman" w:cs="Times New Roman"/>
            <w:webHidden/>
            <w:sz w:val="24"/>
            <w:szCs w:val="24"/>
          </w:rPr>
          <w:fldChar w:fldCharType="end"/>
        </w:r>
      </w:hyperlink>
    </w:p>
    <w:p w14:paraId="39B2F23F" w14:textId="7ECFB094"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83" w:history="1">
        <w:r w:rsidR="004433E4" w:rsidRPr="005032EA">
          <w:rPr>
            <w:rStyle w:val="Hypertextovodkaz"/>
            <w:noProof/>
            <w:color w:val="auto"/>
          </w:rPr>
          <w:t>3.4.1.</w:t>
        </w:r>
        <w:r w:rsidR="004433E4" w:rsidRPr="005032EA">
          <w:rPr>
            <w:rFonts w:eastAsiaTheme="minorEastAsia"/>
            <w:noProof/>
          </w:rPr>
          <w:tab/>
        </w:r>
        <w:r w:rsidR="004433E4" w:rsidRPr="005032EA">
          <w:rPr>
            <w:rStyle w:val="Hypertextovodkaz"/>
            <w:noProof/>
            <w:color w:val="auto"/>
          </w:rPr>
          <w:t>Skupina Světové banky</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_Toc200633283 \h </w:instrText>
        </w:r>
        <w:r w:rsidR="004433E4" w:rsidRPr="005032EA">
          <w:rPr>
            <w:noProof/>
            <w:webHidden/>
          </w:rPr>
        </w:r>
        <w:r w:rsidR="004433E4" w:rsidRPr="005032EA">
          <w:rPr>
            <w:noProof/>
            <w:webHidden/>
          </w:rPr>
          <w:fldChar w:fldCharType="separate"/>
        </w:r>
        <w:r w:rsidR="00AA0731">
          <w:rPr>
            <w:noProof/>
            <w:webHidden/>
          </w:rPr>
          <w:t>38</w:t>
        </w:r>
        <w:r w:rsidR="004433E4" w:rsidRPr="005032EA">
          <w:rPr>
            <w:noProof/>
            <w:webHidden/>
          </w:rPr>
          <w:fldChar w:fldCharType="end"/>
        </w:r>
      </w:hyperlink>
    </w:p>
    <w:p w14:paraId="21042E5C" w14:textId="07BBB0F1"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84" w:history="1">
        <w:r w:rsidR="004433E4" w:rsidRPr="005032EA">
          <w:rPr>
            <w:rStyle w:val="Hypertextovodkaz"/>
            <w:noProof/>
            <w:color w:val="auto"/>
          </w:rPr>
          <w:t>3.4.2.</w:t>
        </w:r>
        <w:r w:rsidR="004433E4" w:rsidRPr="005032EA">
          <w:rPr>
            <w:rFonts w:eastAsiaTheme="minorEastAsia"/>
            <w:noProof/>
          </w:rPr>
          <w:tab/>
        </w:r>
        <w:r w:rsidR="004433E4" w:rsidRPr="005032EA">
          <w:rPr>
            <w:rStyle w:val="Hypertextovodkaz"/>
            <w:noProof/>
            <w:color w:val="auto"/>
          </w:rPr>
          <w:t>Mezinárodní asociace pro rozvoj (IDA)</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_Toc200633284 \h </w:instrText>
        </w:r>
        <w:r w:rsidR="004433E4" w:rsidRPr="005032EA">
          <w:rPr>
            <w:noProof/>
            <w:webHidden/>
          </w:rPr>
        </w:r>
        <w:r w:rsidR="004433E4" w:rsidRPr="005032EA">
          <w:rPr>
            <w:noProof/>
            <w:webHidden/>
          </w:rPr>
          <w:fldChar w:fldCharType="separate"/>
        </w:r>
        <w:r w:rsidR="00AA0731">
          <w:rPr>
            <w:noProof/>
            <w:webHidden/>
          </w:rPr>
          <w:t>38</w:t>
        </w:r>
        <w:r w:rsidR="004433E4" w:rsidRPr="005032EA">
          <w:rPr>
            <w:noProof/>
            <w:webHidden/>
          </w:rPr>
          <w:fldChar w:fldCharType="end"/>
        </w:r>
      </w:hyperlink>
    </w:p>
    <w:p w14:paraId="3873403C" w14:textId="6A656883"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85" w:history="1">
        <w:r w:rsidR="004433E4" w:rsidRPr="005032EA">
          <w:rPr>
            <w:rStyle w:val="Hypertextovodkaz"/>
            <w:noProof/>
            <w:color w:val="auto"/>
          </w:rPr>
          <w:t>3.4.3.</w:t>
        </w:r>
        <w:r w:rsidR="004433E4" w:rsidRPr="005032EA">
          <w:rPr>
            <w:rFonts w:eastAsiaTheme="minorEastAsia"/>
            <w:noProof/>
          </w:rPr>
          <w:tab/>
        </w:r>
        <w:r w:rsidR="004433E4" w:rsidRPr="005032EA">
          <w:rPr>
            <w:rStyle w:val="Hypertextovodkaz"/>
            <w:noProof/>
            <w:color w:val="auto"/>
          </w:rPr>
          <w:t>Multilaterální iniciativa na odpouštění dluhů (MDRI)</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_Toc200633285 \h </w:instrText>
        </w:r>
        <w:r w:rsidR="004433E4" w:rsidRPr="005032EA">
          <w:rPr>
            <w:noProof/>
            <w:webHidden/>
          </w:rPr>
        </w:r>
        <w:r w:rsidR="004433E4" w:rsidRPr="005032EA">
          <w:rPr>
            <w:noProof/>
            <w:webHidden/>
          </w:rPr>
          <w:fldChar w:fldCharType="separate"/>
        </w:r>
        <w:r w:rsidR="00AA0731">
          <w:rPr>
            <w:noProof/>
            <w:webHidden/>
          </w:rPr>
          <w:t>38</w:t>
        </w:r>
        <w:r w:rsidR="004433E4" w:rsidRPr="005032EA">
          <w:rPr>
            <w:noProof/>
            <w:webHidden/>
          </w:rPr>
          <w:fldChar w:fldCharType="end"/>
        </w:r>
      </w:hyperlink>
    </w:p>
    <w:p w14:paraId="38741C35" w14:textId="3C962222"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86" w:history="1">
        <w:r w:rsidR="004433E4" w:rsidRPr="005032EA">
          <w:rPr>
            <w:rStyle w:val="Hypertextovodkaz"/>
            <w:noProof/>
            <w:color w:val="auto"/>
            <w:lang w:eastAsia="en-US"/>
          </w:rPr>
          <w:t>3.4.4.</w:t>
        </w:r>
        <w:r w:rsidR="004433E4" w:rsidRPr="005032EA">
          <w:rPr>
            <w:rFonts w:eastAsiaTheme="minorEastAsia"/>
            <w:noProof/>
          </w:rPr>
          <w:tab/>
        </w:r>
        <w:r w:rsidR="004433E4" w:rsidRPr="005032EA">
          <w:rPr>
            <w:rStyle w:val="Hypertextovodkaz"/>
            <w:noProof/>
            <w:color w:val="auto"/>
            <w:lang w:eastAsia="en-US"/>
          </w:rPr>
          <w:t>Mezinárodní finanční korporace (IFC)</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_Toc200633286 \h </w:instrText>
        </w:r>
        <w:r w:rsidR="004433E4" w:rsidRPr="005032EA">
          <w:rPr>
            <w:noProof/>
            <w:webHidden/>
          </w:rPr>
        </w:r>
        <w:r w:rsidR="004433E4" w:rsidRPr="005032EA">
          <w:rPr>
            <w:noProof/>
            <w:webHidden/>
          </w:rPr>
          <w:fldChar w:fldCharType="separate"/>
        </w:r>
        <w:r w:rsidR="00AA0731">
          <w:rPr>
            <w:noProof/>
            <w:webHidden/>
          </w:rPr>
          <w:t>38</w:t>
        </w:r>
        <w:r w:rsidR="004433E4" w:rsidRPr="005032EA">
          <w:rPr>
            <w:noProof/>
            <w:webHidden/>
          </w:rPr>
          <w:fldChar w:fldCharType="end"/>
        </w:r>
      </w:hyperlink>
    </w:p>
    <w:p w14:paraId="596AF1FF" w14:textId="2AD564FC"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87" w:history="1">
        <w:r w:rsidR="004433E4" w:rsidRPr="005032EA">
          <w:rPr>
            <w:rStyle w:val="Hypertextovodkaz"/>
            <w:noProof/>
            <w:color w:val="auto"/>
          </w:rPr>
          <w:t>3.4.5.</w:t>
        </w:r>
        <w:r w:rsidR="004433E4" w:rsidRPr="005032EA">
          <w:rPr>
            <w:rFonts w:eastAsiaTheme="minorEastAsia"/>
            <w:noProof/>
          </w:rPr>
          <w:tab/>
        </w:r>
        <w:r w:rsidR="004433E4" w:rsidRPr="005032EA">
          <w:rPr>
            <w:rStyle w:val="Hypertextovodkaz"/>
            <w:noProof/>
            <w:color w:val="auto"/>
          </w:rPr>
          <w:t>Rozvojová banka Rady Evropy (CEB)</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_Toc200633287 \h </w:instrText>
        </w:r>
        <w:r w:rsidR="004433E4" w:rsidRPr="005032EA">
          <w:rPr>
            <w:noProof/>
            <w:webHidden/>
          </w:rPr>
        </w:r>
        <w:r w:rsidR="004433E4" w:rsidRPr="005032EA">
          <w:rPr>
            <w:noProof/>
            <w:webHidden/>
          </w:rPr>
          <w:fldChar w:fldCharType="separate"/>
        </w:r>
        <w:r w:rsidR="00AA0731">
          <w:rPr>
            <w:noProof/>
            <w:webHidden/>
          </w:rPr>
          <w:t>38</w:t>
        </w:r>
        <w:r w:rsidR="004433E4" w:rsidRPr="005032EA">
          <w:rPr>
            <w:noProof/>
            <w:webHidden/>
          </w:rPr>
          <w:fldChar w:fldCharType="end"/>
        </w:r>
      </w:hyperlink>
    </w:p>
    <w:p w14:paraId="76D2AE2F" w14:textId="466DAEE2" w:rsidR="004433E4" w:rsidRPr="005032EA" w:rsidRDefault="00000000" w:rsidP="00813BA0">
      <w:pPr>
        <w:pStyle w:val="Obsah3"/>
        <w:tabs>
          <w:tab w:val="left" w:pos="1320"/>
          <w:tab w:val="right" w:leader="dot" w:pos="9062"/>
        </w:tabs>
        <w:spacing w:line="264" w:lineRule="auto"/>
        <w:rPr>
          <w:rFonts w:eastAsiaTheme="minorEastAsia"/>
          <w:noProof/>
        </w:rPr>
      </w:pPr>
      <w:hyperlink w:anchor="_Toc200633288" w:history="1">
        <w:r w:rsidR="004433E4" w:rsidRPr="005032EA">
          <w:rPr>
            <w:rStyle w:val="Hypertextovodkaz"/>
            <w:bCs/>
            <w:noProof/>
            <w:color w:val="auto"/>
          </w:rPr>
          <w:t>3.4.6.</w:t>
        </w:r>
        <w:r w:rsidR="004433E4" w:rsidRPr="005032EA">
          <w:rPr>
            <w:rFonts w:eastAsiaTheme="minorEastAsia"/>
            <w:noProof/>
          </w:rPr>
          <w:tab/>
        </w:r>
        <w:r w:rsidR="004433E4" w:rsidRPr="005032EA">
          <w:rPr>
            <w:rStyle w:val="Hypertextovodkaz"/>
            <w:noProof/>
            <w:color w:val="auto"/>
          </w:rPr>
          <w:t>Evropská unie</w:t>
        </w:r>
        <w:r w:rsidR="004433E4" w:rsidRPr="005032EA">
          <w:rPr>
            <w:noProof/>
            <w:webHidden/>
          </w:rPr>
          <w:tab/>
        </w:r>
        <w:r w:rsidR="004433E4" w:rsidRPr="005032EA">
          <w:rPr>
            <w:noProof/>
            <w:webHidden/>
          </w:rPr>
          <w:fldChar w:fldCharType="begin"/>
        </w:r>
        <w:r w:rsidR="004433E4" w:rsidRPr="005032EA">
          <w:rPr>
            <w:noProof/>
            <w:webHidden/>
          </w:rPr>
          <w:instrText xml:space="preserve"> PAGEREF _Toc200633288 \h </w:instrText>
        </w:r>
        <w:r w:rsidR="004433E4" w:rsidRPr="005032EA">
          <w:rPr>
            <w:noProof/>
            <w:webHidden/>
          </w:rPr>
        </w:r>
        <w:r w:rsidR="004433E4" w:rsidRPr="005032EA">
          <w:rPr>
            <w:noProof/>
            <w:webHidden/>
          </w:rPr>
          <w:fldChar w:fldCharType="separate"/>
        </w:r>
        <w:r w:rsidR="00AA0731">
          <w:rPr>
            <w:noProof/>
            <w:webHidden/>
          </w:rPr>
          <w:t>39</w:t>
        </w:r>
        <w:r w:rsidR="004433E4" w:rsidRPr="005032EA">
          <w:rPr>
            <w:noProof/>
            <w:webHidden/>
          </w:rPr>
          <w:fldChar w:fldCharType="end"/>
        </w:r>
      </w:hyperlink>
    </w:p>
    <w:p w14:paraId="0B712628" w14:textId="7914F606"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89" w:history="1">
        <w:r w:rsidR="004433E4" w:rsidRPr="005032EA">
          <w:rPr>
            <w:rStyle w:val="Hypertextovodkaz"/>
            <w:rFonts w:ascii="Times New Roman" w:hAnsi="Times New Roman"/>
            <w:color w:val="auto"/>
            <w:sz w:val="24"/>
            <w:szCs w:val="24"/>
          </w:rPr>
          <w:t>3.5.</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Podpora životního prostředí a klimatu</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_Toc200633289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39</w:t>
        </w:r>
        <w:r w:rsidR="004433E4" w:rsidRPr="005032EA">
          <w:rPr>
            <w:rFonts w:ascii="Times New Roman" w:hAnsi="Times New Roman" w:cs="Times New Roman"/>
            <w:webHidden/>
            <w:sz w:val="24"/>
            <w:szCs w:val="24"/>
          </w:rPr>
          <w:fldChar w:fldCharType="end"/>
        </w:r>
      </w:hyperlink>
    </w:p>
    <w:p w14:paraId="0ED1815C" w14:textId="2E0F0051"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90" w:history="1">
        <w:r w:rsidR="004433E4" w:rsidRPr="005032EA">
          <w:rPr>
            <w:rStyle w:val="Hypertextovodkaz"/>
            <w:rFonts w:ascii="Times New Roman" w:hAnsi="Times New Roman"/>
            <w:color w:val="auto"/>
            <w:sz w:val="24"/>
            <w:szCs w:val="24"/>
          </w:rPr>
          <w:t>3.6.</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Civilní mise EU a OBSE</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_Toc200633290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41</w:t>
        </w:r>
        <w:r w:rsidR="004433E4" w:rsidRPr="005032EA">
          <w:rPr>
            <w:rFonts w:ascii="Times New Roman" w:hAnsi="Times New Roman" w:cs="Times New Roman"/>
            <w:webHidden/>
            <w:sz w:val="24"/>
            <w:szCs w:val="24"/>
          </w:rPr>
          <w:fldChar w:fldCharType="end"/>
        </w:r>
      </w:hyperlink>
    </w:p>
    <w:p w14:paraId="165C5C13" w14:textId="026356D6" w:rsidR="004433E4" w:rsidRPr="005032EA" w:rsidRDefault="00000000" w:rsidP="00813BA0">
      <w:pPr>
        <w:pStyle w:val="Obsah2"/>
        <w:spacing w:line="264" w:lineRule="auto"/>
        <w:rPr>
          <w:rFonts w:ascii="Times New Roman" w:eastAsiaTheme="minorEastAsia" w:hAnsi="Times New Roman" w:cs="Times New Roman"/>
          <w:sz w:val="24"/>
          <w:szCs w:val="24"/>
          <w:lang w:eastAsia="cs-CZ"/>
        </w:rPr>
      </w:pPr>
      <w:hyperlink w:anchor="_Toc200633291" w:history="1">
        <w:r w:rsidR="004433E4" w:rsidRPr="005032EA">
          <w:rPr>
            <w:rStyle w:val="Hypertextovodkaz"/>
            <w:rFonts w:ascii="Times New Roman" w:hAnsi="Times New Roman"/>
            <w:color w:val="auto"/>
            <w:sz w:val="24"/>
            <w:szCs w:val="24"/>
          </w:rPr>
          <w:t>3.7.</w:t>
        </w:r>
        <w:r w:rsidR="004433E4" w:rsidRPr="005032EA">
          <w:rPr>
            <w:rFonts w:ascii="Times New Roman" w:eastAsiaTheme="minorEastAsia" w:hAnsi="Times New Roman" w:cs="Times New Roman"/>
            <w:sz w:val="24"/>
            <w:szCs w:val="24"/>
            <w:lang w:eastAsia="cs-CZ"/>
          </w:rPr>
          <w:tab/>
        </w:r>
        <w:r w:rsidR="004433E4" w:rsidRPr="005032EA">
          <w:rPr>
            <w:rStyle w:val="Hypertextovodkaz"/>
            <w:rFonts w:ascii="Times New Roman" w:hAnsi="Times New Roman"/>
            <w:color w:val="auto"/>
            <w:sz w:val="24"/>
            <w:szCs w:val="24"/>
          </w:rPr>
          <w:t>Pomoc uprchlíkům na území ČR</w:t>
        </w:r>
        <w:r w:rsidR="004433E4" w:rsidRPr="005032EA">
          <w:rPr>
            <w:rFonts w:ascii="Times New Roman" w:hAnsi="Times New Roman" w:cs="Times New Roman"/>
            <w:webHidden/>
            <w:sz w:val="24"/>
            <w:szCs w:val="24"/>
          </w:rPr>
          <w:tab/>
        </w:r>
        <w:r w:rsidR="004433E4" w:rsidRPr="005032EA">
          <w:rPr>
            <w:rFonts w:ascii="Times New Roman" w:hAnsi="Times New Roman" w:cs="Times New Roman"/>
            <w:webHidden/>
            <w:sz w:val="24"/>
            <w:szCs w:val="24"/>
          </w:rPr>
          <w:fldChar w:fldCharType="begin"/>
        </w:r>
        <w:r w:rsidR="004433E4" w:rsidRPr="005032EA">
          <w:rPr>
            <w:rFonts w:ascii="Times New Roman" w:hAnsi="Times New Roman" w:cs="Times New Roman"/>
            <w:webHidden/>
            <w:sz w:val="24"/>
            <w:szCs w:val="24"/>
          </w:rPr>
          <w:instrText xml:space="preserve"> PAGEREF _Toc200633291 \h </w:instrText>
        </w:r>
        <w:r w:rsidR="004433E4" w:rsidRPr="005032EA">
          <w:rPr>
            <w:rFonts w:ascii="Times New Roman" w:hAnsi="Times New Roman" w:cs="Times New Roman"/>
            <w:webHidden/>
            <w:sz w:val="24"/>
            <w:szCs w:val="24"/>
          </w:rPr>
        </w:r>
        <w:r w:rsidR="004433E4" w:rsidRPr="005032EA">
          <w:rPr>
            <w:rFonts w:ascii="Times New Roman" w:hAnsi="Times New Roman" w:cs="Times New Roman"/>
            <w:webHidden/>
            <w:sz w:val="24"/>
            <w:szCs w:val="24"/>
          </w:rPr>
          <w:fldChar w:fldCharType="separate"/>
        </w:r>
        <w:r w:rsidR="00AA0731">
          <w:rPr>
            <w:rFonts w:ascii="Times New Roman" w:hAnsi="Times New Roman" w:cs="Times New Roman"/>
            <w:webHidden/>
            <w:sz w:val="24"/>
            <w:szCs w:val="24"/>
          </w:rPr>
          <w:t>41</w:t>
        </w:r>
        <w:r w:rsidR="004433E4" w:rsidRPr="005032EA">
          <w:rPr>
            <w:rFonts w:ascii="Times New Roman" w:hAnsi="Times New Roman" w:cs="Times New Roman"/>
            <w:webHidden/>
            <w:sz w:val="24"/>
            <w:szCs w:val="24"/>
          </w:rPr>
          <w:fldChar w:fldCharType="end"/>
        </w:r>
      </w:hyperlink>
    </w:p>
    <w:p w14:paraId="7044FA79" w14:textId="2EE1C40C" w:rsidR="004433E4" w:rsidRPr="005032EA" w:rsidRDefault="00000000" w:rsidP="00813BA0">
      <w:pPr>
        <w:pStyle w:val="Obsah1"/>
        <w:spacing w:line="264" w:lineRule="auto"/>
        <w:rPr>
          <w:rFonts w:eastAsiaTheme="minorEastAsia"/>
        </w:rPr>
      </w:pPr>
      <w:hyperlink w:anchor="_Toc200633292" w:history="1">
        <w:r w:rsidR="004433E4" w:rsidRPr="005032EA">
          <w:rPr>
            <w:rStyle w:val="Hypertextovodkaz"/>
            <w:color w:val="auto"/>
          </w:rPr>
          <w:t>4.</w:t>
        </w:r>
        <w:r w:rsidR="004433E4" w:rsidRPr="005032EA">
          <w:rPr>
            <w:rFonts w:eastAsiaTheme="minorEastAsia"/>
          </w:rPr>
          <w:tab/>
        </w:r>
        <w:r w:rsidR="004433E4" w:rsidRPr="005032EA">
          <w:rPr>
            <w:rStyle w:val="Hypertextovodkaz"/>
            <w:color w:val="auto"/>
          </w:rPr>
          <w:t>Předběžný přehled ODA za rok 2024</w:t>
        </w:r>
        <w:r w:rsidR="004433E4" w:rsidRPr="005032EA">
          <w:rPr>
            <w:webHidden/>
          </w:rPr>
          <w:tab/>
        </w:r>
        <w:r w:rsidR="004433E4" w:rsidRPr="005032EA">
          <w:rPr>
            <w:webHidden/>
          </w:rPr>
          <w:fldChar w:fldCharType="begin"/>
        </w:r>
        <w:r w:rsidR="004433E4" w:rsidRPr="005032EA">
          <w:rPr>
            <w:webHidden/>
          </w:rPr>
          <w:instrText xml:space="preserve"> PAGEREF _Toc200633292 \h </w:instrText>
        </w:r>
        <w:r w:rsidR="004433E4" w:rsidRPr="005032EA">
          <w:rPr>
            <w:webHidden/>
          </w:rPr>
        </w:r>
        <w:r w:rsidR="004433E4" w:rsidRPr="005032EA">
          <w:rPr>
            <w:webHidden/>
          </w:rPr>
          <w:fldChar w:fldCharType="separate"/>
        </w:r>
        <w:r w:rsidR="00AA0731">
          <w:rPr>
            <w:webHidden/>
          </w:rPr>
          <w:t>43</w:t>
        </w:r>
        <w:r w:rsidR="004433E4" w:rsidRPr="005032EA">
          <w:rPr>
            <w:webHidden/>
          </w:rPr>
          <w:fldChar w:fldCharType="end"/>
        </w:r>
      </w:hyperlink>
    </w:p>
    <w:p w14:paraId="2149EF4B" w14:textId="633ABFEC" w:rsidR="004433E4" w:rsidRPr="005032EA" w:rsidRDefault="00000000" w:rsidP="00813BA0">
      <w:pPr>
        <w:pStyle w:val="Obsah1"/>
        <w:spacing w:line="264" w:lineRule="auto"/>
        <w:rPr>
          <w:rFonts w:eastAsiaTheme="minorEastAsia"/>
        </w:rPr>
      </w:pPr>
      <w:hyperlink w:anchor="_Toc200633293" w:history="1">
        <w:r w:rsidR="004433E4" w:rsidRPr="005032EA">
          <w:rPr>
            <w:rStyle w:val="Hypertextovodkaz"/>
            <w:color w:val="auto"/>
          </w:rPr>
          <w:t>5.</w:t>
        </w:r>
        <w:r w:rsidR="004433E4" w:rsidRPr="005032EA">
          <w:rPr>
            <w:rFonts w:eastAsiaTheme="minorEastAsia"/>
          </w:rPr>
          <w:tab/>
        </w:r>
        <w:r w:rsidR="004433E4" w:rsidRPr="005032EA">
          <w:rPr>
            <w:rStyle w:val="Hypertextovodkaz"/>
            <w:color w:val="auto"/>
          </w:rPr>
          <w:t>Závěr</w:t>
        </w:r>
        <w:r w:rsidR="004433E4" w:rsidRPr="005032EA">
          <w:rPr>
            <w:webHidden/>
          </w:rPr>
          <w:tab/>
        </w:r>
        <w:r w:rsidR="004433E4" w:rsidRPr="005032EA">
          <w:rPr>
            <w:webHidden/>
          </w:rPr>
          <w:fldChar w:fldCharType="begin"/>
        </w:r>
        <w:r w:rsidR="004433E4" w:rsidRPr="005032EA">
          <w:rPr>
            <w:webHidden/>
          </w:rPr>
          <w:instrText xml:space="preserve"> PAGEREF _Toc200633293 \h </w:instrText>
        </w:r>
        <w:r w:rsidR="004433E4" w:rsidRPr="005032EA">
          <w:rPr>
            <w:webHidden/>
          </w:rPr>
        </w:r>
        <w:r w:rsidR="004433E4" w:rsidRPr="005032EA">
          <w:rPr>
            <w:webHidden/>
          </w:rPr>
          <w:fldChar w:fldCharType="separate"/>
        </w:r>
        <w:r w:rsidR="00AA0731">
          <w:rPr>
            <w:webHidden/>
          </w:rPr>
          <w:t>44</w:t>
        </w:r>
        <w:r w:rsidR="004433E4" w:rsidRPr="005032EA">
          <w:rPr>
            <w:webHidden/>
          </w:rPr>
          <w:fldChar w:fldCharType="end"/>
        </w:r>
      </w:hyperlink>
    </w:p>
    <w:p w14:paraId="7D772221" w14:textId="6A6B6D1A" w:rsidR="00413B75" w:rsidRPr="005032EA" w:rsidRDefault="00413B75" w:rsidP="00813BA0">
      <w:pPr>
        <w:spacing w:line="264" w:lineRule="auto"/>
      </w:pPr>
      <w:r w:rsidRPr="005032EA">
        <w:rPr>
          <w:bCs/>
        </w:rPr>
        <w:fldChar w:fldCharType="end"/>
      </w:r>
    </w:p>
    <w:p w14:paraId="5E654931" w14:textId="77777777" w:rsidR="00413B75" w:rsidRPr="005032EA" w:rsidRDefault="00413B75" w:rsidP="00413B75">
      <w:pPr>
        <w:sectPr w:rsidR="00413B75" w:rsidRPr="005032EA" w:rsidSect="003F2924">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6EB5CAB8" w14:textId="77777777" w:rsidR="007F0199" w:rsidRPr="00554334" w:rsidRDefault="00F6243B" w:rsidP="001C7A7B">
      <w:pPr>
        <w:pStyle w:val="Nadpis1"/>
        <w:spacing w:line="264" w:lineRule="auto"/>
      </w:pPr>
      <w:bookmarkStart w:id="0" w:name="_Toc200633254"/>
      <w:r w:rsidRPr="00554334">
        <w:lastRenderedPageBreak/>
        <w:t>Úvod</w:t>
      </w:r>
      <w:bookmarkEnd w:id="0"/>
      <w:r w:rsidRPr="00554334">
        <w:t xml:space="preserve"> </w:t>
      </w:r>
    </w:p>
    <w:p w14:paraId="31614046" w14:textId="77777777" w:rsidR="00A13F15" w:rsidRPr="00554334" w:rsidRDefault="00A13F15" w:rsidP="001C7A7B">
      <w:pPr>
        <w:spacing w:after="120" w:line="264" w:lineRule="auto"/>
        <w:ind w:firstLine="708"/>
        <w:contextualSpacing/>
        <w:jc w:val="both"/>
        <w:rPr>
          <w:rFonts w:asciiTheme="majorBidi" w:hAnsiTheme="majorBidi" w:cstheme="majorBidi"/>
        </w:rPr>
      </w:pPr>
      <w:r w:rsidRPr="00554334">
        <w:rPr>
          <w:rFonts w:asciiTheme="majorBidi" w:hAnsiTheme="majorBidi" w:cstheme="majorBidi"/>
        </w:rPr>
        <w:t xml:space="preserve">Hlavním cílem předloženého materiálu je podat souhrnný přehled o realizaci zahraniční rozvojové spolupráce (ZRS), transformační spolupráce (TRANS) a humanitární pomoci (HP) v roce 2024, včetně transparentního přehledu čerpání a využití prostředků vyčleněných na tyto aktivity zejména </w:t>
      </w:r>
      <w:r w:rsidRPr="00554334">
        <w:rPr>
          <w:rFonts w:asciiTheme="majorBidi" w:hAnsiTheme="majorBidi" w:cstheme="majorBidi"/>
          <w:b/>
        </w:rPr>
        <w:t xml:space="preserve">usnesením vlády ze dne 16. srpna 2023 č. 605 o dvoustranné zahraniční rozvojové spolupráci v roce 2024 </w:t>
      </w:r>
      <w:r w:rsidRPr="00554334">
        <w:rPr>
          <w:rFonts w:asciiTheme="majorBidi" w:hAnsiTheme="majorBidi" w:cstheme="majorBidi"/>
          <w:bCs/>
        </w:rPr>
        <w:t xml:space="preserve">a ke střednědobému výhledu jejího financování do roku 2026 </w:t>
      </w:r>
      <w:r w:rsidRPr="00554334">
        <w:rPr>
          <w:rFonts w:asciiTheme="majorBidi" w:hAnsiTheme="majorBidi" w:cstheme="majorBidi"/>
        </w:rPr>
        <w:t>(dále UV 605/2023).</w:t>
      </w:r>
    </w:p>
    <w:p w14:paraId="7AEB9C36" w14:textId="77777777" w:rsidR="00A13F15" w:rsidRPr="00554334" w:rsidRDefault="00A13F15" w:rsidP="001C7A7B">
      <w:pPr>
        <w:spacing w:after="120" w:line="264" w:lineRule="auto"/>
        <w:ind w:firstLine="708"/>
        <w:contextualSpacing/>
        <w:jc w:val="both"/>
        <w:rPr>
          <w:rFonts w:asciiTheme="majorBidi" w:hAnsiTheme="majorBidi" w:cstheme="majorBidi"/>
        </w:rPr>
      </w:pPr>
      <w:r w:rsidRPr="00554334">
        <w:rPr>
          <w:rFonts w:asciiTheme="majorBidi" w:hAnsiTheme="majorBidi" w:cstheme="majorBidi"/>
        </w:rPr>
        <w:t xml:space="preserve">V souladu s usnesením vlády ze dne 21. března 2018 č. 189 materiál dále zahrnuje informaci </w:t>
      </w:r>
      <w:r w:rsidRPr="00554334">
        <w:rPr>
          <w:rFonts w:asciiTheme="majorBidi" w:hAnsiTheme="majorBidi" w:cstheme="majorBidi"/>
          <w:bCs/>
        </w:rPr>
        <w:t xml:space="preserve">o realizaci dalších asistenčních programů, zejména </w:t>
      </w:r>
      <w:r w:rsidRPr="00554334">
        <w:rPr>
          <w:rFonts w:asciiTheme="majorBidi" w:hAnsiTheme="majorBidi" w:cstheme="majorBidi"/>
          <w:b/>
        </w:rPr>
        <w:t>Programu humanitární, stabilizační, rekonstrukční a hospodářské asistence Ukrajině v letech 2023-2025</w:t>
      </w:r>
      <w:r w:rsidRPr="00554334">
        <w:rPr>
          <w:rFonts w:asciiTheme="majorBidi" w:hAnsiTheme="majorBidi" w:cstheme="majorBidi"/>
        </w:rPr>
        <w:t xml:space="preserve"> v návaznosti na usnesení vlády ze dne 12. října 2022 č. 855 (UV 855/2022); zároveň je předložen návrh na změnu UV 855/2022, která umožní využití prostředků tohoto programu do 30. září 2026. </w:t>
      </w:r>
    </w:p>
    <w:p w14:paraId="3BD4BB34" w14:textId="77777777" w:rsidR="00A13F15" w:rsidRPr="00554334" w:rsidRDefault="00A13F15" w:rsidP="001C7A7B">
      <w:pPr>
        <w:spacing w:after="120" w:line="264" w:lineRule="auto"/>
        <w:ind w:firstLine="708"/>
        <w:contextualSpacing/>
        <w:jc w:val="both"/>
        <w:rPr>
          <w:rFonts w:asciiTheme="majorBidi" w:hAnsiTheme="majorBidi" w:cstheme="majorBidi"/>
        </w:rPr>
      </w:pPr>
      <w:r w:rsidRPr="00554334">
        <w:rPr>
          <w:rFonts w:asciiTheme="majorBidi" w:hAnsiTheme="majorBidi" w:cstheme="majorBidi"/>
        </w:rPr>
        <w:t xml:space="preserve">Dále je zahrnut přehled realizace v roce 2024 </w:t>
      </w:r>
      <w:r w:rsidRPr="00554334">
        <w:rPr>
          <w:rFonts w:asciiTheme="majorBidi" w:hAnsiTheme="majorBidi" w:cstheme="majorBidi"/>
          <w:b/>
          <w:bCs/>
        </w:rPr>
        <w:t xml:space="preserve">Rekonstrukčního programu České republiky v regionu Blízkého východu v období 2022–2024 </w:t>
      </w:r>
      <w:r w:rsidRPr="00554334">
        <w:rPr>
          <w:rFonts w:asciiTheme="majorBidi" w:hAnsiTheme="majorBidi" w:cstheme="majorBidi"/>
          <w:bCs/>
        </w:rPr>
        <w:t xml:space="preserve">v návaznosti na usnesení vlády </w:t>
      </w:r>
      <w:r w:rsidRPr="00554334">
        <w:rPr>
          <w:rFonts w:asciiTheme="majorBidi" w:hAnsiTheme="majorBidi" w:cstheme="majorBidi"/>
        </w:rPr>
        <w:t xml:space="preserve">ze dne 5. listopadu 2021 č. 965 (dále UV 965/2021) a přehled ostatních forem dvoustranné i mnohostranné rozvojové spolupráce ČR, které jsou hrazeny z jiných zdrojů nad rámec uvedených usnesení vlády, avšak jsou započitatelné jako </w:t>
      </w:r>
      <w:r w:rsidRPr="00554334">
        <w:rPr>
          <w:rFonts w:asciiTheme="majorBidi" w:hAnsiTheme="majorBidi" w:cstheme="majorBidi"/>
          <w:b/>
          <w:bCs/>
        </w:rPr>
        <w:t>oficiální rozvojová pomoc</w:t>
      </w:r>
      <w:r w:rsidRPr="00554334">
        <w:rPr>
          <w:rFonts w:asciiTheme="majorBidi" w:hAnsiTheme="majorBidi" w:cstheme="majorBidi"/>
        </w:rPr>
        <w:t xml:space="preserve"> (Official Development Assistance – ODA). Předběžný celkový přehled ODA ČR za rok 2024 je představen v kapitole 4 tohoto materiálu. Jde o data poskytnutá Výboru pro rozvojovou pomoc Organizace pro hospodářskou spolupráci a rozvoj (OECD/DAC) v březnu 2025 v rámci tzv. předběžného dotazníku. Konečná data k ODA 2024 budou k dispozici na podzim 2025 na webové stránce Ministerstva zahraničních věcí ČR.</w:t>
      </w:r>
    </w:p>
    <w:p w14:paraId="6B1E8FD5" w14:textId="77777777" w:rsidR="00A13F15" w:rsidRPr="00554334" w:rsidRDefault="00A13F15" w:rsidP="001C7A7B">
      <w:pPr>
        <w:spacing w:after="120" w:line="264" w:lineRule="auto"/>
        <w:ind w:firstLine="708"/>
        <w:contextualSpacing/>
        <w:jc w:val="both"/>
        <w:rPr>
          <w:rFonts w:asciiTheme="majorBidi" w:hAnsiTheme="majorBidi" w:cstheme="majorBidi"/>
          <w:b/>
        </w:rPr>
      </w:pPr>
      <w:r w:rsidRPr="00554334">
        <w:rPr>
          <w:rFonts w:asciiTheme="majorBidi" w:hAnsiTheme="majorBidi" w:cstheme="majorBidi"/>
        </w:rPr>
        <w:t xml:space="preserve">Textový přehled realizovaných aktivit je doplněn přílohami, které shrnují </w:t>
      </w:r>
      <w:r w:rsidRPr="00554334">
        <w:rPr>
          <w:rFonts w:asciiTheme="majorBidi" w:hAnsiTheme="majorBidi" w:cstheme="majorBidi"/>
          <w:b/>
        </w:rPr>
        <w:t>využití schválených prostředků ve struktuře Plánu ZRS na rok 2024 (příloha č. 1) i dle projektů České rozvojové agentury (ČRA – příloha č. 2), MZV a ostatních gestorů (příloha č. 3).</w:t>
      </w:r>
    </w:p>
    <w:p w14:paraId="0E80C555" w14:textId="08215D8E" w:rsidR="004433E4" w:rsidRPr="00554334" w:rsidRDefault="00A13F15" w:rsidP="001C7A7B">
      <w:pPr>
        <w:spacing w:after="120" w:line="264" w:lineRule="auto"/>
        <w:ind w:firstLine="708"/>
        <w:contextualSpacing/>
        <w:jc w:val="both"/>
        <w:rPr>
          <w:rFonts w:asciiTheme="majorBidi" w:hAnsiTheme="majorBidi" w:cstheme="majorBidi"/>
        </w:rPr>
      </w:pPr>
      <w:r w:rsidRPr="00554334">
        <w:rPr>
          <w:rFonts w:asciiTheme="majorBidi" w:hAnsiTheme="majorBidi" w:cstheme="majorBidi"/>
        </w:rPr>
        <w:t>Veškeré prostředky vyčleněné na zahraniční rozvojovou spolupráci, transformační spolupráci a humanitární pomoc v roce 2024 byly čerpány v souladu s rozpočtovými a účetními pravidly, v souladu se schválenými účely a se zásadou transparentnosti a rozpočtové odpovědnosti. Implementace těchto aktivit byla průběžně konzultována s Radou pro ZRS a jejími příslušnými pracovními skupinami.</w:t>
      </w:r>
    </w:p>
    <w:p w14:paraId="030ED347" w14:textId="77777777" w:rsidR="004433E4" w:rsidRPr="00554334" w:rsidRDefault="004433E4" w:rsidP="001C7A7B">
      <w:pPr>
        <w:spacing w:line="264" w:lineRule="auto"/>
        <w:rPr>
          <w:rFonts w:asciiTheme="majorBidi" w:hAnsiTheme="majorBidi" w:cstheme="majorBidi"/>
        </w:rPr>
      </w:pPr>
      <w:r w:rsidRPr="00554334">
        <w:rPr>
          <w:rFonts w:asciiTheme="majorBidi" w:hAnsiTheme="majorBidi" w:cstheme="majorBidi"/>
        </w:rPr>
        <w:br w:type="page"/>
      </w:r>
    </w:p>
    <w:p w14:paraId="546AE27C" w14:textId="77777777" w:rsidR="00F6243B" w:rsidRPr="00554334" w:rsidRDefault="00F6243B" w:rsidP="001C7A7B">
      <w:pPr>
        <w:pStyle w:val="Nadpis1"/>
        <w:spacing w:line="264" w:lineRule="auto"/>
      </w:pPr>
      <w:bookmarkStart w:id="1" w:name="_Toc200633255"/>
      <w:r w:rsidRPr="00554334">
        <w:lastRenderedPageBreak/>
        <w:t>Zahraniční rozvojová spolupráce České republiky</w:t>
      </w:r>
      <w:bookmarkEnd w:id="1"/>
    </w:p>
    <w:p w14:paraId="7298B142" w14:textId="77777777" w:rsidR="00F6243B" w:rsidRPr="00554334" w:rsidRDefault="00F6243B" w:rsidP="001C7A7B">
      <w:pPr>
        <w:pStyle w:val="Nadpis2"/>
        <w:spacing w:line="264" w:lineRule="auto"/>
      </w:pPr>
      <w:bookmarkStart w:id="2" w:name="_Toc200633256"/>
      <w:r w:rsidRPr="00554334">
        <w:t>Rozvojové aktivity v gesci ČRA</w:t>
      </w:r>
      <w:bookmarkEnd w:id="2"/>
      <w:r w:rsidRPr="00554334">
        <w:t xml:space="preserve"> </w:t>
      </w:r>
    </w:p>
    <w:p w14:paraId="5113DD56" w14:textId="2FE88F4E" w:rsidR="00CD32C4" w:rsidRPr="00554334" w:rsidRDefault="00CD32C4" w:rsidP="001C7A7B">
      <w:pPr>
        <w:pStyle w:val="Default"/>
        <w:spacing w:line="264" w:lineRule="auto"/>
        <w:ind w:firstLine="708"/>
        <w:jc w:val="both"/>
        <w:rPr>
          <w:rFonts w:asciiTheme="majorBidi" w:hAnsiTheme="majorBidi" w:cstheme="majorBidi"/>
          <w:color w:val="auto"/>
        </w:rPr>
      </w:pPr>
      <w:r w:rsidRPr="00554334">
        <w:rPr>
          <w:rFonts w:asciiTheme="majorBidi" w:hAnsiTheme="majorBidi" w:cstheme="majorBidi"/>
          <w:color w:val="auto"/>
        </w:rPr>
        <w:t xml:space="preserve">Podrobná informace o rozvojových aktivitách v gesci ČRA je předmětem </w:t>
      </w:r>
      <w:r w:rsidRPr="00554334">
        <w:rPr>
          <w:rFonts w:asciiTheme="majorBidi" w:hAnsiTheme="majorBidi" w:cstheme="majorBidi"/>
          <w:b/>
          <w:bCs/>
          <w:color w:val="auto"/>
        </w:rPr>
        <w:t>Zprávy o činnosti a hospoda</w:t>
      </w:r>
      <w:r w:rsidR="002B49FE" w:rsidRPr="00554334">
        <w:rPr>
          <w:rFonts w:asciiTheme="majorBidi" w:hAnsiTheme="majorBidi" w:cstheme="majorBidi"/>
          <w:b/>
          <w:bCs/>
          <w:color w:val="auto"/>
        </w:rPr>
        <w:t>ření ČRA v roce 2024</w:t>
      </w:r>
      <w:r w:rsidRPr="00554334">
        <w:rPr>
          <w:rFonts w:asciiTheme="majorBidi" w:hAnsiTheme="majorBidi" w:cstheme="majorBidi"/>
          <w:b/>
          <w:bCs/>
          <w:color w:val="auto"/>
        </w:rPr>
        <w:t xml:space="preserve"> </w:t>
      </w:r>
      <w:r w:rsidR="002B49FE" w:rsidRPr="00554334">
        <w:rPr>
          <w:rFonts w:asciiTheme="majorBidi" w:hAnsiTheme="majorBidi" w:cstheme="majorBidi"/>
          <w:color w:val="auto"/>
        </w:rPr>
        <w:t>(Výroční zpráva 2024</w:t>
      </w:r>
      <w:r w:rsidRPr="00554334">
        <w:rPr>
          <w:rFonts w:asciiTheme="majorBidi" w:hAnsiTheme="majorBidi" w:cstheme="majorBidi"/>
          <w:color w:val="auto"/>
        </w:rPr>
        <w:t xml:space="preserve">), kterou ČRA každoročně zpracovává na základě svého Statutu a předkládá zřizovateli, tj. Ministerstvu zahraničních věcí (viz </w:t>
      </w:r>
      <w:hyperlink r:id="rId12" w:history="1">
        <w:r w:rsidRPr="00554334">
          <w:rPr>
            <w:rStyle w:val="Hypertextovodkaz"/>
            <w:rFonts w:asciiTheme="majorBidi" w:hAnsiTheme="majorBidi" w:cstheme="majorBidi"/>
          </w:rPr>
          <w:t>www.czechaid.cz</w:t>
        </w:r>
      </w:hyperlink>
      <w:r w:rsidRPr="00554334">
        <w:rPr>
          <w:rFonts w:asciiTheme="majorBidi" w:hAnsiTheme="majorBidi" w:cstheme="majorBidi"/>
          <w:color w:val="auto"/>
        </w:rPr>
        <w:t xml:space="preserve">). </w:t>
      </w:r>
    </w:p>
    <w:p w14:paraId="021F00B1" w14:textId="284EFA26" w:rsidR="00CD32C4" w:rsidRPr="00554334" w:rsidRDefault="00CD32C4" w:rsidP="001C7A7B">
      <w:pPr>
        <w:pStyle w:val="Default"/>
        <w:spacing w:line="264" w:lineRule="auto"/>
        <w:ind w:firstLine="708"/>
        <w:jc w:val="both"/>
        <w:rPr>
          <w:rFonts w:asciiTheme="majorBidi" w:hAnsiTheme="majorBidi" w:cstheme="majorBidi"/>
          <w:color w:val="auto"/>
        </w:rPr>
      </w:pPr>
      <w:r w:rsidRPr="00554334">
        <w:rPr>
          <w:rFonts w:asciiTheme="majorBidi" w:hAnsiTheme="majorBidi" w:cstheme="majorBidi"/>
          <w:color w:val="auto"/>
        </w:rPr>
        <w:t xml:space="preserve">Těžištěm rozvojových aktivit v gesci ČRA jsou </w:t>
      </w:r>
      <w:r w:rsidRPr="00554334">
        <w:rPr>
          <w:rFonts w:asciiTheme="majorBidi" w:hAnsiTheme="majorBidi" w:cstheme="majorBidi"/>
          <w:b/>
          <w:bCs/>
          <w:color w:val="auto"/>
        </w:rPr>
        <w:t xml:space="preserve">rozvojové projekty </w:t>
      </w:r>
      <w:r w:rsidRPr="00554334">
        <w:rPr>
          <w:rFonts w:asciiTheme="majorBidi" w:hAnsiTheme="majorBidi" w:cstheme="majorBidi"/>
          <w:color w:val="auto"/>
        </w:rPr>
        <w:t xml:space="preserve">realizované </w:t>
      </w:r>
      <w:r w:rsidRPr="00554334">
        <w:rPr>
          <w:rFonts w:asciiTheme="majorBidi" w:hAnsiTheme="majorBidi" w:cstheme="majorBidi"/>
          <w:b/>
          <w:bCs/>
          <w:color w:val="auto"/>
        </w:rPr>
        <w:t>v prioritních partnerských zemích dvoustranné ZRS</w:t>
      </w:r>
      <w:r w:rsidRPr="00554334">
        <w:rPr>
          <w:rFonts w:asciiTheme="majorBidi" w:hAnsiTheme="majorBidi" w:cstheme="majorBidi"/>
          <w:color w:val="auto"/>
        </w:rPr>
        <w:t>. V souladu se Strategií ZRS ČR byly projekty v roce 202</w:t>
      </w:r>
      <w:r w:rsidR="002B49FE" w:rsidRPr="00554334">
        <w:rPr>
          <w:rFonts w:asciiTheme="majorBidi" w:hAnsiTheme="majorBidi" w:cstheme="majorBidi"/>
          <w:color w:val="auto"/>
        </w:rPr>
        <w:t>4</w:t>
      </w:r>
      <w:r w:rsidRPr="00554334">
        <w:rPr>
          <w:rFonts w:asciiTheme="majorBidi" w:hAnsiTheme="majorBidi" w:cstheme="majorBidi"/>
          <w:color w:val="auto"/>
        </w:rPr>
        <w:t xml:space="preserve"> realizovány především </w:t>
      </w:r>
      <w:r w:rsidRPr="00554334">
        <w:rPr>
          <w:rFonts w:asciiTheme="majorBidi" w:hAnsiTheme="majorBidi" w:cstheme="majorBidi"/>
          <w:b/>
          <w:bCs/>
          <w:color w:val="auto"/>
        </w:rPr>
        <w:t xml:space="preserve">v šesti prioritních zemích s programem spolupráce </w:t>
      </w:r>
      <w:r w:rsidRPr="00554334">
        <w:rPr>
          <w:rFonts w:asciiTheme="majorBidi" w:hAnsiTheme="majorBidi" w:cstheme="majorBidi"/>
          <w:color w:val="auto"/>
        </w:rPr>
        <w:t xml:space="preserve">(Bosna a Hercegovina, Etiopie, Gruzie, Kambodža, Moldavsko a Zambie). </w:t>
      </w:r>
      <w:r w:rsidR="002B49FE" w:rsidRPr="00554334">
        <w:rPr>
          <w:rFonts w:asciiTheme="majorBidi" w:hAnsiTheme="majorBidi" w:cstheme="majorBidi"/>
          <w:color w:val="auto"/>
        </w:rPr>
        <w:t>Dvoustranná ZRS dále v roce 2024</w:t>
      </w:r>
      <w:r w:rsidRPr="00554334">
        <w:rPr>
          <w:rFonts w:asciiTheme="majorBidi" w:hAnsiTheme="majorBidi" w:cstheme="majorBidi"/>
          <w:color w:val="auto"/>
        </w:rPr>
        <w:t xml:space="preserve"> směřovala také do </w:t>
      </w:r>
      <w:r w:rsidRPr="00554334">
        <w:rPr>
          <w:rFonts w:asciiTheme="majorBidi" w:hAnsiTheme="majorBidi" w:cstheme="majorBidi"/>
          <w:b/>
          <w:bCs/>
          <w:color w:val="auto"/>
        </w:rPr>
        <w:t xml:space="preserve">specifické projektové </w:t>
      </w:r>
      <w:r w:rsidRPr="00554334">
        <w:rPr>
          <w:rFonts w:asciiTheme="majorBidi" w:hAnsiTheme="majorBidi" w:cstheme="majorBidi"/>
          <w:color w:val="auto"/>
        </w:rPr>
        <w:t xml:space="preserve">země (Ukrajina). Některé Horizontální programy (např. Program rozvojového partnerství pro soukromý sektor či Trilaterální program) jsou otevřené i pro další rozvojové země. </w:t>
      </w:r>
      <w:r w:rsidR="002B49FE" w:rsidRPr="00554334">
        <w:rPr>
          <w:rFonts w:asciiTheme="majorBidi" w:eastAsia="Georgia" w:hAnsiTheme="majorBidi" w:cstheme="majorBidi"/>
        </w:rPr>
        <w:t xml:space="preserve">V roce </w:t>
      </w:r>
      <w:r w:rsidR="002B49FE" w:rsidRPr="00554334">
        <w:rPr>
          <w:rFonts w:asciiTheme="majorBidi" w:hAnsiTheme="majorBidi" w:cstheme="majorBidi"/>
          <w:color w:val="auto"/>
        </w:rPr>
        <w:t>2024</w:t>
      </w:r>
      <w:r w:rsidRPr="00554334">
        <w:rPr>
          <w:rFonts w:asciiTheme="majorBidi" w:hAnsiTheme="majorBidi" w:cstheme="majorBidi"/>
          <w:color w:val="auto"/>
        </w:rPr>
        <w:t xml:space="preserve"> byly takto podpořeny např. projekty v</w:t>
      </w:r>
      <w:r w:rsidR="002B49FE" w:rsidRPr="00554334">
        <w:rPr>
          <w:rFonts w:asciiTheme="majorBidi" w:hAnsiTheme="majorBidi" w:cstheme="majorBidi"/>
          <w:color w:val="auto"/>
        </w:rPr>
        <w:t> Iráku, Jemenu, Mongolsku, Myanmaru, či Ugandě.</w:t>
      </w:r>
    </w:p>
    <w:p w14:paraId="7A6A2E9C" w14:textId="592251EA" w:rsidR="00CD32C4" w:rsidRPr="00554334" w:rsidRDefault="00CD32C4" w:rsidP="001C7A7B">
      <w:pPr>
        <w:pStyle w:val="Default"/>
        <w:spacing w:line="264" w:lineRule="auto"/>
        <w:ind w:firstLine="708"/>
        <w:jc w:val="both"/>
        <w:rPr>
          <w:rFonts w:asciiTheme="majorBidi" w:hAnsiTheme="majorBidi" w:cstheme="majorBidi"/>
          <w:color w:val="auto"/>
        </w:rPr>
      </w:pPr>
      <w:r w:rsidRPr="00554334">
        <w:rPr>
          <w:rFonts w:asciiTheme="majorBidi" w:hAnsiTheme="majorBidi" w:cstheme="majorBidi"/>
          <w:color w:val="auto"/>
        </w:rPr>
        <w:t>Na realizaci ZRS ČR v gesci ČRA byl v souladu s </w:t>
      </w:r>
      <w:r w:rsidR="005542EE" w:rsidRPr="00554334">
        <w:rPr>
          <w:rFonts w:asciiTheme="majorBidi" w:hAnsiTheme="majorBidi" w:cstheme="majorBidi"/>
          <w:color w:val="auto"/>
        </w:rPr>
        <w:t xml:space="preserve">UV 605/2023 </w:t>
      </w:r>
      <w:r w:rsidRPr="00554334">
        <w:rPr>
          <w:rFonts w:asciiTheme="majorBidi" w:hAnsiTheme="majorBidi" w:cstheme="majorBidi"/>
          <w:color w:val="auto"/>
        </w:rPr>
        <w:t xml:space="preserve">stanoven rozpočet ve výši </w:t>
      </w:r>
      <w:r w:rsidR="005542EE" w:rsidRPr="00554334">
        <w:rPr>
          <w:rFonts w:asciiTheme="majorBidi" w:hAnsiTheme="majorBidi" w:cstheme="majorBidi"/>
          <w:color w:val="auto"/>
        </w:rPr>
        <w:t xml:space="preserve">404 866 005,00 </w:t>
      </w:r>
      <w:r w:rsidRPr="00554334">
        <w:rPr>
          <w:rFonts w:asciiTheme="majorBidi" w:hAnsiTheme="majorBidi" w:cstheme="majorBidi"/>
          <w:color w:val="auto"/>
        </w:rPr>
        <w:t>Kč. Konečný rozpočet ČRA v roce 202</w:t>
      </w:r>
      <w:r w:rsidR="005542EE" w:rsidRPr="00554334">
        <w:rPr>
          <w:rFonts w:asciiTheme="majorBidi" w:hAnsiTheme="majorBidi" w:cstheme="majorBidi"/>
          <w:color w:val="auto"/>
        </w:rPr>
        <w:t>4</w:t>
      </w:r>
      <w:r w:rsidRPr="00554334">
        <w:rPr>
          <w:rFonts w:asciiTheme="majorBidi" w:hAnsiTheme="majorBidi" w:cstheme="majorBidi"/>
          <w:color w:val="auto"/>
        </w:rPr>
        <w:t xml:space="preserve"> činil po úpravách (realizace vnějších rozpočtových opatření, zapojení nároků z předchozích let) </w:t>
      </w:r>
      <w:r w:rsidR="002E7FFB" w:rsidRPr="00554334">
        <w:rPr>
          <w:rFonts w:asciiTheme="majorBidi" w:hAnsiTheme="majorBidi" w:cstheme="majorBidi"/>
          <w:color w:val="auto"/>
        </w:rPr>
        <w:t>369 597 266,17</w:t>
      </w:r>
      <w:r w:rsidR="005542EE" w:rsidRPr="00554334">
        <w:rPr>
          <w:rFonts w:asciiTheme="majorBidi" w:hAnsiTheme="majorBidi" w:cstheme="majorBidi"/>
          <w:color w:val="auto"/>
        </w:rPr>
        <w:t xml:space="preserve"> </w:t>
      </w:r>
      <w:r w:rsidRPr="00554334">
        <w:rPr>
          <w:rFonts w:asciiTheme="majorBidi" w:hAnsiTheme="majorBidi" w:cstheme="majorBidi"/>
          <w:color w:val="auto"/>
        </w:rPr>
        <w:t>Kč.</w:t>
      </w:r>
    </w:p>
    <w:p w14:paraId="568B0C3C" w14:textId="1E5F6A25" w:rsidR="00CD32C4" w:rsidRPr="00554334" w:rsidRDefault="00CD32C4" w:rsidP="001C7A7B">
      <w:pPr>
        <w:pStyle w:val="Default"/>
        <w:spacing w:line="264" w:lineRule="auto"/>
        <w:ind w:firstLine="708"/>
        <w:jc w:val="both"/>
        <w:rPr>
          <w:rFonts w:asciiTheme="majorBidi" w:hAnsiTheme="majorBidi" w:cstheme="majorBidi"/>
          <w:color w:val="auto"/>
        </w:rPr>
      </w:pPr>
      <w:r w:rsidRPr="00554334">
        <w:rPr>
          <w:rFonts w:asciiTheme="majorBidi" w:hAnsiTheme="majorBidi" w:cstheme="majorBidi"/>
          <w:color w:val="auto"/>
        </w:rPr>
        <w:t xml:space="preserve">Skutečné výdaje </w:t>
      </w:r>
      <w:r w:rsidR="00302907" w:rsidRPr="00554334">
        <w:rPr>
          <w:rFonts w:asciiTheme="majorBidi" w:hAnsiTheme="majorBidi" w:cstheme="majorBidi"/>
          <w:color w:val="auto"/>
        </w:rPr>
        <w:t xml:space="preserve">ze státního rozpočtu </w:t>
      </w:r>
      <w:r w:rsidRPr="00554334">
        <w:rPr>
          <w:rFonts w:asciiTheme="majorBidi" w:hAnsiTheme="majorBidi" w:cstheme="majorBidi"/>
          <w:color w:val="auto"/>
        </w:rPr>
        <w:t>byly ze strany ČRA v roce 202</w:t>
      </w:r>
      <w:r w:rsidR="001A2677" w:rsidRPr="00554334">
        <w:rPr>
          <w:rFonts w:asciiTheme="majorBidi" w:hAnsiTheme="majorBidi" w:cstheme="majorBidi"/>
          <w:color w:val="auto"/>
        </w:rPr>
        <w:t>4</w:t>
      </w:r>
      <w:r w:rsidRPr="00554334">
        <w:rPr>
          <w:rFonts w:asciiTheme="majorBidi" w:hAnsiTheme="majorBidi" w:cstheme="majorBidi"/>
          <w:color w:val="auto"/>
        </w:rPr>
        <w:t xml:space="preserve"> v celkové́ výši </w:t>
      </w:r>
      <w:r w:rsidR="0052402A" w:rsidRPr="00554334">
        <w:rPr>
          <w:rFonts w:asciiTheme="majorBidi" w:hAnsiTheme="majorBidi" w:cstheme="majorBidi"/>
          <w:color w:val="auto"/>
        </w:rPr>
        <w:t>338 </w:t>
      </w:r>
      <w:r w:rsidR="00613A09" w:rsidRPr="00554334">
        <w:rPr>
          <w:rFonts w:asciiTheme="majorBidi" w:hAnsiTheme="majorBidi" w:cstheme="majorBidi"/>
          <w:color w:val="auto"/>
        </w:rPr>
        <w:t>321 385,92</w:t>
      </w:r>
      <w:r w:rsidR="00386AF1" w:rsidRPr="00554334">
        <w:rPr>
          <w:rFonts w:asciiTheme="majorBidi" w:hAnsiTheme="majorBidi" w:cstheme="majorBidi"/>
          <w:color w:val="auto"/>
        </w:rPr>
        <w:t>.</w:t>
      </w:r>
      <w:r w:rsidRPr="00554334">
        <w:rPr>
          <w:rFonts w:asciiTheme="majorBidi" w:hAnsiTheme="majorBidi" w:cstheme="majorBidi"/>
          <w:color w:val="auto"/>
        </w:rPr>
        <w:t xml:space="preserve"> </w:t>
      </w:r>
      <w:r w:rsidR="00386AF1" w:rsidRPr="00554334">
        <w:rPr>
          <w:rFonts w:asciiTheme="majorBidi" w:hAnsiTheme="majorBidi" w:cstheme="majorBidi"/>
          <w:color w:val="auto"/>
        </w:rPr>
        <w:t>V</w:t>
      </w:r>
      <w:r w:rsidRPr="00554334">
        <w:rPr>
          <w:rFonts w:asciiTheme="majorBidi" w:hAnsiTheme="majorBidi" w:cstheme="majorBidi"/>
          <w:color w:val="auto"/>
        </w:rPr>
        <w:t xml:space="preserve">četně rozpočtových opatření </w:t>
      </w:r>
      <w:r w:rsidR="001A2677" w:rsidRPr="00554334">
        <w:rPr>
          <w:rFonts w:asciiTheme="majorBidi" w:hAnsiTheme="majorBidi" w:cstheme="majorBidi"/>
          <w:color w:val="auto"/>
        </w:rPr>
        <w:t xml:space="preserve">a prostředků z EK v rámci Delegované spolupráce </w:t>
      </w:r>
      <w:r w:rsidR="00272631" w:rsidRPr="00554334">
        <w:rPr>
          <w:rFonts w:asciiTheme="majorBidi" w:hAnsiTheme="majorBidi" w:cstheme="majorBidi"/>
          <w:color w:val="auto"/>
        </w:rPr>
        <w:t>385 910 603,31</w:t>
      </w:r>
      <w:r w:rsidR="008D07C5" w:rsidRPr="00554334">
        <w:rPr>
          <w:rFonts w:asciiTheme="majorBidi" w:hAnsiTheme="majorBidi" w:cstheme="majorBidi"/>
          <w:color w:val="auto"/>
        </w:rPr>
        <w:t xml:space="preserve"> </w:t>
      </w:r>
      <w:r w:rsidRPr="00554334">
        <w:rPr>
          <w:rFonts w:asciiTheme="majorBidi" w:hAnsiTheme="majorBidi" w:cstheme="majorBidi"/>
          <w:color w:val="auto"/>
        </w:rPr>
        <w:t xml:space="preserve">z toho </w:t>
      </w:r>
      <w:r w:rsidR="00D6574E" w:rsidRPr="00554334">
        <w:rPr>
          <w:rFonts w:asciiTheme="majorBidi" w:hAnsiTheme="majorBidi" w:cstheme="majorBidi"/>
          <w:color w:val="auto"/>
        </w:rPr>
        <w:t xml:space="preserve">358 381 757,50 </w:t>
      </w:r>
      <w:r w:rsidRPr="00554334">
        <w:rPr>
          <w:rFonts w:asciiTheme="majorBidi" w:hAnsiTheme="majorBidi" w:cstheme="majorBidi"/>
          <w:color w:val="auto"/>
        </w:rPr>
        <w:t>Kč na celkem 1</w:t>
      </w:r>
      <w:r w:rsidR="00E1654F" w:rsidRPr="00554334">
        <w:rPr>
          <w:rFonts w:asciiTheme="majorBidi" w:hAnsiTheme="majorBidi" w:cstheme="majorBidi"/>
          <w:color w:val="auto"/>
        </w:rPr>
        <w:t>1</w:t>
      </w:r>
      <w:r w:rsidR="00712B3C" w:rsidRPr="00554334">
        <w:rPr>
          <w:rFonts w:asciiTheme="majorBidi" w:hAnsiTheme="majorBidi" w:cstheme="majorBidi"/>
          <w:color w:val="auto"/>
        </w:rPr>
        <w:t>2</w:t>
      </w:r>
      <w:r w:rsidRPr="00554334">
        <w:rPr>
          <w:rFonts w:asciiTheme="majorBidi" w:hAnsiTheme="majorBidi" w:cstheme="majorBidi"/>
          <w:color w:val="auto"/>
        </w:rPr>
        <w:t xml:space="preserve"> projektů, </w:t>
      </w:r>
      <w:r w:rsidR="008D07C5" w:rsidRPr="00554334">
        <w:rPr>
          <w:rFonts w:asciiTheme="majorBidi" w:hAnsiTheme="majorBidi" w:cstheme="majorBidi"/>
          <w:color w:val="auto"/>
        </w:rPr>
        <w:t xml:space="preserve">23 344 330,97 Kč </w:t>
      </w:r>
      <w:r w:rsidRPr="00554334">
        <w:rPr>
          <w:rFonts w:asciiTheme="majorBidi" w:hAnsiTheme="majorBidi" w:cstheme="majorBidi"/>
          <w:color w:val="auto"/>
        </w:rPr>
        <w:t xml:space="preserve">na provozní výdaje a </w:t>
      </w:r>
      <w:r w:rsidR="008D07C5" w:rsidRPr="00554334">
        <w:rPr>
          <w:rFonts w:asciiTheme="majorBidi" w:hAnsiTheme="majorBidi" w:cstheme="majorBidi"/>
          <w:color w:val="auto"/>
        </w:rPr>
        <w:t xml:space="preserve">4 184 514,84 </w:t>
      </w:r>
      <w:r w:rsidRPr="00554334">
        <w:rPr>
          <w:rFonts w:asciiTheme="majorBidi" w:hAnsiTheme="majorBidi" w:cstheme="majorBidi"/>
          <w:color w:val="auto"/>
        </w:rPr>
        <w:t>Kč na další činnosti spojené s projektovým řízením, monitoringem, kontrolou a prezenta</w:t>
      </w:r>
      <w:r w:rsidR="002C4311" w:rsidRPr="00554334">
        <w:rPr>
          <w:rFonts w:asciiTheme="majorBidi" w:hAnsiTheme="majorBidi" w:cstheme="majorBidi"/>
          <w:color w:val="auto"/>
        </w:rPr>
        <w:t>cí ZRS.</w:t>
      </w:r>
    </w:p>
    <w:p w14:paraId="54896AE1" w14:textId="711A83B5" w:rsidR="00CD32C4" w:rsidRPr="00554334" w:rsidRDefault="00CD32C4" w:rsidP="001C7A7B">
      <w:pPr>
        <w:pStyle w:val="Default"/>
        <w:spacing w:line="264" w:lineRule="auto"/>
        <w:ind w:firstLine="708"/>
        <w:jc w:val="both"/>
        <w:rPr>
          <w:rFonts w:asciiTheme="majorBidi" w:hAnsiTheme="majorBidi" w:cstheme="majorBidi"/>
          <w:color w:val="auto"/>
        </w:rPr>
      </w:pPr>
      <w:r w:rsidRPr="00554334">
        <w:rPr>
          <w:rFonts w:asciiTheme="majorBidi" w:hAnsiTheme="majorBidi" w:cstheme="majorBidi"/>
          <w:color w:val="auto"/>
        </w:rPr>
        <w:t>Podrobný přehled čerpání v</w:t>
      </w:r>
      <w:r w:rsidR="00E1654F" w:rsidRPr="00554334">
        <w:rPr>
          <w:rFonts w:asciiTheme="majorBidi" w:hAnsiTheme="majorBidi" w:cstheme="majorBidi"/>
          <w:color w:val="auto"/>
        </w:rPr>
        <w:t>e vztahu k Plánu ZRS na rok 2024</w:t>
      </w:r>
      <w:r w:rsidRPr="00554334">
        <w:rPr>
          <w:rFonts w:asciiTheme="majorBidi" w:hAnsiTheme="majorBidi" w:cstheme="majorBidi"/>
          <w:color w:val="auto"/>
        </w:rPr>
        <w:t xml:space="preserve"> je uveden v příloze č. 1; výčet jednotlivých projektů a dalších aktivit v gesci ČRA obsahuje příloha č. 2.</w:t>
      </w:r>
    </w:p>
    <w:p w14:paraId="36D6171A" w14:textId="77777777" w:rsidR="00CD32C4" w:rsidRPr="00554334" w:rsidRDefault="00CD32C4" w:rsidP="001C7A7B">
      <w:pPr>
        <w:spacing w:line="264" w:lineRule="auto"/>
        <w:rPr>
          <w:rFonts w:asciiTheme="majorBidi" w:hAnsiTheme="majorBidi" w:cstheme="majorBidi"/>
        </w:rPr>
      </w:pPr>
    </w:p>
    <w:p w14:paraId="3CA971F6" w14:textId="77777777" w:rsidR="004A49DC" w:rsidRPr="00554334" w:rsidRDefault="004A49DC" w:rsidP="001C7A7B">
      <w:pPr>
        <w:keepNext/>
        <w:keepLines/>
        <w:numPr>
          <w:ilvl w:val="2"/>
          <w:numId w:val="13"/>
        </w:numPr>
        <w:spacing w:before="80" w:after="40" w:line="264" w:lineRule="auto"/>
        <w:ind w:left="0" w:firstLine="0"/>
        <w:jc w:val="both"/>
        <w:outlineLvl w:val="3"/>
        <w:rPr>
          <w:rFonts w:asciiTheme="majorBidi" w:eastAsia="DengXian Light" w:hAnsiTheme="majorBidi" w:cstheme="majorBidi"/>
          <w:b/>
          <w:iCs/>
        </w:rPr>
      </w:pPr>
      <w:r w:rsidRPr="00554334">
        <w:rPr>
          <w:rFonts w:asciiTheme="majorBidi" w:eastAsia="DengXian Light" w:hAnsiTheme="majorBidi" w:cstheme="majorBidi"/>
          <w:b/>
          <w:iCs/>
        </w:rPr>
        <w:t xml:space="preserve">Rozvojové aktivity ČRA dle zeměpisného zaměření </w:t>
      </w:r>
    </w:p>
    <w:p w14:paraId="4B85B3DF" w14:textId="77777777" w:rsidR="004A49DC" w:rsidRPr="00554334" w:rsidRDefault="004A49DC" w:rsidP="001C7A7B">
      <w:pPr>
        <w:keepNext/>
        <w:keepLines/>
        <w:spacing w:before="80" w:after="40" w:line="264" w:lineRule="auto"/>
        <w:jc w:val="both"/>
        <w:outlineLvl w:val="4"/>
        <w:rPr>
          <w:rFonts w:asciiTheme="majorBidi" w:eastAsia="DengXian Light" w:hAnsiTheme="majorBidi" w:cstheme="majorBidi"/>
          <w:b/>
        </w:rPr>
      </w:pPr>
      <w:r w:rsidRPr="00554334">
        <w:rPr>
          <w:rFonts w:asciiTheme="majorBidi" w:eastAsia="DengXian Light" w:hAnsiTheme="majorBidi" w:cstheme="majorBidi"/>
          <w:b/>
        </w:rPr>
        <w:t>Bosna a Hercegovina</w:t>
      </w:r>
    </w:p>
    <w:p w14:paraId="6352531E" w14:textId="77777777" w:rsidR="004A49DC" w:rsidRPr="00554334" w:rsidRDefault="004A49DC" w:rsidP="001C7A7B">
      <w:pPr>
        <w:spacing w:line="264" w:lineRule="auto"/>
        <w:jc w:val="both"/>
        <w:rPr>
          <w:rFonts w:asciiTheme="majorBidi" w:hAnsiTheme="majorBidi" w:cstheme="majorBidi"/>
        </w:rPr>
      </w:pPr>
      <w:r w:rsidRPr="00554334">
        <w:rPr>
          <w:rFonts w:asciiTheme="majorBidi" w:hAnsiTheme="majorBidi" w:cstheme="majorBidi"/>
        </w:rPr>
        <w:t xml:space="preserve">Čerpáno v roce 2024: 51,9 mil. Kč z toho 42,5 mil Kč v rámci bilaterálních projektů, 4,4 mil. Kč v rámci DS z prostředků EK, 3,4 mil. Kč v rámci rozpočtových opatření </w:t>
      </w:r>
      <w:r w:rsidRPr="00554334">
        <w:rPr>
          <w:rFonts w:asciiTheme="majorBidi" w:eastAsia="Georgia" w:hAnsiTheme="majorBidi" w:cstheme="majorBidi"/>
        </w:rPr>
        <w:t xml:space="preserve">z ČRA </w:t>
      </w:r>
      <w:r w:rsidRPr="00554334">
        <w:rPr>
          <w:rFonts w:asciiTheme="majorBidi" w:hAnsiTheme="majorBidi" w:cstheme="majorBidi"/>
        </w:rPr>
        <w:t>a dalších 785 tis. Kč v rámci DS se spoluúčastí ČRA</w:t>
      </w:r>
    </w:p>
    <w:p w14:paraId="684B8F52" w14:textId="77777777" w:rsidR="004A49DC" w:rsidRPr="00554334" w:rsidRDefault="004A49DC" w:rsidP="001C7A7B">
      <w:pPr>
        <w:spacing w:line="264" w:lineRule="auto"/>
        <w:jc w:val="both"/>
        <w:rPr>
          <w:rFonts w:asciiTheme="majorBidi" w:hAnsiTheme="majorBidi" w:cstheme="majorBidi"/>
        </w:rPr>
      </w:pPr>
      <w:r w:rsidRPr="00554334">
        <w:rPr>
          <w:rFonts w:asciiTheme="majorBidi" w:hAnsiTheme="majorBidi" w:cstheme="majorBidi"/>
        </w:rPr>
        <w:t>Počet realizovaných projektů: 14 (12 bilaterálních projektů (z toho 1 RO), 1 v rámci DS se spoluúčastí ČRA a 1 v rámci DS z prostředků EK</w:t>
      </w:r>
    </w:p>
    <w:p w14:paraId="35C62C6F" w14:textId="77777777" w:rsidR="004A49DC" w:rsidRPr="00554334" w:rsidRDefault="004A49DC" w:rsidP="001C7A7B">
      <w:pPr>
        <w:spacing w:line="264" w:lineRule="auto"/>
        <w:ind w:firstLine="709"/>
        <w:jc w:val="both"/>
        <w:rPr>
          <w:rFonts w:asciiTheme="majorBidi" w:hAnsiTheme="majorBidi" w:cstheme="majorBidi"/>
        </w:rPr>
      </w:pPr>
    </w:p>
    <w:p w14:paraId="0EA36A88" w14:textId="77777777" w:rsidR="004A49DC" w:rsidRPr="00554334" w:rsidRDefault="004A49DC" w:rsidP="001C7A7B">
      <w:pPr>
        <w:spacing w:line="264" w:lineRule="auto"/>
        <w:ind w:firstLine="709"/>
        <w:jc w:val="both"/>
        <w:rPr>
          <w:rFonts w:asciiTheme="majorBidi" w:hAnsiTheme="majorBidi" w:cstheme="majorBidi"/>
        </w:rPr>
      </w:pPr>
      <w:r w:rsidRPr="00554334">
        <w:rPr>
          <w:rFonts w:asciiTheme="majorBidi" w:hAnsiTheme="majorBidi" w:cstheme="majorBidi"/>
        </w:rPr>
        <w:t xml:space="preserve">V roce 2024 bylo v Bosně a Hercegovině realizováno celkem 14 projektů české zahraniční rozvojové spolupráce zejména v těchto prioritních sektorových oblastech: řádná demokratická správa věcí veřejných (zahrnující sektor veřejná správa a občanská společnost), voda a sanitace a ekonomický růst a obnovitelné zdroje (zahrnující sektor výroba a dodávky energie). </w:t>
      </w:r>
    </w:p>
    <w:p w14:paraId="2E3A8C78" w14:textId="301CDF87" w:rsidR="004A49DC" w:rsidRPr="00554334" w:rsidRDefault="004A49DC" w:rsidP="001C7A7B">
      <w:pPr>
        <w:spacing w:line="264" w:lineRule="auto"/>
        <w:ind w:firstLine="709"/>
        <w:jc w:val="both"/>
        <w:rPr>
          <w:rFonts w:asciiTheme="majorBidi" w:hAnsiTheme="majorBidi" w:cstheme="majorBidi"/>
        </w:rPr>
      </w:pPr>
      <w:r w:rsidRPr="00554334">
        <w:rPr>
          <w:rFonts w:asciiTheme="majorBidi" w:hAnsiTheme="majorBidi" w:cstheme="majorBidi"/>
        </w:rPr>
        <w:t xml:space="preserve">Do široké oblasti </w:t>
      </w:r>
      <w:r w:rsidRPr="00554334">
        <w:rPr>
          <w:rFonts w:asciiTheme="majorBidi" w:hAnsiTheme="majorBidi" w:cstheme="majorBidi"/>
          <w:b/>
          <w:bCs/>
        </w:rPr>
        <w:t>řádné demokratické správy věcí veřejných</w:t>
      </w:r>
      <w:r w:rsidRPr="00554334">
        <w:rPr>
          <w:rFonts w:asciiTheme="majorBidi" w:hAnsiTheme="majorBidi" w:cstheme="majorBidi"/>
        </w:rPr>
        <w:t xml:space="preserve"> lze zařadit projekty věnující se podpoře efektivních, odpovědných a transparentních institucí na všech úrovních veřejné správy. Mezi projekty v tomto sektoru patří projekt „Zvyšování bezpečnosti potravin </w:t>
      </w:r>
      <w:r w:rsidRPr="00554334">
        <w:rPr>
          <w:rFonts w:asciiTheme="majorBidi" w:hAnsiTheme="majorBidi" w:cstheme="majorBidi"/>
        </w:rPr>
        <w:lastRenderedPageBreak/>
        <w:t xml:space="preserve">v Bosně a Hercegovině“, který podporuje místní instituce při zlepšování standardů a procesů v oblasti potravinové bezpečnosti. Dále pokračuje projekt „Innovation of Geological Information Systems in Bosnia and Herzegovina“, který se zaměřuje na modernizaci geologických informačních systémů a zvyšování odborné způsobilosti místních specialistů. K tomuto projektu byla dále uskutečněna subdodávka s názvem „Dodávka technické infrastruktury pro FZZG a RZZGI“. Dalším projektem v tomto sektoru je pak „Inkluzivní socio-ekonomická iniciativa Brčko distrikt“, jehož </w:t>
      </w:r>
      <w:r w:rsidR="007F710F" w:rsidRPr="00554334">
        <w:rPr>
          <w:rFonts w:asciiTheme="majorBidi" w:hAnsiTheme="majorBidi" w:cstheme="majorBidi"/>
        </w:rPr>
        <w:t>cílem je vytváření pracovních a </w:t>
      </w:r>
      <w:r w:rsidRPr="00554334">
        <w:rPr>
          <w:rFonts w:asciiTheme="majorBidi" w:hAnsiTheme="majorBidi" w:cstheme="majorBidi"/>
        </w:rPr>
        <w:t>podnikatelských příležitostí pro nezaměstnané marginalizované skupiny a zvyšování jejich dovedností. Projekt „Vzdělávání v kybernetické bezpečnosti pro inkluzivní trh práce“ se zaměřuje na školení osob se zdravotním postižením v obl</w:t>
      </w:r>
      <w:r w:rsidR="007F710F" w:rsidRPr="00554334">
        <w:rPr>
          <w:rFonts w:asciiTheme="majorBidi" w:hAnsiTheme="majorBidi" w:cstheme="majorBidi"/>
        </w:rPr>
        <w:t>asti kybernetické bezpečnosti s </w:t>
      </w:r>
      <w:r w:rsidRPr="00554334">
        <w:rPr>
          <w:rFonts w:asciiTheme="majorBidi" w:hAnsiTheme="majorBidi" w:cstheme="majorBidi"/>
        </w:rPr>
        <w:t>cílem zvýšit jejich uplatnění na trhu práce. V neposlední řadě byl v rámci tohoto sektoru nově vypsán projekt „Podpora a zlepšování životních podmínek obyvatel rurálních oblastí Bosny a Hercegoviny“, jehož cílem je zlepšit socioekonomickou situaci venkovských zemědělských komunit.</w:t>
      </w:r>
    </w:p>
    <w:p w14:paraId="172B9FC1" w14:textId="77777777" w:rsidR="004A49DC" w:rsidRPr="00554334" w:rsidRDefault="004A49DC" w:rsidP="001C7A7B">
      <w:pPr>
        <w:spacing w:line="264" w:lineRule="auto"/>
        <w:ind w:firstLine="709"/>
        <w:jc w:val="both"/>
        <w:rPr>
          <w:rFonts w:asciiTheme="majorBidi" w:hAnsiTheme="majorBidi" w:cstheme="majorBidi"/>
        </w:rPr>
      </w:pPr>
      <w:r w:rsidRPr="00554334">
        <w:rPr>
          <w:rFonts w:asciiTheme="majorBidi" w:hAnsiTheme="majorBidi" w:cstheme="majorBidi"/>
        </w:rPr>
        <w:t xml:space="preserve">Sektor </w:t>
      </w:r>
      <w:r w:rsidRPr="00554334">
        <w:rPr>
          <w:rFonts w:asciiTheme="majorBidi" w:hAnsiTheme="majorBidi" w:cstheme="majorBidi"/>
          <w:b/>
          <w:bCs/>
        </w:rPr>
        <w:t>voda a sanitace</w:t>
      </w:r>
      <w:r w:rsidRPr="00554334">
        <w:rPr>
          <w:rFonts w:asciiTheme="majorBidi" w:hAnsiTheme="majorBidi" w:cstheme="majorBidi"/>
        </w:rPr>
        <w:t xml:space="preserve"> zahrnuje klíčové projekty zaměřené na zlepšení přístupu k pitné vodě, modernizaci vodohospodářské infrastruktury a zajištění efektivnějšího hospodaření s vodními zdroji. Mezi významné projekty v tomto sektoru patří projekt „Rekonstrukce a rozšíření úpravny pitné vody v municipalitě Teslić“, zajišťující modernizaci a zvýšení kapacity úpravny. „Technologická dodávka pro úpravnu pitné vody Stjepan Polje“ spolu s partnerským projektem „Vytvoření generelu vodovodu pro municipalitu Gračanica“ tvoří ucelený plán pro efektivní správu a rozvoj vodovodní infrastruktury. V rámci projektu „Efektivnější zásobování pitnou vodou v municipalitě Sokolac, Bosna a Hercegovina“ byla vypracována studie proveditelnosti, která slouží jako podklad pro budoucí realizaci úpravny pitné vody.  </w:t>
      </w:r>
    </w:p>
    <w:p w14:paraId="7F9C5F83" w14:textId="77777777" w:rsidR="004A49DC" w:rsidRPr="00554334" w:rsidRDefault="004A49DC" w:rsidP="001C7A7B">
      <w:pPr>
        <w:spacing w:line="264" w:lineRule="auto"/>
        <w:ind w:firstLine="709"/>
        <w:jc w:val="both"/>
        <w:rPr>
          <w:rFonts w:asciiTheme="majorBidi" w:hAnsiTheme="majorBidi" w:cstheme="majorBidi"/>
        </w:rPr>
      </w:pPr>
      <w:r w:rsidRPr="00554334">
        <w:rPr>
          <w:rFonts w:asciiTheme="majorBidi" w:hAnsiTheme="majorBidi" w:cstheme="majorBidi"/>
        </w:rPr>
        <w:t xml:space="preserve">Oblast </w:t>
      </w:r>
      <w:r w:rsidRPr="00554334">
        <w:rPr>
          <w:rFonts w:asciiTheme="majorBidi" w:hAnsiTheme="majorBidi" w:cstheme="majorBidi"/>
          <w:b/>
          <w:bCs/>
        </w:rPr>
        <w:t>ekonomický růst a obnovitelné zdroje</w:t>
      </w:r>
      <w:r w:rsidRPr="00554334">
        <w:rPr>
          <w:rFonts w:asciiTheme="majorBidi" w:hAnsiTheme="majorBidi" w:cstheme="majorBidi"/>
        </w:rPr>
        <w:t xml:space="preserve"> se zaměřuje na projekty podporující udržitelný rozvoj a přechod na čisté zdroje energie. Klíčový projekt s názvem „Čistá energie ve veřejných institucích v Banja Luce“ se zaměřuje na zavádění technologií využívajících obnovitelné zdroje ve vybraných školách. Dalším významným projektem je „Sektorová studie v oblasti energetiky v Bosně a Hercegovině“, který svou analýzou regulačního prostředí a složením energetického mixu poskytl doporučení pro přechod na obnovitelné zdroje energie. V neposlední řadě je třeba zmínit projekt „Modernizace otopného systému nemocnice sv. Lukáše v Doboji, Bosna a Hercegovina“. Ten přinesl moderní řešení vytápění, které zvyšuje energetickou účinnost a snižuje ekologickou zátěž nemocnice.</w:t>
      </w:r>
    </w:p>
    <w:p w14:paraId="2D0931D5" w14:textId="77777777" w:rsidR="004A49DC" w:rsidRPr="00554334" w:rsidRDefault="004A49DC" w:rsidP="001C7A7B">
      <w:pPr>
        <w:spacing w:line="264" w:lineRule="auto"/>
        <w:ind w:firstLine="709"/>
        <w:jc w:val="both"/>
        <w:rPr>
          <w:rFonts w:asciiTheme="majorBidi" w:hAnsiTheme="majorBidi" w:cstheme="majorBidi"/>
        </w:rPr>
      </w:pPr>
      <w:r w:rsidRPr="00554334">
        <w:rPr>
          <w:rFonts w:asciiTheme="majorBidi" w:hAnsiTheme="majorBidi" w:cstheme="majorBidi"/>
        </w:rPr>
        <w:tab/>
        <w:t xml:space="preserve">V neposlední řadě byl také v oblasti </w:t>
      </w:r>
      <w:r w:rsidRPr="00554334">
        <w:rPr>
          <w:rFonts w:asciiTheme="majorBidi" w:hAnsiTheme="majorBidi" w:cstheme="majorBidi"/>
          <w:b/>
          <w:bCs/>
        </w:rPr>
        <w:t>zemědělství a lesnictví</w:t>
      </w:r>
      <w:r w:rsidRPr="00554334">
        <w:rPr>
          <w:rFonts w:asciiTheme="majorBidi" w:hAnsiTheme="majorBidi" w:cstheme="majorBidi"/>
        </w:rPr>
        <w:t xml:space="preserve"> realizován projekt „Participativní budování kapacit a zázemí ve vybraných obcích BaH vedoucí ke zlepšování životních podmínek venkovských obyvatel“ zaměřující se na posílení schopností místních komunit prostřednictvím aktivního zapojení obyvatel do rozhodovacích procesů. Cílem je zlepšit životní podmínky ve venkovských oblastech prostřednictvím participativního přístupu, který podporuje udržitelný rozvoj a posiluje místní samosprávu.​</w:t>
      </w:r>
    </w:p>
    <w:p w14:paraId="54C97AFD" w14:textId="77777777" w:rsidR="004A49DC" w:rsidRPr="00554334" w:rsidRDefault="004A49DC" w:rsidP="001C7A7B">
      <w:pPr>
        <w:spacing w:line="264" w:lineRule="auto"/>
        <w:ind w:firstLine="709"/>
        <w:jc w:val="both"/>
        <w:rPr>
          <w:rFonts w:asciiTheme="majorBidi" w:hAnsiTheme="majorBidi" w:cstheme="majorBidi"/>
        </w:rPr>
      </w:pPr>
    </w:p>
    <w:p w14:paraId="5080281B" w14:textId="77777777" w:rsidR="004A49DC" w:rsidRPr="00554334" w:rsidRDefault="004A49DC" w:rsidP="001C7A7B">
      <w:pPr>
        <w:keepNext/>
        <w:keepLines/>
        <w:spacing w:before="80" w:after="40" w:line="264" w:lineRule="auto"/>
        <w:jc w:val="both"/>
        <w:outlineLvl w:val="4"/>
        <w:rPr>
          <w:rFonts w:asciiTheme="majorBidi" w:eastAsia="DengXian Light" w:hAnsiTheme="majorBidi" w:cstheme="majorBidi"/>
          <w:b/>
        </w:rPr>
      </w:pPr>
      <w:r w:rsidRPr="00554334">
        <w:rPr>
          <w:rFonts w:asciiTheme="majorBidi" w:eastAsia="DengXian Light" w:hAnsiTheme="majorBidi" w:cstheme="majorBidi"/>
          <w:b/>
        </w:rPr>
        <w:lastRenderedPageBreak/>
        <w:t>Etiopie</w:t>
      </w:r>
    </w:p>
    <w:p w14:paraId="5F8F78BC" w14:textId="0D50F97C" w:rsidR="004A49DC" w:rsidRPr="00554334" w:rsidRDefault="004A49DC" w:rsidP="001C7A7B">
      <w:pPr>
        <w:keepNext/>
        <w:keepLines/>
        <w:spacing w:line="264" w:lineRule="auto"/>
        <w:jc w:val="both"/>
        <w:rPr>
          <w:rFonts w:asciiTheme="majorBidi" w:eastAsia="Georgia" w:hAnsiTheme="majorBidi" w:cstheme="majorBidi"/>
        </w:rPr>
      </w:pPr>
      <w:r w:rsidRPr="00554334">
        <w:rPr>
          <w:rFonts w:asciiTheme="majorBidi" w:eastAsia="Georgia" w:hAnsiTheme="majorBidi" w:cstheme="majorBidi"/>
        </w:rPr>
        <w:t>Čerpáno v roce 2024: 86,2 mil. Kč z toho 66,4 mil. Kč v rámc</w:t>
      </w:r>
      <w:r w:rsidR="00B85002" w:rsidRPr="00554334">
        <w:rPr>
          <w:rFonts w:asciiTheme="majorBidi" w:eastAsia="Georgia" w:hAnsiTheme="majorBidi" w:cstheme="majorBidi"/>
        </w:rPr>
        <w:t>i bilaterálních projektů, 18,3 </w:t>
      </w:r>
      <w:r w:rsidRPr="00554334">
        <w:rPr>
          <w:rFonts w:asciiTheme="majorBidi" w:eastAsia="Georgia" w:hAnsiTheme="majorBidi" w:cstheme="majorBidi"/>
        </w:rPr>
        <w:t>mil. Kč v rámci rozpočtových opatření z ČRA a 1,4 mil. Kč v rámci podpory trojstranných projektů českých subjektů</w:t>
      </w:r>
      <w:r w:rsidRPr="00554334" w:rsidDel="00200CAB">
        <w:rPr>
          <w:rFonts w:asciiTheme="majorBidi" w:eastAsia="Georgia" w:hAnsiTheme="majorBidi" w:cstheme="majorBidi"/>
        </w:rPr>
        <w:t xml:space="preserve"> </w:t>
      </w:r>
    </w:p>
    <w:p w14:paraId="1E17B7D7" w14:textId="77777777" w:rsidR="004A49DC" w:rsidRPr="00554334" w:rsidRDefault="004A49DC" w:rsidP="001C7A7B">
      <w:pPr>
        <w:keepNext/>
        <w:keepLines/>
        <w:spacing w:line="264" w:lineRule="auto"/>
        <w:jc w:val="both"/>
        <w:rPr>
          <w:rFonts w:asciiTheme="majorBidi" w:eastAsia="Georgia" w:hAnsiTheme="majorBidi" w:cstheme="majorBidi"/>
        </w:rPr>
      </w:pPr>
      <w:r w:rsidRPr="00554334">
        <w:rPr>
          <w:rFonts w:asciiTheme="majorBidi" w:eastAsia="Georgia" w:hAnsiTheme="majorBidi" w:cstheme="majorBidi"/>
        </w:rPr>
        <w:t xml:space="preserve">Počet realizovaných projektů: 13 (12 bilaterálních projektů (z toho 3 RO), 1 trojstranný projekt) </w:t>
      </w:r>
    </w:p>
    <w:p w14:paraId="0EF46A08" w14:textId="77777777" w:rsidR="004A49DC" w:rsidRPr="00554334" w:rsidRDefault="004A49DC" w:rsidP="001C7A7B">
      <w:pPr>
        <w:keepNext/>
        <w:keepLines/>
        <w:spacing w:line="264" w:lineRule="auto"/>
        <w:ind w:firstLine="709"/>
        <w:jc w:val="both"/>
        <w:rPr>
          <w:rFonts w:asciiTheme="majorBidi" w:eastAsia="Georgia" w:hAnsiTheme="majorBidi" w:cstheme="majorBidi"/>
        </w:rPr>
      </w:pPr>
    </w:p>
    <w:p w14:paraId="51946DDA" w14:textId="77777777" w:rsidR="004A49DC" w:rsidRPr="00554334" w:rsidRDefault="004A49DC" w:rsidP="001C7A7B">
      <w:pPr>
        <w:keepNext/>
        <w:keepLines/>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roce 2024 bylo v Etiopii realizováno celkem 13 pokračujících projektů ZRS, a to v sektorech </w:t>
      </w:r>
      <w:r w:rsidRPr="00554334">
        <w:rPr>
          <w:rFonts w:asciiTheme="majorBidi" w:eastAsia="Georgia" w:hAnsiTheme="majorBidi" w:cstheme="majorBidi"/>
          <w:b/>
          <w:bCs/>
        </w:rPr>
        <w:t>zemědělství a lesnictví</w:t>
      </w:r>
      <w:r w:rsidRPr="00554334">
        <w:rPr>
          <w:rFonts w:asciiTheme="majorBidi" w:eastAsia="Georgia" w:hAnsiTheme="majorBidi" w:cstheme="majorBidi"/>
        </w:rPr>
        <w:t xml:space="preserve">, </w:t>
      </w:r>
      <w:r w:rsidRPr="00554334">
        <w:rPr>
          <w:rFonts w:asciiTheme="majorBidi" w:eastAsia="Georgia" w:hAnsiTheme="majorBidi" w:cstheme="majorBidi"/>
          <w:b/>
          <w:bCs/>
        </w:rPr>
        <w:t>voda a sanitace</w:t>
      </w:r>
      <w:r w:rsidRPr="00554334">
        <w:rPr>
          <w:rFonts w:asciiTheme="majorBidi" w:eastAsia="Georgia" w:hAnsiTheme="majorBidi" w:cstheme="majorBidi"/>
        </w:rPr>
        <w:t xml:space="preserve"> a </w:t>
      </w:r>
      <w:r w:rsidRPr="00554334">
        <w:rPr>
          <w:rFonts w:asciiTheme="majorBidi" w:eastAsia="Georgia" w:hAnsiTheme="majorBidi" w:cstheme="majorBidi"/>
          <w:b/>
          <w:bCs/>
        </w:rPr>
        <w:t>udržitelné nakládání s přírodními zdroji</w:t>
      </w:r>
      <w:r w:rsidRPr="00554334">
        <w:rPr>
          <w:rFonts w:asciiTheme="majorBidi" w:eastAsia="Georgia" w:hAnsiTheme="majorBidi" w:cstheme="majorBidi"/>
        </w:rPr>
        <w:t>. Jako donor se ČRA v roce 2024 nadále soustředila na oblasti Sidama a  Oromie, tedy venkovské regiony převážně na jihu země. Pokračující aktivity se zaměřovaly především na zajištění přístupu obyvatel k pitné vodě, posilování ochrany půdy a vodních zdrojů a zvýšení kapacit místních úřadů, institucí i jednotlivých farmářů.</w:t>
      </w:r>
    </w:p>
    <w:p w14:paraId="46471FD5" w14:textId="53ABAD2D"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rámci sektoru </w:t>
      </w:r>
      <w:r w:rsidRPr="00554334">
        <w:rPr>
          <w:rFonts w:asciiTheme="majorBidi" w:eastAsia="Georgia" w:hAnsiTheme="majorBidi" w:cstheme="majorBidi"/>
          <w:b/>
          <w:bCs/>
        </w:rPr>
        <w:t>zemědělství a lesnictví</w:t>
      </w:r>
      <w:r w:rsidRPr="00554334">
        <w:rPr>
          <w:rFonts w:asciiTheme="majorBidi" w:eastAsia="Georgia" w:hAnsiTheme="majorBidi" w:cstheme="majorBidi"/>
        </w:rPr>
        <w:t xml:space="preserve"> pokračoval</w:t>
      </w:r>
      <w:r w:rsidR="00B85002" w:rsidRPr="00554334">
        <w:rPr>
          <w:rFonts w:asciiTheme="majorBidi" w:eastAsia="Georgia" w:hAnsiTheme="majorBidi" w:cstheme="majorBidi"/>
        </w:rPr>
        <w:t>a úspěšná spolupráce mezi ČRA a </w:t>
      </w:r>
      <w:r w:rsidRPr="00554334">
        <w:rPr>
          <w:rFonts w:asciiTheme="majorBidi" w:eastAsia="Georgia" w:hAnsiTheme="majorBidi" w:cstheme="majorBidi"/>
        </w:rPr>
        <w:t xml:space="preserve">Českou geologickou službou na třech tematicky propojených projektech zaměřených na geologické a hydrogeologické mapování Etiopie. Dva z těchto projektů byly úspěšně dokončeny, zatímco třetí pokračuje do roku 2026. Projekt „Kompilace geologické a hydrogeologické mapy Etiopie v měřítku 1:1 000 000“, jehož cílem bylo vytvořit jednotné a komplexní informace o geologickém prostředí a zdrojích podzemních vod na celostátní úrovni, je prvním úspěšně dokončeným projektem. Druhý dokončený projekt „Zajištění udržitelného hospodaření v krajině ve vybraných oblastech Etiopie na základě geovědního mapování“ se zaměřil na problematiku nevhodného nakládání se zemědělskou půdou, nadměrného spásání a odlesňování. Tyto faktory vedou k rozsáhlé degradaci půdy, erozi a sesuvům. </w:t>
      </w:r>
    </w:p>
    <w:p w14:paraId="319D0DD7"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V roce 2024 pokračovala v tomto sektoru</w:t>
      </w:r>
      <w:r w:rsidRPr="00554334">
        <w:rPr>
          <w:rFonts w:asciiTheme="majorBidi" w:eastAsia="Georgia" w:hAnsiTheme="majorBidi" w:cstheme="majorBidi"/>
          <w:b/>
          <w:bCs/>
        </w:rPr>
        <w:t xml:space="preserve"> </w:t>
      </w:r>
      <w:r w:rsidRPr="00554334">
        <w:rPr>
          <w:rFonts w:asciiTheme="majorBidi" w:eastAsia="Georgia" w:hAnsiTheme="majorBidi" w:cstheme="majorBidi"/>
        </w:rPr>
        <w:t>také realizace zemědělských projektů ve spolupráci s organizací Člověk v tísni, o. p. s., z nichž jedním byl projekt „Adaptace zemědělských systémů na změny klimatu na rozvodí Reqame v oblastech Halaba a Silte“. Cílem projektu je zajištění environmentální stability a zvýšení klimatické odolnosti komunit ohrožených nedostatkem potravin a environmentální migrací. Končící projekt „Participativní rozvoj produktivní krajiny v regionu Sidama, Etiopie, II.“ se zaměřuje na posílení systému komunitního hospodaření s přírodními zdroji, zefektivnění zemědělských postupů místních farmářů, posílení odolnosti komunit, snížení degradace krajiny a zlepšení produktivity přírodních zdrojů.</w:t>
      </w:r>
    </w:p>
    <w:p w14:paraId="7128B450" w14:textId="1BEDBDDB"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Udržitelné zemědělství, rozvoj poradenské činnosti, obživa, management přírodních zdrojů (lesnictví, půda, voda) a ekologická stabilita oblasti jsou hlavními tématy pokračujícího projektu „Adaptace zemědělských systémů na změny klimatu na rozvodí hory Hambaricho v oblasti Kembata Tembaro“. ČRA ve spolupráci s Mendelovou univerzitou v</w:t>
      </w:r>
      <w:r w:rsidR="008157C0" w:rsidRPr="00554334">
        <w:rPr>
          <w:rFonts w:asciiTheme="majorBidi" w:eastAsia="Georgia" w:hAnsiTheme="majorBidi" w:cstheme="majorBidi"/>
        </w:rPr>
        <w:t> </w:t>
      </w:r>
      <w:r w:rsidRPr="00554334">
        <w:rPr>
          <w:rFonts w:asciiTheme="majorBidi" w:eastAsia="Georgia" w:hAnsiTheme="majorBidi" w:cstheme="majorBidi"/>
        </w:rPr>
        <w:t>Brně pokračovala v projektu „Rehabilitace mokřadů Cheleleka a lesů v oblasti Wondo Genet“, jehož cílem je zastavit pokračující degradaci mokřadu Cheleleka, obnovit jeho funkčnost a zlepšit okolí, které má vysoký produkční i rekreační potenciál.</w:t>
      </w:r>
    </w:p>
    <w:p w14:paraId="419A5EA4" w14:textId="77777777" w:rsidR="004A49DC" w:rsidRPr="00554334" w:rsidRDefault="004A49DC" w:rsidP="001C7A7B">
      <w:pPr>
        <w:spacing w:line="264" w:lineRule="auto"/>
        <w:ind w:firstLine="709"/>
        <w:jc w:val="both"/>
        <w:rPr>
          <w:rFonts w:asciiTheme="majorBidi" w:hAnsiTheme="majorBidi" w:cstheme="majorBidi"/>
          <w:lang w:eastAsia="zh-CN"/>
        </w:rPr>
      </w:pPr>
      <w:r w:rsidRPr="00554334">
        <w:rPr>
          <w:rFonts w:asciiTheme="majorBidi" w:eastAsia="Georgia" w:hAnsiTheme="majorBidi" w:cstheme="majorBidi"/>
        </w:rPr>
        <w:t>Dalším projektem v sektoru je „</w:t>
      </w:r>
      <w:r w:rsidRPr="00554334">
        <w:rPr>
          <w:rFonts w:asciiTheme="majorBidi" w:hAnsiTheme="majorBidi" w:cstheme="majorBidi"/>
          <w:lang w:eastAsia="zh-CN"/>
        </w:rPr>
        <w:t xml:space="preserve">Zlepšení kvality života zajištěním dostupnosti a udržitelným nakládáním s vodními zdroji v regionu Sidama a zónách Gamo a Gofa“. Cílem projektu je podpořit malé zemědělské komunity v jižní Etiopii prostřednictvím vývoje nástroje pro vizualizaci, plánování a hodnocení podzemních vodních zdrojů. Tento nástroj má zlepšit rozhodování v oblasti mělkého zavlažování, které může výrazně zvýšit výnosy plodin a zajistit jejich stabilitu. </w:t>
      </w:r>
    </w:p>
    <w:p w14:paraId="5A2DA3E6" w14:textId="77777777" w:rsidR="004A49DC" w:rsidRPr="00554334" w:rsidRDefault="004A49DC" w:rsidP="001C7A7B">
      <w:pPr>
        <w:spacing w:line="264" w:lineRule="auto"/>
        <w:ind w:firstLine="709"/>
        <w:jc w:val="both"/>
        <w:rPr>
          <w:rFonts w:asciiTheme="majorBidi" w:hAnsiTheme="majorBidi" w:cstheme="majorBidi"/>
        </w:rPr>
      </w:pPr>
      <w:r w:rsidRPr="00554334">
        <w:rPr>
          <w:rFonts w:asciiTheme="majorBidi" w:eastAsia="Georgia" w:hAnsiTheme="majorBidi" w:cstheme="majorBidi"/>
        </w:rPr>
        <w:lastRenderedPageBreak/>
        <w:t xml:space="preserve">V sektoru </w:t>
      </w:r>
      <w:r w:rsidRPr="00554334">
        <w:rPr>
          <w:rFonts w:asciiTheme="majorBidi" w:eastAsia="Georgia" w:hAnsiTheme="majorBidi" w:cstheme="majorBidi"/>
          <w:b/>
          <w:bCs/>
        </w:rPr>
        <w:t>voda a sanitace</w:t>
      </w:r>
      <w:r w:rsidRPr="00554334">
        <w:rPr>
          <w:rFonts w:asciiTheme="majorBidi" w:eastAsia="Georgia" w:hAnsiTheme="majorBidi" w:cstheme="majorBidi"/>
        </w:rPr>
        <w:t xml:space="preserve"> se finalizuje rozsáhlý projekt „Zlepšení kvality života obyvatel zóny Sidama cestou zajištění dostupnosti a udržitelného hospodaření s vodními zdroji“. Realizátorem projektu je konsorcium Sidama Water Supply VI, které tvoří společnosti Ircon, s. r. o., a organizace Člověk v tísni, o. p. s. Cílem je zajistit univerzální a rovný přístup k nezávadné a cenově dostupné pitné vodě. Dokončení projektu je plánováno na 28. února 2025. Na tento projekt naváže výstavba systému zásobování pitnou vodou v lokalitě Awaye Keraro, pro kterou byla v roce 2024 provedena studie proveditelnosti.</w:t>
      </w:r>
    </w:p>
    <w:p w14:paraId="23F5A518"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Projekt „Budování kapacit vybraných městských vodárenských podniků a vodních úřadů v poskytování služeb WASH v regionech SNNP, Sidama a Oromia“ je dalším příkladem spolupráce ČRA s organizací Člověk v tísni, o. p. s. Přímými cílovými skupinami projektu jsou zaměstnanci devíti vybraných městských továrenských podniků, členové zákaznického fóra a členové vodohospodářského výboru. Konečnými příjemci projektu se stanou obyvatelé těchto devíti měst, kteří získají prospěch z nepřetržitých dodávek kvalitní vody za přijatelnou cenu zajišťovaných odpovědnými a transparentními institucemi.</w:t>
      </w:r>
    </w:p>
    <w:p w14:paraId="21CB4AD5"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Hlavním předmětem dalšího projektu „Zavedení udržitelného systému zásobování pitnou vodou wored Bura, Dale a Bona Zuriya“ </w:t>
      </w:r>
      <w:r w:rsidRPr="00554334">
        <w:rPr>
          <w:rFonts w:asciiTheme="majorBidi" w:hAnsiTheme="majorBidi" w:cstheme="majorBidi"/>
          <w:lang w:eastAsia="zh-CN"/>
        </w:rPr>
        <w:t>jsou stavební práce zahrnující výstavbu vodovodních systémů a služby zahrnující odborná školení, poradenství, budování kapacit (školení) a analýzy trhu s cílem zajistit udržitelné a samostatné řízení systémů zásobování vodou v místě realizace.</w:t>
      </w:r>
    </w:p>
    <w:p w14:paraId="0F02A14D"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„Podpora pracovních příležitostí v sektoru WASH pomocí kvalitního technického a odborného vzdělávání ve vybraných zónách SNNPR a Oromie“ představuje další projekt v sektoru. Cílem projektu je přispět k udržitelnosti vodohospodářského systému ve čtyřech venkovských oblastech regionů SNNPR a Oromie v Etiopii a zlepšit pracovní příležitosti mladých lidí v elektromechanickém odvětví prostřednictvím kvalitního technického a odborného vzdělávání.</w:t>
      </w:r>
      <w:r w:rsidRPr="00554334">
        <w:rPr>
          <w:rFonts w:asciiTheme="majorBidi" w:hAnsiTheme="majorBidi" w:cstheme="majorBidi"/>
        </w:rPr>
        <w:t xml:space="preserve"> </w:t>
      </w:r>
      <w:r w:rsidRPr="00554334">
        <w:rPr>
          <w:rFonts w:asciiTheme="majorBidi" w:eastAsia="Georgia" w:hAnsiTheme="majorBidi" w:cstheme="majorBidi"/>
        </w:rPr>
        <w:t>Projekt „Zlepšení zdraví, hygieny a sanitace ve woredě Hawassa Zuriya, regionu Sidama, Etiopie“ se zaměřuje na zlepšení hygienických a stravovacích návyků všech členů domácností a pracovníků zdravotnických zařízení a škol ve 23 cílových komunitách.</w:t>
      </w:r>
    </w:p>
    <w:p w14:paraId="72F2CB3B" w14:textId="0E5549CD" w:rsidR="004A49DC" w:rsidRPr="00554334" w:rsidRDefault="004A49DC" w:rsidP="001C7A7B">
      <w:pPr>
        <w:spacing w:line="264" w:lineRule="auto"/>
        <w:ind w:firstLine="709"/>
        <w:jc w:val="both"/>
        <w:rPr>
          <w:rFonts w:asciiTheme="majorBidi" w:hAnsiTheme="majorBidi" w:cstheme="majorBidi"/>
          <w:lang w:eastAsia="zh-CN"/>
        </w:rPr>
      </w:pPr>
      <w:r w:rsidRPr="00554334">
        <w:rPr>
          <w:rFonts w:asciiTheme="majorBidi" w:eastAsia="Georgia" w:hAnsiTheme="majorBidi" w:cstheme="majorBidi"/>
        </w:rPr>
        <w:t>Dalšími projekty v oblasti vody a sanitace jsou „Technický dozor na stavbě při realizaci projektu zásobování pitnou vodou v oblasti Bura, Dale a Bona Zuriya, Sidama“ a</w:t>
      </w:r>
      <w:r w:rsidR="008157C0" w:rsidRPr="00554334">
        <w:rPr>
          <w:rFonts w:asciiTheme="majorBidi" w:eastAsia="Georgia" w:hAnsiTheme="majorBidi" w:cstheme="majorBidi"/>
        </w:rPr>
        <w:t> </w:t>
      </w:r>
      <w:r w:rsidRPr="00554334">
        <w:rPr>
          <w:rFonts w:asciiTheme="majorBidi" w:eastAsia="Georgia" w:hAnsiTheme="majorBidi" w:cstheme="majorBidi"/>
        </w:rPr>
        <w:t>„</w:t>
      </w:r>
      <w:r w:rsidRPr="00554334">
        <w:rPr>
          <w:rFonts w:asciiTheme="majorBidi" w:hAnsiTheme="majorBidi" w:cstheme="majorBidi"/>
          <w:lang w:eastAsia="zh-CN"/>
        </w:rPr>
        <w:t>Budování kapacit vybraných městských vodárenských podniků v regionech SNNP a</w:t>
      </w:r>
      <w:r w:rsidR="008157C0" w:rsidRPr="00554334">
        <w:rPr>
          <w:rFonts w:asciiTheme="majorBidi" w:hAnsiTheme="majorBidi" w:cstheme="majorBidi"/>
          <w:lang w:eastAsia="zh-CN"/>
        </w:rPr>
        <w:t> </w:t>
      </w:r>
      <w:r w:rsidRPr="00554334">
        <w:rPr>
          <w:rFonts w:asciiTheme="majorBidi" w:hAnsiTheme="majorBidi" w:cstheme="majorBidi"/>
          <w:lang w:eastAsia="zh-CN"/>
        </w:rPr>
        <w:t>Oromie“ jehož cílem projektu je zajistit rovný a bezpečný přístup k cenově dostupné pitné vodě pro obyvatele devíti měst prostřednictvím zlepšení správy městských vodárenských systémů. Projekt se zaměřuje na posílení kapacit zaměstnanců vodáren, podporu transparentnosti a odpovědnosti, a zapojení komunity skrze zákaznická fóra. Udržitelnost dosažených výsledků má být zajištěna pokračujícím monitorováním a podporou dalších zlepšení.</w:t>
      </w:r>
    </w:p>
    <w:p w14:paraId="676B827A" w14:textId="77777777" w:rsidR="004A49DC" w:rsidRPr="00554334" w:rsidRDefault="004A49DC" w:rsidP="001C7A7B">
      <w:pPr>
        <w:spacing w:line="264" w:lineRule="auto"/>
        <w:ind w:firstLine="709"/>
        <w:jc w:val="both"/>
        <w:rPr>
          <w:rFonts w:asciiTheme="majorBidi" w:hAnsiTheme="majorBidi" w:cstheme="majorBidi"/>
        </w:rPr>
      </w:pPr>
      <w:r w:rsidRPr="00554334">
        <w:rPr>
          <w:rFonts w:asciiTheme="majorBidi" w:hAnsiTheme="majorBidi" w:cstheme="majorBidi"/>
        </w:rPr>
        <w:t xml:space="preserve">V sektoru </w:t>
      </w:r>
      <w:r w:rsidRPr="00554334">
        <w:rPr>
          <w:rFonts w:asciiTheme="majorBidi" w:hAnsiTheme="majorBidi" w:cstheme="majorBidi"/>
          <w:b/>
          <w:bCs/>
        </w:rPr>
        <w:t xml:space="preserve">ostatní sociální infrastruktury a služeb </w:t>
      </w:r>
      <w:r w:rsidRPr="00554334">
        <w:rPr>
          <w:rFonts w:asciiTheme="majorBidi" w:hAnsiTheme="majorBidi" w:cstheme="majorBidi"/>
        </w:rPr>
        <w:t>byl realizován projekt „</w:t>
      </w:r>
      <w:r w:rsidRPr="00554334">
        <w:rPr>
          <w:rFonts w:asciiTheme="majorBidi" w:hAnsiTheme="majorBidi" w:cstheme="majorBidi"/>
          <w:lang w:eastAsia="zh-CN"/>
        </w:rPr>
        <w:t xml:space="preserve">Poskytnutí víceúčelové finanční pomoci k uspokojení základních potřeb v Etiopii“ zaměřující se především na </w:t>
      </w:r>
      <w:r w:rsidRPr="00554334">
        <w:rPr>
          <w:rFonts w:asciiTheme="majorBidi" w:hAnsiTheme="majorBidi" w:cstheme="majorBidi"/>
        </w:rPr>
        <w:t>podporu zranitelných skupin v krizových oblastech Etiopie prostřednictvím přímé finanční pomoci, která umožní pokrýt základní životní potřeby podle jejich vlastních priorit.</w:t>
      </w:r>
    </w:p>
    <w:p w14:paraId="22797FD4" w14:textId="77777777" w:rsidR="004A49DC" w:rsidRPr="00554334" w:rsidRDefault="004A49DC" w:rsidP="001C7A7B">
      <w:pPr>
        <w:spacing w:line="264" w:lineRule="auto"/>
        <w:ind w:firstLine="709"/>
        <w:jc w:val="both"/>
        <w:rPr>
          <w:rFonts w:asciiTheme="majorBidi" w:hAnsiTheme="majorBidi" w:cstheme="majorBidi"/>
        </w:rPr>
      </w:pPr>
    </w:p>
    <w:p w14:paraId="2A29A502" w14:textId="77777777" w:rsidR="004A49DC" w:rsidRPr="00554334" w:rsidRDefault="004A49DC" w:rsidP="001C7A7B">
      <w:pPr>
        <w:keepNext/>
        <w:keepLines/>
        <w:spacing w:before="80" w:after="40" w:line="264" w:lineRule="auto"/>
        <w:jc w:val="both"/>
        <w:outlineLvl w:val="4"/>
        <w:rPr>
          <w:rFonts w:asciiTheme="majorBidi" w:eastAsia="DengXian Light" w:hAnsiTheme="majorBidi" w:cstheme="majorBidi"/>
          <w:b/>
        </w:rPr>
      </w:pPr>
      <w:r w:rsidRPr="00554334">
        <w:rPr>
          <w:rFonts w:asciiTheme="majorBidi" w:eastAsia="DengXian Light" w:hAnsiTheme="majorBidi" w:cstheme="majorBidi"/>
          <w:b/>
        </w:rPr>
        <w:lastRenderedPageBreak/>
        <w:t xml:space="preserve">Gruzie </w:t>
      </w:r>
    </w:p>
    <w:p w14:paraId="1AAC1206" w14:textId="77777777" w:rsidR="004A49DC" w:rsidRPr="00554334" w:rsidRDefault="004A49DC" w:rsidP="001C7A7B">
      <w:pPr>
        <w:spacing w:line="264" w:lineRule="auto"/>
        <w:jc w:val="both"/>
        <w:rPr>
          <w:rFonts w:asciiTheme="majorBidi" w:eastAsia="Georgia" w:hAnsiTheme="majorBidi" w:cstheme="majorBidi"/>
        </w:rPr>
      </w:pPr>
      <w:r w:rsidRPr="00554334">
        <w:rPr>
          <w:rFonts w:asciiTheme="majorBidi" w:eastAsia="Georgia" w:hAnsiTheme="majorBidi" w:cstheme="majorBidi"/>
        </w:rPr>
        <w:t xml:space="preserve">Čerpáno v roce 2024: 74,6 mil. Kč z toho 42,8 mil. Kč v rámci bilaterálních projektů, 5,1 mil. Kč v rámci DS se spoluúčastí ČRA, 14,4. mil Kč v rámci DS z prostředků EK, 11 mil. Kč v rámci rozpočtového opatření z ČRA a 1,3 mil. Kč z trojstranných projektů </w:t>
      </w:r>
    </w:p>
    <w:p w14:paraId="563C30EB" w14:textId="77777777" w:rsidR="004A49DC" w:rsidRPr="00554334" w:rsidRDefault="004A49DC" w:rsidP="001C7A7B">
      <w:pPr>
        <w:spacing w:line="264" w:lineRule="auto"/>
        <w:jc w:val="both"/>
        <w:rPr>
          <w:rFonts w:asciiTheme="majorBidi" w:eastAsia="Georgia" w:hAnsiTheme="majorBidi" w:cstheme="majorBidi"/>
        </w:rPr>
      </w:pPr>
      <w:r w:rsidRPr="00554334">
        <w:rPr>
          <w:rFonts w:asciiTheme="majorBidi" w:eastAsia="Georgia" w:hAnsiTheme="majorBidi" w:cstheme="majorBidi"/>
        </w:rPr>
        <w:t xml:space="preserve">Počet realizovaných projektů: 19 (14 bilaterálních projektů (z toho 4 RO), 3 projekty v rámci DS z prostředků EK, 1 trojstranný projekt a </w:t>
      </w:r>
      <w:r w:rsidRPr="00554334">
        <w:rPr>
          <w:rFonts w:asciiTheme="majorBidi" w:hAnsiTheme="majorBidi" w:cstheme="majorBidi"/>
        </w:rPr>
        <w:t>1 projekt v rámci DS se spoluúčastí ČRA</w:t>
      </w:r>
      <w:r w:rsidRPr="00554334">
        <w:rPr>
          <w:rFonts w:asciiTheme="majorBidi" w:eastAsia="Georgia" w:hAnsiTheme="majorBidi" w:cstheme="majorBidi"/>
        </w:rPr>
        <w:t>)</w:t>
      </w:r>
    </w:p>
    <w:p w14:paraId="5E2D7ED0" w14:textId="77777777" w:rsidR="004A49DC" w:rsidRPr="00554334" w:rsidRDefault="004A49DC" w:rsidP="001C7A7B">
      <w:pPr>
        <w:spacing w:line="264" w:lineRule="auto"/>
        <w:ind w:firstLine="709"/>
        <w:jc w:val="both"/>
        <w:rPr>
          <w:rFonts w:asciiTheme="majorBidi" w:eastAsia="Georgia" w:hAnsiTheme="majorBidi" w:cstheme="majorBidi"/>
        </w:rPr>
      </w:pPr>
    </w:p>
    <w:p w14:paraId="1266CA6E"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Rozvojová pomoc v Gruzii se v roce 2024 soustředila z větší části na probíhající projekty ve třech oblastech: </w:t>
      </w:r>
      <w:r w:rsidRPr="00554334">
        <w:rPr>
          <w:rFonts w:asciiTheme="majorBidi" w:eastAsia="Georgia" w:hAnsiTheme="majorBidi" w:cstheme="majorBidi"/>
          <w:b/>
          <w:bCs/>
        </w:rPr>
        <w:t xml:space="preserve">sociální inkluze a zdravotnictví </w:t>
      </w:r>
      <w:r w:rsidRPr="00554334">
        <w:rPr>
          <w:rFonts w:asciiTheme="majorBidi" w:eastAsia="Georgia" w:hAnsiTheme="majorBidi" w:cstheme="majorBidi"/>
        </w:rPr>
        <w:t>(zahrnující sektor</w:t>
      </w:r>
      <w:r w:rsidRPr="00554334">
        <w:rPr>
          <w:rFonts w:asciiTheme="majorBidi" w:eastAsia="Georgia" w:hAnsiTheme="majorBidi" w:cstheme="majorBidi"/>
          <w:b/>
          <w:bCs/>
        </w:rPr>
        <w:t xml:space="preserve"> zdravotnictví</w:t>
      </w:r>
      <w:r w:rsidRPr="00554334">
        <w:rPr>
          <w:rFonts w:asciiTheme="majorBidi" w:eastAsia="Georgia" w:hAnsiTheme="majorBidi" w:cstheme="majorBidi"/>
        </w:rPr>
        <w:t xml:space="preserve">), </w:t>
      </w:r>
      <w:r w:rsidRPr="00554334">
        <w:rPr>
          <w:rFonts w:asciiTheme="majorBidi" w:eastAsia="Georgia" w:hAnsiTheme="majorBidi" w:cstheme="majorBidi"/>
          <w:b/>
          <w:bCs/>
        </w:rPr>
        <w:t>životní prostředí a rozvoj venkova</w:t>
      </w:r>
      <w:r w:rsidRPr="00554334">
        <w:rPr>
          <w:rFonts w:asciiTheme="majorBidi" w:eastAsia="Georgia" w:hAnsiTheme="majorBidi" w:cstheme="majorBidi"/>
        </w:rPr>
        <w:t xml:space="preserve"> (zahrnující sektor</w:t>
      </w:r>
      <w:r w:rsidRPr="00554334">
        <w:rPr>
          <w:rFonts w:asciiTheme="majorBidi" w:eastAsia="Georgia" w:hAnsiTheme="majorBidi" w:cstheme="majorBidi"/>
          <w:b/>
          <w:bCs/>
        </w:rPr>
        <w:t xml:space="preserve"> zemědělství a lesnictví</w:t>
      </w:r>
      <w:r w:rsidRPr="00554334">
        <w:rPr>
          <w:rFonts w:asciiTheme="majorBidi" w:eastAsia="Georgia" w:hAnsiTheme="majorBidi" w:cstheme="majorBidi"/>
        </w:rPr>
        <w:t>) a </w:t>
      </w:r>
      <w:r w:rsidRPr="00554334">
        <w:rPr>
          <w:rFonts w:asciiTheme="majorBidi" w:eastAsia="Georgia" w:hAnsiTheme="majorBidi" w:cstheme="majorBidi"/>
          <w:b/>
          <w:bCs/>
        </w:rPr>
        <w:t xml:space="preserve">podpora veřejné správy a občanské společnosti </w:t>
      </w:r>
      <w:r w:rsidRPr="00554334">
        <w:rPr>
          <w:rFonts w:asciiTheme="majorBidi" w:eastAsia="Georgia" w:hAnsiTheme="majorBidi" w:cstheme="majorBidi"/>
        </w:rPr>
        <w:t>(zahrnující</w:t>
      </w:r>
      <w:r w:rsidRPr="00554334">
        <w:rPr>
          <w:rFonts w:asciiTheme="majorBidi" w:eastAsia="Georgia" w:hAnsiTheme="majorBidi" w:cstheme="majorBidi"/>
          <w:b/>
          <w:bCs/>
        </w:rPr>
        <w:t xml:space="preserve"> </w:t>
      </w:r>
      <w:r w:rsidRPr="00554334">
        <w:rPr>
          <w:rFonts w:asciiTheme="majorBidi" w:eastAsia="Georgia" w:hAnsiTheme="majorBidi" w:cstheme="majorBidi"/>
        </w:rPr>
        <w:t xml:space="preserve">sektor </w:t>
      </w:r>
      <w:r w:rsidRPr="00554334">
        <w:rPr>
          <w:rFonts w:asciiTheme="majorBidi" w:eastAsia="Georgia" w:hAnsiTheme="majorBidi" w:cstheme="majorBidi"/>
          <w:b/>
          <w:bCs/>
        </w:rPr>
        <w:t>veřejná správa a občanská společnost</w:t>
      </w:r>
      <w:r w:rsidRPr="00554334">
        <w:rPr>
          <w:rFonts w:asciiTheme="majorBidi" w:eastAsia="Georgia" w:hAnsiTheme="majorBidi" w:cstheme="majorBidi"/>
        </w:rPr>
        <w:t xml:space="preserve">). </w:t>
      </w:r>
    </w:p>
    <w:p w14:paraId="0C70A1C6"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V oblasti</w:t>
      </w:r>
      <w:r w:rsidRPr="00554334">
        <w:rPr>
          <w:rFonts w:asciiTheme="majorBidi" w:eastAsia="Georgia" w:hAnsiTheme="majorBidi" w:cstheme="majorBidi"/>
          <w:b/>
          <w:bCs/>
        </w:rPr>
        <w:t xml:space="preserve"> sociální inkluze a zdravotnictví </w:t>
      </w:r>
      <w:r w:rsidRPr="00554334">
        <w:rPr>
          <w:rFonts w:asciiTheme="majorBidi" w:eastAsia="Georgia" w:hAnsiTheme="majorBidi" w:cstheme="majorBidi"/>
        </w:rPr>
        <w:t>vnímá ČRA jako prioritní oblast zlepšení zdravotní péče v oblasti onkologie. Cílem nového projektu „Prevence rakoviny a zlepšení péče v Gruzii“,</w:t>
      </w:r>
      <w:r w:rsidRPr="00554334">
        <w:rPr>
          <w:rFonts w:asciiTheme="majorBidi" w:eastAsia="Georgia" w:hAnsiTheme="majorBidi" w:cstheme="majorBidi"/>
          <w:i/>
          <w:iCs/>
        </w:rPr>
        <w:t xml:space="preserve"> </w:t>
      </w:r>
      <w:r w:rsidRPr="00554334">
        <w:rPr>
          <w:rFonts w:asciiTheme="majorBidi" w:eastAsia="Georgia" w:hAnsiTheme="majorBidi" w:cstheme="majorBidi"/>
        </w:rPr>
        <w:t xml:space="preserve">který navazuje na předchozí evaluace, je zlepšit kvalitu a pokrytí screeningu rakoviny, zvýšit povědomí o včasném odhalení a podpořit léčbu tohoto onemocnění u dětí. V oblasti </w:t>
      </w:r>
      <w:r w:rsidRPr="00554334">
        <w:rPr>
          <w:rFonts w:asciiTheme="majorBidi" w:eastAsia="Georgia" w:hAnsiTheme="majorBidi" w:cstheme="majorBidi"/>
          <w:b/>
          <w:bCs/>
        </w:rPr>
        <w:t>sociální inkluze</w:t>
      </w:r>
      <w:r w:rsidRPr="00554334">
        <w:rPr>
          <w:rFonts w:asciiTheme="majorBidi" w:eastAsia="Georgia" w:hAnsiTheme="majorBidi" w:cstheme="majorBidi"/>
        </w:rPr>
        <w:t xml:space="preserve"> zůstává prvořadým úkolem zlepšení dostupnosti předškolního vzdělávání pro děti se speciálními potřebami. Tomuto cíli byly přizpůsobeny aktivity projektu „Zlepšení služeb rané péče a inkluzivního vzdělávání pro děti se speciálními vzdělávacími potřebami v Gruzii“</w:t>
      </w:r>
      <w:r w:rsidRPr="00554334">
        <w:rPr>
          <w:rFonts w:asciiTheme="majorBidi" w:eastAsia="Georgia" w:hAnsiTheme="majorBidi" w:cstheme="majorBidi"/>
          <w:i/>
          <w:iCs/>
        </w:rPr>
        <w:t xml:space="preserve">. </w:t>
      </w:r>
      <w:r w:rsidRPr="00554334">
        <w:rPr>
          <w:rFonts w:asciiTheme="majorBidi" w:eastAsia="Georgia" w:hAnsiTheme="majorBidi" w:cstheme="majorBidi"/>
        </w:rPr>
        <w:t>Jednalo se o vyškolování asistentů do mateřských škol a vybudování diagnostických a intervenčních center pro děti se speciálními potřebami. Další sociálně orientovaný projekt „Podpora rozvoje práce s mládeží v municipalitě Dusheti“</w:t>
      </w:r>
      <w:r w:rsidRPr="00554334">
        <w:rPr>
          <w:rFonts w:asciiTheme="majorBidi" w:eastAsia="Georgia" w:hAnsiTheme="majorBidi" w:cstheme="majorBidi"/>
          <w:i/>
          <w:iCs/>
        </w:rPr>
        <w:t xml:space="preserve"> </w:t>
      </w:r>
      <w:r w:rsidRPr="00554334">
        <w:rPr>
          <w:rFonts w:asciiTheme="majorBidi" w:eastAsia="Georgia" w:hAnsiTheme="majorBidi" w:cstheme="majorBidi"/>
        </w:rPr>
        <w:t xml:space="preserve">přispívá k lepšímu uplatnění mládeže na trhu práce v regionu a posílení aktivního občanství. </w:t>
      </w:r>
    </w:p>
    <w:p w14:paraId="501C99FA" w14:textId="5836F1D1" w:rsidR="004A49DC" w:rsidRPr="00554334" w:rsidRDefault="004A49DC" w:rsidP="001C7A7B">
      <w:pPr>
        <w:spacing w:line="264" w:lineRule="auto"/>
        <w:ind w:firstLine="709"/>
        <w:jc w:val="both"/>
        <w:rPr>
          <w:rFonts w:asciiTheme="majorBidi" w:hAnsiTheme="majorBidi" w:cstheme="majorBidi"/>
          <w:lang w:eastAsia="zh-CN"/>
        </w:rPr>
      </w:pPr>
      <w:r w:rsidRPr="00554334">
        <w:rPr>
          <w:rFonts w:asciiTheme="majorBidi" w:eastAsia="Georgia" w:hAnsiTheme="majorBidi" w:cstheme="majorBidi"/>
        </w:rPr>
        <w:t xml:space="preserve">V oblasti </w:t>
      </w:r>
      <w:r w:rsidRPr="00554334">
        <w:rPr>
          <w:rFonts w:asciiTheme="majorBidi" w:eastAsia="Georgia" w:hAnsiTheme="majorBidi" w:cstheme="majorBidi"/>
          <w:b/>
          <w:bCs/>
        </w:rPr>
        <w:t>životního prostředí a rozvoje venkova</w:t>
      </w:r>
      <w:r w:rsidRPr="00554334">
        <w:rPr>
          <w:rFonts w:asciiTheme="majorBidi" w:eastAsia="Georgia" w:hAnsiTheme="majorBidi" w:cstheme="majorBidi"/>
        </w:rPr>
        <w:t xml:space="preserve"> pokračovalo úsilí o udržitelný rozvoj horských regionů a jejich komunit. Realizovaná opatření přispívají k ochraně horských ekosystémů i k udržitelnému hospodaření v chráněné krajinné oblasti Aragvi. Díky projektu „Zvyšování bezpečnosti a kvality turistických stezek v Aragvi“ je ke konci roku 2024 vyznačeno 87 km turistických stezek v CHKO Aragvi včetně návrhu plánu jejich údržby. Komplexní program rozvíjí celý region nejen v oblasti cestovního ruchu, ale také pomáhá místním komunitám k dosažení lepšího přístupu k sociálním, zdravotním a vzdělávacím službám. Projekt s názvem „Lepší vzdělávání, zdravotnictví a sociální služby pro komunity v Aragvi“ pak zajistil vybavení jak místním školám, tak ambulancím. Podpora se soustředí dále na školení zdravotnického personálu a učitelů ve školách. Lesnickou komponentu pak řeší projekt „Inventarizace lesů a implementace udržitelného lesnictví pro chráněnou krajinnou oblast Aragvi“. Významnou část projektu tvoří vzdělávací činnosti zahrnující osvětové aktivity pro administraci CHKO a studenty místních škol. Tyto aktivity vedou k naplnění cíle nastavení trvale udržitelného lesnického hospodaření. Mezi projekty podobného charakteru lze také zařadit „Implementaci tvale udržitelného lesnictví pro chráněnou oblast Aragvi“, „Střednědobé výhodnocení komplexního programu Aragvi“ a „</w:t>
      </w:r>
      <w:r w:rsidRPr="00554334">
        <w:rPr>
          <w:rFonts w:asciiTheme="majorBidi" w:hAnsiTheme="majorBidi" w:cstheme="majorBidi"/>
          <w:lang w:eastAsia="zh-CN"/>
        </w:rPr>
        <w:t xml:space="preserve">Programový asistent programu "Sustainable development of the Aragvi Protected Landscape Area and local communities". Poslední zmíněný se zaměřuje na hospodářský rozvoj oblasti, </w:t>
      </w:r>
      <w:r w:rsidRPr="00554334">
        <w:rPr>
          <w:rFonts w:asciiTheme="majorBidi" w:eastAsia="Georgia" w:hAnsiTheme="majorBidi" w:cstheme="majorBidi"/>
        </w:rPr>
        <w:t>zejména prostřednictvím podpory komunitního cestovního ruchu a zemědělství, posílení kvality vzdělávání a</w:t>
      </w:r>
      <w:r w:rsidR="008157C0" w:rsidRPr="00554334">
        <w:rPr>
          <w:rFonts w:asciiTheme="majorBidi" w:eastAsia="Georgia" w:hAnsiTheme="majorBidi" w:cstheme="majorBidi"/>
        </w:rPr>
        <w:t> </w:t>
      </w:r>
      <w:r w:rsidRPr="00554334">
        <w:rPr>
          <w:rFonts w:asciiTheme="majorBidi" w:eastAsia="Georgia" w:hAnsiTheme="majorBidi" w:cstheme="majorBidi"/>
        </w:rPr>
        <w:t>sociálního rozvoje (včetně zdravotnictví). Zahrnuje také zřízení administrativní správy a</w:t>
      </w:r>
      <w:r w:rsidR="008157C0" w:rsidRPr="00554334">
        <w:rPr>
          <w:rFonts w:asciiTheme="majorBidi" w:eastAsia="Georgia" w:hAnsiTheme="majorBidi" w:cstheme="majorBidi"/>
        </w:rPr>
        <w:t> </w:t>
      </w:r>
      <w:r w:rsidRPr="00554334">
        <w:rPr>
          <w:rFonts w:asciiTheme="majorBidi" w:eastAsia="Georgia" w:hAnsiTheme="majorBidi" w:cstheme="majorBidi"/>
        </w:rPr>
        <w:t xml:space="preserve">návrh plánu řízení chráněné oblasti Aragvi. Tento plán pak poskytuje referenční rámec nejen pro aktivity související s ochranou jedinečné přírodní krajiny v regionu, ale i pro další aktivity v rámci projektu. </w:t>
      </w:r>
    </w:p>
    <w:p w14:paraId="744BDEFD" w14:textId="61BA0232"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lastRenderedPageBreak/>
        <w:t>Zkušenost s komplexním rozvojem chráněné krajinné oblasti Aragvi bude využita při rozvoji další chráněné krajinné oblasti nedaleko města Gori. Jedná se o projekt s názvem „Nové horizonty: Harmonický rozvoj chráněné krajinné oblasti Tana a Tedzami a místních komunit“</w:t>
      </w:r>
      <w:r w:rsidRPr="00554334">
        <w:rPr>
          <w:rFonts w:asciiTheme="majorBidi" w:eastAsia="Georgia" w:hAnsiTheme="majorBidi" w:cstheme="majorBidi"/>
          <w:i/>
          <w:iCs/>
        </w:rPr>
        <w:t xml:space="preserve"> </w:t>
      </w:r>
      <w:r w:rsidRPr="00554334">
        <w:rPr>
          <w:rFonts w:asciiTheme="majorBidi" w:eastAsia="Georgia" w:hAnsiTheme="majorBidi" w:cstheme="majorBidi"/>
        </w:rPr>
        <w:t>a přípravu realizace projektu</w:t>
      </w:r>
      <w:r w:rsidRPr="00554334">
        <w:rPr>
          <w:rFonts w:asciiTheme="majorBidi" w:eastAsia="Georgia" w:hAnsiTheme="majorBidi" w:cstheme="majorBidi"/>
          <w:i/>
          <w:iCs/>
        </w:rPr>
        <w:t xml:space="preserve"> </w:t>
      </w:r>
      <w:r w:rsidRPr="00554334">
        <w:rPr>
          <w:rFonts w:asciiTheme="majorBidi" w:eastAsia="Georgia" w:hAnsiTheme="majorBidi" w:cstheme="majorBidi"/>
        </w:rPr>
        <w:t>„Lesnický projekt v chráněné krajinné oblasti Tana a</w:t>
      </w:r>
      <w:r w:rsidR="008157C0" w:rsidRPr="00554334">
        <w:rPr>
          <w:rFonts w:asciiTheme="majorBidi" w:eastAsia="Georgia" w:hAnsiTheme="majorBidi" w:cstheme="majorBidi"/>
        </w:rPr>
        <w:t> </w:t>
      </w:r>
      <w:r w:rsidRPr="00554334">
        <w:rPr>
          <w:rFonts w:asciiTheme="majorBidi" w:eastAsia="Georgia" w:hAnsiTheme="majorBidi" w:cstheme="majorBidi"/>
        </w:rPr>
        <w:t>Tedzami (Gruzie)“</w:t>
      </w:r>
      <w:r w:rsidRPr="00554334">
        <w:rPr>
          <w:rFonts w:asciiTheme="majorBidi" w:eastAsia="Georgia" w:hAnsiTheme="majorBidi" w:cstheme="majorBidi"/>
          <w:i/>
          <w:iCs/>
        </w:rPr>
        <w:t xml:space="preserve">. </w:t>
      </w:r>
    </w:p>
    <w:p w14:paraId="1DB68194"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V roce 2024 byl dokončen projekt „Chov skotu v Gruzii: Směrem ke zvýšení produktivity, konkurenceschopnosti a udržitelnosti“</w:t>
      </w:r>
      <w:r w:rsidRPr="00554334">
        <w:rPr>
          <w:rFonts w:asciiTheme="majorBidi" w:eastAsia="Georgia" w:hAnsiTheme="majorBidi" w:cstheme="majorBidi"/>
          <w:i/>
          <w:iCs/>
        </w:rPr>
        <w:t xml:space="preserve"> </w:t>
      </w:r>
      <w:r w:rsidRPr="00554334">
        <w:rPr>
          <w:rFonts w:asciiTheme="majorBidi" w:eastAsia="Georgia" w:hAnsiTheme="majorBidi" w:cstheme="majorBidi"/>
        </w:rPr>
        <w:t xml:space="preserve">se zaměřením na podporu zemědělců v horských oblastech Tusheti, Pshav-Khevsureti a Khulo. Místní farmáři byli vyškoleni v udržitelném pastevním managementu a místní produkci krmiv. Produktivní chov skotu je dále podpořen pořízením nezbytné mechanizace a vybavení. Projekt pomohl k vytvoření odběratelsko-dodavatelských řetězců. Farmářům v odlehlejších oblastech tak byl umožněn lepší přístup na trh. </w:t>
      </w:r>
    </w:p>
    <w:p w14:paraId="7D95D35E" w14:textId="0314E164"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Projekt DS z prostředků EK s názvem „Regiony a lidé pro bezpečnost potravin: Osvětová iniciativa podporovaná EU“ se zaměřuje na zajištění vzdělávání spotřebitelů v</w:t>
      </w:r>
      <w:r w:rsidR="008157C0" w:rsidRPr="00554334">
        <w:rPr>
          <w:rFonts w:asciiTheme="majorBidi" w:eastAsia="Georgia" w:hAnsiTheme="majorBidi" w:cstheme="majorBidi"/>
        </w:rPr>
        <w:t> </w:t>
      </w:r>
      <w:r w:rsidRPr="00554334">
        <w:rPr>
          <w:rFonts w:asciiTheme="majorBidi" w:eastAsia="Georgia" w:hAnsiTheme="majorBidi" w:cstheme="majorBidi"/>
        </w:rPr>
        <w:t xml:space="preserve">oblasti bezpečnosti potravin. </w:t>
      </w:r>
    </w:p>
    <w:p w14:paraId="77DABDB9" w14:textId="15BC22C3"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Posledním z projektů v rámci oblasti životního prostředí a rozvoje venkova je dobíhající projekt „Zavádění systému národní fytosanitární kontroly“, který se zaměřuje na sdílení dobré praxe v oblasti zdraví rostlin, pesticidů, laboratorních postupů a užití hnojiv. V</w:t>
      </w:r>
      <w:r w:rsidR="008157C0" w:rsidRPr="00554334">
        <w:rPr>
          <w:rFonts w:asciiTheme="majorBidi" w:eastAsia="Georgia" w:hAnsiTheme="majorBidi" w:cstheme="majorBidi"/>
        </w:rPr>
        <w:t> </w:t>
      </w:r>
      <w:r w:rsidRPr="00554334">
        <w:rPr>
          <w:rFonts w:asciiTheme="majorBidi" w:eastAsia="Georgia" w:hAnsiTheme="majorBidi" w:cstheme="majorBidi"/>
        </w:rPr>
        <w:t>roce 2024 byl zřízen fytosanitární registr a také byl zaveden systém evidence pesticidů a</w:t>
      </w:r>
      <w:r w:rsidR="008157C0" w:rsidRPr="00554334">
        <w:rPr>
          <w:rFonts w:asciiTheme="majorBidi" w:eastAsia="Georgia" w:hAnsiTheme="majorBidi" w:cstheme="majorBidi"/>
        </w:rPr>
        <w:t> </w:t>
      </w:r>
      <w:r w:rsidRPr="00554334">
        <w:rPr>
          <w:rFonts w:asciiTheme="majorBidi" w:eastAsia="Georgia" w:hAnsiTheme="majorBidi" w:cstheme="majorBidi"/>
        </w:rPr>
        <w:t xml:space="preserve">hnojiv. Na legislativní úrovni došlo k asistenci v přípravě příslušné legislativy. Díky intervencím a přenosu know-how z Ústředního kontrolního a zkušebního ústavu zemědělského v České republice získala Gruzie lepší schopnosti monitorovat organismy škodlivé pro rostliny a rostlinné produkty. </w:t>
      </w:r>
    </w:p>
    <w:p w14:paraId="1DAD56B9"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Oblast </w:t>
      </w:r>
      <w:r w:rsidRPr="00554334">
        <w:rPr>
          <w:rFonts w:asciiTheme="majorBidi" w:eastAsia="Georgia" w:hAnsiTheme="majorBidi" w:cstheme="majorBidi"/>
          <w:b/>
          <w:bCs/>
        </w:rPr>
        <w:t>podpora veřejné správy</w:t>
      </w:r>
      <w:r w:rsidRPr="00554334">
        <w:rPr>
          <w:rFonts w:asciiTheme="majorBidi" w:eastAsia="Georgia" w:hAnsiTheme="majorBidi" w:cstheme="majorBidi"/>
        </w:rPr>
        <w:t xml:space="preserve"> </w:t>
      </w:r>
      <w:r w:rsidRPr="00554334">
        <w:rPr>
          <w:rFonts w:asciiTheme="majorBidi" w:eastAsia="Georgia" w:hAnsiTheme="majorBidi" w:cstheme="majorBidi"/>
          <w:b/>
          <w:bCs/>
        </w:rPr>
        <w:t xml:space="preserve">a občanské společnosti </w:t>
      </w:r>
      <w:r w:rsidRPr="00554334">
        <w:rPr>
          <w:rFonts w:asciiTheme="majorBidi" w:eastAsia="Georgia" w:hAnsiTheme="majorBidi" w:cstheme="majorBidi"/>
        </w:rPr>
        <w:t>je blíže popsána v kapitole delegovaná spolupráce. Realizovány byly projekty „Občanská společnost pro udržitelný potravinový systém v Gruzii“ a „Posilování kapacit gruzínské státní meteorologické služby“.</w:t>
      </w:r>
    </w:p>
    <w:p w14:paraId="1DE4BC12"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Realizace projektů České rozvojové agentury ve druhé polovině roku 2024 pak reflektovaly aktualizované doporučení MZV odrážející politický vývoj v Gruzii.</w:t>
      </w:r>
    </w:p>
    <w:p w14:paraId="639B1A04" w14:textId="5C2286ED" w:rsidR="003E0CCE" w:rsidRPr="00554334" w:rsidRDefault="003E0CCE" w:rsidP="001C7A7B">
      <w:pPr>
        <w:spacing w:line="264" w:lineRule="auto"/>
        <w:rPr>
          <w:rFonts w:asciiTheme="majorBidi" w:eastAsia="Georgia" w:hAnsiTheme="majorBidi" w:cstheme="majorBidi"/>
        </w:rPr>
      </w:pPr>
      <w:r w:rsidRPr="00554334">
        <w:rPr>
          <w:rFonts w:asciiTheme="majorBidi" w:eastAsia="Georgia" w:hAnsiTheme="majorBidi" w:cstheme="majorBidi"/>
        </w:rPr>
        <w:br w:type="page"/>
      </w:r>
    </w:p>
    <w:p w14:paraId="53C2B9E9" w14:textId="77777777" w:rsidR="004A49DC" w:rsidRPr="00554334" w:rsidRDefault="004A49DC" w:rsidP="001C7A7B">
      <w:pPr>
        <w:keepNext/>
        <w:keepLines/>
        <w:spacing w:before="80" w:after="40" w:line="264" w:lineRule="auto"/>
        <w:jc w:val="both"/>
        <w:outlineLvl w:val="4"/>
        <w:rPr>
          <w:rFonts w:asciiTheme="majorBidi" w:eastAsia="Georgia" w:hAnsiTheme="majorBidi" w:cstheme="majorBidi"/>
          <w:b/>
        </w:rPr>
      </w:pPr>
      <w:r w:rsidRPr="00554334">
        <w:rPr>
          <w:rFonts w:asciiTheme="majorBidi" w:eastAsia="Cardo" w:hAnsiTheme="majorBidi" w:cstheme="majorBidi"/>
          <w:b/>
        </w:rPr>
        <w:lastRenderedPageBreak/>
        <w:t>Kambodža</w:t>
      </w:r>
    </w:p>
    <w:p w14:paraId="7062F822" w14:textId="77777777" w:rsidR="004A49DC" w:rsidRPr="00554334" w:rsidRDefault="004A49DC" w:rsidP="001C7A7B">
      <w:pPr>
        <w:spacing w:line="264" w:lineRule="auto"/>
        <w:jc w:val="both"/>
        <w:rPr>
          <w:rFonts w:asciiTheme="majorBidi" w:eastAsia="Georgia" w:hAnsiTheme="majorBidi" w:cstheme="majorBidi"/>
        </w:rPr>
      </w:pPr>
      <w:r w:rsidRPr="00554334">
        <w:rPr>
          <w:rFonts w:asciiTheme="majorBidi" w:eastAsia="Georgia" w:hAnsiTheme="majorBidi" w:cstheme="majorBidi"/>
        </w:rPr>
        <w:t>Čerpáno v roce 2024: 35,7 mil. Kč z toho 28 mil. Kč v rámci bilaterálních projektů, 6 mil. Kč v rámci trojstranných projektů a 1,7 mil. Kč v rámci B2B</w:t>
      </w:r>
    </w:p>
    <w:p w14:paraId="1FD61E0D" w14:textId="77777777" w:rsidR="004A49DC" w:rsidRPr="00554334" w:rsidRDefault="004A49DC" w:rsidP="001C7A7B">
      <w:pPr>
        <w:spacing w:line="264" w:lineRule="auto"/>
        <w:jc w:val="both"/>
        <w:rPr>
          <w:rFonts w:asciiTheme="majorBidi" w:eastAsia="Georgia" w:hAnsiTheme="majorBidi" w:cstheme="majorBidi"/>
        </w:rPr>
      </w:pPr>
      <w:r w:rsidRPr="00554334">
        <w:rPr>
          <w:rFonts w:asciiTheme="majorBidi" w:eastAsia="Georgia" w:hAnsiTheme="majorBidi" w:cstheme="majorBidi"/>
        </w:rPr>
        <w:t>Počet realizovaných projektů: 7 (4 bilaterální projekty, 2 trojstranné projekty a 1 B2B projekt)</w:t>
      </w:r>
    </w:p>
    <w:p w14:paraId="1E27825B" w14:textId="77777777" w:rsidR="003E0CCE" w:rsidRPr="00554334" w:rsidRDefault="003E0CCE" w:rsidP="001C7A7B">
      <w:pPr>
        <w:spacing w:line="264" w:lineRule="auto"/>
        <w:ind w:firstLine="709"/>
        <w:jc w:val="both"/>
        <w:rPr>
          <w:rFonts w:asciiTheme="majorBidi" w:eastAsia="Georgia" w:hAnsiTheme="majorBidi" w:cstheme="majorBidi"/>
          <w:sz w:val="21"/>
          <w:szCs w:val="21"/>
        </w:rPr>
      </w:pPr>
    </w:p>
    <w:p w14:paraId="10DB5760" w14:textId="2BDED1E8" w:rsidR="004A49DC" w:rsidRPr="00554334" w:rsidRDefault="004A49DC" w:rsidP="001C7A7B">
      <w:pPr>
        <w:spacing w:line="264" w:lineRule="auto"/>
        <w:ind w:firstLine="709"/>
        <w:jc w:val="both"/>
        <w:rPr>
          <w:rFonts w:asciiTheme="majorBidi" w:eastAsia="Georgia" w:hAnsiTheme="majorBidi" w:cstheme="majorBidi"/>
          <w:highlight w:val="yellow"/>
        </w:rPr>
      </w:pPr>
      <w:r w:rsidRPr="00554334">
        <w:rPr>
          <w:rFonts w:asciiTheme="majorBidi" w:eastAsia="Georgia" w:hAnsiTheme="majorBidi" w:cstheme="majorBidi"/>
        </w:rPr>
        <w:t xml:space="preserve">Projekty realizované v roce 2024 v Kambodži v rámci bilaterální spolupráce se věcně soustředily na prioritní oblast </w:t>
      </w:r>
      <w:r w:rsidRPr="00554334">
        <w:rPr>
          <w:rFonts w:asciiTheme="majorBidi" w:eastAsia="Georgia" w:hAnsiTheme="majorBidi" w:cstheme="majorBidi"/>
          <w:b/>
          <w:bCs/>
        </w:rPr>
        <w:t>inkluzivní sociální rozvoj</w:t>
      </w:r>
      <w:r w:rsidRPr="00554334">
        <w:rPr>
          <w:rFonts w:asciiTheme="majorBidi" w:eastAsia="Georgia" w:hAnsiTheme="majorBidi" w:cstheme="majorBidi"/>
        </w:rPr>
        <w:t xml:space="preserve">, konkrétněji na sektor </w:t>
      </w:r>
      <w:r w:rsidRPr="00554334">
        <w:rPr>
          <w:rFonts w:asciiTheme="majorBidi" w:eastAsia="Georgia" w:hAnsiTheme="majorBidi" w:cstheme="majorBidi"/>
          <w:b/>
          <w:bCs/>
        </w:rPr>
        <w:t xml:space="preserve">zdravotnictví </w:t>
      </w:r>
      <w:r w:rsidRPr="00554334">
        <w:rPr>
          <w:rFonts w:asciiTheme="majorBidi" w:eastAsia="Georgia" w:hAnsiTheme="majorBidi" w:cstheme="majorBidi"/>
        </w:rPr>
        <w:t xml:space="preserve">a </w:t>
      </w:r>
      <w:r w:rsidRPr="00554334">
        <w:rPr>
          <w:rFonts w:asciiTheme="majorBidi" w:eastAsia="Georgia" w:hAnsiTheme="majorBidi" w:cstheme="majorBidi"/>
          <w:b/>
          <w:bCs/>
        </w:rPr>
        <w:t>vzdělávání</w:t>
      </w:r>
      <w:r w:rsidRPr="00554334">
        <w:rPr>
          <w:rFonts w:asciiTheme="majorBidi" w:eastAsia="Georgia" w:hAnsiTheme="majorBidi" w:cstheme="majorBidi"/>
        </w:rPr>
        <w:t>.</w:t>
      </w:r>
    </w:p>
    <w:p w14:paraId="49B3BC71"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rámci sektoru </w:t>
      </w:r>
      <w:r w:rsidRPr="00554334">
        <w:rPr>
          <w:rFonts w:asciiTheme="majorBidi" w:eastAsia="Georgia" w:hAnsiTheme="majorBidi" w:cstheme="majorBidi"/>
          <w:b/>
          <w:bCs/>
        </w:rPr>
        <w:t>zdravotnictví</w:t>
      </w:r>
      <w:r w:rsidRPr="00554334">
        <w:rPr>
          <w:rFonts w:asciiTheme="majorBidi" w:eastAsia="Georgia" w:hAnsiTheme="majorBidi" w:cstheme="majorBidi"/>
        </w:rPr>
        <w:t xml:space="preserve"> byly implementovány dva projekty nadačním fondem Vita et Futura. Projekt s názvem „České perinatologické ruce letí do Kambodže, fáze II, CZ PeriCare II“, se zaměřuje na zvyšování kvality perinatologické péče v kambodžských nemocnicích, tedy na zajištění kvalitní péče o matku a dítě před porodem a po porodu. Dosažením kvalitnější lékařské péče v oblasti perinatologie projekt přispívá k omezení dětské a mateřské úmrtnosti. Dalším projektem, komplementárním k výše zmíněnému, byl projekt „CZ Clinical Lab Improvement“, v rámci, kterého bylo zajištěno vybavení laboratoře Národní pediatrické nemocnice v Phnompenhu a proškolení personálu nemocnice v provozu dodaných přístrojů.</w:t>
      </w:r>
    </w:p>
    <w:p w14:paraId="0F51083B"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Projekt „Podpora vzdělání a propagace biomedicínského inženýrství v Kambodži“, implementovaný Českým vysokým učením technickým v Praze, kombinuje oblasti </w:t>
      </w:r>
      <w:r w:rsidRPr="00554334">
        <w:rPr>
          <w:rFonts w:asciiTheme="majorBidi" w:eastAsia="Georgia" w:hAnsiTheme="majorBidi" w:cstheme="majorBidi"/>
          <w:b/>
          <w:bCs/>
        </w:rPr>
        <w:t>zdravotnictví a vzdělávání</w:t>
      </w:r>
      <w:r w:rsidRPr="00554334">
        <w:rPr>
          <w:rFonts w:asciiTheme="majorBidi" w:eastAsia="Georgia" w:hAnsiTheme="majorBidi" w:cstheme="majorBidi"/>
        </w:rPr>
        <w:t>. Dlouhodobým cílem projektu je dosáhnout akreditace bakalářského oboru biomedicínské inženýrství v Kambodži, kde tento obor zcela chybí a lze jej studovat pouze na úrovni vyšší odborné školy. Významnou součástí projektu byla rekonstrukce a kompletní vybavení speciální laboratoře pro praktickou výuku na Kambodžské univerzitě zdravotních věd (UHS) v Phnompenhu. Dalšími součástmi projektu bylo zlepšení kvality výuky v dostupném biomedicínském oboru (associate degree) a zvyšování povědomí o existenci profese biomedicínského inženýra.</w:t>
      </w:r>
    </w:p>
    <w:p w14:paraId="32B5765B"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Další realizovanou rozvojovou intervencí v rámci sektoru </w:t>
      </w:r>
      <w:r w:rsidRPr="00554334">
        <w:rPr>
          <w:rFonts w:asciiTheme="majorBidi" w:eastAsia="Georgia" w:hAnsiTheme="majorBidi" w:cstheme="majorBidi"/>
          <w:b/>
          <w:bCs/>
        </w:rPr>
        <w:t xml:space="preserve">vzdělávání </w:t>
      </w:r>
      <w:r w:rsidRPr="00554334">
        <w:rPr>
          <w:rFonts w:asciiTheme="majorBidi" w:eastAsia="Georgia" w:hAnsiTheme="majorBidi" w:cstheme="majorBidi"/>
        </w:rPr>
        <w:t>je projekt „Zlepšení kvality středoškolského technického vzdělávání v oblasti akvakultury v Kambodži“, realizovaný organizací Člověk v tísni, o. p. s. Cílem tohoto projektu byla modernizace a zlepšení kvality výuky oborů souvisejících s potravinářstvím, chovem zvířat, agronomií a akvakulturou, a to mimo jiné prostřednictvím tvorby nových učebnic, školení školitelů a rekonstrukce prostor pro praktickou výuku. Důraz v rámci těchto aktivit byl kladen na uplatnění absolventů na pracovním trhu. Dalším projektem v této oblasti byl„</w:t>
      </w:r>
      <w:r w:rsidRPr="00554334">
        <w:rPr>
          <w:rFonts w:asciiTheme="majorBidi" w:hAnsiTheme="majorBidi" w:cstheme="majorBidi"/>
          <w:lang w:eastAsia="zh-CN"/>
        </w:rPr>
        <w:t xml:space="preserve">Rozvoj praktických znalostí a dovedností studentů středních škol v provinciích Kampong Speu a Kampong Chhnang“. Hlavním cílem tohoto projektu je usnadnění mimoškolního technického a odborného vzdělávání v daných provinciích. Rozvojovým záměrem projektu je podpořit rozvoj venkova v Kambodži zlepšením kvality života a odolnosti venkovských komunit prostřednictvím posílení vzdělávacích a praktických dovedností pro udržitelnou obživu. </w:t>
      </w:r>
    </w:p>
    <w:p w14:paraId="359FD1C9" w14:textId="31BC8011" w:rsidR="00817008"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V rámci oblasti zemědělství byly realizovány dva projekty. „</w:t>
      </w:r>
      <w:r w:rsidRPr="00554334">
        <w:rPr>
          <w:rFonts w:asciiTheme="majorBidi" w:hAnsiTheme="majorBidi" w:cstheme="majorBidi"/>
          <w:lang w:eastAsia="zh-CN"/>
        </w:rPr>
        <w:t>Digitalizace zemědělských kooperativ v Kambodži“ a B2B projekt s názvem „Podpora malých farmářů v exportu zpracovaného kešu a manga z provincií Kampong Speu, Preah Vihear a Kampong Thom“</w:t>
      </w:r>
      <w:r w:rsidRPr="00554334">
        <w:rPr>
          <w:rFonts w:asciiTheme="majorBidi" w:eastAsia="Georgia" w:hAnsiTheme="majorBidi" w:cstheme="majorBidi"/>
        </w:rPr>
        <w:t>, v rámci, kterého se česká společnost BRAINCHAIN, s. r. o., zaměřuje na spolupráci s místními farmáři, konkrétními farmami a zpracovatelskými centry. Projekt zahrnuje školení farmářů v digitální gramotnosti, modernizaci zpracovatelských center včetně zavádění mezinárodních standardů výroby a zahájení exportu zpracovaných produktů na evropský trh.</w:t>
      </w:r>
      <w:r w:rsidR="00817008" w:rsidRPr="00554334">
        <w:rPr>
          <w:rFonts w:asciiTheme="majorBidi" w:eastAsia="Georgia" w:hAnsiTheme="majorBidi" w:cstheme="majorBidi"/>
        </w:rPr>
        <w:br w:type="page"/>
      </w:r>
    </w:p>
    <w:p w14:paraId="4F3FEB8D" w14:textId="77777777" w:rsidR="004A49DC" w:rsidRPr="00554334" w:rsidRDefault="004A49DC" w:rsidP="001C7A7B">
      <w:pPr>
        <w:keepNext/>
        <w:keepLines/>
        <w:spacing w:before="80" w:after="40" w:line="264" w:lineRule="auto"/>
        <w:jc w:val="both"/>
        <w:outlineLvl w:val="4"/>
        <w:rPr>
          <w:rFonts w:asciiTheme="majorBidi" w:eastAsia="Georgia" w:hAnsiTheme="majorBidi" w:cstheme="majorBidi"/>
          <w:b/>
        </w:rPr>
      </w:pPr>
      <w:r w:rsidRPr="00554334">
        <w:rPr>
          <w:rFonts w:asciiTheme="majorBidi" w:eastAsia="Georgia" w:hAnsiTheme="majorBidi" w:cstheme="majorBidi"/>
          <w:b/>
        </w:rPr>
        <w:lastRenderedPageBreak/>
        <w:t>Moldavsko</w:t>
      </w:r>
    </w:p>
    <w:p w14:paraId="623C70C3" w14:textId="21469B8B" w:rsidR="004A49DC" w:rsidRPr="00554334" w:rsidRDefault="004A49DC" w:rsidP="001C7A7B">
      <w:pPr>
        <w:spacing w:line="264" w:lineRule="auto"/>
        <w:jc w:val="both"/>
        <w:rPr>
          <w:rFonts w:asciiTheme="majorBidi" w:eastAsia="Georgia" w:hAnsiTheme="majorBidi" w:cstheme="majorBidi"/>
        </w:rPr>
      </w:pPr>
      <w:r w:rsidRPr="00554334">
        <w:rPr>
          <w:rFonts w:asciiTheme="majorBidi" w:eastAsia="Georgia" w:hAnsiTheme="majorBidi" w:cstheme="majorBidi"/>
        </w:rPr>
        <w:t>Čerpáno v roce 2024: 61,6 mil. Kč z toho 40,5 mil. Kč v rámci bilaterálních projektů, 20,1</w:t>
      </w:r>
      <w:r w:rsidR="008157C0" w:rsidRPr="00554334">
        <w:rPr>
          <w:rFonts w:asciiTheme="majorBidi" w:eastAsia="Georgia" w:hAnsiTheme="majorBidi" w:cstheme="majorBidi"/>
        </w:rPr>
        <w:t> </w:t>
      </w:r>
      <w:r w:rsidRPr="00554334">
        <w:rPr>
          <w:rFonts w:asciiTheme="majorBidi" w:eastAsia="Georgia" w:hAnsiTheme="majorBidi" w:cstheme="majorBidi"/>
        </w:rPr>
        <w:t xml:space="preserve">mil. Kč v rámci rozpočtových opatření z ČRA a 979 tis. Kč v rámci trojstranných projektů </w:t>
      </w:r>
    </w:p>
    <w:p w14:paraId="43BEE24C" w14:textId="77777777" w:rsidR="004A49DC" w:rsidRPr="00554334" w:rsidRDefault="004A49DC" w:rsidP="001C7A7B">
      <w:pPr>
        <w:spacing w:line="264" w:lineRule="auto"/>
        <w:jc w:val="both"/>
        <w:rPr>
          <w:rFonts w:asciiTheme="majorBidi" w:eastAsia="Georgia" w:hAnsiTheme="majorBidi" w:cstheme="majorBidi"/>
        </w:rPr>
      </w:pPr>
      <w:r w:rsidRPr="00554334">
        <w:rPr>
          <w:rFonts w:asciiTheme="majorBidi" w:eastAsia="Georgia" w:hAnsiTheme="majorBidi" w:cstheme="majorBidi"/>
        </w:rPr>
        <w:t>Počet realizovaných projektů: 18 (17 bilaterálních projektů (z toho 4 RO) a 1 trojstranný projekt</w:t>
      </w:r>
    </w:p>
    <w:p w14:paraId="0CFC6850" w14:textId="77777777" w:rsidR="004A49DC" w:rsidRPr="00554334" w:rsidRDefault="004A49DC" w:rsidP="001C7A7B">
      <w:pPr>
        <w:spacing w:line="264" w:lineRule="auto"/>
        <w:ind w:firstLine="709"/>
        <w:jc w:val="both"/>
        <w:rPr>
          <w:rFonts w:asciiTheme="majorBidi" w:eastAsia="Georgia" w:hAnsiTheme="majorBidi" w:cstheme="majorBidi"/>
        </w:rPr>
      </w:pPr>
    </w:p>
    <w:p w14:paraId="4A3A6B5A" w14:textId="70A2CAF2"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roce 2024 bylo v Moldavsku realizováno celkem 18 projektů české zahraniční rozvojové spolupráce. Realizované projekty se svou náplní soustředily na tyto čtyři prioritní sektorové oblasti – </w:t>
      </w:r>
      <w:r w:rsidRPr="00554334">
        <w:rPr>
          <w:rFonts w:asciiTheme="majorBidi" w:eastAsia="Georgia" w:hAnsiTheme="majorBidi" w:cstheme="majorBidi"/>
          <w:b/>
          <w:bCs/>
        </w:rPr>
        <w:t>udržitelné nakládání s přírodními zdroji</w:t>
      </w:r>
      <w:r w:rsidRPr="00554334">
        <w:rPr>
          <w:rFonts w:asciiTheme="majorBidi" w:eastAsia="Georgia" w:hAnsiTheme="majorBidi" w:cstheme="majorBidi"/>
        </w:rPr>
        <w:t xml:space="preserve"> (zahrnující sektor </w:t>
      </w:r>
      <w:r w:rsidRPr="00554334">
        <w:rPr>
          <w:rFonts w:asciiTheme="majorBidi" w:eastAsia="Georgia" w:hAnsiTheme="majorBidi" w:cstheme="majorBidi"/>
          <w:b/>
          <w:bCs/>
        </w:rPr>
        <w:t>voda a sanitace</w:t>
      </w:r>
      <w:r w:rsidRPr="00554334">
        <w:rPr>
          <w:rFonts w:asciiTheme="majorBidi" w:eastAsia="Georgia" w:hAnsiTheme="majorBidi" w:cstheme="majorBidi"/>
        </w:rPr>
        <w:t xml:space="preserve">), </w:t>
      </w:r>
      <w:r w:rsidRPr="00554334">
        <w:rPr>
          <w:rFonts w:asciiTheme="majorBidi" w:eastAsia="Georgia" w:hAnsiTheme="majorBidi" w:cstheme="majorBidi"/>
          <w:b/>
          <w:bCs/>
        </w:rPr>
        <w:t>inkluzivní sociální rozvoj</w:t>
      </w:r>
      <w:r w:rsidRPr="00554334">
        <w:rPr>
          <w:rFonts w:asciiTheme="majorBidi" w:eastAsia="Georgia" w:hAnsiTheme="majorBidi" w:cstheme="majorBidi"/>
        </w:rPr>
        <w:t xml:space="preserve"> (zahrnující sektor </w:t>
      </w:r>
      <w:r w:rsidRPr="00554334">
        <w:rPr>
          <w:rFonts w:asciiTheme="majorBidi" w:eastAsia="Georgia" w:hAnsiTheme="majorBidi" w:cstheme="majorBidi"/>
          <w:b/>
          <w:bCs/>
        </w:rPr>
        <w:t>ostatní sociální infrastruktura a</w:t>
      </w:r>
      <w:r w:rsidR="008157C0" w:rsidRPr="00554334">
        <w:rPr>
          <w:rFonts w:asciiTheme="majorBidi" w:eastAsia="Georgia" w:hAnsiTheme="majorBidi" w:cstheme="majorBidi"/>
          <w:b/>
          <w:bCs/>
        </w:rPr>
        <w:t> </w:t>
      </w:r>
      <w:r w:rsidRPr="00554334">
        <w:rPr>
          <w:rFonts w:asciiTheme="majorBidi" w:eastAsia="Georgia" w:hAnsiTheme="majorBidi" w:cstheme="majorBidi"/>
          <w:b/>
          <w:bCs/>
        </w:rPr>
        <w:t>služby</w:t>
      </w:r>
      <w:r w:rsidRPr="00554334">
        <w:rPr>
          <w:rFonts w:asciiTheme="majorBidi" w:eastAsia="Georgia" w:hAnsiTheme="majorBidi" w:cstheme="majorBidi"/>
        </w:rPr>
        <w:t xml:space="preserve">), </w:t>
      </w:r>
      <w:r w:rsidRPr="00554334">
        <w:rPr>
          <w:rFonts w:asciiTheme="majorBidi" w:eastAsia="Georgia" w:hAnsiTheme="majorBidi" w:cstheme="majorBidi"/>
          <w:b/>
          <w:bCs/>
        </w:rPr>
        <w:t>řádná demokratická správa věcí veřejných</w:t>
      </w:r>
      <w:r w:rsidRPr="00554334">
        <w:rPr>
          <w:rFonts w:asciiTheme="majorBidi" w:eastAsia="Georgia" w:hAnsiTheme="majorBidi" w:cstheme="majorBidi"/>
        </w:rPr>
        <w:t xml:space="preserve"> (zahrnující sektor </w:t>
      </w:r>
      <w:r w:rsidRPr="00554334">
        <w:rPr>
          <w:rFonts w:asciiTheme="majorBidi" w:eastAsia="Georgia" w:hAnsiTheme="majorBidi" w:cstheme="majorBidi"/>
          <w:b/>
          <w:bCs/>
        </w:rPr>
        <w:t>veřejná správa a</w:t>
      </w:r>
      <w:r w:rsidR="008157C0" w:rsidRPr="00554334">
        <w:rPr>
          <w:rFonts w:asciiTheme="majorBidi" w:eastAsia="Georgia" w:hAnsiTheme="majorBidi" w:cstheme="majorBidi"/>
          <w:b/>
          <w:bCs/>
        </w:rPr>
        <w:t> </w:t>
      </w:r>
      <w:r w:rsidRPr="00554334">
        <w:rPr>
          <w:rFonts w:asciiTheme="majorBidi" w:eastAsia="Georgia" w:hAnsiTheme="majorBidi" w:cstheme="majorBidi"/>
          <w:b/>
          <w:bCs/>
        </w:rPr>
        <w:t>občanská společnost</w:t>
      </w:r>
      <w:r w:rsidRPr="00554334">
        <w:rPr>
          <w:rFonts w:asciiTheme="majorBidi" w:eastAsia="Georgia" w:hAnsiTheme="majorBidi" w:cstheme="majorBidi"/>
        </w:rPr>
        <w:t>) a </w:t>
      </w:r>
      <w:r w:rsidRPr="00554334">
        <w:rPr>
          <w:rFonts w:asciiTheme="majorBidi" w:eastAsia="Georgia" w:hAnsiTheme="majorBidi" w:cstheme="majorBidi"/>
          <w:b/>
          <w:bCs/>
        </w:rPr>
        <w:t>zemědělství a rozvoj venkova</w:t>
      </w:r>
      <w:r w:rsidRPr="00554334">
        <w:rPr>
          <w:rFonts w:asciiTheme="majorBidi" w:eastAsia="Georgia" w:hAnsiTheme="majorBidi" w:cstheme="majorBidi"/>
        </w:rPr>
        <w:t xml:space="preserve"> (zahrnující sektor </w:t>
      </w:r>
      <w:r w:rsidRPr="00554334">
        <w:rPr>
          <w:rFonts w:asciiTheme="majorBidi" w:eastAsia="Georgia" w:hAnsiTheme="majorBidi" w:cstheme="majorBidi"/>
          <w:b/>
          <w:bCs/>
        </w:rPr>
        <w:t>zemědělství a</w:t>
      </w:r>
      <w:r w:rsidR="008157C0" w:rsidRPr="00554334">
        <w:rPr>
          <w:rFonts w:asciiTheme="majorBidi" w:eastAsia="Georgia" w:hAnsiTheme="majorBidi" w:cstheme="majorBidi"/>
          <w:b/>
          <w:bCs/>
        </w:rPr>
        <w:t> </w:t>
      </w:r>
      <w:r w:rsidRPr="00554334">
        <w:rPr>
          <w:rFonts w:asciiTheme="majorBidi" w:eastAsia="Georgia" w:hAnsiTheme="majorBidi" w:cstheme="majorBidi"/>
          <w:b/>
          <w:bCs/>
        </w:rPr>
        <w:t>lesnictví</w:t>
      </w:r>
      <w:r w:rsidRPr="00554334">
        <w:rPr>
          <w:rFonts w:asciiTheme="majorBidi" w:eastAsia="Georgia" w:hAnsiTheme="majorBidi" w:cstheme="majorBidi"/>
        </w:rPr>
        <w:t>), které jsou v souladu s platným Programem zahraniční rozvojové spolupráce mezi Českou republikou a Moldavskem.</w:t>
      </w:r>
    </w:p>
    <w:p w14:paraId="3E352E91"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oblasti </w:t>
      </w:r>
      <w:r w:rsidRPr="00554334">
        <w:rPr>
          <w:rFonts w:asciiTheme="majorBidi" w:eastAsia="Georgia" w:hAnsiTheme="majorBidi" w:cstheme="majorBidi"/>
          <w:b/>
          <w:bCs/>
        </w:rPr>
        <w:t>udržitelného nakládání s přírodními zdroji</w:t>
      </w:r>
      <w:r w:rsidRPr="00554334">
        <w:rPr>
          <w:rFonts w:asciiTheme="majorBidi" w:eastAsia="Georgia" w:hAnsiTheme="majorBidi" w:cstheme="majorBidi"/>
        </w:rPr>
        <w:t xml:space="preserve"> se ČRA v roce 2024 zaměřila na odstranění 130 tun nebezpečných odpadů tvořených zbytky pesticidů a silně kontaminovanými zeminami ze tří lokalit v okolí obcí Besalma a Chirsova (Gagauzsko), které byly bezpečně zabaleny a uloženy do dočasných zabezpečených skladů. Ve městě Briceni byl realizován projekt „Provedení měrné kampaně za účelem zjištění hydraulického a látkového zatížení ČOV“. Tato aktivita projektu byla klíčová pro dokončení studie proveditelnosti připojení dalších 25 % odpadních vod města na čistírnu, která byla dokončena díky finanční intervenci ČRA v roce 2022. </w:t>
      </w:r>
    </w:p>
    <w:p w14:paraId="19484679"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Česká zahraniční rozvojová pomoc se v Moldavsku také dlouhodobě věnuje podpoře rozvoje služeb domácí péče a pokračuje v podpoře systému deinstitucionalizace ústavní péče v rámci oblasti </w:t>
      </w:r>
      <w:r w:rsidRPr="00554334">
        <w:rPr>
          <w:rFonts w:asciiTheme="majorBidi" w:eastAsia="Georgia" w:hAnsiTheme="majorBidi" w:cstheme="majorBidi"/>
          <w:b/>
          <w:bCs/>
        </w:rPr>
        <w:t>inkluzivního sociálního rozvoje</w:t>
      </w:r>
      <w:r w:rsidRPr="00554334">
        <w:rPr>
          <w:rFonts w:asciiTheme="majorBidi" w:eastAsia="Georgia" w:hAnsiTheme="majorBidi" w:cstheme="majorBidi"/>
        </w:rPr>
        <w:t>. Mezi klíčové projekty v této oblasti se řadí projekty „Posílením kapacit pro trvalé změny systému sociální péče v Moldavsku“</w:t>
      </w:r>
      <w:r w:rsidRPr="00554334">
        <w:rPr>
          <w:rFonts w:asciiTheme="majorBidi" w:eastAsia="Georgia" w:hAnsiTheme="majorBidi" w:cstheme="majorBidi"/>
          <w:i/>
          <w:iCs/>
        </w:rPr>
        <w:t xml:space="preserve"> </w:t>
      </w:r>
      <w:r w:rsidRPr="00554334">
        <w:rPr>
          <w:rFonts w:asciiTheme="majorBidi" w:eastAsia="Georgia" w:hAnsiTheme="majorBidi" w:cstheme="majorBidi"/>
        </w:rPr>
        <w:t>a „Posílení kapacit a finanční udržitelnosti v oblasti sociální domácí péče v Moldavsku“. Zmíněné projekty v roce 2024 pokračovaly. Cílem</w:t>
      </w:r>
      <w:r w:rsidRPr="00554334">
        <w:rPr>
          <w:rFonts w:asciiTheme="majorBidi" w:eastAsia="Georgia" w:hAnsiTheme="majorBidi" w:cstheme="majorBidi"/>
          <w:i/>
          <w:iCs/>
        </w:rPr>
        <w:t xml:space="preserve"> </w:t>
      </w:r>
      <w:r w:rsidRPr="00554334">
        <w:rPr>
          <w:rFonts w:asciiTheme="majorBidi" w:eastAsia="Georgia" w:hAnsiTheme="majorBidi" w:cstheme="majorBidi"/>
        </w:rPr>
        <w:t>je zlepšování kvality, dostupnosti a efektivity domácí péče poskytované zranitelným skupinám obyvatelstva v zemi. Podpoře zlepšení mechanismů transparentního komunitního plánování a udržitelného poskytování sociálních služeb se věnuje projekt „COMM. Unity Planning – Komplexní řešení pro sociální služby v Moldavsku“</w:t>
      </w:r>
      <w:r w:rsidRPr="00554334">
        <w:rPr>
          <w:rFonts w:asciiTheme="majorBidi" w:eastAsia="Georgia" w:hAnsiTheme="majorBidi" w:cstheme="majorBidi"/>
          <w:i/>
          <w:iCs/>
        </w:rPr>
        <w:t xml:space="preserve">. </w:t>
      </w:r>
      <w:r w:rsidRPr="00554334">
        <w:rPr>
          <w:rFonts w:asciiTheme="majorBidi" w:eastAsia="Georgia" w:hAnsiTheme="majorBidi" w:cstheme="majorBidi"/>
        </w:rPr>
        <w:t xml:space="preserve">V neposlední řadě česká zahraniční rozvojová spolupráce v roce 2024 navazovala na dlouhodobou intervenci v rámci zlepšení životních podmínek osob trpících autismem – příkladem je projekt „Pomoc dětem s PAS a jinými genetickými poruchami v Moldavsku II“. Cílem projektu bylo dětem s autistickou poruchou poskytnout potřebnou podporu a také rozšířit dostupnost specializovaných služeb, které jim pomohou rozvíjet jejich potenciál, a zlepšit tak kvalitu života. V tomto sektoru byl také realizován projekt „Technologie pro budoucnost – telemedicína v Moldavské domácí péči“, jehož cílem bylo zvýšení dostupnosti a kvality zdravotní a sociální péče v Moldavsku skrze integrovaný systém telemedicíny – včetně distančního monitoringu zdravotního stavu klientů v zemi. V roce 2024 byl v tomto sektoru také realizován projekt s názvem „Harmonizace a rozvoj systému sociální ochrany Gagauzie“, jehož cílem bylo nastavení systému sociální péče v tomto autonomním regionu a jeho harmonizace s existujícím národním modelem a zavedení kontinuálního školícího programu pro profesionály v sociální sféře. Kvůli politické situaci v oblasti byl však projekt v roce 2024 na základě rozhodnutí MZV dočasně pozastaven. </w:t>
      </w:r>
    </w:p>
    <w:p w14:paraId="04C4429D"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lastRenderedPageBreak/>
        <w:t xml:space="preserve">V oblasti </w:t>
      </w:r>
      <w:r w:rsidRPr="00554334">
        <w:rPr>
          <w:rFonts w:asciiTheme="majorBidi" w:eastAsia="Georgia" w:hAnsiTheme="majorBidi" w:cstheme="majorBidi"/>
          <w:b/>
          <w:bCs/>
        </w:rPr>
        <w:t>řádná demokratická správa věcí veřejných</w:t>
      </w:r>
      <w:r w:rsidRPr="00554334">
        <w:rPr>
          <w:rFonts w:asciiTheme="majorBidi" w:eastAsia="Georgia" w:hAnsiTheme="majorBidi" w:cstheme="majorBidi"/>
          <w:b/>
          <w:bCs/>
          <w:i/>
          <w:iCs/>
        </w:rPr>
        <w:t xml:space="preserve"> </w:t>
      </w:r>
      <w:r w:rsidRPr="00554334">
        <w:rPr>
          <w:rFonts w:asciiTheme="majorBidi" w:eastAsia="Georgia" w:hAnsiTheme="majorBidi" w:cstheme="majorBidi"/>
        </w:rPr>
        <w:t>se Česká republika zaměřuje primárně na spolupráci s Celní správou a Pohraniční policií Moldavska. V roce 2024 pokračoval v této oblasti projekt s názvem „Rozvoj efektivity kynologické služby a kapacit práce se služebními psy Celní správy a Pohraniční policie Moldavské republiky“, cílící na omezení nelegálního transportu tabáku, drog a psychotropních látek prostřednictvím výcviku a dodání služebních psů. Přidruženými projekty jsou „Dodávka služebních psů pro kynologickou službu Celní správy a pohraniční policie Moldavské republiky“, „Dodávka kotců pro služební psy Pohraniční policie Moldavské republiky“ a „Dodání šesti boxů pro služební psy pro kynologickou službu Celní správy Moldavské republiky“. Česká zahraniční rozvojová spolupráce v rámci tohoto sektoru rovněž podporuje zapojení Moldavska do Mechanismu civilní ochrany EU prostřednictvím výcviku moldavských hasičů při zásazích na vodní hladině během povodní a dalších mimořádných událostí pomocí pokračujícího projektu „Zlepšení akceschopnosti a odborné způsobilosti moldavských hasičů III“. Dalším projektem v oblasti podpory moldavských kapacit je realizace projektu „Dodávka záchranných plavidel“. V kontextu energetiky byla realizována „Sektorová studie v oblasti energetiky v Moldavsku“.</w:t>
      </w:r>
    </w:p>
    <w:p w14:paraId="783C2C6A" w14:textId="5EA363EE"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rámci sektorové oblasti </w:t>
      </w:r>
      <w:r w:rsidRPr="00554334">
        <w:rPr>
          <w:rFonts w:asciiTheme="majorBidi" w:eastAsia="Georgia" w:hAnsiTheme="majorBidi" w:cstheme="majorBidi"/>
          <w:b/>
          <w:bCs/>
        </w:rPr>
        <w:t xml:space="preserve">zemědělství a rozvoje venkova </w:t>
      </w:r>
      <w:r w:rsidRPr="00554334">
        <w:rPr>
          <w:rFonts w:asciiTheme="majorBidi" w:eastAsia="Georgia" w:hAnsiTheme="majorBidi" w:cstheme="majorBidi"/>
        </w:rPr>
        <w:t xml:space="preserve">byly v roce 2024 realizovány dva projekty. V rámci projektu „Modernizace, inovace a využití znalostí pro moldavský mlékárenský sektor (M.I.L.K)“ bylo cíleno na zlepšení ekonomických podmínek malých a středně velkých chovatelů skotu a posílení jejich efektivity hodnotového </w:t>
      </w:r>
      <w:r w:rsidR="005032EA" w:rsidRPr="00554334">
        <w:rPr>
          <w:rFonts w:asciiTheme="majorBidi" w:eastAsia="Georgia" w:hAnsiTheme="majorBidi" w:cstheme="majorBidi"/>
        </w:rPr>
        <w:t>řetězce mléčného</w:t>
      </w:r>
      <w:r w:rsidRPr="00554334">
        <w:rPr>
          <w:rFonts w:asciiTheme="majorBidi" w:eastAsia="Georgia" w:hAnsiTheme="majorBidi" w:cstheme="majorBidi"/>
        </w:rPr>
        <w:t xml:space="preserve"> průmyslu v severním Moldavsku. Nově byl v tomto roce také zahájen tříletý projekt s cílem zlepšit kontrolní a testovací kapacity ve fytosanitární oblasti v Moldavsku s názvem „Zlepšení kontrolní a testovací kapacity ve fytosanitární oblasti v Moldavské republice“.</w:t>
      </w:r>
    </w:p>
    <w:p w14:paraId="4103838F" w14:textId="639116A3" w:rsidR="000C4D3A" w:rsidRPr="00554334" w:rsidRDefault="000C4D3A" w:rsidP="001C7A7B">
      <w:pPr>
        <w:spacing w:line="264" w:lineRule="auto"/>
        <w:rPr>
          <w:rFonts w:asciiTheme="majorBidi" w:eastAsia="Georgia" w:hAnsiTheme="majorBidi" w:cstheme="majorBidi"/>
          <w:b/>
          <w:bCs/>
        </w:rPr>
      </w:pPr>
      <w:r w:rsidRPr="00554334">
        <w:rPr>
          <w:rFonts w:asciiTheme="majorBidi" w:eastAsia="Georgia" w:hAnsiTheme="majorBidi" w:cstheme="majorBidi"/>
          <w:b/>
          <w:bCs/>
        </w:rPr>
        <w:br w:type="page"/>
      </w:r>
    </w:p>
    <w:p w14:paraId="3780E53B" w14:textId="77777777" w:rsidR="004A49DC" w:rsidRPr="00554334" w:rsidRDefault="004A49DC" w:rsidP="001C7A7B">
      <w:pPr>
        <w:keepNext/>
        <w:keepLines/>
        <w:spacing w:before="80" w:after="40" w:line="264" w:lineRule="auto"/>
        <w:jc w:val="both"/>
        <w:outlineLvl w:val="4"/>
        <w:rPr>
          <w:rFonts w:asciiTheme="majorBidi" w:eastAsia="Georgia" w:hAnsiTheme="majorBidi" w:cstheme="majorBidi"/>
          <w:b/>
        </w:rPr>
      </w:pPr>
      <w:r w:rsidRPr="00554334">
        <w:rPr>
          <w:rFonts w:asciiTheme="majorBidi" w:eastAsia="Georgia" w:hAnsiTheme="majorBidi" w:cstheme="majorBidi"/>
          <w:b/>
        </w:rPr>
        <w:lastRenderedPageBreak/>
        <w:t xml:space="preserve">Zambie </w:t>
      </w:r>
    </w:p>
    <w:p w14:paraId="66E6D2AF" w14:textId="77777777" w:rsidR="004A49DC" w:rsidRPr="00554334" w:rsidRDefault="004A49DC" w:rsidP="001C7A7B">
      <w:pPr>
        <w:spacing w:line="264" w:lineRule="auto"/>
        <w:jc w:val="both"/>
        <w:rPr>
          <w:rFonts w:asciiTheme="majorBidi" w:eastAsia="Georgia" w:hAnsiTheme="majorBidi" w:cstheme="majorBidi"/>
        </w:rPr>
      </w:pPr>
      <w:r w:rsidRPr="00554334">
        <w:rPr>
          <w:rFonts w:asciiTheme="majorBidi" w:eastAsia="Georgia" w:hAnsiTheme="majorBidi" w:cstheme="majorBidi"/>
        </w:rPr>
        <w:t xml:space="preserve">Čerpáno v roce 2024: 64,7 mil. Kč z toho 28 mil. Kč v rámci bilaterálních projektů, 28,8 mil. Kč v rámci DS z prostředků EK, 7,5 mil. Kč v rámci trojstranných projektů a 437 tisíc v rámci B2B) </w:t>
      </w:r>
    </w:p>
    <w:p w14:paraId="402D8400" w14:textId="77777777" w:rsidR="004A49DC" w:rsidRPr="00554334" w:rsidRDefault="004A49DC" w:rsidP="001C7A7B">
      <w:pPr>
        <w:spacing w:line="264" w:lineRule="auto"/>
        <w:jc w:val="both"/>
        <w:rPr>
          <w:rFonts w:asciiTheme="majorBidi" w:eastAsia="Georgia" w:hAnsiTheme="majorBidi" w:cstheme="majorBidi"/>
        </w:rPr>
      </w:pPr>
      <w:r w:rsidRPr="00554334">
        <w:rPr>
          <w:rFonts w:asciiTheme="majorBidi" w:eastAsia="Georgia" w:hAnsiTheme="majorBidi" w:cstheme="majorBidi"/>
        </w:rPr>
        <w:t>Počet realizovaných projektů: 11 (4 bilaterální projekty, 3 projekty v rámci DS z prostředků EK, 3 trojstranné projekty a 1 projekt v rámci B2B)</w:t>
      </w:r>
    </w:p>
    <w:p w14:paraId="2D2DDA94" w14:textId="77777777" w:rsidR="004A49DC" w:rsidRPr="00554334" w:rsidRDefault="004A49DC" w:rsidP="001C7A7B">
      <w:pPr>
        <w:spacing w:line="264" w:lineRule="auto"/>
        <w:ind w:firstLine="709"/>
        <w:jc w:val="both"/>
        <w:rPr>
          <w:rFonts w:asciiTheme="majorBidi" w:eastAsia="Georgia" w:hAnsiTheme="majorBidi" w:cstheme="majorBidi"/>
        </w:rPr>
      </w:pPr>
    </w:p>
    <w:p w14:paraId="53272CCB" w14:textId="77777777" w:rsidR="004A49DC" w:rsidRPr="00554334" w:rsidRDefault="004A49DC" w:rsidP="001C7A7B">
      <w:pPr>
        <w:spacing w:line="264" w:lineRule="auto"/>
        <w:ind w:firstLine="709"/>
        <w:jc w:val="both"/>
        <w:rPr>
          <w:rFonts w:asciiTheme="majorBidi" w:hAnsiTheme="majorBidi" w:cstheme="majorBidi"/>
        </w:rPr>
      </w:pPr>
      <w:r w:rsidRPr="00554334">
        <w:rPr>
          <w:rFonts w:asciiTheme="majorBidi" w:eastAsia="Georgia" w:hAnsiTheme="majorBidi" w:cstheme="majorBidi"/>
        </w:rPr>
        <w:t xml:space="preserve">Sektorová oblast </w:t>
      </w:r>
      <w:r w:rsidRPr="00554334">
        <w:rPr>
          <w:rFonts w:asciiTheme="majorBidi" w:eastAsia="Georgia" w:hAnsiTheme="majorBidi" w:cstheme="majorBidi"/>
          <w:b/>
          <w:bCs/>
        </w:rPr>
        <w:t xml:space="preserve">zemědělství a rozvoj venkova </w:t>
      </w:r>
      <w:r w:rsidRPr="00554334">
        <w:rPr>
          <w:rFonts w:asciiTheme="majorBidi" w:eastAsia="Georgia" w:hAnsiTheme="majorBidi" w:cstheme="majorBidi"/>
        </w:rPr>
        <w:t>(zahrnující</w:t>
      </w:r>
      <w:r w:rsidRPr="00554334">
        <w:rPr>
          <w:rFonts w:asciiTheme="majorBidi" w:eastAsia="Georgia" w:hAnsiTheme="majorBidi" w:cstheme="majorBidi"/>
          <w:b/>
          <w:bCs/>
        </w:rPr>
        <w:t xml:space="preserve"> </w:t>
      </w:r>
      <w:r w:rsidRPr="00554334">
        <w:rPr>
          <w:rFonts w:asciiTheme="majorBidi" w:eastAsia="Georgia" w:hAnsiTheme="majorBidi" w:cstheme="majorBidi"/>
        </w:rPr>
        <w:t>sektor</w:t>
      </w:r>
      <w:r w:rsidRPr="00554334">
        <w:rPr>
          <w:rFonts w:asciiTheme="majorBidi" w:eastAsia="Georgia" w:hAnsiTheme="majorBidi" w:cstheme="majorBidi"/>
          <w:b/>
          <w:bCs/>
        </w:rPr>
        <w:t xml:space="preserve"> zemědělství a lesnictví</w:t>
      </w:r>
      <w:r w:rsidRPr="00554334">
        <w:rPr>
          <w:rFonts w:asciiTheme="majorBidi" w:eastAsia="Georgia" w:hAnsiTheme="majorBidi" w:cstheme="majorBidi"/>
        </w:rPr>
        <w:t>)</w:t>
      </w:r>
      <w:r w:rsidRPr="00554334">
        <w:rPr>
          <w:rFonts w:asciiTheme="majorBidi" w:eastAsia="Georgia" w:hAnsiTheme="majorBidi" w:cstheme="majorBidi"/>
          <w:b/>
          <w:bCs/>
        </w:rPr>
        <w:t xml:space="preserve"> </w:t>
      </w:r>
      <w:r w:rsidRPr="00554334">
        <w:rPr>
          <w:rFonts w:asciiTheme="majorBidi" w:eastAsia="Georgia" w:hAnsiTheme="majorBidi" w:cstheme="majorBidi"/>
        </w:rPr>
        <w:t>i nadále představuje v Zambii oblast s výrazným potenciálem rozvoje. Jedná se o sektor, v rámci, kterého česká zahraniční rozvojová spolupráce navazuje na intervence z předchozích let. Díky těmto aktivitám dochází k prohloubení a zkvalitnění rozvojového dopadu.</w:t>
      </w:r>
    </w:p>
    <w:p w14:paraId="20EE3719" w14:textId="4B499853"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V roce 2024 byly dokončeny dva projekty soustředěné na Západní provincii, tedy oblast, kde ČRA působí jako jeden z mála zahraničních donorů. Prvním z nich je projekt „Integrated Farming III.“, realizovaný Mendelovou univerzitou v Brně. Jeho hlavním cílem bylo zvýšit zemědělskou produkci a produktivitu malých farmářů v okresech Limulunga, Nalolo, Mongu a Senanga a zároveň zvýšit odolnost krajiny vůči dopadům klimatických změn. Projekt přispěl ke zvýšení příjmu drobných farmářů, a přispěl tak i ke zlepšení životního standardu místních obyvatel. Dále byl v Západní provincii dokončen třetí rok projektu „Bioplynovou technologií k vyšší odolnosti komunit v Západní provincii Zambie“, realizovaného organizací Člověk v tísni, o. p. s. Projekt přispěl ke zvýšení potravinové a</w:t>
      </w:r>
      <w:r w:rsidR="008157C0" w:rsidRPr="00554334">
        <w:rPr>
          <w:rFonts w:asciiTheme="majorBidi" w:eastAsia="Georgia" w:hAnsiTheme="majorBidi" w:cstheme="majorBidi"/>
        </w:rPr>
        <w:t> </w:t>
      </w:r>
      <w:r w:rsidRPr="00554334">
        <w:rPr>
          <w:rFonts w:asciiTheme="majorBidi" w:eastAsia="Georgia" w:hAnsiTheme="majorBidi" w:cstheme="majorBidi"/>
        </w:rPr>
        <w:t>nutriční bezpečnosti drobných zemědělců zlepšením přístupu k čisté a udržitelné energii a</w:t>
      </w:r>
      <w:r w:rsidR="008157C0" w:rsidRPr="00554334">
        <w:rPr>
          <w:rFonts w:asciiTheme="majorBidi" w:eastAsia="Georgia" w:hAnsiTheme="majorBidi" w:cstheme="majorBidi"/>
        </w:rPr>
        <w:t> </w:t>
      </w:r>
      <w:r w:rsidRPr="00554334">
        <w:rPr>
          <w:rFonts w:asciiTheme="majorBidi" w:eastAsia="Georgia" w:hAnsiTheme="majorBidi" w:cstheme="majorBidi"/>
        </w:rPr>
        <w:t>organickým hnojivům, což vedlo ke zvýšení zemědělské produkce a příjmů drobných zemědělců. Realizace projektu zahrnovala čtyři hlavní oblasti: zvýšení povědomí drobných zemědělců o bioplynové technologii, posílení kapacit poskytovatelů služeb v oblasti bioplynu, spolupráci s finančními institucemi při zajišťování služeb spojených s pořízením bioplynové technologie a školení zemědělců v používání bioplynové technologie a v efektivním využívání digestátu jako hnojiva.</w:t>
      </w:r>
    </w:p>
    <w:p w14:paraId="6DC47B44"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rámci projektu „Participativní vytvoření konceptu integrovaného managementu krajiny a zavádění jeho implementace v Zambii“ bude vyhotoven koncept ILM, a to na základě komplexní analýzy právního a politického prostředí a všech relevantních aktérů, kteří v jeho rámci působí. </w:t>
      </w:r>
    </w:p>
    <w:p w14:paraId="25B9E0F5" w14:textId="6C291BD6"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Dalším projektem v oblasti je „Podpora vzdělávání (Lusaka) a obživy uprchlíků a</w:t>
      </w:r>
      <w:r w:rsidR="008157C0" w:rsidRPr="00554334">
        <w:rPr>
          <w:rFonts w:asciiTheme="majorBidi" w:eastAsia="Georgia" w:hAnsiTheme="majorBidi" w:cstheme="majorBidi"/>
        </w:rPr>
        <w:t> </w:t>
      </w:r>
      <w:r w:rsidRPr="00554334">
        <w:rPr>
          <w:rFonts w:asciiTheme="majorBidi" w:eastAsia="Georgia" w:hAnsiTheme="majorBidi" w:cstheme="majorBidi"/>
        </w:rPr>
        <w:t>jejich hostitelských komunit v Zambii“, který si klade za cíl zlepšit soběstačnost a životní podmínky uprchlíků a místních obyvatel prostřednictvím podpory udržitelného a výdělečného zemědělství. Zaměřuje se na rozvoj hodnotových řetězců, propagaci integrovaného zemědělství a přizpůsobení produkce městským trhům, čímž přispívá k dlouhodobé ekonomické stabilitě a potravinové bezpečnosti těchto komunit. V oblasti zemědělství a</w:t>
      </w:r>
      <w:r w:rsidR="008157C0" w:rsidRPr="00554334">
        <w:rPr>
          <w:rFonts w:asciiTheme="majorBidi" w:eastAsia="Georgia" w:hAnsiTheme="majorBidi" w:cstheme="majorBidi"/>
        </w:rPr>
        <w:t> </w:t>
      </w:r>
      <w:r w:rsidRPr="00554334">
        <w:rPr>
          <w:rFonts w:asciiTheme="majorBidi" w:eastAsia="Georgia" w:hAnsiTheme="majorBidi" w:cstheme="majorBidi"/>
        </w:rPr>
        <w:t>rozvoje venkova byly taktéž realizovány projekty „</w:t>
      </w:r>
      <w:r w:rsidRPr="00554334">
        <w:rPr>
          <w:rFonts w:asciiTheme="majorBidi" w:hAnsiTheme="majorBidi" w:cstheme="majorBidi"/>
          <w:lang w:eastAsia="zh-CN"/>
        </w:rPr>
        <w:t xml:space="preserve">Zlepšení možností obživy prostřednictvím ochrany místního ekosystému v záplavové oblasti západní Zambie“, „Strengthening Resilience of Smallholder Households and Schools in Drought Prone Areas of Zambia“ a B2B projekt „Výroba ekologických prostředků na ochranu před hmyzem v Zambii“, </w:t>
      </w:r>
      <w:r w:rsidR="005032EA" w:rsidRPr="00554334">
        <w:rPr>
          <w:rFonts w:asciiTheme="majorBidi" w:hAnsiTheme="majorBidi" w:cstheme="majorBidi"/>
          <w:shd w:val="clear" w:color="auto" w:fill="FFFFFF"/>
        </w:rPr>
        <w:t>realizovaneý spolecč</w:t>
      </w:r>
      <w:r w:rsidRPr="00554334">
        <w:rPr>
          <w:rFonts w:asciiTheme="majorBidi" w:hAnsiTheme="majorBidi" w:cstheme="majorBidi"/>
          <w:shd w:val="clear" w:color="auto" w:fill="FFFFFF"/>
        </w:rPr>
        <w:t>ností Papírna Moudrý.</w:t>
      </w:r>
    </w:p>
    <w:p w14:paraId="66F7D737"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Zbývající dva projekty v oblasti probíhaly v Jižní provincii Zambie. Projekt „Zelená řešení pro udržitelný rozvoj a růst v okrese Monze“, realizovaný organizací Charita Česká republika, navázal na předchozí rok realizace projektu a podpořil farmáře při používání </w:t>
      </w:r>
      <w:r w:rsidRPr="00554334">
        <w:rPr>
          <w:rFonts w:asciiTheme="majorBidi" w:eastAsia="Georgia" w:hAnsiTheme="majorBidi" w:cstheme="majorBidi"/>
        </w:rPr>
        <w:lastRenderedPageBreak/>
        <w:t>produktivnějších a ekologičtějších agronomických metod. Současně byl podpořen rozvoj souvisejících hodnotových řetězců, zejména prostřednictvím usnadnění přístupu farmářů na trhy, zpřístupnění finančních služeb pro farmáře a podpory rozvoje vybraných firem působících v zemědělském sektoru. V Jižní provincii byla dále zahájena realizace projektu „Udržitelné agrolesnictví pro zkvalitnění produkce v Jižní provincii Zambie“, který realizuje Mendelova univerzita v Brně. Projekt se zaměřuje na zavádění integrovaného managementu krajiny, výnosnějších a ekologicky šetrných agronomických postupů a na rozvoj souvisejících hodnotových řetězců.</w:t>
      </w:r>
    </w:p>
    <w:p w14:paraId="4D084C5F" w14:textId="3CADB510" w:rsidR="004A49DC" w:rsidRPr="00554334" w:rsidRDefault="004A49DC" w:rsidP="001C7A7B">
      <w:pPr>
        <w:spacing w:line="264" w:lineRule="auto"/>
        <w:ind w:firstLine="709"/>
        <w:jc w:val="both"/>
        <w:rPr>
          <w:rFonts w:asciiTheme="majorBidi" w:eastAsia="DengXian Light" w:hAnsiTheme="majorBidi" w:cstheme="majorBidi"/>
        </w:rPr>
      </w:pPr>
      <w:r w:rsidRPr="00554334">
        <w:rPr>
          <w:rFonts w:asciiTheme="majorBidi" w:eastAsia="Georgia" w:hAnsiTheme="majorBidi" w:cstheme="majorBidi"/>
        </w:rPr>
        <w:t xml:space="preserve">V sektoru </w:t>
      </w:r>
      <w:r w:rsidRPr="00554334">
        <w:rPr>
          <w:rFonts w:asciiTheme="majorBidi" w:eastAsia="Georgia" w:hAnsiTheme="majorBidi" w:cstheme="majorBidi"/>
          <w:b/>
          <w:bCs/>
        </w:rPr>
        <w:t>ostatní sociální infrastruktura a služby</w:t>
      </w:r>
      <w:r w:rsidRPr="00554334">
        <w:rPr>
          <w:rFonts w:asciiTheme="majorBidi" w:eastAsia="Georgia" w:hAnsiTheme="majorBidi" w:cstheme="majorBidi"/>
        </w:rPr>
        <w:t xml:space="preserve"> lze identifikovat dva projekty. „Využití GIS a dálkového průzkumu Země v integrovaném managementu krajiny a</w:t>
      </w:r>
      <w:r w:rsidR="008157C0" w:rsidRPr="00554334">
        <w:rPr>
          <w:rFonts w:asciiTheme="majorBidi" w:eastAsia="Georgia" w:hAnsiTheme="majorBidi" w:cstheme="majorBidi"/>
        </w:rPr>
        <w:t> </w:t>
      </w:r>
      <w:r w:rsidRPr="00554334">
        <w:rPr>
          <w:rFonts w:asciiTheme="majorBidi" w:eastAsia="Georgia" w:hAnsiTheme="majorBidi" w:cstheme="majorBidi"/>
        </w:rPr>
        <w:t xml:space="preserve">připravenosti na přírodní katastrofy“ jehož cílem </w:t>
      </w:r>
      <w:r w:rsidRPr="00554334">
        <w:rPr>
          <w:rFonts w:asciiTheme="majorBidi" w:eastAsia="DengXian Light" w:hAnsiTheme="majorBidi" w:cstheme="majorBidi"/>
        </w:rPr>
        <w:t>je zlepšit schopnost plánování a reakce na přírodní hrozby, jako jsou povodně, sucha nebo sesuvy půdy, prostřednictvím přesného mapování, monitorování a analýzy dat o krajině. Druhý projekt v této oblasti</w:t>
      </w:r>
      <w:r w:rsidRPr="00554334">
        <w:rPr>
          <w:rFonts w:asciiTheme="majorBidi" w:eastAsia="Georgia" w:hAnsiTheme="majorBidi" w:cstheme="majorBidi"/>
        </w:rPr>
        <w:t xml:space="preserve"> „Sustainable Landscape through Integrated Management (SLIM)“ </w:t>
      </w:r>
      <w:r w:rsidRPr="00554334">
        <w:rPr>
          <w:rFonts w:asciiTheme="majorBidi" w:eastAsia="DengXian Light" w:hAnsiTheme="majorBidi" w:cstheme="majorBidi"/>
        </w:rPr>
        <w:t>si klade za cíl posílit odolnost ekosystémů a zlepšit životní podmínky místních komunit prostřednictvím integrovaného přístupu ke správě krajiny, zahrnujícího zemědělství, lesnictví, biodiverzitu, vodní zdroje a</w:t>
      </w:r>
      <w:r w:rsidR="008157C0" w:rsidRPr="00554334">
        <w:rPr>
          <w:rFonts w:asciiTheme="majorBidi" w:eastAsia="DengXian Light" w:hAnsiTheme="majorBidi" w:cstheme="majorBidi"/>
        </w:rPr>
        <w:t> </w:t>
      </w:r>
      <w:r w:rsidRPr="00554334">
        <w:rPr>
          <w:rFonts w:asciiTheme="majorBidi" w:eastAsia="DengXian Light" w:hAnsiTheme="majorBidi" w:cstheme="majorBidi"/>
        </w:rPr>
        <w:t>klima. Zaměřuje se na využití moderních technologií, jako je dálkový průzkum Země satelitní mapování, a na budování kapacit zambijských institucí pro efektivní rozhodování a</w:t>
      </w:r>
      <w:r w:rsidR="008157C0" w:rsidRPr="00554334">
        <w:rPr>
          <w:rFonts w:asciiTheme="majorBidi" w:eastAsia="DengXian Light" w:hAnsiTheme="majorBidi" w:cstheme="majorBidi"/>
        </w:rPr>
        <w:t> </w:t>
      </w:r>
      <w:r w:rsidRPr="00554334">
        <w:rPr>
          <w:rFonts w:asciiTheme="majorBidi" w:eastAsia="DengXian Light" w:hAnsiTheme="majorBidi" w:cstheme="majorBidi"/>
        </w:rPr>
        <w:t>reakci na přírodní katastrofy.</w:t>
      </w:r>
    </w:p>
    <w:p w14:paraId="2B5F2B4C" w14:textId="77777777" w:rsidR="005032EA" w:rsidRPr="00554334" w:rsidRDefault="005032EA" w:rsidP="001C7A7B">
      <w:pPr>
        <w:spacing w:line="264" w:lineRule="auto"/>
        <w:ind w:firstLine="709"/>
        <w:jc w:val="both"/>
        <w:rPr>
          <w:rFonts w:asciiTheme="majorBidi" w:eastAsia="DengXian Light" w:hAnsiTheme="majorBidi" w:cstheme="majorBidi"/>
        </w:rPr>
      </w:pPr>
    </w:p>
    <w:p w14:paraId="7D0CC13F" w14:textId="008303B9" w:rsidR="000C4D3A" w:rsidRPr="00554334" w:rsidRDefault="000C4D3A" w:rsidP="001C7A7B">
      <w:pPr>
        <w:spacing w:line="264" w:lineRule="auto"/>
        <w:rPr>
          <w:rFonts w:asciiTheme="majorBidi" w:eastAsia="Georgia" w:hAnsiTheme="majorBidi" w:cstheme="majorBidi"/>
        </w:rPr>
      </w:pPr>
      <w:r w:rsidRPr="00554334">
        <w:rPr>
          <w:rFonts w:asciiTheme="majorBidi" w:eastAsia="Georgia" w:hAnsiTheme="majorBidi" w:cstheme="majorBidi"/>
        </w:rPr>
        <w:br w:type="page"/>
      </w:r>
    </w:p>
    <w:p w14:paraId="5266A7DC" w14:textId="3D821400" w:rsidR="004A49DC" w:rsidRPr="00554334" w:rsidRDefault="004A49DC" w:rsidP="001C7A7B">
      <w:pPr>
        <w:keepNext/>
        <w:keepLines/>
        <w:spacing w:before="80" w:after="40" w:line="264" w:lineRule="auto"/>
        <w:jc w:val="both"/>
        <w:outlineLvl w:val="4"/>
        <w:rPr>
          <w:rFonts w:asciiTheme="majorBidi" w:eastAsia="Georgia" w:hAnsiTheme="majorBidi" w:cstheme="majorBidi"/>
          <w:b/>
        </w:rPr>
      </w:pPr>
      <w:r w:rsidRPr="00554334">
        <w:rPr>
          <w:rFonts w:asciiTheme="majorBidi" w:eastAsia="Georgia" w:hAnsiTheme="majorBidi" w:cstheme="majorBidi"/>
          <w:b/>
        </w:rPr>
        <w:lastRenderedPageBreak/>
        <w:t>Ukrajina</w:t>
      </w:r>
    </w:p>
    <w:p w14:paraId="47428A79" w14:textId="4D1187F1" w:rsidR="004A49DC" w:rsidRPr="00554334" w:rsidRDefault="004A49DC" w:rsidP="001C7A7B">
      <w:pPr>
        <w:keepNext/>
        <w:keepLines/>
        <w:spacing w:line="264" w:lineRule="auto"/>
        <w:jc w:val="both"/>
        <w:rPr>
          <w:rFonts w:asciiTheme="majorBidi" w:eastAsia="Georgia" w:hAnsiTheme="majorBidi" w:cstheme="majorBidi"/>
        </w:rPr>
      </w:pPr>
      <w:r w:rsidRPr="00554334">
        <w:rPr>
          <w:rFonts w:asciiTheme="majorBidi" w:eastAsia="Georgia" w:hAnsiTheme="majorBidi" w:cstheme="majorBidi"/>
        </w:rPr>
        <w:t xml:space="preserve">Čerpáno v roce 2024: </w:t>
      </w:r>
      <w:r w:rsidR="00BA7F30" w:rsidRPr="00554334">
        <w:rPr>
          <w:rFonts w:asciiTheme="majorBidi" w:eastAsia="Georgia" w:hAnsiTheme="majorBidi" w:cstheme="majorBidi"/>
        </w:rPr>
        <w:t>7</w:t>
      </w:r>
      <w:r w:rsidRPr="00554334">
        <w:rPr>
          <w:rFonts w:asciiTheme="majorBidi" w:eastAsia="Georgia" w:hAnsiTheme="majorBidi" w:cstheme="majorBidi"/>
        </w:rPr>
        <w:t xml:space="preserve"> mil. Kč v rámci bilaterálních </w:t>
      </w:r>
      <w:r w:rsidR="00157EBD" w:rsidRPr="00554334">
        <w:rPr>
          <w:rFonts w:asciiTheme="majorBidi" w:eastAsia="Georgia" w:hAnsiTheme="majorBidi" w:cstheme="majorBidi"/>
        </w:rPr>
        <w:t xml:space="preserve">ZRS </w:t>
      </w:r>
      <w:r w:rsidRPr="00554334">
        <w:rPr>
          <w:rFonts w:asciiTheme="majorBidi" w:eastAsia="Georgia" w:hAnsiTheme="majorBidi" w:cstheme="majorBidi"/>
        </w:rPr>
        <w:t>projek</w:t>
      </w:r>
      <w:r w:rsidR="005032EA" w:rsidRPr="00554334">
        <w:rPr>
          <w:rFonts w:asciiTheme="majorBidi" w:eastAsia="Georgia" w:hAnsiTheme="majorBidi" w:cstheme="majorBidi"/>
        </w:rPr>
        <w:t>tů a </w:t>
      </w:r>
      <w:r w:rsidR="001462A3" w:rsidRPr="00554334">
        <w:rPr>
          <w:rFonts w:asciiTheme="majorBidi" w:eastAsia="Georgia" w:hAnsiTheme="majorBidi" w:cstheme="majorBidi"/>
        </w:rPr>
        <w:t xml:space="preserve">dále </w:t>
      </w:r>
      <w:r w:rsidR="0001251A" w:rsidRPr="00554334">
        <w:rPr>
          <w:rFonts w:asciiTheme="majorBidi" w:eastAsia="Georgia" w:hAnsiTheme="majorBidi" w:cstheme="majorBidi"/>
        </w:rPr>
        <w:t>31</w:t>
      </w:r>
      <w:r w:rsidR="00157EBD" w:rsidRPr="00554334">
        <w:rPr>
          <w:rFonts w:asciiTheme="majorBidi" w:eastAsia="Georgia" w:hAnsiTheme="majorBidi" w:cstheme="majorBidi"/>
        </w:rPr>
        <w:t> </w:t>
      </w:r>
      <w:r w:rsidR="0001251A" w:rsidRPr="00554334">
        <w:rPr>
          <w:rFonts w:asciiTheme="majorBidi" w:eastAsia="Georgia" w:hAnsiTheme="majorBidi" w:cstheme="majorBidi"/>
        </w:rPr>
        <w:t>092</w:t>
      </w:r>
      <w:r w:rsidR="00157EBD" w:rsidRPr="00554334">
        <w:rPr>
          <w:rFonts w:asciiTheme="majorBidi" w:eastAsia="Georgia" w:hAnsiTheme="majorBidi" w:cstheme="majorBidi"/>
        </w:rPr>
        <w:t xml:space="preserve"> </w:t>
      </w:r>
      <w:r w:rsidR="0001251A" w:rsidRPr="00554334">
        <w:rPr>
          <w:rFonts w:asciiTheme="majorBidi" w:eastAsia="Georgia" w:hAnsiTheme="majorBidi" w:cstheme="majorBidi"/>
        </w:rPr>
        <w:t>151,92 Kč v rámci Programu Ukrajina.</w:t>
      </w:r>
    </w:p>
    <w:p w14:paraId="5EC71ED8" w14:textId="6D95E125" w:rsidR="004A49DC" w:rsidRPr="00554334" w:rsidRDefault="004A49DC" w:rsidP="001C7A7B">
      <w:pPr>
        <w:keepNext/>
        <w:keepLines/>
        <w:spacing w:line="264" w:lineRule="auto"/>
        <w:jc w:val="both"/>
        <w:rPr>
          <w:rFonts w:asciiTheme="majorBidi" w:eastAsia="Georgia" w:hAnsiTheme="majorBidi" w:cstheme="majorBidi"/>
        </w:rPr>
      </w:pPr>
      <w:r w:rsidRPr="00554334">
        <w:rPr>
          <w:rFonts w:asciiTheme="majorBidi" w:eastAsia="Georgia" w:hAnsiTheme="majorBidi" w:cstheme="majorBidi"/>
        </w:rPr>
        <w:t xml:space="preserve">Počet realizovaných projektů: </w:t>
      </w:r>
      <w:r w:rsidR="009348E3" w:rsidRPr="00554334">
        <w:rPr>
          <w:rFonts w:asciiTheme="majorBidi" w:eastAsia="Georgia" w:hAnsiTheme="majorBidi" w:cstheme="majorBidi"/>
        </w:rPr>
        <w:t>2</w:t>
      </w:r>
      <w:r w:rsidR="0001251A" w:rsidRPr="00554334">
        <w:rPr>
          <w:rFonts w:asciiTheme="majorBidi" w:eastAsia="Georgia" w:hAnsiTheme="majorBidi" w:cstheme="majorBidi"/>
        </w:rPr>
        <w:t xml:space="preserve"> bilaterální projekty</w:t>
      </w:r>
      <w:r w:rsidR="00AD6929" w:rsidRPr="00554334">
        <w:rPr>
          <w:rFonts w:asciiTheme="majorBidi" w:eastAsia="Georgia" w:hAnsiTheme="majorBidi" w:cstheme="majorBidi"/>
        </w:rPr>
        <w:t xml:space="preserve"> a 7 projektů v rámci Programu Ukrajina. (z toho 1 RO) </w:t>
      </w:r>
      <w:r w:rsidRPr="00554334">
        <w:rPr>
          <w:rFonts w:asciiTheme="majorBidi" w:eastAsia="Georgia" w:hAnsiTheme="majorBidi" w:cstheme="majorBidi"/>
        </w:rPr>
        <w:t xml:space="preserve"> </w:t>
      </w:r>
    </w:p>
    <w:p w14:paraId="17F72AF9" w14:textId="77777777" w:rsidR="004A49DC" w:rsidRPr="00554334" w:rsidRDefault="004A49DC" w:rsidP="001C7A7B">
      <w:pPr>
        <w:spacing w:line="264" w:lineRule="auto"/>
        <w:ind w:firstLine="709"/>
        <w:jc w:val="both"/>
        <w:rPr>
          <w:rFonts w:asciiTheme="majorBidi" w:eastAsia="Georgia" w:hAnsiTheme="majorBidi" w:cstheme="majorBidi"/>
        </w:rPr>
      </w:pPr>
    </w:p>
    <w:p w14:paraId="00385885"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Na Ukrajině se projekty svou náplní zaměřovaly na čtyři prioritní sektory: </w:t>
      </w:r>
      <w:r w:rsidRPr="00554334">
        <w:rPr>
          <w:rFonts w:asciiTheme="majorBidi" w:eastAsia="Georgia" w:hAnsiTheme="majorBidi" w:cstheme="majorBidi"/>
          <w:b/>
          <w:bCs/>
        </w:rPr>
        <w:t>veřejná správa a občanská společnost</w:t>
      </w:r>
      <w:r w:rsidRPr="00554334">
        <w:rPr>
          <w:rFonts w:asciiTheme="majorBidi" w:eastAsia="Georgia" w:hAnsiTheme="majorBidi" w:cstheme="majorBidi"/>
        </w:rPr>
        <w:t xml:space="preserve">, </w:t>
      </w:r>
      <w:r w:rsidRPr="00554334">
        <w:rPr>
          <w:rFonts w:asciiTheme="majorBidi" w:eastAsia="Georgia" w:hAnsiTheme="majorBidi" w:cstheme="majorBidi"/>
          <w:b/>
          <w:bCs/>
        </w:rPr>
        <w:t>zdravotnictví</w:t>
      </w:r>
      <w:r w:rsidRPr="00554334">
        <w:rPr>
          <w:rFonts w:asciiTheme="majorBidi" w:eastAsia="Georgia" w:hAnsiTheme="majorBidi" w:cstheme="majorBidi"/>
        </w:rPr>
        <w:t xml:space="preserve">, </w:t>
      </w:r>
      <w:r w:rsidRPr="00554334">
        <w:rPr>
          <w:rFonts w:asciiTheme="majorBidi" w:eastAsia="Georgia" w:hAnsiTheme="majorBidi" w:cstheme="majorBidi"/>
          <w:b/>
          <w:bCs/>
        </w:rPr>
        <w:t xml:space="preserve">vzdělávání </w:t>
      </w:r>
      <w:r w:rsidRPr="00554334">
        <w:rPr>
          <w:rFonts w:asciiTheme="majorBidi" w:eastAsia="Georgia" w:hAnsiTheme="majorBidi" w:cstheme="majorBidi"/>
        </w:rPr>
        <w:t>a </w:t>
      </w:r>
      <w:r w:rsidRPr="00554334">
        <w:rPr>
          <w:rFonts w:asciiTheme="majorBidi" w:eastAsia="Georgia" w:hAnsiTheme="majorBidi" w:cstheme="majorBidi"/>
          <w:b/>
          <w:bCs/>
        </w:rPr>
        <w:t>zemědělství a lesnictví</w:t>
      </w:r>
      <w:r w:rsidRPr="00554334">
        <w:rPr>
          <w:rFonts w:asciiTheme="majorBidi" w:eastAsia="Georgia" w:hAnsiTheme="majorBidi" w:cstheme="majorBidi"/>
        </w:rPr>
        <w:t>. Realizace probíhala v souladu s Usnesením vlády ČR č. 605 z roku 2023 o dvoustranné zahraniční rozvojové spolupráci na rok 2024 a se střednědobým výhledem jejího financování do roku 2026, stejně jako s Programem humanitární, stabilizační, rekonstrukční a hospodářské asistence Ukrajině v letech 2023–2025.</w:t>
      </w:r>
    </w:p>
    <w:p w14:paraId="0CA8936D"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sektoru </w:t>
      </w:r>
      <w:r w:rsidRPr="00554334">
        <w:rPr>
          <w:rFonts w:asciiTheme="majorBidi" w:eastAsia="Georgia" w:hAnsiTheme="majorBidi" w:cstheme="majorBidi"/>
          <w:b/>
          <w:bCs/>
        </w:rPr>
        <w:t>veřejná správa a občanské společnost</w:t>
      </w:r>
      <w:r w:rsidRPr="00554334">
        <w:rPr>
          <w:rFonts w:asciiTheme="majorBidi" w:eastAsia="Georgia" w:hAnsiTheme="majorBidi" w:cstheme="majorBidi"/>
        </w:rPr>
        <w:t xml:space="preserve"> podpořila ČRA zapojení mladých lidí a vnitřně přesídlených osob do místní občanské společnosti a jejich účast na tvorbě plánu obnovy v Ivanofrankivské a Mykolajivské oblasti. Tato podpora byla realizována v rámci projektu „Vidnova – Na cestě k místně vedenému, inkluzivnímu a transparentnímu procesu obnovy na Ukrajině“. V rámci projektů „Identifikace a prioritizace ekologických zátěží v Dněpropetrovské oblasti“ a „Posílení monitoringu znečištění životního prostředí v Dněpropetrovské oblasti v době ozbrojeného konfliktu“ byla budována kapacita místních aktérů pro sledování kontinuálního znečišťování životního prostředí a zároveň prováděna identifikace a inventarizace starých ekologických zátěží. T</w:t>
      </w:r>
    </w:p>
    <w:p w14:paraId="3A2C7D6A"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sektoru </w:t>
      </w:r>
      <w:r w:rsidRPr="00554334">
        <w:rPr>
          <w:rFonts w:asciiTheme="majorBidi" w:eastAsia="Georgia" w:hAnsiTheme="majorBidi" w:cstheme="majorBidi"/>
          <w:b/>
          <w:bCs/>
        </w:rPr>
        <w:t xml:space="preserve">zdravotnictví </w:t>
      </w:r>
      <w:r w:rsidRPr="00554334">
        <w:rPr>
          <w:rFonts w:asciiTheme="majorBidi" w:eastAsia="Georgia" w:hAnsiTheme="majorBidi" w:cstheme="majorBidi"/>
        </w:rPr>
        <w:t>probíhal projekt</w:t>
      </w:r>
      <w:r w:rsidRPr="00554334">
        <w:rPr>
          <w:rFonts w:asciiTheme="majorBidi" w:eastAsia="Georgia" w:hAnsiTheme="majorBidi" w:cstheme="majorBidi"/>
          <w:b/>
          <w:bCs/>
        </w:rPr>
        <w:t xml:space="preserve"> </w:t>
      </w:r>
      <w:r w:rsidRPr="00554334">
        <w:rPr>
          <w:rFonts w:asciiTheme="majorBidi" w:eastAsia="Georgia" w:hAnsiTheme="majorBidi" w:cstheme="majorBidi"/>
        </w:rPr>
        <w:t xml:space="preserve">„Posílení kapacit ve Lviv Territorial Medical Union a Národním rehabilitačním centru Unbroken“. Výsledkem bylo zřízení specializované laboratoře na sledování antibiotické rezistence ve Lvovské oblasti. Současně probíhala ve Dněpropetrovské oblasti v šesti nemocnicích modernizace ambulantních rehabilitačních center v rámci projektu „Podpora překonání následků války posílením kapacity vybraných ambulantních rehabilitačních center v oblasti rehabilitace a reprodukční zdravotní péče v Dněpropetrovském regionu“.  </w:t>
      </w:r>
    </w:p>
    <w:p w14:paraId="57D411EE" w14:textId="18B7035E"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sektoru </w:t>
      </w:r>
      <w:r w:rsidRPr="00554334">
        <w:rPr>
          <w:rFonts w:asciiTheme="majorBidi" w:eastAsia="Georgia" w:hAnsiTheme="majorBidi" w:cstheme="majorBidi"/>
          <w:b/>
          <w:bCs/>
        </w:rPr>
        <w:t>vzdělávání</w:t>
      </w:r>
      <w:r w:rsidR="004433E4" w:rsidRPr="00554334">
        <w:rPr>
          <w:rFonts w:asciiTheme="majorBidi" w:hAnsiTheme="majorBidi" w:cstheme="majorBidi"/>
        </w:rPr>
        <w:t xml:space="preserve"> </w:t>
      </w:r>
      <w:r w:rsidRPr="00554334">
        <w:rPr>
          <w:rFonts w:asciiTheme="majorBidi" w:eastAsia="Georgia" w:hAnsiTheme="majorBidi" w:cstheme="majorBidi"/>
        </w:rPr>
        <w:t>rovněž v Dněpropetrovské oblasti podporuje ČRA zvyšování kvality školní výuky prostřednictvím podpory institutu kontinuálního vzdělávání pedagogických sborů. Na tyto cíle se zaměřil projekt s názvem „Posílení kapacit a kompetencí pracovníků v sektoru vzdělávání v Dněpropetrovské oblasti“.</w:t>
      </w:r>
    </w:p>
    <w:p w14:paraId="7DC0BE7C" w14:textId="273F7A15" w:rsidR="000C4D3A"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 xml:space="preserve">V rámci sektoru </w:t>
      </w:r>
      <w:r w:rsidRPr="00554334">
        <w:rPr>
          <w:rFonts w:asciiTheme="majorBidi" w:eastAsia="Georgia" w:hAnsiTheme="majorBidi" w:cstheme="majorBidi"/>
          <w:b/>
          <w:bCs/>
        </w:rPr>
        <w:t>zemědělství a lesnictví</w:t>
      </w:r>
      <w:r w:rsidRPr="00554334">
        <w:rPr>
          <w:rFonts w:asciiTheme="majorBidi" w:eastAsia="Georgia" w:hAnsiTheme="majorBidi" w:cstheme="majorBidi"/>
        </w:rPr>
        <w:t xml:space="preserve"> probíhal na Ukrajině projekt „Posílení kapacit Ukrajiny v oblasti monitoringu lesů pro harmonizaci se standardy EU“, díky kterému ČRA přispěla k vytvoření komplexního systému monitorování lesů a zlepšení kvality údajů o lesích pro implementaci strategií EU/FAO na podporu lesů a lesnictví na Ukrajině. Projekt také podpořil univerzitní výuku dálkového průzkumu Země zaměřenou na potřeby lesnictví.</w:t>
      </w:r>
    </w:p>
    <w:p w14:paraId="493B39A4" w14:textId="77777777" w:rsidR="000C4D3A" w:rsidRPr="00554334" w:rsidRDefault="000C4D3A" w:rsidP="001C7A7B">
      <w:pPr>
        <w:spacing w:line="264" w:lineRule="auto"/>
        <w:rPr>
          <w:rFonts w:asciiTheme="majorBidi" w:eastAsia="Georgia" w:hAnsiTheme="majorBidi" w:cstheme="majorBidi"/>
        </w:rPr>
      </w:pPr>
      <w:r w:rsidRPr="00554334">
        <w:rPr>
          <w:rFonts w:asciiTheme="majorBidi" w:eastAsia="Georgia" w:hAnsiTheme="majorBidi" w:cstheme="majorBidi"/>
        </w:rPr>
        <w:br w:type="page"/>
      </w:r>
    </w:p>
    <w:p w14:paraId="453BEE6F" w14:textId="77777777" w:rsidR="004A49DC" w:rsidRPr="00554334" w:rsidRDefault="004A49DC" w:rsidP="001C7A7B">
      <w:pPr>
        <w:keepNext/>
        <w:keepLines/>
        <w:numPr>
          <w:ilvl w:val="2"/>
          <w:numId w:val="13"/>
        </w:numPr>
        <w:spacing w:before="160" w:after="80" w:line="264" w:lineRule="auto"/>
        <w:ind w:left="0" w:firstLine="0"/>
        <w:jc w:val="both"/>
        <w:outlineLvl w:val="2"/>
        <w:rPr>
          <w:rFonts w:asciiTheme="majorBidi" w:eastAsia="DengXian Light" w:hAnsiTheme="majorBidi" w:cstheme="majorBidi"/>
          <w:b/>
        </w:rPr>
      </w:pPr>
      <w:bookmarkStart w:id="3" w:name="_Toc200351820"/>
      <w:bookmarkStart w:id="4" w:name="_Toc200633257"/>
      <w:r w:rsidRPr="00554334">
        <w:rPr>
          <w:rFonts w:asciiTheme="majorBidi" w:eastAsia="DengXian Light" w:hAnsiTheme="majorBidi" w:cstheme="majorBidi"/>
          <w:b/>
        </w:rPr>
        <w:lastRenderedPageBreak/>
        <w:t>Rozvojové aktivity ČRA dle tematického zaměření</w:t>
      </w:r>
      <w:bookmarkEnd w:id="3"/>
      <w:bookmarkEnd w:id="4"/>
      <w:r w:rsidRPr="00554334">
        <w:rPr>
          <w:rFonts w:asciiTheme="majorBidi" w:eastAsia="DengXian Light" w:hAnsiTheme="majorBidi" w:cstheme="majorBidi"/>
          <w:b/>
        </w:rPr>
        <w:t xml:space="preserve"> </w:t>
      </w:r>
    </w:p>
    <w:p w14:paraId="273704F9" w14:textId="62BAF49C" w:rsidR="004A49DC" w:rsidRPr="00554334" w:rsidRDefault="004A49DC" w:rsidP="001C7A7B">
      <w:pPr>
        <w:spacing w:line="264" w:lineRule="auto"/>
        <w:ind w:firstLine="709"/>
        <w:jc w:val="both"/>
        <w:rPr>
          <w:rFonts w:asciiTheme="majorBidi" w:eastAsia="Georgia" w:hAnsiTheme="majorBidi" w:cstheme="majorBidi"/>
          <w:vertAlign w:val="superscript"/>
        </w:rPr>
      </w:pPr>
      <w:r w:rsidRPr="00554334">
        <w:rPr>
          <w:rFonts w:asciiTheme="majorBidi" w:eastAsia="Georgia" w:hAnsiTheme="majorBidi" w:cstheme="majorBidi"/>
        </w:rPr>
        <w:t>ČRA realizuje tematicky širokou škálu projektů. V rámci bilaterálních projektů působí především v šesti prioritních zemích. Dotační nástroje B2B či trilaterální spolupráce podporuje projekty i v jiných rozvojových zemích světa. Dotační tituly směřují i do České republiky, kde ČRA podporuje projekty zaměřené na vzdělávání, osvětu, témata udržitelného rozvoje či podporu platforem věnujícím se rozvojové spolupráci.</w:t>
      </w:r>
    </w:p>
    <w:p w14:paraId="04C68679" w14:textId="77777777" w:rsidR="004A49DC" w:rsidRPr="00554334" w:rsidRDefault="004A49DC" w:rsidP="001C7A7B">
      <w:pPr>
        <w:spacing w:line="264" w:lineRule="auto"/>
        <w:ind w:firstLine="709"/>
        <w:jc w:val="both"/>
        <w:rPr>
          <w:rFonts w:asciiTheme="majorBidi" w:eastAsia="Georgia" w:hAnsiTheme="majorBidi" w:cstheme="majorBidi"/>
        </w:rPr>
      </w:pPr>
      <w:r w:rsidRPr="00554334">
        <w:rPr>
          <w:rFonts w:asciiTheme="majorBidi" w:eastAsia="Georgia" w:hAnsiTheme="majorBidi" w:cstheme="majorBidi"/>
        </w:rPr>
        <w:t>Projekty ČRA jsou v prioritních zemích soustředěny v několika sektorech, které jsou jak v souladu s požadavky příslušných států, tak jde o sektory, ve kterých Česká republika nabízí expertní zkušenosti a personální kapacity. Jedná se především o tyto sektory:</w:t>
      </w:r>
    </w:p>
    <w:p w14:paraId="4F218468" w14:textId="77777777" w:rsidR="004A49DC" w:rsidRPr="00554334" w:rsidRDefault="004A49DC" w:rsidP="001C7A7B">
      <w:pPr>
        <w:numPr>
          <w:ilvl w:val="0"/>
          <w:numId w:val="15"/>
        </w:numPr>
        <w:spacing w:line="264" w:lineRule="auto"/>
        <w:ind w:left="426" w:hanging="426"/>
        <w:contextualSpacing/>
        <w:jc w:val="both"/>
        <w:rPr>
          <w:rFonts w:asciiTheme="majorBidi" w:eastAsia="Georgia" w:hAnsiTheme="majorBidi" w:cstheme="majorBidi"/>
        </w:rPr>
      </w:pPr>
      <w:r w:rsidRPr="00554334">
        <w:rPr>
          <w:rFonts w:asciiTheme="majorBidi" w:eastAsia="Georgia" w:hAnsiTheme="majorBidi" w:cstheme="majorBidi"/>
        </w:rPr>
        <w:t xml:space="preserve">Voda a sanitace: Bosna a Hercegovina, Etiopie, Moldavsko </w:t>
      </w:r>
    </w:p>
    <w:p w14:paraId="53E16950" w14:textId="77777777" w:rsidR="004A49DC" w:rsidRPr="00554334" w:rsidRDefault="004A49DC" w:rsidP="001C7A7B">
      <w:pPr>
        <w:numPr>
          <w:ilvl w:val="0"/>
          <w:numId w:val="15"/>
        </w:numPr>
        <w:spacing w:line="264" w:lineRule="auto"/>
        <w:ind w:left="426" w:hanging="426"/>
        <w:contextualSpacing/>
        <w:jc w:val="both"/>
        <w:rPr>
          <w:rFonts w:asciiTheme="majorBidi" w:eastAsia="Georgia" w:hAnsiTheme="majorBidi" w:cstheme="majorBidi"/>
        </w:rPr>
      </w:pPr>
      <w:r w:rsidRPr="00554334">
        <w:rPr>
          <w:rFonts w:asciiTheme="majorBidi" w:eastAsia="Georgia" w:hAnsiTheme="majorBidi" w:cstheme="majorBidi"/>
        </w:rPr>
        <w:t>Veřejná správa a občanská společnost: Bosna a Hercegovina, Gruzie, Moldavsko, Ukrajina</w:t>
      </w:r>
    </w:p>
    <w:p w14:paraId="0992129C" w14:textId="77777777" w:rsidR="004A49DC" w:rsidRPr="00554334" w:rsidRDefault="004A49DC" w:rsidP="001C7A7B">
      <w:pPr>
        <w:numPr>
          <w:ilvl w:val="0"/>
          <w:numId w:val="15"/>
        </w:numPr>
        <w:spacing w:line="264" w:lineRule="auto"/>
        <w:ind w:left="426" w:hanging="426"/>
        <w:contextualSpacing/>
        <w:jc w:val="both"/>
        <w:rPr>
          <w:rFonts w:asciiTheme="majorBidi" w:eastAsia="Georgia" w:hAnsiTheme="majorBidi" w:cstheme="majorBidi"/>
        </w:rPr>
      </w:pPr>
      <w:r w:rsidRPr="00554334">
        <w:rPr>
          <w:rFonts w:asciiTheme="majorBidi" w:eastAsia="Georgia" w:hAnsiTheme="majorBidi" w:cstheme="majorBidi"/>
        </w:rPr>
        <w:t>Zdravotnictví: Gruzie, Kambodža</w:t>
      </w:r>
    </w:p>
    <w:p w14:paraId="43E09767" w14:textId="77777777" w:rsidR="004A49DC" w:rsidRPr="00554334" w:rsidRDefault="004A49DC" w:rsidP="001C7A7B">
      <w:pPr>
        <w:numPr>
          <w:ilvl w:val="0"/>
          <w:numId w:val="15"/>
        </w:numPr>
        <w:spacing w:line="264" w:lineRule="auto"/>
        <w:ind w:left="426" w:hanging="426"/>
        <w:contextualSpacing/>
        <w:jc w:val="both"/>
        <w:rPr>
          <w:rFonts w:asciiTheme="majorBidi" w:eastAsia="Georgia" w:hAnsiTheme="majorBidi" w:cstheme="majorBidi"/>
        </w:rPr>
      </w:pPr>
      <w:r w:rsidRPr="00554334">
        <w:rPr>
          <w:rFonts w:asciiTheme="majorBidi" w:eastAsia="Georgia" w:hAnsiTheme="majorBidi" w:cstheme="majorBidi"/>
        </w:rPr>
        <w:t>Výroba a dodávky energie: Bosna a Hercegovina</w:t>
      </w:r>
    </w:p>
    <w:p w14:paraId="6E12F681" w14:textId="4CBFCB71" w:rsidR="00EC52D8" w:rsidRPr="00554334" w:rsidRDefault="004A49DC" w:rsidP="001C7A7B">
      <w:pPr>
        <w:numPr>
          <w:ilvl w:val="0"/>
          <w:numId w:val="15"/>
        </w:numPr>
        <w:spacing w:line="264" w:lineRule="auto"/>
        <w:ind w:left="426" w:hanging="426"/>
        <w:contextualSpacing/>
        <w:jc w:val="both"/>
        <w:rPr>
          <w:rFonts w:asciiTheme="majorBidi" w:eastAsia="Georgia" w:hAnsiTheme="majorBidi" w:cstheme="majorBidi"/>
        </w:rPr>
      </w:pPr>
      <w:r w:rsidRPr="00554334">
        <w:rPr>
          <w:rFonts w:asciiTheme="majorBidi" w:eastAsia="Georgia" w:hAnsiTheme="majorBidi" w:cstheme="majorBidi"/>
        </w:rPr>
        <w:t>Zemědělství a lesnictví: Bosna a Hercegovina, Etiopie, Gruzie, Moldavsko, Zambie</w:t>
      </w:r>
    </w:p>
    <w:p w14:paraId="5AAE1E5F" w14:textId="77777777" w:rsidR="00954D28" w:rsidRDefault="00954D28" w:rsidP="00954D28">
      <w:pPr>
        <w:spacing w:line="276" w:lineRule="auto"/>
        <w:contextualSpacing/>
        <w:jc w:val="both"/>
        <w:rPr>
          <w:rFonts w:asciiTheme="majorBidi" w:eastAsia="Georgia" w:hAnsiTheme="majorBidi" w:cstheme="majorBidi"/>
        </w:rPr>
      </w:pPr>
    </w:p>
    <w:p w14:paraId="6D8B8C8C" w14:textId="77777777" w:rsidR="004A49DC" w:rsidRPr="005032EA" w:rsidRDefault="004A49DC" w:rsidP="009363EF">
      <w:pPr>
        <w:keepNext/>
        <w:spacing w:line="276" w:lineRule="auto"/>
        <w:jc w:val="both"/>
        <w:rPr>
          <w:rFonts w:asciiTheme="majorBidi" w:hAnsiTheme="majorBidi" w:cstheme="majorBidi"/>
        </w:rPr>
      </w:pPr>
      <w:r w:rsidRPr="005032EA">
        <w:rPr>
          <w:rFonts w:asciiTheme="majorBidi" w:hAnsiTheme="majorBidi" w:cstheme="majorBidi"/>
          <w:noProof/>
          <w14:ligatures w14:val="standardContextual"/>
        </w:rPr>
        <w:drawing>
          <wp:inline distT="0" distB="0" distL="0" distR="0" wp14:anchorId="3465F677" wp14:editId="390984BD">
            <wp:extent cx="5581650" cy="3238500"/>
            <wp:effectExtent l="0" t="0" r="0" b="0"/>
            <wp:docPr id="247740168" name="Graf 1">
              <a:extLst xmlns:a="http://schemas.openxmlformats.org/drawingml/2006/main">
                <a:ext uri="{FF2B5EF4-FFF2-40B4-BE49-F238E27FC236}">
                  <a16:creationId xmlns:a16="http://schemas.microsoft.com/office/drawing/2014/main" id="{88D1B6E0-612B-404F-DDFB-D96F05EFBA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9BD019" w14:textId="77777777" w:rsidR="004A49DC" w:rsidRPr="005032EA" w:rsidRDefault="004A49DC" w:rsidP="004A49DC">
      <w:pPr>
        <w:spacing w:after="200"/>
        <w:ind w:firstLine="709"/>
        <w:jc w:val="both"/>
        <w:rPr>
          <w:rFonts w:asciiTheme="majorBidi" w:hAnsiTheme="majorBidi" w:cstheme="majorBidi"/>
          <w:i/>
          <w:iCs/>
        </w:rPr>
      </w:pPr>
      <w:r w:rsidRPr="005032EA">
        <w:rPr>
          <w:rFonts w:asciiTheme="majorBidi" w:hAnsiTheme="majorBidi" w:cstheme="majorBidi"/>
          <w:i/>
          <w:iCs/>
        </w:rPr>
        <w:t xml:space="preserve">Graf </w:t>
      </w:r>
      <w:r w:rsidRPr="005032EA">
        <w:rPr>
          <w:rFonts w:asciiTheme="majorBidi" w:hAnsiTheme="majorBidi" w:cstheme="majorBidi"/>
          <w:i/>
          <w:iCs/>
        </w:rPr>
        <w:fldChar w:fldCharType="begin"/>
      </w:r>
      <w:r w:rsidRPr="005032EA">
        <w:rPr>
          <w:rFonts w:asciiTheme="majorBidi" w:hAnsiTheme="majorBidi" w:cstheme="majorBidi"/>
          <w:i/>
          <w:iCs/>
        </w:rPr>
        <w:instrText xml:space="preserve"> SEQ Graf \* ARABIC </w:instrText>
      </w:r>
      <w:r w:rsidRPr="005032EA">
        <w:rPr>
          <w:rFonts w:asciiTheme="majorBidi" w:hAnsiTheme="majorBidi" w:cstheme="majorBidi"/>
          <w:i/>
          <w:iCs/>
        </w:rPr>
        <w:fldChar w:fldCharType="separate"/>
      </w:r>
      <w:r w:rsidRPr="005032EA">
        <w:rPr>
          <w:rFonts w:asciiTheme="majorBidi" w:hAnsiTheme="majorBidi" w:cstheme="majorBidi"/>
          <w:i/>
          <w:iCs/>
          <w:noProof/>
        </w:rPr>
        <w:t>1</w:t>
      </w:r>
      <w:r w:rsidRPr="005032EA">
        <w:rPr>
          <w:rFonts w:asciiTheme="majorBidi" w:hAnsiTheme="majorBidi" w:cstheme="majorBidi"/>
          <w:i/>
          <w:iCs/>
        </w:rPr>
        <w:fldChar w:fldCharType="end"/>
      </w:r>
      <w:r w:rsidRPr="005032EA">
        <w:rPr>
          <w:rFonts w:asciiTheme="majorBidi" w:hAnsiTheme="majorBidi" w:cstheme="majorBidi"/>
          <w:i/>
          <w:iCs/>
        </w:rPr>
        <w:t>: Počet projektů ČRA dle sektorového zaměření</w:t>
      </w:r>
    </w:p>
    <w:tbl>
      <w:tblPr>
        <w:tblW w:w="9142" w:type="dxa"/>
        <w:tblCellMar>
          <w:left w:w="70" w:type="dxa"/>
          <w:right w:w="70" w:type="dxa"/>
        </w:tblCellMar>
        <w:tblLook w:val="04A0" w:firstRow="1" w:lastRow="0" w:firstColumn="1" w:lastColumn="0" w:noHBand="0" w:noVBand="1"/>
      </w:tblPr>
      <w:tblGrid>
        <w:gridCol w:w="4039"/>
        <w:gridCol w:w="1902"/>
        <w:gridCol w:w="3201"/>
      </w:tblGrid>
      <w:tr w:rsidR="005032EA" w:rsidRPr="009E47D8" w14:paraId="08467598" w14:textId="77777777" w:rsidTr="00E12DB8">
        <w:trPr>
          <w:trHeight w:val="431"/>
        </w:trPr>
        <w:tc>
          <w:tcPr>
            <w:tcW w:w="4039" w:type="dxa"/>
            <w:tcBorders>
              <w:bottom w:val="single" w:sz="6" w:space="0" w:color="A6A6A6" w:themeColor="background1" w:themeShade="A6"/>
            </w:tcBorders>
            <w:shd w:val="clear" w:color="auto" w:fill="45B0E1" w:themeFill="accent1" w:themeFillTint="99"/>
            <w:vAlign w:val="center"/>
            <w:hideMark/>
          </w:tcPr>
          <w:p w14:paraId="7D8AFEA8" w14:textId="77777777" w:rsidR="004A49DC" w:rsidRPr="009E47D8" w:rsidRDefault="004A49DC" w:rsidP="00364866">
            <w:pPr>
              <w:keepNext/>
              <w:keepLines/>
              <w:rPr>
                <w:b/>
                <w:bCs/>
                <w:lang w:eastAsia="zh-CN"/>
              </w:rPr>
            </w:pPr>
            <w:r w:rsidRPr="009E47D8">
              <w:rPr>
                <w:b/>
                <w:bCs/>
                <w:lang w:eastAsia="zh-CN"/>
              </w:rPr>
              <w:lastRenderedPageBreak/>
              <w:t>Název sektoru</w:t>
            </w:r>
          </w:p>
        </w:tc>
        <w:tc>
          <w:tcPr>
            <w:tcW w:w="1902" w:type="dxa"/>
            <w:tcBorders>
              <w:bottom w:val="single" w:sz="6" w:space="0" w:color="A6A6A6" w:themeColor="background1" w:themeShade="A6"/>
            </w:tcBorders>
            <w:shd w:val="clear" w:color="auto" w:fill="45B0E1" w:themeFill="accent1" w:themeFillTint="99"/>
            <w:vAlign w:val="center"/>
            <w:hideMark/>
          </w:tcPr>
          <w:p w14:paraId="58588058" w14:textId="77777777" w:rsidR="004A49DC" w:rsidRPr="009E47D8" w:rsidRDefault="004A49DC" w:rsidP="00364866">
            <w:pPr>
              <w:keepNext/>
              <w:keepLines/>
              <w:jc w:val="center"/>
              <w:rPr>
                <w:b/>
                <w:bCs/>
                <w:lang w:eastAsia="zh-CN"/>
              </w:rPr>
            </w:pPr>
            <w:r w:rsidRPr="009E47D8">
              <w:rPr>
                <w:b/>
                <w:bCs/>
                <w:lang w:eastAsia="zh-CN"/>
              </w:rPr>
              <w:t>Počet projektů</w:t>
            </w:r>
          </w:p>
        </w:tc>
        <w:tc>
          <w:tcPr>
            <w:tcW w:w="3201" w:type="dxa"/>
            <w:tcBorders>
              <w:bottom w:val="single" w:sz="6" w:space="0" w:color="A6A6A6" w:themeColor="background1" w:themeShade="A6"/>
            </w:tcBorders>
            <w:shd w:val="clear" w:color="auto" w:fill="45B0E1" w:themeFill="accent1" w:themeFillTint="99"/>
            <w:vAlign w:val="center"/>
            <w:hideMark/>
          </w:tcPr>
          <w:p w14:paraId="56409FFC" w14:textId="77777777" w:rsidR="004A49DC" w:rsidRPr="009E47D8" w:rsidRDefault="004A49DC" w:rsidP="00E12DB8">
            <w:pPr>
              <w:keepNext/>
              <w:keepLines/>
              <w:jc w:val="right"/>
              <w:rPr>
                <w:b/>
                <w:bCs/>
                <w:lang w:eastAsia="zh-CN"/>
              </w:rPr>
            </w:pPr>
            <w:r w:rsidRPr="009E47D8">
              <w:rPr>
                <w:b/>
                <w:bCs/>
                <w:lang w:eastAsia="zh-CN"/>
              </w:rPr>
              <w:t>Čerpáno (Kč)</w:t>
            </w:r>
          </w:p>
        </w:tc>
      </w:tr>
      <w:tr w:rsidR="00F247C7" w:rsidRPr="009E47D8" w14:paraId="0C3EE9F4"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121A030A" w14:textId="77777777" w:rsidR="00F247C7" w:rsidRPr="009E47D8" w:rsidRDefault="00F247C7" w:rsidP="00F247C7">
            <w:pPr>
              <w:keepNext/>
              <w:keepLines/>
              <w:rPr>
                <w:lang w:eastAsia="zh-CN"/>
              </w:rPr>
            </w:pPr>
            <w:r w:rsidRPr="009E47D8">
              <w:rPr>
                <w:lang w:eastAsia="zh-CN"/>
              </w:rPr>
              <w:t>zemědělství a lesnictví</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0AF360AA" w14:textId="77777777" w:rsidR="00F247C7" w:rsidRPr="009E47D8" w:rsidRDefault="00F247C7" w:rsidP="00F247C7">
            <w:pPr>
              <w:keepNext/>
              <w:keepLines/>
              <w:ind w:right="698"/>
              <w:jc w:val="right"/>
              <w:rPr>
                <w:lang w:eastAsia="zh-CN"/>
              </w:rPr>
            </w:pPr>
            <w:r w:rsidRPr="009E47D8">
              <w:rPr>
                <w:lang w:eastAsia="zh-CN"/>
              </w:rPr>
              <w:t>33</w:t>
            </w: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35D01EEB" w14:textId="3A358312" w:rsidR="00F247C7" w:rsidRPr="009E47D8" w:rsidRDefault="00F247C7" w:rsidP="00F247C7">
            <w:pPr>
              <w:keepNext/>
              <w:keepLines/>
              <w:jc w:val="right"/>
              <w:rPr>
                <w:lang w:eastAsia="zh-CN"/>
              </w:rPr>
            </w:pPr>
            <w:r>
              <w:t>107 534 742,21 Kč</w:t>
            </w:r>
          </w:p>
        </w:tc>
      </w:tr>
      <w:tr w:rsidR="00F247C7" w:rsidRPr="009E47D8" w14:paraId="71BDF378"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64A1DB2E" w14:textId="77777777" w:rsidR="00F247C7" w:rsidRPr="009E47D8" w:rsidRDefault="00F247C7" w:rsidP="00F247C7">
            <w:pPr>
              <w:keepNext/>
              <w:keepLines/>
              <w:rPr>
                <w:lang w:eastAsia="zh-CN"/>
              </w:rPr>
            </w:pPr>
            <w:r w:rsidRPr="009E47D8">
              <w:rPr>
                <w:lang w:eastAsia="zh-CN"/>
              </w:rPr>
              <w:t>veřejná správa a občanská společnost</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30624DA0" w14:textId="775362EB" w:rsidR="00F247C7" w:rsidRPr="009E47D8" w:rsidRDefault="00F247C7" w:rsidP="00F247C7">
            <w:pPr>
              <w:keepNext/>
              <w:keepLines/>
              <w:ind w:right="698"/>
              <w:jc w:val="right"/>
              <w:rPr>
                <w:lang w:eastAsia="zh-CN"/>
              </w:rPr>
            </w:pPr>
            <w:r w:rsidRPr="009E47D8">
              <w:rPr>
                <w:lang w:eastAsia="zh-CN"/>
              </w:rPr>
              <w:t>1</w:t>
            </w:r>
            <w:r w:rsidR="000A73ED">
              <w:rPr>
                <w:lang w:eastAsia="zh-CN"/>
              </w:rPr>
              <w:t>5</w:t>
            </w: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4648CBC4" w14:textId="31C84BF6" w:rsidR="00F247C7" w:rsidRPr="009E47D8" w:rsidRDefault="00F247C7" w:rsidP="00F247C7">
            <w:pPr>
              <w:keepNext/>
              <w:keepLines/>
              <w:jc w:val="right"/>
              <w:rPr>
                <w:lang w:eastAsia="zh-CN"/>
              </w:rPr>
            </w:pPr>
            <w:r>
              <w:t>26 908 576,76 Kč</w:t>
            </w:r>
          </w:p>
        </w:tc>
      </w:tr>
      <w:tr w:rsidR="00F247C7" w:rsidRPr="009E47D8" w14:paraId="540B550F"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1F32378F" w14:textId="77777777" w:rsidR="00F247C7" w:rsidRPr="009E47D8" w:rsidRDefault="00F247C7" w:rsidP="00F247C7">
            <w:pPr>
              <w:keepNext/>
              <w:keepLines/>
              <w:rPr>
                <w:lang w:eastAsia="zh-CN"/>
              </w:rPr>
            </w:pPr>
            <w:r w:rsidRPr="009E47D8">
              <w:rPr>
                <w:lang w:eastAsia="zh-CN"/>
              </w:rPr>
              <w:t>voda a sanitace</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648A3141" w14:textId="77777777" w:rsidR="00F247C7" w:rsidRPr="009E47D8" w:rsidRDefault="00F247C7" w:rsidP="00F247C7">
            <w:pPr>
              <w:keepNext/>
              <w:keepLines/>
              <w:ind w:right="698"/>
              <w:jc w:val="right"/>
              <w:rPr>
                <w:lang w:eastAsia="zh-CN"/>
              </w:rPr>
            </w:pPr>
            <w:r w:rsidRPr="009E47D8">
              <w:rPr>
                <w:lang w:eastAsia="zh-CN"/>
              </w:rPr>
              <w:t>12</w:t>
            </w: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24906F52" w14:textId="48351DD2" w:rsidR="00F247C7" w:rsidRPr="009E47D8" w:rsidRDefault="00F247C7" w:rsidP="00F247C7">
            <w:pPr>
              <w:keepNext/>
              <w:keepLines/>
              <w:jc w:val="right"/>
              <w:rPr>
                <w:lang w:eastAsia="zh-CN"/>
              </w:rPr>
            </w:pPr>
            <w:r>
              <w:t>57 283 739,59 Kč</w:t>
            </w:r>
          </w:p>
        </w:tc>
      </w:tr>
      <w:tr w:rsidR="00F247C7" w:rsidRPr="009E47D8" w14:paraId="7D9209D3"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51CB0A19" w14:textId="77777777" w:rsidR="00F247C7" w:rsidRPr="009E47D8" w:rsidRDefault="00F247C7" w:rsidP="00F247C7">
            <w:pPr>
              <w:keepNext/>
              <w:keepLines/>
              <w:rPr>
                <w:lang w:eastAsia="zh-CN"/>
              </w:rPr>
            </w:pPr>
            <w:r w:rsidRPr="009E47D8">
              <w:rPr>
                <w:lang w:eastAsia="zh-CN"/>
              </w:rPr>
              <w:t xml:space="preserve">ostatní sociální infrastruktura a služby </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754F3F44" w14:textId="77777777" w:rsidR="00F247C7" w:rsidRPr="009E47D8" w:rsidRDefault="00F247C7" w:rsidP="00F247C7">
            <w:pPr>
              <w:keepNext/>
              <w:keepLines/>
              <w:ind w:right="698"/>
              <w:jc w:val="right"/>
              <w:rPr>
                <w:lang w:eastAsia="zh-CN"/>
              </w:rPr>
            </w:pPr>
            <w:r w:rsidRPr="009E47D8">
              <w:rPr>
                <w:lang w:eastAsia="zh-CN"/>
              </w:rPr>
              <w:t>10</w:t>
            </w: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7C3AF9E7" w14:textId="1BD5B73F" w:rsidR="00F247C7" w:rsidRPr="009E47D8" w:rsidRDefault="00F247C7" w:rsidP="00F247C7">
            <w:pPr>
              <w:keepNext/>
              <w:keepLines/>
              <w:jc w:val="right"/>
              <w:rPr>
                <w:lang w:eastAsia="zh-CN"/>
              </w:rPr>
            </w:pPr>
            <w:r>
              <w:t>57 435 828,40 Kč</w:t>
            </w:r>
          </w:p>
        </w:tc>
      </w:tr>
      <w:tr w:rsidR="00F247C7" w:rsidRPr="009E47D8" w14:paraId="0151CC59"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668FEE0B" w14:textId="77777777" w:rsidR="00F247C7" w:rsidRPr="009E47D8" w:rsidRDefault="00F247C7" w:rsidP="00F247C7">
            <w:pPr>
              <w:keepNext/>
              <w:keepLines/>
              <w:rPr>
                <w:lang w:eastAsia="zh-CN"/>
              </w:rPr>
            </w:pPr>
            <w:r w:rsidRPr="009E47D8">
              <w:rPr>
                <w:lang w:eastAsia="zh-CN"/>
              </w:rPr>
              <w:t>zdravotnictví</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3AAC08B8" w14:textId="175F59C0" w:rsidR="00F247C7" w:rsidRPr="009E47D8" w:rsidRDefault="00433914" w:rsidP="00F247C7">
            <w:pPr>
              <w:keepNext/>
              <w:keepLines/>
              <w:ind w:right="698"/>
              <w:jc w:val="right"/>
              <w:rPr>
                <w:lang w:eastAsia="zh-CN"/>
              </w:rPr>
            </w:pPr>
            <w:r>
              <w:rPr>
                <w:lang w:eastAsia="zh-CN"/>
              </w:rPr>
              <w:t>8</w:t>
            </w: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74D743D2" w14:textId="68A1B63B" w:rsidR="00F247C7" w:rsidRPr="009E47D8" w:rsidRDefault="00F247C7" w:rsidP="00F247C7">
            <w:pPr>
              <w:keepNext/>
              <w:keepLines/>
              <w:jc w:val="right"/>
              <w:rPr>
                <w:lang w:eastAsia="zh-CN"/>
              </w:rPr>
            </w:pPr>
            <w:r>
              <w:t>51 698 221,00 Kč</w:t>
            </w:r>
          </w:p>
        </w:tc>
      </w:tr>
      <w:tr w:rsidR="00F247C7" w:rsidRPr="009E47D8" w14:paraId="0BFB2D7D"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3A192BF4" w14:textId="77777777" w:rsidR="00F247C7" w:rsidRPr="009E47D8" w:rsidRDefault="00F247C7" w:rsidP="00F247C7">
            <w:pPr>
              <w:keepNext/>
              <w:keepLines/>
              <w:rPr>
                <w:lang w:eastAsia="zh-CN"/>
              </w:rPr>
            </w:pPr>
            <w:r w:rsidRPr="009E47D8">
              <w:rPr>
                <w:lang w:eastAsia="zh-CN"/>
              </w:rPr>
              <w:t>vzdělávání</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72B7FD44" w14:textId="77777777" w:rsidR="00F247C7" w:rsidRPr="009E47D8" w:rsidRDefault="00F247C7" w:rsidP="00F247C7">
            <w:pPr>
              <w:keepNext/>
              <w:keepLines/>
              <w:ind w:right="698"/>
              <w:jc w:val="right"/>
              <w:rPr>
                <w:lang w:eastAsia="zh-CN"/>
              </w:rPr>
            </w:pPr>
            <w:r w:rsidRPr="009E47D8">
              <w:rPr>
                <w:lang w:eastAsia="zh-CN"/>
              </w:rPr>
              <w:t>4</w:t>
            </w: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177C05E7" w14:textId="7F9176B8" w:rsidR="00F247C7" w:rsidRPr="009E47D8" w:rsidRDefault="00F247C7" w:rsidP="00F247C7">
            <w:pPr>
              <w:keepNext/>
              <w:keepLines/>
              <w:jc w:val="right"/>
              <w:rPr>
                <w:lang w:eastAsia="zh-CN"/>
              </w:rPr>
            </w:pPr>
            <w:r>
              <w:t>13 380 000,00 Kč</w:t>
            </w:r>
          </w:p>
        </w:tc>
      </w:tr>
      <w:tr w:rsidR="00F247C7" w:rsidRPr="009E47D8" w14:paraId="3F4E88C4"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3E0CBB39" w14:textId="77777777" w:rsidR="00F247C7" w:rsidRPr="009E47D8" w:rsidRDefault="00F247C7" w:rsidP="00F247C7">
            <w:pPr>
              <w:keepNext/>
              <w:keepLines/>
              <w:rPr>
                <w:lang w:eastAsia="zh-CN"/>
              </w:rPr>
            </w:pPr>
            <w:r w:rsidRPr="009E47D8">
              <w:rPr>
                <w:lang w:eastAsia="zh-CN"/>
              </w:rPr>
              <w:t>výroba a dodávky energie</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097756FF" w14:textId="77777777" w:rsidR="00F247C7" w:rsidRPr="009E47D8" w:rsidRDefault="00F247C7" w:rsidP="00F247C7">
            <w:pPr>
              <w:keepNext/>
              <w:keepLines/>
              <w:ind w:right="698"/>
              <w:jc w:val="right"/>
              <w:rPr>
                <w:lang w:eastAsia="zh-CN"/>
              </w:rPr>
            </w:pPr>
            <w:r w:rsidRPr="009E47D8">
              <w:rPr>
                <w:lang w:eastAsia="zh-CN"/>
              </w:rPr>
              <w:t>4</w:t>
            </w: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42512D95" w14:textId="134589E4" w:rsidR="00F247C7" w:rsidRPr="009E47D8" w:rsidRDefault="00F247C7" w:rsidP="00F247C7">
            <w:pPr>
              <w:keepNext/>
              <w:keepLines/>
              <w:jc w:val="right"/>
              <w:rPr>
                <w:lang w:eastAsia="zh-CN"/>
              </w:rPr>
            </w:pPr>
            <w:r>
              <w:t>15 032 338,49 Kč</w:t>
            </w:r>
          </w:p>
        </w:tc>
      </w:tr>
      <w:tr w:rsidR="00F247C7" w:rsidRPr="00266B83" w14:paraId="21D27806" w14:textId="77777777" w:rsidTr="00E12DB8">
        <w:trPr>
          <w:trHeight w:val="229"/>
        </w:trPr>
        <w:tc>
          <w:tcPr>
            <w:tcW w:w="4039" w:type="dxa"/>
            <w:tcBorders>
              <w:top w:val="single" w:sz="6" w:space="0" w:color="A6A6A6" w:themeColor="background1" w:themeShade="A6"/>
            </w:tcBorders>
            <w:shd w:val="clear" w:color="auto" w:fill="45B0E1" w:themeFill="accent1" w:themeFillTint="99"/>
            <w:vAlign w:val="center"/>
            <w:hideMark/>
          </w:tcPr>
          <w:p w14:paraId="42E1A6A9" w14:textId="77777777" w:rsidR="00F247C7" w:rsidRPr="00266B83" w:rsidRDefault="00F247C7" w:rsidP="00F247C7">
            <w:pPr>
              <w:keepNext/>
              <w:keepLines/>
              <w:rPr>
                <w:rFonts w:asciiTheme="majorBidi" w:hAnsiTheme="majorBidi" w:cstheme="majorBidi"/>
                <w:b/>
                <w:bCs/>
                <w:lang w:eastAsia="zh-CN"/>
              </w:rPr>
            </w:pPr>
            <w:r w:rsidRPr="00266B83">
              <w:rPr>
                <w:rFonts w:asciiTheme="majorBidi" w:hAnsiTheme="majorBidi" w:cstheme="majorBidi"/>
                <w:b/>
                <w:bCs/>
                <w:lang w:eastAsia="zh-CN"/>
              </w:rPr>
              <w:t>Celkový součet</w:t>
            </w:r>
          </w:p>
        </w:tc>
        <w:tc>
          <w:tcPr>
            <w:tcW w:w="1902" w:type="dxa"/>
            <w:tcBorders>
              <w:top w:val="single" w:sz="6" w:space="0" w:color="A6A6A6" w:themeColor="background1" w:themeShade="A6"/>
            </w:tcBorders>
            <w:shd w:val="clear" w:color="auto" w:fill="45B0E1" w:themeFill="accent1" w:themeFillTint="99"/>
            <w:vAlign w:val="center"/>
            <w:hideMark/>
          </w:tcPr>
          <w:p w14:paraId="65C38AF7" w14:textId="77777777" w:rsidR="00F247C7" w:rsidRPr="00266B83" w:rsidRDefault="00F247C7" w:rsidP="00F247C7">
            <w:pPr>
              <w:keepNext/>
              <w:keepLines/>
              <w:ind w:right="698"/>
              <w:jc w:val="right"/>
              <w:rPr>
                <w:rFonts w:asciiTheme="majorBidi" w:hAnsiTheme="majorBidi" w:cstheme="majorBidi"/>
                <w:b/>
                <w:bCs/>
                <w:lang w:eastAsia="zh-CN"/>
              </w:rPr>
            </w:pPr>
            <w:r w:rsidRPr="00266B83">
              <w:rPr>
                <w:rFonts w:asciiTheme="majorBidi" w:hAnsiTheme="majorBidi" w:cstheme="majorBidi"/>
                <w:b/>
                <w:bCs/>
                <w:lang w:eastAsia="zh-CN"/>
              </w:rPr>
              <w:t>92</w:t>
            </w:r>
          </w:p>
        </w:tc>
        <w:tc>
          <w:tcPr>
            <w:tcW w:w="3201" w:type="dxa"/>
            <w:tcBorders>
              <w:top w:val="single" w:sz="6" w:space="0" w:color="A6A6A6" w:themeColor="background1" w:themeShade="A6"/>
            </w:tcBorders>
            <w:shd w:val="clear" w:color="auto" w:fill="45B0E1" w:themeFill="accent1" w:themeFillTint="99"/>
            <w:vAlign w:val="center"/>
            <w:hideMark/>
          </w:tcPr>
          <w:p w14:paraId="19B72350" w14:textId="1D4CAA78" w:rsidR="00F247C7" w:rsidRPr="00266B83" w:rsidRDefault="00F247C7" w:rsidP="00F247C7">
            <w:pPr>
              <w:keepNext/>
              <w:keepLines/>
              <w:jc w:val="right"/>
              <w:rPr>
                <w:rFonts w:asciiTheme="majorBidi" w:hAnsiTheme="majorBidi" w:cstheme="majorBidi"/>
                <w:b/>
                <w:bCs/>
                <w:lang w:eastAsia="zh-CN"/>
              </w:rPr>
            </w:pPr>
            <w:r w:rsidRPr="00266B83">
              <w:rPr>
                <w:rFonts w:asciiTheme="majorBidi" w:hAnsiTheme="majorBidi" w:cstheme="majorBidi"/>
                <w:b/>
                <w:bCs/>
                <w:lang w:eastAsia="zh-CN"/>
              </w:rPr>
              <w:t>329 273 446,45</w:t>
            </w:r>
          </w:p>
        </w:tc>
      </w:tr>
      <w:tr w:rsidR="009E47D8" w:rsidRPr="00266B83" w14:paraId="3D3C718B" w14:textId="77777777" w:rsidTr="00E12DB8">
        <w:trPr>
          <w:trHeight w:val="229"/>
        </w:trPr>
        <w:tc>
          <w:tcPr>
            <w:tcW w:w="9142" w:type="dxa"/>
            <w:gridSpan w:val="3"/>
            <w:shd w:val="clear" w:color="auto" w:fill="auto"/>
            <w:noWrap/>
            <w:vAlign w:val="bottom"/>
            <w:hideMark/>
          </w:tcPr>
          <w:p w14:paraId="047FFDE8" w14:textId="670B5043" w:rsidR="009E47D8" w:rsidRPr="00266B83" w:rsidRDefault="009E47D8" w:rsidP="00E12DB8">
            <w:pPr>
              <w:keepNext/>
              <w:keepLines/>
              <w:ind w:right="698"/>
              <w:jc w:val="right"/>
              <w:rPr>
                <w:rFonts w:asciiTheme="majorBidi" w:hAnsiTheme="majorBidi" w:cstheme="majorBidi"/>
                <w:lang w:eastAsia="zh-CN"/>
              </w:rPr>
            </w:pPr>
            <w:r w:rsidRPr="00266B83">
              <w:rPr>
                <w:rFonts w:asciiTheme="majorBidi" w:hAnsiTheme="majorBidi" w:cstheme="majorBidi"/>
                <w:lang w:eastAsia="zh-CN"/>
              </w:rPr>
              <w:t>  </w:t>
            </w:r>
          </w:p>
        </w:tc>
      </w:tr>
      <w:tr w:rsidR="005032EA" w:rsidRPr="00266B83" w14:paraId="5F89CDBC" w14:textId="77777777" w:rsidTr="00E12DB8">
        <w:trPr>
          <w:trHeight w:val="229"/>
        </w:trPr>
        <w:tc>
          <w:tcPr>
            <w:tcW w:w="4039" w:type="dxa"/>
            <w:tcBorders>
              <w:bottom w:val="single" w:sz="6" w:space="0" w:color="A6A6A6" w:themeColor="background1" w:themeShade="A6"/>
            </w:tcBorders>
            <w:shd w:val="clear" w:color="auto" w:fill="auto"/>
            <w:vAlign w:val="center"/>
            <w:hideMark/>
          </w:tcPr>
          <w:p w14:paraId="52DCA72E" w14:textId="77777777" w:rsidR="004A49DC" w:rsidRPr="00266B83" w:rsidRDefault="004A49DC" w:rsidP="00364866">
            <w:pPr>
              <w:keepNext/>
              <w:keepLines/>
              <w:rPr>
                <w:rFonts w:asciiTheme="majorBidi" w:hAnsiTheme="majorBidi" w:cstheme="majorBidi"/>
                <w:lang w:eastAsia="zh-CN"/>
              </w:rPr>
            </w:pPr>
            <w:r w:rsidRPr="00266B83">
              <w:rPr>
                <w:rFonts w:asciiTheme="majorBidi" w:hAnsiTheme="majorBidi" w:cstheme="majorBidi"/>
                <w:lang w:eastAsia="zh-CN"/>
              </w:rPr>
              <w:t xml:space="preserve">Globální vzdělání a osvěta veřejnosti </w:t>
            </w:r>
          </w:p>
        </w:tc>
        <w:tc>
          <w:tcPr>
            <w:tcW w:w="1902" w:type="dxa"/>
            <w:tcBorders>
              <w:bottom w:val="single" w:sz="6" w:space="0" w:color="A6A6A6" w:themeColor="background1" w:themeShade="A6"/>
            </w:tcBorders>
            <w:shd w:val="clear" w:color="auto" w:fill="auto"/>
            <w:vAlign w:val="center"/>
            <w:hideMark/>
          </w:tcPr>
          <w:p w14:paraId="760666B3" w14:textId="77777777" w:rsidR="004A49DC" w:rsidRPr="00266B83" w:rsidRDefault="004A49DC" w:rsidP="00E12DB8">
            <w:pPr>
              <w:keepNext/>
              <w:keepLines/>
              <w:ind w:right="698"/>
              <w:jc w:val="right"/>
              <w:rPr>
                <w:rFonts w:asciiTheme="majorBidi" w:hAnsiTheme="majorBidi" w:cstheme="majorBidi"/>
                <w:lang w:eastAsia="zh-CN"/>
              </w:rPr>
            </w:pPr>
            <w:r w:rsidRPr="00266B83">
              <w:rPr>
                <w:rFonts w:asciiTheme="majorBidi" w:hAnsiTheme="majorBidi" w:cstheme="majorBidi"/>
                <w:lang w:eastAsia="zh-CN"/>
              </w:rPr>
              <w:t>10</w:t>
            </w:r>
          </w:p>
        </w:tc>
        <w:tc>
          <w:tcPr>
            <w:tcW w:w="3201" w:type="dxa"/>
            <w:tcBorders>
              <w:bottom w:val="single" w:sz="6" w:space="0" w:color="A6A6A6" w:themeColor="background1" w:themeShade="A6"/>
            </w:tcBorders>
            <w:shd w:val="clear" w:color="auto" w:fill="auto"/>
            <w:vAlign w:val="center"/>
            <w:hideMark/>
          </w:tcPr>
          <w:p w14:paraId="6E9EDCCE" w14:textId="06DB0D58" w:rsidR="004A49DC" w:rsidRPr="00266B83" w:rsidRDefault="004A49DC" w:rsidP="00E12DB8">
            <w:pPr>
              <w:keepNext/>
              <w:keepLines/>
              <w:jc w:val="right"/>
              <w:rPr>
                <w:rFonts w:asciiTheme="majorBidi" w:hAnsiTheme="majorBidi" w:cstheme="majorBidi"/>
                <w:lang w:eastAsia="zh-CN"/>
              </w:rPr>
            </w:pPr>
            <w:r w:rsidRPr="00266B83">
              <w:rPr>
                <w:rFonts w:asciiTheme="majorBidi" w:hAnsiTheme="majorBidi" w:cstheme="majorBidi"/>
                <w:lang w:eastAsia="zh-CN"/>
              </w:rPr>
              <w:t xml:space="preserve">11 285 638,00 </w:t>
            </w:r>
          </w:p>
        </w:tc>
      </w:tr>
      <w:tr w:rsidR="005032EA" w:rsidRPr="00266B83" w14:paraId="58AEB159" w14:textId="77777777" w:rsidTr="00E12DB8">
        <w:trPr>
          <w:trHeight w:val="431"/>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44A68BB9" w14:textId="77777777" w:rsidR="004A49DC" w:rsidRPr="00266B83" w:rsidRDefault="004A49DC" w:rsidP="00364866">
            <w:pPr>
              <w:keepNext/>
              <w:keepLines/>
              <w:rPr>
                <w:rFonts w:asciiTheme="majorBidi" w:hAnsiTheme="majorBidi" w:cstheme="majorBidi"/>
                <w:lang w:eastAsia="zh-CN"/>
              </w:rPr>
            </w:pPr>
            <w:r w:rsidRPr="00266B83">
              <w:rPr>
                <w:rFonts w:asciiTheme="majorBidi" w:hAnsiTheme="majorBidi" w:cstheme="majorBidi"/>
                <w:lang w:eastAsia="zh-CN"/>
              </w:rPr>
              <w:t>Posilování kapacit implementačních partnerů ZRS</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444B1DA9" w14:textId="77777777" w:rsidR="004A49DC" w:rsidRPr="00266B83" w:rsidRDefault="004A49DC" w:rsidP="00E12DB8">
            <w:pPr>
              <w:keepNext/>
              <w:keepLines/>
              <w:ind w:right="698"/>
              <w:jc w:val="right"/>
              <w:rPr>
                <w:rFonts w:asciiTheme="majorBidi" w:hAnsiTheme="majorBidi" w:cstheme="majorBidi"/>
                <w:lang w:eastAsia="zh-CN"/>
              </w:rPr>
            </w:pPr>
            <w:r w:rsidRPr="00266B83">
              <w:rPr>
                <w:rFonts w:asciiTheme="majorBidi" w:hAnsiTheme="majorBidi" w:cstheme="majorBidi"/>
                <w:lang w:eastAsia="zh-CN"/>
              </w:rPr>
              <w:t>7</w:t>
            </w: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10BDB3FD" w14:textId="5322C72A" w:rsidR="004A49DC" w:rsidRPr="00266B83" w:rsidRDefault="004A49DC" w:rsidP="00E12DB8">
            <w:pPr>
              <w:keepNext/>
              <w:keepLines/>
              <w:jc w:val="right"/>
              <w:rPr>
                <w:rFonts w:asciiTheme="majorBidi" w:hAnsiTheme="majorBidi" w:cstheme="majorBidi"/>
                <w:lang w:eastAsia="zh-CN"/>
              </w:rPr>
            </w:pPr>
            <w:r w:rsidRPr="00266B83">
              <w:rPr>
                <w:rFonts w:asciiTheme="majorBidi" w:hAnsiTheme="majorBidi" w:cstheme="majorBidi"/>
                <w:lang w:eastAsia="zh-CN"/>
              </w:rPr>
              <w:t xml:space="preserve">5 003 810,00 </w:t>
            </w:r>
          </w:p>
        </w:tc>
      </w:tr>
      <w:tr w:rsidR="005032EA" w:rsidRPr="00266B83" w14:paraId="4B9DE35C"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40D68543" w14:textId="77777777" w:rsidR="004A49DC" w:rsidRPr="00266B83" w:rsidRDefault="004A49DC" w:rsidP="00364866">
            <w:pPr>
              <w:keepNext/>
              <w:keepLines/>
              <w:rPr>
                <w:rFonts w:asciiTheme="majorBidi" w:hAnsiTheme="majorBidi" w:cstheme="majorBidi"/>
                <w:lang w:eastAsia="zh-CN"/>
              </w:rPr>
            </w:pPr>
            <w:r w:rsidRPr="00266B83">
              <w:rPr>
                <w:rFonts w:asciiTheme="majorBidi" w:hAnsiTheme="majorBidi" w:cstheme="majorBidi"/>
                <w:lang w:eastAsia="zh-CN"/>
              </w:rPr>
              <w:t>Program B2B</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00C344B1" w14:textId="77777777" w:rsidR="004A49DC" w:rsidRPr="00266B83" w:rsidRDefault="004A49DC" w:rsidP="00E12DB8">
            <w:pPr>
              <w:keepNext/>
              <w:keepLines/>
              <w:ind w:right="698"/>
              <w:jc w:val="right"/>
              <w:rPr>
                <w:rFonts w:asciiTheme="majorBidi" w:hAnsiTheme="majorBidi" w:cstheme="majorBidi"/>
                <w:lang w:eastAsia="zh-CN"/>
              </w:rPr>
            </w:pPr>
            <w:r w:rsidRPr="00266B83">
              <w:rPr>
                <w:rFonts w:asciiTheme="majorBidi" w:hAnsiTheme="majorBidi" w:cstheme="majorBidi"/>
                <w:lang w:eastAsia="zh-CN"/>
              </w:rPr>
              <w:t>9</w:t>
            </w: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5E2EFC9C" w14:textId="3EB9F6F5" w:rsidR="004A49DC" w:rsidRPr="00266B83" w:rsidRDefault="004A49DC" w:rsidP="00E12DB8">
            <w:pPr>
              <w:keepNext/>
              <w:keepLines/>
              <w:jc w:val="right"/>
              <w:rPr>
                <w:rFonts w:asciiTheme="majorBidi" w:hAnsiTheme="majorBidi" w:cstheme="majorBidi"/>
                <w:lang w:eastAsia="zh-CN"/>
              </w:rPr>
            </w:pPr>
            <w:r w:rsidRPr="00266B83">
              <w:rPr>
                <w:rFonts w:asciiTheme="majorBidi" w:hAnsiTheme="majorBidi" w:cstheme="majorBidi"/>
                <w:lang w:eastAsia="zh-CN"/>
              </w:rPr>
              <w:t xml:space="preserve">6 916 342,73 </w:t>
            </w:r>
          </w:p>
        </w:tc>
      </w:tr>
      <w:tr w:rsidR="005032EA" w:rsidRPr="00266B83" w14:paraId="2161FFBD"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03281AF0" w14:textId="77777777" w:rsidR="004A49DC" w:rsidRPr="00266B83" w:rsidRDefault="004A49DC" w:rsidP="00364866">
            <w:pPr>
              <w:keepNext/>
              <w:keepLines/>
              <w:rPr>
                <w:rFonts w:asciiTheme="majorBidi" w:hAnsiTheme="majorBidi" w:cstheme="majorBidi"/>
                <w:lang w:eastAsia="zh-CN"/>
              </w:rPr>
            </w:pPr>
            <w:r w:rsidRPr="00266B83">
              <w:rPr>
                <w:rFonts w:asciiTheme="majorBidi" w:hAnsiTheme="majorBidi" w:cstheme="majorBidi"/>
                <w:lang w:eastAsia="zh-CN"/>
              </w:rPr>
              <w:t xml:space="preserve">Program DS – spoluúčast ČRA </w:t>
            </w:r>
          </w:p>
        </w:tc>
        <w:tc>
          <w:tcPr>
            <w:tcW w:w="1902" w:type="dxa"/>
            <w:tcBorders>
              <w:top w:val="single" w:sz="6" w:space="0" w:color="A6A6A6" w:themeColor="background1" w:themeShade="A6"/>
              <w:bottom w:val="single" w:sz="6" w:space="0" w:color="A6A6A6" w:themeColor="background1" w:themeShade="A6"/>
            </w:tcBorders>
            <w:shd w:val="clear" w:color="auto" w:fill="auto"/>
            <w:vAlign w:val="center"/>
            <w:hideMark/>
          </w:tcPr>
          <w:p w14:paraId="349E2CD9" w14:textId="586BCF03" w:rsidR="004A49DC" w:rsidRPr="00266B83" w:rsidRDefault="004A49DC" w:rsidP="00E12DB8">
            <w:pPr>
              <w:keepNext/>
              <w:keepLines/>
              <w:ind w:right="698"/>
              <w:jc w:val="right"/>
              <w:rPr>
                <w:rFonts w:asciiTheme="majorBidi" w:hAnsiTheme="majorBidi" w:cstheme="majorBidi"/>
                <w:lang w:eastAsia="zh-CN"/>
              </w:rPr>
            </w:pPr>
          </w:p>
        </w:tc>
        <w:tc>
          <w:tcPr>
            <w:tcW w:w="3201" w:type="dxa"/>
            <w:tcBorders>
              <w:top w:val="single" w:sz="6" w:space="0" w:color="A6A6A6" w:themeColor="background1" w:themeShade="A6"/>
              <w:bottom w:val="single" w:sz="6" w:space="0" w:color="A6A6A6" w:themeColor="background1" w:themeShade="A6"/>
            </w:tcBorders>
            <w:shd w:val="clear" w:color="auto" w:fill="auto"/>
            <w:vAlign w:val="center"/>
            <w:hideMark/>
          </w:tcPr>
          <w:p w14:paraId="332B5B80" w14:textId="424E5BC1" w:rsidR="004A49DC" w:rsidRPr="00266B83" w:rsidRDefault="004A49DC" w:rsidP="00E12DB8">
            <w:pPr>
              <w:keepNext/>
              <w:keepLines/>
              <w:jc w:val="right"/>
              <w:rPr>
                <w:rFonts w:asciiTheme="majorBidi" w:hAnsiTheme="majorBidi" w:cstheme="majorBidi"/>
                <w:lang w:eastAsia="zh-CN"/>
              </w:rPr>
            </w:pPr>
            <w:r w:rsidRPr="00266B83">
              <w:rPr>
                <w:rFonts w:asciiTheme="majorBidi" w:hAnsiTheme="majorBidi" w:cstheme="majorBidi"/>
                <w:lang w:eastAsia="zh-CN"/>
              </w:rPr>
              <w:t xml:space="preserve">5 902 520,32 </w:t>
            </w:r>
          </w:p>
        </w:tc>
      </w:tr>
      <w:tr w:rsidR="005032EA" w:rsidRPr="00266B83" w14:paraId="6F445C7D" w14:textId="77777777" w:rsidTr="00E12DB8">
        <w:trPr>
          <w:trHeight w:val="229"/>
        </w:trPr>
        <w:tc>
          <w:tcPr>
            <w:tcW w:w="4039" w:type="dxa"/>
            <w:tcBorders>
              <w:top w:val="single" w:sz="6" w:space="0" w:color="A6A6A6" w:themeColor="background1" w:themeShade="A6"/>
              <w:bottom w:val="single" w:sz="6" w:space="0" w:color="A6A6A6" w:themeColor="background1" w:themeShade="A6"/>
            </w:tcBorders>
            <w:shd w:val="clear" w:color="auto" w:fill="auto"/>
            <w:vAlign w:val="center"/>
            <w:hideMark/>
          </w:tcPr>
          <w:p w14:paraId="479CBF04" w14:textId="77777777" w:rsidR="004A49DC" w:rsidRPr="00266B83" w:rsidRDefault="004A49DC" w:rsidP="00364866">
            <w:pPr>
              <w:keepNext/>
              <w:keepLines/>
              <w:rPr>
                <w:rFonts w:asciiTheme="majorBidi" w:hAnsiTheme="majorBidi" w:cstheme="majorBidi"/>
                <w:lang w:eastAsia="zh-CN"/>
              </w:rPr>
            </w:pPr>
            <w:r w:rsidRPr="00266B83">
              <w:rPr>
                <w:rFonts w:asciiTheme="majorBidi" w:hAnsiTheme="majorBidi" w:cstheme="majorBidi"/>
                <w:lang w:eastAsia="zh-CN"/>
              </w:rPr>
              <w:t xml:space="preserve">Administrativní náklady </w:t>
            </w:r>
          </w:p>
        </w:tc>
        <w:tc>
          <w:tcPr>
            <w:tcW w:w="1902" w:type="dxa"/>
            <w:tcBorders>
              <w:top w:val="single" w:sz="6" w:space="0" w:color="A6A6A6" w:themeColor="background1" w:themeShade="A6"/>
              <w:bottom w:val="single" w:sz="6" w:space="0" w:color="A6A6A6" w:themeColor="background1" w:themeShade="A6"/>
            </w:tcBorders>
            <w:shd w:val="clear" w:color="auto" w:fill="auto"/>
            <w:noWrap/>
            <w:vAlign w:val="bottom"/>
            <w:hideMark/>
          </w:tcPr>
          <w:p w14:paraId="6358CF9F" w14:textId="77777777" w:rsidR="004A49DC" w:rsidRPr="00266B83" w:rsidRDefault="004A49DC" w:rsidP="00E12DB8">
            <w:pPr>
              <w:keepNext/>
              <w:keepLines/>
              <w:ind w:right="698"/>
              <w:rPr>
                <w:rFonts w:asciiTheme="majorBidi" w:hAnsiTheme="majorBidi" w:cstheme="majorBidi"/>
                <w:lang w:eastAsia="zh-CN"/>
              </w:rPr>
            </w:pPr>
            <w:r w:rsidRPr="00266B83">
              <w:rPr>
                <w:rFonts w:asciiTheme="majorBidi" w:hAnsiTheme="majorBidi" w:cstheme="majorBidi"/>
                <w:lang w:eastAsia="zh-CN"/>
              </w:rPr>
              <w:t> </w:t>
            </w:r>
          </w:p>
        </w:tc>
        <w:tc>
          <w:tcPr>
            <w:tcW w:w="3201" w:type="dxa"/>
            <w:tcBorders>
              <w:top w:val="single" w:sz="6" w:space="0" w:color="A6A6A6" w:themeColor="background1" w:themeShade="A6"/>
              <w:bottom w:val="single" w:sz="6" w:space="0" w:color="A6A6A6" w:themeColor="background1" w:themeShade="A6"/>
            </w:tcBorders>
            <w:shd w:val="clear" w:color="auto" w:fill="auto"/>
            <w:noWrap/>
            <w:vAlign w:val="bottom"/>
            <w:hideMark/>
          </w:tcPr>
          <w:p w14:paraId="6121F86D" w14:textId="77777777" w:rsidR="004A49DC" w:rsidRPr="00266B83" w:rsidRDefault="004A49DC" w:rsidP="00E12DB8">
            <w:pPr>
              <w:keepNext/>
              <w:keepLines/>
              <w:jc w:val="right"/>
              <w:rPr>
                <w:rFonts w:asciiTheme="majorBidi" w:hAnsiTheme="majorBidi" w:cstheme="majorBidi"/>
                <w:lang w:eastAsia="zh-CN"/>
              </w:rPr>
            </w:pPr>
            <w:r w:rsidRPr="00266B83">
              <w:rPr>
                <w:rFonts w:asciiTheme="majorBidi" w:hAnsiTheme="majorBidi" w:cstheme="majorBidi"/>
                <w:lang w:eastAsia="zh-CN"/>
              </w:rPr>
              <w:t>27 528 845,81 Kč</w:t>
            </w:r>
          </w:p>
        </w:tc>
      </w:tr>
      <w:tr w:rsidR="005032EA" w:rsidRPr="00266B83" w14:paraId="5EDDFB0F" w14:textId="77777777" w:rsidTr="00E12DB8">
        <w:trPr>
          <w:trHeight w:val="229"/>
        </w:trPr>
        <w:tc>
          <w:tcPr>
            <w:tcW w:w="4039" w:type="dxa"/>
            <w:tcBorders>
              <w:top w:val="single" w:sz="6" w:space="0" w:color="A6A6A6" w:themeColor="background1" w:themeShade="A6"/>
            </w:tcBorders>
            <w:shd w:val="clear" w:color="auto" w:fill="45B0E1" w:themeFill="accent1" w:themeFillTint="99"/>
            <w:vAlign w:val="center"/>
            <w:hideMark/>
          </w:tcPr>
          <w:p w14:paraId="38494A3B" w14:textId="77777777" w:rsidR="004A49DC" w:rsidRPr="00266B83" w:rsidRDefault="004A49DC" w:rsidP="00364866">
            <w:pPr>
              <w:keepNext/>
              <w:keepLines/>
              <w:rPr>
                <w:rFonts w:asciiTheme="majorBidi" w:hAnsiTheme="majorBidi" w:cstheme="majorBidi"/>
                <w:b/>
                <w:bCs/>
                <w:lang w:eastAsia="zh-CN"/>
              </w:rPr>
            </w:pPr>
            <w:r w:rsidRPr="00266B83">
              <w:rPr>
                <w:rFonts w:asciiTheme="majorBidi" w:hAnsiTheme="majorBidi" w:cstheme="majorBidi"/>
                <w:b/>
                <w:bCs/>
                <w:lang w:eastAsia="zh-CN"/>
              </w:rPr>
              <w:t>Celkový součet</w:t>
            </w:r>
          </w:p>
        </w:tc>
        <w:tc>
          <w:tcPr>
            <w:tcW w:w="1902" w:type="dxa"/>
            <w:tcBorders>
              <w:top w:val="single" w:sz="6" w:space="0" w:color="A6A6A6" w:themeColor="background1" w:themeShade="A6"/>
            </w:tcBorders>
            <w:shd w:val="clear" w:color="auto" w:fill="45B0E1" w:themeFill="accent1" w:themeFillTint="99"/>
            <w:vAlign w:val="center"/>
            <w:hideMark/>
          </w:tcPr>
          <w:p w14:paraId="6EB19CB6" w14:textId="49157D11" w:rsidR="004A49DC" w:rsidRPr="00266B83" w:rsidRDefault="004A49DC" w:rsidP="00E12DB8">
            <w:pPr>
              <w:keepNext/>
              <w:keepLines/>
              <w:ind w:right="698"/>
              <w:jc w:val="right"/>
              <w:rPr>
                <w:rFonts w:asciiTheme="majorBidi" w:hAnsiTheme="majorBidi" w:cstheme="majorBidi"/>
                <w:b/>
                <w:bCs/>
                <w:lang w:eastAsia="zh-CN"/>
              </w:rPr>
            </w:pPr>
            <w:r w:rsidRPr="00266B83">
              <w:rPr>
                <w:rFonts w:asciiTheme="majorBidi" w:hAnsiTheme="majorBidi" w:cstheme="majorBidi"/>
                <w:b/>
                <w:bCs/>
                <w:lang w:eastAsia="zh-CN"/>
              </w:rPr>
              <w:t>11</w:t>
            </w:r>
            <w:r w:rsidR="00433914" w:rsidRPr="00266B83">
              <w:rPr>
                <w:rFonts w:asciiTheme="majorBidi" w:hAnsiTheme="majorBidi" w:cstheme="majorBidi"/>
                <w:b/>
                <w:bCs/>
                <w:lang w:eastAsia="zh-CN"/>
              </w:rPr>
              <w:t>2</w:t>
            </w:r>
          </w:p>
        </w:tc>
        <w:tc>
          <w:tcPr>
            <w:tcW w:w="3201" w:type="dxa"/>
            <w:tcBorders>
              <w:top w:val="single" w:sz="6" w:space="0" w:color="A6A6A6" w:themeColor="background1" w:themeShade="A6"/>
            </w:tcBorders>
            <w:shd w:val="clear" w:color="auto" w:fill="45B0E1" w:themeFill="accent1" w:themeFillTint="99"/>
            <w:vAlign w:val="center"/>
            <w:hideMark/>
          </w:tcPr>
          <w:p w14:paraId="2ED5E5CF" w14:textId="23F54EC8" w:rsidR="004A49DC" w:rsidRPr="00266B83" w:rsidRDefault="00A87FAC" w:rsidP="00134614">
            <w:pPr>
              <w:jc w:val="right"/>
              <w:rPr>
                <w:rFonts w:asciiTheme="majorBidi" w:hAnsiTheme="majorBidi" w:cstheme="majorBidi"/>
                <w:b/>
                <w:bCs/>
                <w:lang w:eastAsia="zh-CN"/>
              </w:rPr>
            </w:pPr>
            <w:r w:rsidRPr="00266B83">
              <w:rPr>
                <w:rFonts w:asciiTheme="majorBidi" w:hAnsiTheme="majorBidi" w:cstheme="majorBidi"/>
                <w:b/>
                <w:bCs/>
                <w:color w:val="000000"/>
              </w:rPr>
              <w:t>385 910 603,31 Kč</w:t>
            </w:r>
          </w:p>
        </w:tc>
      </w:tr>
    </w:tbl>
    <w:p w14:paraId="5078B557" w14:textId="62F3B0E4" w:rsidR="004A49DC" w:rsidRDefault="004A49DC" w:rsidP="004A49DC">
      <w:pPr>
        <w:spacing w:after="200"/>
        <w:ind w:firstLine="709"/>
        <w:jc w:val="both"/>
        <w:rPr>
          <w:rFonts w:asciiTheme="majorBidi" w:hAnsiTheme="majorBidi" w:cstheme="majorBidi"/>
          <w:i/>
          <w:iCs/>
          <w:sz w:val="21"/>
          <w:szCs w:val="21"/>
        </w:rPr>
      </w:pPr>
      <w:r w:rsidRPr="00266B83">
        <w:rPr>
          <w:rFonts w:asciiTheme="majorBidi" w:hAnsiTheme="majorBidi" w:cstheme="majorBidi"/>
          <w:i/>
          <w:iCs/>
        </w:rPr>
        <w:t xml:space="preserve">Tabulka </w:t>
      </w:r>
      <w:r w:rsidRPr="00266B83">
        <w:rPr>
          <w:rFonts w:asciiTheme="majorBidi" w:hAnsiTheme="majorBidi" w:cstheme="majorBidi"/>
          <w:i/>
          <w:iCs/>
        </w:rPr>
        <w:fldChar w:fldCharType="begin"/>
      </w:r>
      <w:r w:rsidRPr="00266B83">
        <w:rPr>
          <w:rFonts w:asciiTheme="majorBidi" w:hAnsiTheme="majorBidi" w:cstheme="majorBidi"/>
          <w:i/>
          <w:iCs/>
        </w:rPr>
        <w:instrText xml:space="preserve"> SEQ Tabulka \* ARABIC </w:instrText>
      </w:r>
      <w:r w:rsidRPr="00266B83">
        <w:rPr>
          <w:rFonts w:asciiTheme="majorBidi" w:hAnsiTheme="majorBidi" w:cstheme="majorBidi"/>
          <w:i/>
          <w:iCs/>
        </w:rPr>
        <w:fldChar w:fldCharType="separate"/>
      </w:r>
      <w:r w:rsidRPr="00266B83">
        <w:rPr>
          <w:rFonts w:asciiTheme="majorBidi" w:hAnsiTheme="majorBidi" w:cstheme="majorBidi"/>
          <w:i/>
          <w:iCs/>
          <w:noProof/>
        </w:rPr>
        <w:t>1</w:t>
      </w:r>
      <w:r w:rsidRPr="00266B83">
        <w:rPr>
          <w:rFonts w:asciiTheme="majorBidi" w:hAnsiTheme="majorBidi" w:cstheme="majorBidi"/>
          <w:i/>
          <w:iCs/>
        </w:rPr>
        <w:fldChar w:fldCharType="end"/>
      </w:r>
      <w:r w:rsidRPr="00266B83">
        <w:rPr>
          <w:rFonts w:asciiTheme="majorBidi" w:hAnsiTheme="majorBidi" w:cstheme="majorBidi"/>
          <w:i/>
          <w:iCs/>
        </w:rPr>
        <w:t>: Počet projektů dle sektorového zaměření. Nezapočítáno 10 projekt</w:t>
      </w:r>
      <w:r w:rsidRPr="005032EA">
        <w:rPr>
          <w:rFonts w:asciiTheme="majorBidi" w:hAnsiTheme="majorBidi" w:cstheme="majorBidi"/>
          <w:i/>
          <w:iCs/>
          <w:sz w:val="21"/>
          <w:szCs w:val="21"/>
        </w:rPr>
        <w:t>ů v rámci Globálního vzdělávání a osvěty veřejnosti, 9 B2B projektů a 7 Posilování kapacit implementačních partnerů ZRS (celkem 11</w:t>
      </w:r>
      <w:r w:rsidR="0081380A">
        <w:rPr>
          <w:rFonts w:asciiTheme="majorBidi" w:hAnsiTheme="majorBidi" w:cstheme="majorBidi"/>
          <w:i/>
          <w:iCs/>
          <w:sz w:val="21"/>
          <w:szCs w:val="21"/>
        </w:rPr>
        <w:t>2</w:t>
      </w:r>
      <w:r w:rsidRPr="005032EA">
        <w:rPr>
          <w:rFonts w:asciiTheme="majorBidi" w:hAnsiTheme="majorBidi" w:cstheme="majorBidi"/>
          <w:i/>
          <w:iCs/>
          <w:sz w:val="21"/>
          <w:szCs w:val="21"/>
        </w:rPr>
        <w:t>), Program DS se spoluúčastí ČRA již započítán v rámci sektorů.</w:t>
      </w:r>
    </w:p>
    <w:p w14:paraId="1AE55832" w14:textId="458FB851" w:rsidR="00EC2780" w:rsidRPr="005032EA" w:rsidRDefault="00EC2780" w:rsidP="00EC2780">
      <w:pPr>
        <w:spacing w:line="276" w:lineRule="auto"/>
        <w:contextualSpacing/>
        <w:jc w:val="both"/>
        <w:rPr>
          <w:rFonts w:asciiTheme="majorBidi" w:eastAsia="Georgia" w:hAnsiTheme="majorBidi" w:cstheme="majorBidi"/>
        </w:rPr>
      </w:pPr>
      <w:r>
        <w:rPr>
          <w:rFonts w:asciiTheme="majorBidi" w:eastAsia="Georgia" w:hAnsiTheme="majorBidi" w:cstheme="majorBidi"/>
        </w:rPr>
        <w:t>Z hlediska Cílů udržitelného rozvoje (SDGs) pak projekty ČRA svým zaměřením přispěl</w:t>
      </w:r>
      <w:r w:rsidR="004337DF">
        <w:rPr>
          <w:rFonts w:asciiTheme="majorBidi" w:eastAsia="Georgia" w:hAnsiTheme="majorBidi" w:cstheme="majorBidi"/>
        </w:rPr>
        <w:t>y</w:t>
      </w:r>
      <w:r>
        <w:rPr>
          <w:rFonts w:asciiTheme="majorBidi" w:eastAsia="Georgia" w:hAnsiTheme="majorBidi" w:cstheme="majorBidi"/>
        </w:rPr>
        <w:t xml:space="preserve"> k naplnění všech 17 cílů. Nejvíce projektů se zaměřovalo na SDG 15 – život na souši</w:t>
      </w:r>
      <w:r w:rsidR="00434C5E">
        <w:rPr>
          <w:rFonts w:asciiTheme="majorBidi" w:eastAsia="Georgia" w:hAnsiTheme="majorBidi" w:cstheme="majorBidi"/>
        </w:rPr>
        <w:t>, SDG</w:t>
      </w:r>
      <w:r w:rsidR="00C353FD">
        <w:rPr>
          <w:rFonts w:asciiTheme="majorBidi" w:eastAsia="Georgia" w:hAnsiTheme="majorBidi" w:cstheme="majorBidi"/>
        </w:rPr>
        <w:t xml:space="preserve"> 2 </w:t>
      </w:r>
      <w:r w:rsidR="006E7ADA">
        <w:rPr>
          <w:rFonts w:asciiTheme="majorBidi" w:eastAsia="Georgia" w:hAnsiTheme="majorBidi" w:cstheme="majorBidi"/>
        </w:rPr>
        <w:t xml:space="preserve">– konec hladu </w:t>
      </w:r>
      <w:r w:rsidR="00C353FD">
        <w:rPr>
          <w:rFonts w:asciiTheme="majorBidi" w:eastAsia="Georgia" w:hAnsiTheme="majorBidi" w:cstheme="majorBidi"/>
        </w:rPr>
        <w:t>a SDG 1</w:t>
      </w:r>
      <w:r w:rsidR="006E7ADA">
        <w:rPr>
          <w:rFonts w:asciiTheme="majorBidi" w:eastAsia="Georgia" w:hAnsiTheme="majorBidi" w:cstheme="majorBidi"/>
        </w:rPr>
        <w:t xml:space="preserve"> – konec chudoby.</w:t>
      </w:r>
    </w:p>
    <w:p w14:paraId="5F73845B" w14:textId="18671E76" w:rsidR="00EE4EEA" w:rsidRDefault="00EE4EEA" w:rsidP="00B16359">
      <w:pPr>
        <w:jc w:val="both"/>
        <w:rPr>
          <w:rFonts w:asciiTheme="majorBidi" w:hAnsiTheme="majorBidi" w:cstheme="majorBidi"/>
          <w:i/>
          <w:iCs/>
          <w:sz w:val="21"/>
          <w:szCs w:val="21"/>
        </w:rPr>
      </w:pPr>
      <w:r>
        <w:rPr>
          <w:noProof/>
        </w:rPr>
        <w:drawing>
          <wp:inline distT="0" distB="0" distL="0" distR="0" wp14:anchorId="47084426" wp14:editId="3C2DEB3F">
            <wp:extent cx="5745480" cy="4122420"/>
            <wp:effectExtent l="0" t="0" r="7620" b="11430"/>
            <wp:docPr id="1156871377" name="Graf 1">
              <a:extLst xmlns:a="http://schemas.openxmlformats.org/drawingml/2006/main">
                <a:ext uri="{FF2B5EF4-FFF2-40B4-BE49-F238E27FC236}">
                  <a16:creationId xmlns:a16="http://schemas.microsoft.com/office/drawing/2014/main" id="{2898FEEE-51ED-D989-03A6-E216A9107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D485A0" w14:textId="0E48ECDD" w:rsidR="00EE4EEA" w:rsidRPr="00EA3A13" w:rsidRDefault="00EE4EEA" w:rsidP="00EE4EEA">
      <w:pPr>
        <w:spacing w:after="200"/>
        <w:ind w:firstLine="709"/>
        <w:jc w:val="both"/>
        <w:rPr>
          <w:rFonts w:asciiTheme="majorBidi" w:hAnsiTheme="majorBidi" w:cstheme="majorBidi"/>
          <w:i/>
          <w:iCs/>
          <w:sz w:val="22"/>
          <w:szCs w:val="22"/>
        </w:rPr>
      </w:pPr>
      <w:r w:rsidRPr="00EA3A13">
        <w:rPr>
          <w:rFonts w:asciiTheme="majorBidi" w:hAnsiTheme="majorBidi" w:cstheme="majorBidi"/>
          <w:i/>
          <w:iCs/>
          <w:sz w:val="22"/>
          <w:szCs w:val="22"/>
        </w:rPr>
        <w:t xml:space="preserve">Graf 2: Počet projektů ČRA se zaměřením na příslušný SDG (jeden projekt </w:t>
      </w:r>
      <w:r w:rsidR="009A11C8" w:rsidRPr="00EA3A13">
        <w:rPr>
          <w:rFonts w:asciiTheme="majorBidi" w:hAnsiTheme="majorBidi" w:cstheme="majorBidi"/>
          <w:i/>
          <w:iCs/>
          <w:sz w:val="22"/>
          <w:szCs w:val="22"/>
        </w:rPr>
        <w:t>může podporovat naplňování více SDGs)</w:t>
      </w:r>
      <w:r w:rsidR="00B16359" w:rsidRPr="00EA3A13">
        <w:rPr>
          <w:rFonts w:asciiTheme="majorBidi" w:hAnsiTheme="majorBidi" w:cstheme="majorBidi"/>
          <w:i/>
          <w:iCs/>
          <w:sz w:val="22"/>
          <w:szCs w:val="22"/>
        </w:rPr>
        <w:t>.</w:t>
      </w:r>
    </w:p>
    <w:p w14:paraId="41D1A305" w14:textId="77777777" w:rsidR="004A49DC" w:rsidRPr="005032EA" w:rsidRDefault="004A49DC" w:rsidP="001C7A7B">
      <w:pPr>
        <w:keepNext/>
        <w:keepLines/>
        <w:numPr>
          <w:ilvl w:val="2"/>
          <w:numId w:val="13"/>
        </w:numPr>
        <w:spacing w:before="160" w:after="80" w:line="264" w:lineRule="auto"/>
        <w:ind w:left="0" w:firstLine="0"/>
        <w:jc w:val="both"/>
        <w:outlineLvl w:val="2"/>
        <w:rPr>
          <w:rFonts w:asciiTheme="majorBidi" w:eastAsia="DengXian Light" w:hAnsiTheme="majorBidi" w:cstheme="majorBidi"/>
          <w:b/>
        </w:rPr>
      </w:pPr>
      <w:bookmarkStart w:id="5" w:name="_Toc200351821"/>
      <w:bookmarkStart w:id="6" w:name="_Toc200633258"/>
      <w:r w:rsidRPr="005032EA">
        <w:rPr>
          <w:rFonts w:asciiTheme="majorBidi" w:eastAsia="DengXian Light" w:hAnsiTheme="majorBidi" w:cstheme="majorBidi"/>
          <w:b/>
        </w:rPr>
        <w:lastRenderedPageBreak/>
        <w:t>Rozvojové aktivity ČRA podle forem a programů</w:t>
      </w:r>
      <w:bookmarkEnd w:id="5"/>
      <w:bookmarkEnd w:id="6"/>
      <w:r w:rsidRPr="005032EA">
        <w:rPr>
          <w:rFonts w:asciiTheme="majorBidi" w:eastAsia="DengXian Light" w:hAnsiTheme="majorBidi" w:cstheme="majorBidi"/>
          <w:b/>
        </w:rPr>
        <w:t xml:space="preserve"> </w:t>
      </w:r>
    </w:p>
    <w:p w14:paraId="2267DD8C" w14:textId="77777777" w:rsidR="004A49DC" w:rsidRPr="005032EA" w:rsidRDefault="004A49DC" w:rsidP="001C7A7B">
      <w:pPr>
        <w:keepNext/>
        <w:keepLines/>
        <w:spacing w:before="80" w:after="40" w:line="264" w:lineRule="auto"/>
        <w:jc w:val="both"/>
        <w:outlineLvl w:val="4"/>
        <w:rPr>
          <w:rFonts w:asciiTheme="majorBidi" w:eastAsia="DengXian Light" w:hAnsiTheme="majorBidi" w:cstheme="majorBidi"/>
          <w:b/>
        </w:rPr>
      </w:pPr>
      <w:r w:rsidRPr="005032EA">
        <w:rPr>
          <w:rFonts w:asciiTheme="majorBidi" w:eastAsia="DengXian Light" w:hAnsiTheme="majorBidi" w:cstheme="majorBidi"/>
          <w:b/>
        </w:rPr>
        <w:t>Bilaterální projekty</w:t>
      </w:r>
    </w:p>
    <w:p w14:paraId="05AAF877"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Čerpáno v roce 2024: 347,9 mil. Kč</w:t>
      </w:r>
    </w:p>
    <w:p w14:paraId="0B0A8DFA"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Počet realizovaných projektů: 76 (63 bilaterálních VZ+DO, 13 bilaterální RO)</w:t>
      </w:r>
    </w:p>
    <w:p w14:paraId="2EF571C2" w14:textId="77777777" w:rsidR="004A49DC" w:rsidRPr="005032EA" w:rsidRDefault="004A49DC" w:rsidP="001C7A7B">
      <w:pPr>
        <w:spacing w:line="264" w:lineRule="auto"/>
        <w:ind w:firstLine="709"/>
        <w:jc w:val="both"/>
        <w:rPr>
          <w:rFonts w:asciiTheme="majorBidi" w:hAnsiTheme="majorBidi" w:cstheme="majorBidi"/>
        </w:rPr>
      </w:pPr>
    </w:p>
    <w:p w14:paraId="1919F353"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Bilaterální projekty směřují k naplnění cílů a výstupů jednotlivých tematických priorit bilaterálních programů rozvojové spolupráce s každou jednotlivou prioritní zemí ZRS. ČRA je každým rokem realizuje pomocí tří základních finančních nástrojů. </w:t>
      </w:r>
    </w:p>
    <w:p w14:paraId="13987472" w14:textId="140E7EC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Prvním z nich jsou bilaterální </w:t>
      </w:r>
      <w:r w:rsidRPr="005032EA">
        <w:rPr>
          <w:rFonts w:asciiTheme="majorBidi" w:hAnsiTheme="majorBidi" w:cstheme="majorBidi"/>
          <w:b/>
          <w:bCs/>
        </w:rPr>
        <w:t>dotace</w:t>
      </w:r>
      <w:r w:rsidRPr="005032EA">
        <w:rPr>
          <w:rFonts w:asciiTheme="majorBidi" w:hAnsiTheme="majorBidi" w:cstheme="majorBidi"/>
        </w:rPr>
        <w:t>, které ve finančním vyjádření zaujímají většinu všech projektů realizovaných ČRA.  Jedná se o poskytování účelových neinvestičních dotací ze státního rozpočtu České republiky nestátním neziskovým organizacím a dalším oprávněným subjektům v souladu s ustanoveními § 14 a násl. zákona č. 218/2000 Sb., o</w:t>
      </w:r>
      <w:r w:rsidR="008157C0">
        <w:rPr>
          <w:rFonts w:asciiTheme="majorBidi" w:hAnsiTheme="majorBidi" w:cstheme="majorBidi"/>
        </w:rPr>
        <w:t> </w:t>
      </w:r>
      <w:r w:rsidRPr="005032EA">
        <w:rPr>
          <w:rFonts w:asciiTheme="majorBidi" w:hAnsiTheme="majorBidi" w:cstheme="majorBidi"/>
        </w:rPr>
        <w:t>rozpočtových pravidlech. ČRA v dotační výzvě specifikuje parametry projektu (zejména geografické a tematické zaměření, očekávané cíle a výstupy včetně případných indikátorů, finanční rámec včetně alokace na jednotlivé roky realizace, požadavky na koordinaci a</w:t>
      </w:r>
      <w:r w:rsidR="008157C0">
        <w:rPr>
          <w:rFonts w:asciiTheme="majorBidi" w:hAnsiTheme="majorBidi" w:cstheme="majorBidi"/>
        </w:rPr>
        <w:t> </w:t>
      </w:r>
      <w:r w:rsidRPr="005032EA">
        <w:rPr>
          <w:rFonts w:asciiTheme="majorBidi" w:hAnsiTheme="majorBidi" w:cstheme="majorBidi"/>
        </w:rPr>
        <w:t xml:space="preserve">integraci s jinými donory a aktivitami), dále nastavuje kritéria hodnocení projektových záměrů a další podmínky pro poskytnutí a kontrolu použití dotace při implementaci projektů. </w:t>
      </w:r>
    </w:p>
    <w:p w14:paraId="5AB80338"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Druhým běžným nástrojem jsou </w:t>
      </w:r>
      <w:r w:rsidRPr="005032EA">
        <w:rPr>
          <w:rFonts w:asciiTheme="majorBidi" w:hAnsiTheme="majorBidi" w:cstheme="majorBidi"/>
          <w:b/>
          <w:bCs/>
        </w:rPr>
        <w:t>veřejné zakázky</w:t>
      </w:r>
      <w:r w:rsidRPr="005032EA">
        <w:rPr>
          <w:rFonts w:asciiTheme="majorBidi" w:hAnsiTheme="majorBidi" w:cstheme="majorBidi"/>
        </w:rPr>
        <w:t xml:space="preserve">, k nimž ČRA coby veřejný zadavatel přistupuje s péčí řádného hospodáře a při výběrových řízeních zohledňuje průsečík přidané hodnoty, kvality jednotlivých nabídek a nejnižší nabídkové ceny. </w:t>
      </w:r>
    </w:p>
    <w:p w14:paraId="606051F6"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Třetím nástrojem jsou </w:t>
      </w:r>
      <w:r w:rsidRPr="005032EA">
        <w:rPr>
          <w:rFonts w:asciiTheme="majorBidi" w:hAnsiTheme="majorBidi" w:cstheme="majorBidi"/>
          <w:b/>
          <w:bCs/>
        </w:rPr>
        <w:t>rozpočtová opatření</w:t>
      </w:r>
      <w:r w:rsidRPr="005032EA">
        <w:rPr>
          <w:rFonts w:asciiTheme="majorBidi" w:hAnsiTheme="majorBidi" w:cstheme="majorBidi"/>
        </w:rPr>
        <w:t>, skrz něž ČRA propojuje české státní instituce s relevantní expertízou (např. problematika hydrogeologické mapování, lesnictví nebo bezpečnost potravin) s institucemi veřejné správy v jednotlivých prioritních zemích.</w:t>
      </w:r>
    </w:p>
    <w:p w14:paraId="6A35234E" w14:textId="77777777" w:rsidR="004A49DC" w:rsidRPr="005032EA" w:rsidRDefault="004A49DC" w:rsidP="001C7A7B">
      <w:pPr>
        <w:spacing w:line="264" w:lineRule="auto"/>
        <w:ind w:firstLine="709"/>
        <w:jc w:val="both"/>
        <w:rPr>
          <w:rFonts w:asciiTheme="majorBidi" w:eastAsia="Georgia" w:hAnsiTheme="majorBidi" w:cstheme="majorBidi"/>
        </w:rPr>
      </w:pPr>
      <w:r w:rsidRPr="005032EA">
        <w:rPr>
          <w:rFonts w:asciiTheme="majorBidi" w:eastAsia="Georgia" w:hAnsiTheme="majorBidi" w:cstheme="majorBidi"/>
        </w:rPr>
        <w:t xml:space="preserve">Doplňkovým nástrojem, který ČRA zpravidla využívá v součinnosti s MZV, jsou </w:t>
      </w:r>
      <w:r w:rsidRPr="005032EA">
        <w:rPr>
          <w:rFonts w:asciiTheme="majorBidi" w:eastAsia="Georgia" w:hAnsiTheme="majorBidi" w:cstheme="majorBidi"/>
          <w:b/>
          <w:bCs/>
        </w:rPr>
        <w:t>peněžní dary</w:t>
      </w:r>
      <w:r w:rsidRPr="005032EA">
        <w:rPr>
          <w:rFonts w:asciiTheme="majorBidi" w:eastAsia="Georgia" w:hAnsiTheme="majorBidi" w:cstheme="majorBidi"/>
        </w:rPr>
        <w:t>. Využívají se zejména pro zapojení do komplexních programů jiných donorů, nejčastěji Rozvojového programu OSN (UNDP), případně v rámci přímé spolupráce s místními partnery. ČRA zde identifikuje partnera, příjemce a program, vyjedná podmínky zapojení a zpravidla prostřednictvím MZV realizuje takto účelově vázaný peněžní dar.</w:t>
      </w:r>
    </w:p>
    <w:p w14:paraId="1398587B" w14:textId="77777777" w:rsidR="004A49DC" w:rsidRPr="005032EA" w:rsidRDefault="004A49DC" w:rsidP="001C7A7B">
      <w:pPr>
        <w:spacing w:line="264" w:lineRule="auto"/>
        <w:ind w:firstLine="709"/>
        <w:jc w:val="both"/>
        <w:rPr>
          <w:rFonts w:asciiTheme="majorBidi" w:hAnsiTheme="majorBidi" w:cstheme="majorBidi"/>
        </w:rPr>
      </w:pPr>
    </w:p>
    <w:p w14:paraId="568724CC" w14:textId="77777777" w:rsidR="004A49DC" w:rsidRPr="005032EA" w:rsidRDefault="004A49DC" w:rsidP="001C7A7B">
      <w:pPr>
        <w:keepNext/>
        <w:keepLines/>
        <w:spacing w:before="160" w:after="80" w:line="264" w:lineRule="auto"/>
        <w:jc w:val="both"/>
        <w:outlineLvl w:val="2"/>
        <w:rPr>
          <w:rFonts w:asciiTheme="majorBidi" w:eastAsia="DengXian Light" w:hAnsiTheme="majorBidi" w:cstheme="majorBidi"/>
          <w:b/>
        </w:rPr>
      </w:pPr>
      <w:bookmarkStart w:id="7" w:name="_Toc200351822"/>
      <w:bookmarkStart w:id="8" w:name="_Toc200633259"/>
      <w:r w:rsidRPr="005032EA">
        <w:rPr>
          <w:rFonts w:asciiTheme="majorBidi" w:eastAsia="DengXian Light" w:hAnsiTheme="majorBidi" w:cstheme="majorBidi"/>
          <w:b/>
        </w:rPr>
        <w:t>Globální vzdělávání a osvěta veřejnosti</w:t>
      </w:r>
      <w:bookmarkEnd w:id="7"/>
      <w:bookmarkEnd w:id="8"/>
      <w:r w:rsidRPr="005032EA">
        <w:rPr>
          <w:rFonts w:asciiTheme="majorBidi" w:eastAsia="DengXian Light" w:hAnsiTheme="majorBidi" w:cstheme="majorBidi"/>
          <w:b/>
        </w:rPr>
        <w:t xml:space="preserve"> </w:t>
      </w:r>
    </w:p>
    <w:p w14:paraId="199B9634"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Čerpáno v roce 2024: 11,3 mil. Kč</w:t>
      </w:r>
    </w:p>
    <w:p w14:paraId="00DE188B"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Počet realizovaných projektů: 10</w:t>
      </w:r>
    </w:p>
    <w:p w14:paraId="63604331" w14:textId="77777777" w:rsidR="004A49DC" w:rsidRPr="005032EA" w:rsidRDefault="004A49DC" w:rsidP="001C7A7B">
      <w:pPr>
        <w:spacing w:line="264" w:lineRule="auto"/>
        <w:ind w:firstLine="709"/>
        <w:jc w:val="both"/>
        <w:rPr>
          <w:rFonts w:asciiTheme="majorBidi" w:hAnsiTheme="majorBidi" w:cstheme="majorBidi"/>
        </w:rPr>
      </w:pPr>
    </w:p>
    <w:p w14:paraId="7EFE9F91"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Projekty v České republice se v roce 2024 realizovaly prostřednictvím dvou programů. Program </w:t>
      </w:r>
      <w:r w:rsidRPr="005032EA">
        <w:rPr>
          <w:rFonts w:asciiTheme="majorBidi" w:hAnsiTheme="majorBidi" w:cstheme="majorBidi"/>
          <w:b/>
          <w:bCs/>
        </w:rPr>
        <w:t>Globální vzdělávání</w:t>
      </w:r>
      <w:r w:rsidRPr="005032EA">
        <w:rPr>
          <w:rFonts w:asciiTheme="majorBidi" w:hAnsiTheme="majorBidi" w:cstheme="majorBidi"/>
        </w:rPr>
        <w:t xml:space="preserve"> (GV) a osvěta veřejnosti se zaměřuje na zprostředkování informací o globálních výzvách a souvislostech nejen studentům a pedagogům, ale i široké veřejnosti. V rámci tohoto programu bylo v roce 2024 realizováno celkem deset projektů, z toho tři nové jednoleté, čtyři nové dvouleté a tři pokračující. Již tradičně byl realizován projekt Světová škola, podporující výuku GV na školách a poskytující podporu pedagogům, který společně realizují ADRA, o. p. s., Člověk v tísni, o. p. s., a ARPOK, o. p. s. Tématy dalších projektů byly problematika změny klimatu (Agora CE, o. p. s., CARE Česká republika, z. s.), recyklace (Česká federace nábytkových bank, z. s.), osvěta prostřednictvím komiksové soutěže (ADRA, o. p. s.) či spravedlivá mzda (Fairtrade Česko a Slovensko, z. s.). </w:t>
      </w:r>
    </w:p>
    <w:p w14:paraId="093C7125" w14:textId="77777777" w:rsidR="004A49DC" w:rsidRPr="005032EA" w:rsidRDefault="004A49DC" w:rsidP="001C7A7B">
      <w:pPr>
        <w:spacing w:line="264" w:lineRule="auto"/>
        <w:ind w:firstLine="709"/>
        <w:jc w:val="both"/>
        <w:rPr>
          <w:rFonts w:asciiTheme="majorBidi" w:hAnsiTheme="majorBidi" w:cstheme="majorBidi"/>
        </w:rPr>
      </w:pPr>
    </w:p>
    <w:p w14:paraId="6ECD4878" w14:textId="77777777" w:rsidR="004A49DC" w:rsidRPr="005032EA" w:rsidRDefault="004A49DC" w:rsidP="001C7A7B">
      <w:pPr>
        <w:keepNext/>
        <w:keepLines/>
        <w:spacing w:before="160" w:after="80" w:line="264" w:lineRule="auto"/>
        <w:jc w:val="both"/>
        <w:outlineLvl w:val="2"/>
        <w:rPr>
          <w:rFonts w:asciiTheme="majorBidi" w:eastAsia="DengXian Light" w:hAnsiTheme="majorBidi" w:cstheme="majorBidi"/>
          <w:b/>
        </w:rPr>
      </w:pPr>
      <w:bookmarkStart w:id="9" w:name="_Toc200351823"/>
      <w:bookmarkStart w:id="10" w:name="_Toc200633260"/>
      <w:r w:rsidRPr="005032EA">
        <w:rPr>
          <w:rFonts w:asciiTheme="majorBidi" w:eastAsia="DengXian Light" w:hAnsiTheme="majorBidi" w:cstheme="majorBidi"/>
          <w:b/>
        </w:rPr>
        <w:lastRenderedPageBreak/>
        <w:t>Posilování kapacit implementačních partnerů ZRS</w:t>
      </w:r>
      <w:bookmarkEnd w:id="9"/>
      <w:bookmarkEnd w:id="10"/>
    </w:p>
    <w:p w14:paraId="54620DFE"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Čerpáno v roce 2024: 5 mil. Kč</w:t>
      </w:r>
    </w:p>
    <w:p w14:paraId="50BFA06A"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Počet realizovaných projektů: 7</w:t>
      </w:r>
    </w:p>
    <w:p w14:paraId="6279E5DC" w14:textId="77777777" w:rsidR="004A49DC" w:rsidRPr="005032EA" w:rsidRDefault="004A49DC" w:rsidP="001C7A7B">
      <w:pPr>
        <w:spacing w:line="264" w:lineRule="auto"/>
        <w:ind w:firstLine="709"/>
        <w:jc w:val="both"/>
        <w:rPr>
          <w:rFonts w:asciiTheme="majorBidi" w:hAnsiTheme="majorBidi" w:cstheme="majorBidi"/>
        </w:rPr>
      </w:pPr>
    </w:p>
    <w:p w14:paraId="79742394"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b/>
          <w:bCs/>
        </w:rPr>
        <w:t>Posilování kapacit implementačních partnerů ZRS</w:t>
      </w:r>
      <w:r w:rsidRPr="005032EA">
        <w:rPr>
          <w:rFonts w:asciiTheme="majorBidi" w:hAnsiTheme="majorBidi" w:cstheme="majorBidi"/>
        </w:rPr>
        <w:t xml:space="preserve"> (PK), druhý tuzemský program, je zaměřen na podporu všech relevantních subjektů, které se aktivně zapojují do české zahraniční spolupráce. Cílem programu je skrze podporu a posílení kapacit těchto subjektů zefektivnit a zkvalitnit rozvojovou spolupráci ČR. V rámci tohoto programu bylo v roce 2024 podpořeno celkem sedm projektů, z toho pět nových jednoletých, jeden nový tříletý a jeden pokračující.</w:t>
      </w:r>
    </w:p>
    <w:p w14:paraId="7785CBDD" w14:textId="77777777" w:rsidR="004A49DC" w:rsidRPr="005032EA" w:rsidRDefault="004A49DC" w:rsidP="001C7A7B">
      <w:pPr>
        <w:spacing w:line="264" w:lineRule="auto"/>
        <w:ind w:firstLine="709"/>
        <w:jc w:val="both"/>
        <w:rPr>
          <w:rFonts w:asciiTheme="majorBidi" w:hAnsiTheme="majorBidi" w:cstheme="majorBidi"/>
        </w:rPr>
      </w:pPr>
    </w:p>
    <w:p w14:paraId="66E3DA4B" w14:textId="77777777" w:rsidR="004A49DC" w:rsidRPr="005032EA" w:rsidRDefault="004A49DC" w:rsidP="001C7A7B">
      <w:pPr>
        <w:keepNext/>
        <w:keepLines/>
        <w:spacing w:before="80" w:after="40" w:line="264" w:lineRule="auto"/>
        <w:jc w:val="both"/>
        <w:outlineLvl w:val="4"/>
        <w:rPr>
          <w:rFonts w:asciiTheme="majorBidi" w:eastAsia="DengXian Light" w:hAnsiTheme="majorBidi" w:cstheme="majorBidi"/>
          <w:b/>
        </w:rPr>
      </w:pPr>
      <w:r w:rsidRPr="005032EA">
        <w:rPr>
          <w:rFonts w:asciiTheme="majorBidi" w:eastAsia="DengXian Light" w:hAnsiTheme="majorBidi" w:cstheme="majorBidi"/>
          <w:b/>
        </w:rPr>
        <w:t>Trojstranné projekty</w:t>
      </w:r>
    </w:p>
    <w:p w14:paraId="4E3A6063" w14:textId="77777777" w:rsidR="004A49DC" w:rsidRPr="005032EA" w:rsidRDefault="004A49DC" w:rsidP="001C7A7B">
      <w:pPr>
        <w:keepNext/>
        <w:keepLines/>
        <w:spacing w:line="264" w:lineRule="auto"/>
        <w:jc w:val="both"/>
        <w:rPr>
          <w:rFonts w:asciiTheme="majorBidi" w:hAnsiTheme="majorBidi" w:cstheme="majorBidi"/>
        </w:rPr>
      </w:pPr>
      <w:r w:rsidRPr="005032EA">
        <w:rPr>
          <w:rFonts w:asciiTheme="majorBidi" w:hAnsiTheme="majorBidi" w:cstheme="majorBidi"/>
        </w:rPr>
        <w:t>Čerpáno v roce 2024: 31,6 mil. Kč</w:t>
      </w:r>
    </w:p>
    <w:p w14:paraId="30909A72" w14:textId="77777777" w:rsidR="004A49DC" w:rsidRPr="005032EA" w:rsidRDefault="004A49DC" w:rsidP="001C7A7B">
      <w:pPr>
        <w:keepNext/>
        <w:keepLines/>
        <w:spacing w:line="264" w:lineRule="auto"/>
        <w:jc w:val="both"/>
        <w:rPr>
          <w:rFonts w:asciiTheme="majorBidi" w:hAnsiTheme="majorBidi" w:cstheme="majorBidi"/>
        </w:rPr>
      </w:pPr>
      <w:r w:rsidRPr="005032EA">
        <w:rPr>
          <w:rFonts w:asciiTheme="majorBidi" w:hAnsiTheme="majorBidi" w:cstheme="majorBidi"/>
        </w:rPr>
        <w:t>Počet realizovaných projektů: 13</w:t>
      </w:r>
    </w:p>
    <w:p w14:paraId="3681D125" w14:textId="77777777" w:rsidR="004A49DC" w:rsidRPr="005032EA" w:rsidRDefault="004A49DC" w:rsidP="001C7A7B">
      <w:pPr>
        <w:keepNext/>
        <w:keepLines/>
        <w:spacing w:line="264" w:lineRule="auto"/>
        <w:ind w:firstLine="709"/>
        <w:jc w:val="both"/>
        <w:rPr>
          <w:rFonts w:asciiTheme="majorBidi" w:hAnsiTheme="majorBidi" w:cstheme="majorBidi"/>
        </w:rPr>
      </w:pPr>
    </w:p>
    <w:p w14:paraId="2D414817" w14:textId="77777777" w:rsidR="004A49DC" w:rsidRPr="005032EA" w:rsidRDefault="004A49DC" w:rsidP="001C7A7B">
      <w:pPr>
        <w:keepNext/>
        <w:keepLines/>
        <w:spacing w:line="264" w:lineRule="auto"/>
        <w:ind w:firstLine="709"/>
        <w:jc w:val="both"/>
        <w:rPr>
          <w:rFonts w:asciiTheme="majorBidi" w:hAnsiTheme="majorBidi" w:cstheme="majorBidi"/>
        </w:rPr>
      </w:pPr>
      <w:r w:rsidRPr="005032EA">
        <w:rPr>
          <w:rFonts w:asciiTheme="majorBidi" w:hAnsiTheme="majorBidi" w:cstheme="majorBidi"/>
        </w:rPr>
        <w:t xml:space="preserve">Trojstranné projekty ČRA se každý rok finančně podílejí na realizaci projektů trojstranné spolupráce. Podmínkou dotačního titulu Podpora trojstranných projektů českých subjektů je vždy prokazatelný partnerský vztah se zahraničním/mezinárodním subjektem a spolufinancování projektu z jiného zdroje – například Evropské komise. Výše požadovaného spolufinancování se liší v závislosti na modalitě, ve které je žádost podána. V rámci modality č. 1, která je založena na kofinancování projektů financovaných ze strany dalšího donora, je český subjekt povinen podílet se na spolufinancování projektu z dalších zdrojů minimálně ve výši 50 % celkových nákladů projektu. V rámci modality č. 2, která spočívá v zapojení českých subjektů do rozvojových projektů financovaných třetí stranou, musí výše spolufinancování projektu z dalších zdrojů činit minimálně 5 % z celkových nákladů projektu. </w:t>
      </w:r>
    </w:p>
    <w:p w14:paraId="3C77776B"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Trojstranné projekty umožňují českým realizátorům získat cenné zkušenosti při práci na společných aktivitách se zahraničními partnery. Trojstranná spolupráce také navyšuje celkový objem disponibilních prostředků a umožňuje tak zvýšit dopady. Geograficky se trilaterální program zaměřuje na tři oblasti: 1) prioritní rozvojové země, 2) specifické země a 3) země humanitární spolupráce.</w:t>
      </w:r>
    </w:p>
    <w:p w14:paraId="4E2D0E46" w14:textId="3F8AA7F5" w:rsidR="004A49DC"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Pro program trojstranné spolupráce schválila vláda ČR rozpočet 25 milionů Kč. V</w:t>
      </w:r>
      <w:r w:rsidR="008157C0">
        <w:rPr>
          <w:rFonts w:asciiTheme="majorBidi" w:hAnsiTheme="majorBidi" w:cstheme="majorBidi"/>
        </w:rPr>
        <w:t> </w:t>
      </w:r>
      <w:r w:rsidRPr="005032EA">
        <w:rPr>
          <w:rFonts w:asciiTheme="majorBidi" w:hAnsiTheme="majorBidi" w:cstheme="majorBidi"/>
        </w:rPr>
        <w:t>rámci roku 2024 byla však ze strany ČRA vyhlášená ještě tzv. Doplňková dotační výzva na podporu trojstranné spolupráce, v rámci které bylo podpořeno 5 projektů. Finance nad rámec vládního rozpočtu byly pokryty z nespotřebovaných nároků z předchozího roku.</w:t>
      </w:r>
    </w:p>
    <w:p w14:paraId="44BF957E" w14:textId="77777777" w:rsidR="00147C56" w:rsidRPr="005032EA" w:rsidRDefault="00147C56" w:rsidP="001C7A7B">
      <w:pPr>
        <w:spacing w:line="264" w:lineRule="auto"/>
        <w:ind w:firstLine="709"/>
        <w:jc w:val="both"/>
        <w:rPr>
          <w:rFonts w:asciiTheme="majorBidi" w:hAnsiTheme="majorBidi" w:cstheme="majorBidi"/>
        </w:rPr>
      </w:pPr>
    </w:p>
    <w:p w14:paraId="31897B6E" w14:textId="77777777" w:rsidR="004A49DC" w:rsidRPr="005032EA" w:rsidRDefault="004A49DC" w:rsidP="001C7A7B">
      <w:pPr>
        <w:keepNext/>
        <w:keepLines/>
        <w:spacing w:before="80" w:after="40" w:line="264" w:lineRule="auto"/>
        <w:jc w:val="both"/>
        <w:outlineLvl w:val="4"/>
        <w:rPr>
          <w:rFonts w:asciiTheme="majorBidi" w:eastAsia="DengXian Light" w:hAnsiTheme="majorBidi" w:cstheme="majorBidi"/>
          <w:b/>
        </w:rPr>
      </w:pPr>
      <w:r w:rsidRPr="005032EA">
        <w:rPr>
          <w:rFonts w:asciiTheme="majorBidi" w:eastAsia="DengXian Light" w:hAnsiTheme="majorBidi" w:cstheme="majorBidi"/>
          <w:b/>
        </w:rPr>
        <w:t>Program rozvojového partnerství pro soukromý sektor (B2B)</w:t>
      </w:r>
    </w:p>
    <w:p w14:paraId="0251094D"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Čerpáno v roce 2024: 6,9 mil. Kč</w:t>
      </w:r>
    </w:p>
    <w:p w14:paraId="79DE7662"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Počet realizovaných projektů: 9</w:t>
      </w:r>
    </w:p>
    <w:p w14:paraId="66707C45" w14:textId="77777777" w:rsidR="004A49DC" w:rsidRPr="005032EA" w:rsidRDefault="004A49DC" w:rsidP="001C7A7B">
      <w:pPr>
        <w:spacing w:line="264" w:lineRule="auto"/>
        <w:ind w:firstLine="709"/>
        <w:jc w:val="both"/>
        <w:rPr>
          <w:rFonts w:asciiTheme="majorBidi" w:hAnsiTheme="majorBidi" w:cstheme="majorBidi"/>
        </w:rPr>
      </w:pPr>
    </w:p>
    <w:p w14:paraId="045C5EC7"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V roce 2024 ČRA realizovala další rok Programu B2B, zaměřeného na zapojení českého soukromého sektoru do české zahraniční rozvojové spolupráce. Program má za cíl české firmy propojit se zahraničními firmami v místě realizace, a podpořit tak komerční subjekty při vstupu na trh v rozvojové zemi. Program tak přispívá k rozvoji podnikatelského sektoru v místě realizace a zároveň zohledňuje obecný rozvojový dopad (primárně dle Cílů </w:t>
      </w:r>
      <w:r w:rsidRPr="005032EA">
        <w:rPr>
          <w:rFonts w:asciiTheme="majorBidi" w:hAnsiTheme="majorBidi" w:cstheme="majorBidi"/>
        </w:rPr>
        <w:lastRenderedPageBreak/>
        <w:t xml:space="preserve">udržitelného rozvoje – SDG) i dlouhodobou komerční udržitelnost podnikatelského záměru po ukončení dotační podpory. B2B je tak primárně rozvojovým programem, nikoliv pro-exportním. Program svým širokým zaměřením umožňuje podpořit nejen projekty zacílené do prioritních zemí české zahraniční rozvojové spolupráce, ale také projekty zaměřené do kterékoliv jiné rozvíjející se země dle klasifikace mezinárodní organizace OECD. </w:t>
      </w:r>
    </w:p>
    <w:p w14:paraId="66ACA77F" w14:textId="77777777" w:rsidR="004A49DC" w:rsidRPr="005032EA" w:rsidRDefault="004A49DC" w:rsidP="001C7A7B">
      <w:pPr>
        <w:keepNext/>
        <w:keepLines/>
        <w:spacing w:line="264" w:lineRule="auto"/>
        <w:ind w:firstLine="709"/>
        <w:jc w:val="both"/>
        <w:rPr>
          <w:rFonts w:asciiTheme="majorBidi" w:hAnsiTheme="majorBidi" w:cstheme="majorBidi"/>
        </w:rPr>
      </w:pPr>
      <w:r w:rsidRPr="005032EA">
        <w:rPr>
          <w:rFonts w:asciiTheme="majorBidi" w:hAnsiTheme="majorBidi" w:cstheme="majorBidi"/>
        </w:rPr>
        <w:t>Program B2B je rozdělen na fázi Přípravy a fázi Realizace. Ve fázi Přípravy lze použít finanční podporu z prostředků ZRS ČR pro vypracování Studie proveditelnosti či Podnikatelského plánu. Tato podpora může být poskytnuta maximálně ve výši 50 % prokázaných nákladů. Maximální částka dotace na jednu Studii proveditelnosti či Podnikatelský plán je 500 000,- Kč. Dotace je poskytována na 1 kalendářní rok.</w:t>
      </w:r>
    </w:p>
    <w:p w14:paraId="08A29D9D"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Z devíti projektů realizovaných v roce 2024 měly tři projekty podobu přípravné fáze, z nichž ve dvou případech šlo o vypracování podnikatelského plánu a v jednom případě o vypracování studie proveditelnosti. Zbylých šest podpořených projektů představovalo úspěšnou realizaci plánovaných podnikatelských záměrů, a to v různých oblastech – například v sanitaci vody a zpracování odpadů, zemědělství, budování hodnotových řetězců, zdravotnictví či potravinové bezpečnosti.</w:t>
      </w:r>
    </w:p>
    <w:p w14:paraId="618547C8" w14:textId="77777777" w:rsidR="004A49DC" w:rsidRPr="005032EA" w:rsidRDefault="004A49DC" w:rsidP="001C7A7B">
      <w:pPr>
        <w:spacing w:line="264" w:lineRule="auto"/>
        <w:ind w:firstLine="709"/>
        <w:jc w:val="both"/>
        <w:rPr>
          <w:rFonts w:asciiTheme="majorBidi" w:hAnsiTheme="majorBidi" w:cstheme="majorBidi"/>
        </w:rPr>
      </w:pPr>
    </w:p>
    <w:p w14:paraId="511FA2E4" w14:textId="77777777" w:rsidR="004A49DC" w:rsidRPr="005032EA" w:rsidRDefault="004A49DC" w:rsidP="001C7A7B">
      <w:pPr>
        <w:keepNext/>
        <w:keepLines/>
        <w:spacing w:before="80" w:after="40" w:line="264" w:lineRule="auto"/>
        <w:jc w:val="both"/>
        <w:outlineLvl w:val="4"/>
        <w:rPr>
          <w:rFonts w:asciiTheme="majorBidi" w:eastAsia="DengXian Light" w:hAnsiTheme="majorBidi" w:cstheme="majorBidi"/>
          <w:b/>
        </w:rPr>
      </w:pPr>
      <w:r w:rsidRPr="005032EA">
        <w:rPr>
          <w:rFonts w:asciiTheme="majorBidi" w:eastAsia="DengXian Light" w:hAnsiTheme="majorBidi" w:cstheme="majorBidi"/>
          <w:b/>
        </w:rPr>
        <w:t>Delegovaná spolupráce</w:t>
      </w:r>
    </w:p>
    <w:p w14:paraId="45B8D97F"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Čerpáno v roce 2024: 47,6 mil. Kč z prostředků EK, 5,9 mil. Kč spoluúčast ČR.</w:t>
      </w:r>
    </w:p>
    <w:p w14:paraId="5F7CC0B7" w14:textId="77777777" w:rsidR="004A49DC" w:rsidRPr="005032EA" w:rsidRDefault="004A49DC" w:rsidP="001C7A7B">
      <w:pPr>
        <w:spacing w:line="264" w:lineRule="auto"/>
        <w:jc w:val="both"/>
        <w:rPr>
          <w:rFonts w:asciiTheme="majorBidi" w:hAnsiTheme="majorBidi" w:cstheme="majorBidi"/>
        </w:rPr>
      </w:pPr>
      <w:r w:rsidRPr="005032EA">
        <w:rPr>
          <w:rFonts w:asciiTheme="majorBidi" w:hAnsiTheme="majorBidi" w:cstheme="majorBidi"/>
        </w:rPr>
        <w:t>Počet realizovaných projektů: 9 (7 v rámci DS z prostředků EK a 2 DS v rámci spolufinancování ČRA)</w:t>
      </w:r>
    </w:p>
    <w:p w14:paraId="4FFA15AE"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ČRA v roce 2024 pokračovala v implementaci dvou projektů v Bosně a Hercegovině (BaH) – jeden v rámci financování z prostředků EK, jeden za spoluúčasti ČRA, čtyř projektů v Gruzii (tři financovány z prostředků EK a jeden za spoluúčasti ČRA), a tří projektů v Zambii financovaných z prostředků EK. Kromě toho se intenzivně věnovala přípravě nových projektů v Moldavsku (oblast zemědělství) a v BaH (oblast energetika).  Zároveň probíhala jednání o dalších projektech DS v BaH (oblast cirkulární ekonomika), Zambii (oblasti zemědělství, biodiverzita, ochrana přírody) a na Ukrajině (oblast zaměstnávání).  </w:t>
      </w:r>
    </w:p>
    <w:p w14:paraId="481E8EF3"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V </w:t>
      </w:r>
      <w:r w:rsidRPr="005032EA">
        <w:rPr>
          <w:rFonts w:asciiTheme="majorBidi" w:hAnsiTheme="majorBidi" w:cstheme="majorBidi"/>
          <w:b/>
          <w:bCs/>
        </w:rPr>
        <w:t>BaH</w:t>
      </w:r>
      <w:r w:rsidRPr="005032EA">
        <w:rPr>
          <w:rFonts w:asciiTheme="majorBidi" w:hAnsiTheme="majorBidi" w:cstheme="majorBidi"/>
        </w:rPr>
        <w:t xml:space="preserve"> v roce 2024 pokračovala implementace projektu s názvem „EU Support to Agriculture Competitiveness and Rural Development in Bosnia and Herzegovina“ (EU4AGRI) zahájeného v roce 2020. Čeští experti ze státního i soukromého sektoru se zaměřovali na odborné posuzování zemědělské politiky s důrazem na vinohradnictví a vinařství. Hlavními výstupy v tomto případě jsou tvorba vinařského zákona (již přijatého ve druhé polovině roku 2023) a příprava odpovídajících dílčích zákonů na úrovni entit, zlepšení informačních systémů v zemědělství včetně registru půdy LPIS či zavedení kvalitního zemědělského poradenství. </w:t>
      </w:r>
    </w:p>
    <w:p w14:paraId="575ED8D7"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V roce 2024 ČRA postoupila v přípravě projektu „EU4Energy – Implementation of Energy Efficiency Projects/Programmes in the Public Sector“, v rámci kterého vystupuje jako juniorní partner UNDP. Cílem projektu je zavádění opatření pro zlepšení energetické účinnosti ve veřejných budovách. Tyto aktivity budou doplněny o budování kapacit relevantních aktérů a zvyšování povědomí obyvatelstva. Podepsání smlouvy je plánováno na první čtvrtletí roku 2025. </w:t>
      </w:r>
    </w:p>
    <w:p w14:paraId="6CB1A4C4" w14:textId="14B50B21"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I přes turbulentní vnější i vnitropolitické výzvy ČRA pokračovala s realizací projektů DS v </w:t>
      </w:r>
      <w:r w:rsidRPr="005032EA">
        <w:rPr>
          <w:rFonts w:asciiTheme="majorBidi" w:hAnsiTheme="majorBidi" w:cstheme="majorBidi"/>
          <w:b/>
          <w:bCs/>
        </w:rPr>
        <w:t>Gruzii</w:t>
      </w:r>
      <w:r w:rsidRPr="005032EA">
        <w:rPr>
          <w:rFonts w:asciiTheme="majorBidi" w:hAnsiTheme="majorBidi" w:cstheme="majorBidi"/>
        </w:rPr>
        <w:t xml:space="preserve">. Projekt „ENPARD IV – Food Safety Complementary Measures to the European Neighbourhood Programme for Agriculture and Rural Development in Georgia – Phase IV“ si </w:t>
      </w:r>
      <w:r w:rsidRPr="005032EA">
        <w:rPr>
          <w:rFonts w:asciiTheme="majorBidi" w:hAnsiTheme="majorBidi" w:cstheme="majorBidi"/>
        </w:rPr>
        <w:lastRenderedPageBreak/>
        <w:t>klade za cíl zlepšení ochrany spotřebitelů a bezpečnosti potravin prostřednictvím zavedení efektivních systémů, zajištění kontroly kvality a harmonizaci legislativy s EU acquis v této oblasti. ČRA cíl naplňuje mimo jiné prostřednictvím spolupráce s širokým portfoliem odborníků, a to zejména z řad českých státních institucí. V rámci spolufinancování projektu ze strany ČRA ve spolupráci s Charitou ČR byl realizován komplementární projek</w:t>
      </w:r>
      <w:r w:rsidR="004433E4" w:rsidRPr="005032EA">
        <w:rPr>
          <w:rFonts w:asciiTheme="majorBidi" w:hAnsiTheme="majorBidi" w:cstheme="majorBidi"/>
        </w:rPr>
        <w:t xml:space="preserve">t s názvem „Bezpečné potraviny - </w:t>
      </w:r>
      <w:r w:rsidRPr="005032EA">
        <w:rPr>
          <w:rFonts w:asciiTheme="majorBidi" w:hAnsiTheme="majorBidi" w:cstheme="majorBidi"/>
        </w:rPr>
        <w:t>osvětová kampaň prostřednictvím nevládních neziskových organizací“ a zároveň i projekt s podporou EK „Regiony a lidé pro bezpečnost potravin: Osvětová iniciativa podporovaná EU.</w:t>
      </w:r>
    </w:p>
    <w:p w14:paraId="760AEC49"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Dalším projektem je „Better Goods and Services in Georgia“ (QUIS), jehož cílem je podpořit zavádění evropských standardů v akreditovaných laboratořích a certifikovaných orgánech. Projekt se zaměřuje na zlepšení kvality produktů a služeb, zvýšení povědomí spotřebitelů a podporu inovací a technologií. Projekt taktéž pomůže místním výrobcům využívat služby těchto institucí, což přispěje ke zvýšení exportu a lepšímu přístupu gruzínských podniků na místní i evropský trh. Součástí in-kind spolufinancování projektu QUIS je intervence realizovaná Úřadem pro technickou normalizaci, metrologii a státním zkušebnictvím s názvem „Příprava technické specifikace zadání pro realizaci projektu EU dle aktuálních potřeb a požadavků příjemců“.</w:t>
      </w:r>
    </w:p>
    <w:p w14:paraId="1C179ABE"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 xml:space="preserve">V září 2024 byl v </w:t>
      </w:r>
      <w:r w:rsidRPr="005032EA">
        <w:rPr>
          <w:rFonts w:asciiTheme="majorBidi" w:hAnsiTheme="majorBidi" w:cstheme="majorBidi"/>
          <w:b/>
          <w:bCs/>
        </w:rPr>
        <w:t>Zambii</w:t>
      </w:r>
      <w:r w:rsidRPr="005032EA">
        <w:rPr>
          <w:rFonts w:asciiTheme="majorBidi" w:hAnsiTheme="majorBidi" w:cstheme="majorBidi"/>
        </w:rPr>
        <w:t xml:space="preserve"> úspěšně dokončen první rok realizace projektu „SLIM – Sustainable Landscape through Integrated Management“, jehož cílem je posílit mechanismy integrovaného krajinného managementu prostřednictvím přenosu českého know-how a jeho praktického uplatnění. Projekt se zaměřuje na budování technických a technologických kapacit v oblasti práce s geoprostorovými daty, mapování a plánování udržitelného lesního hospodářství. Dva zbývající projekty „Participativní vytvoření konceptu integrovaného managementu krajiny a zavádění jeho implementace v Zambii“ a „Využití GIS a dálkového průzkumu Země v integrovaném managementu krajiny a připravenosti na přírodní katastrofy“ byly popsány v kapitole Rozvojové aktivity ČRA dle zeměpisného zaměření – Zambie.</w:t>
      </w:r>
    </w:p>
    <w:p w14:paraId="16ACFE7A" w14:textId="7A317E16" w:rsidR="004A49DC" w:rsidRPr="005032EA" w:rsidRDefault="004A49DC" w:rsidP="001C7A7B">
      <w:pPr>
        <w:spacing w:line="264" w:lineRule="auto"/>
        <w:jc w:val="both"/>
        <w:rPr>
          <w:rFonts w:asciiTheme="majorBidi" w:hAnsiTheme="majorBidi" w:cstheme="majorBidi"/>
        </w:rPr>
      </w:pPr>
      <w:bookmarkStart w:id="11" w:name="_rblxxxhn0bts"/>
      <w:bookmarkEnd w:id="11"/>
    </w:p>
    <w:p w14:paraId="05AB543B" w14:textId="77777777" w:rsidR="004A49DC" w:rsidRPr="005032EA" w:rsidRDefault="004A49DC" w:rsidP="001C7A7B">
      <w:pPr>
        <w:keepNext/>
        <w:keepLines/>
        <w:spacing w:before="80" w:after="40" w:line="264" w:lineRule="auto"/>
        <w:jc w:val="both"/>
        <w:outlineLvl w:val="3"/>
        <w:rPr>
          <w:rFonts w:asciiTheme="majorBidi" w:eastAsia="DengXian Light" w:hAnsiTheme="majorBidi" w:cstheme="majorBidi"/>
          <w:b/>
          <w:iCs/>
        </w:rPr>
      </w:pPr>
      <w:r w:rsidRPr="005032EA">
        <w:rPr>
          <w:rFonts w:asciiTheme="majorBidi" w:eastAsia="DengXian Light" w:hAnsiTheme="majorBidi" w:cstheme="majorBidi"/>
          <w:b/>
          <w:iCs/>
        </w:rPr>
        <w:t xml:space="preserve">Výsledky rozvojové spolupráce </w:t>
      </w:r>
    </w:p>
    <w:p w14:paraId="18CB20F8" w14:textId="77777777" w:rsidR="004A49DC" w:rsidRPr="005032EA"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ČRA v souladu s Metodikou ZRS provádí průběžný monitoring zaměřený na výsledky všech svých aktivit v součinnosti se ZÚ v příslušné zemi minimálně dvakrát ročně. Výsledky jsou průběžně prezentovány na webu a sítích ČRA i MZV. Větší a dlouhodobější aktivity jsou také podrobovány nezávislé externí evaluaci, kterou koordinuje MZV (viz 2.2.5).</w:t>
      </w:r>
    </w:p>
    <w:p w14:paraId="43BC9326" w14:textId="46F0C745" w:rsidR="00B72F48" w:rsidRDefault="004A49DC" w:rsidP="001C7A7B">
      <w:pPr>
        <w:spacing w:line="264" w:lineRule="auto"/>
        <w:ind w:firstLine="709"/>
        <w:jc w:val="both"/>
        <w:rPr>
          <w:rFonts w:asciiTheme="majorBidi" w:hAnsiTheme="majorBidi" w:cstheme="majorBidi"/>
        </w:rPr>
      </w:pPr>
      <w:r w:rsidRPr="005032EA">
        <w:rPr>
          <w:rFonts w:asciiTheme="majorBidi" w:hAnsiTheme="majorBidi" w:cstheme="majorBidi"/>
        </w:rPr>
        <w:t>Mezi hlavní výsledky českých realizací patří zlepšení přístupu místního obyvatelstva k vodě, sanitaci, k odbornému vzdělávání, na trh se zemědělskými výrobky. Další skupinou výsledků je vybudování kapacit veřejných úřadů např. pro fytosanitární kontrolu a někdy také změna či doplnění příslušné legislativy. Častým výsledkem je navázání dlouhodobého partnerství na úrovni veřejných úřadů, univerzit, neziskových organizací i firem a získání substantivního financování z jiných zdrojů, včetně delegované spolupráce.</w:t>
      </w:r>
    </w:p>
    <w:p w14:paraId="1E1986EC" w14:textId="77777777" w:rsidR="00B72F48" w:rsidRDefault="00B72F48" w:rsidP="001C7A7B">
      <w:pPr>
        <w:spacing w:line="264" w:lineRule="auto"/>
        <w:rPr>
          <w:rFonts w:asciiTheme="majorBidi" w:hAnsiTheme="majorBidi" w:cstheme="majorBidi"/>
        </w:rPr>
      </w:pPr>
      <w:r>
        <w:rPr>
          <w:rFonts w:asciiTheme="majorBidi" w:hAnsiTheme="majorBidi" w:cstheme="majorBidi"/>
        </w:rPr>
        <w:br w:type="page"/>
      </w:r>
    </w:p>
    <w:p w14:paraId="3D6A5210" w14:textId="77777777" w:rsidR="003C2086" w:rsidRPr="005032EA" w:rsidRDefault="003C2086" w:rsidP="001C7A7B">
      <w:pPr>
        <w:pStyle w:val="Nadpis2"/>
        <w:spacing w:line="264" w:lineRule="auto"/>
      </w:pPr>
      <w:bookmarkStart w:id="12" w:name="_Toc200633261"/>
      <w:r w:rsidRPr="005032EA">
        <w:lastRenderedPageBreak/>
        <w:t>Rozvojové a humanitární aktivity v gesci MZV</w:t>
      </w:r>
      <w:bookmarkEnd w:id="12"/>
    </w:p>
    <w:p w14:paraId="198F4C03" w14:textId="77777777" w:rsidR="00D33737" w:rsidRPr="005032EA" w:rsidRDefault="00F942A4" w:rsidP="001C7A7B">
      <w:pPr>
        <w:pStyle w:val="Nadpis3"/>
        <w:spacing w:line="264" w:lineRule="auto"/>
      </w:pPr>
      <w:bookmarkStart w:id="13" w:name="_Toc200633262"/>
      <w:r w:rsidRPr="005032EA">
        <w:t>Malé lokální projekty</w:t>
      </w:r>
      <w:bookmarkEnd w:id="13"/>
      <w:r w:rsidR="00875F04" w:rsidRPr="005032EA">
        <w:t xml:space="preserve"> </w:t>
      </w:r>
    </w:p>
    <w:p w14:paraId="53A22286" w14:textId="77777777" w:rsidR="00D53110" w:rsidRPr="005032EA" w:rsidRDefault="00D53110" w:rsidP="001C7A7B">
      <w:pPr>
        <w:spacing w:line="264" w:lineRule="auto"/>
        <w:ind w:firstLine="709"/>
        <w:jc w:val="both"/>
        <w:rPr>
          <w:rFonts w:asciiTheme="majorBidi" w:hAnsiTheme="majorBidi" w:cstheme="majorBidi"/>
        </w:rPr>
      </w:pPr>
      <w:r w:rsidRPr="005032EA">
        <w:rPr>
          <w:rFonts w:asciiTheme="majorBidi" w:hAnsiTheme="majorBidi" w:cstheme="majorBidi"/>
        </w:rPr>
        <w:t>Malé lokální projekty (dále jen „MLP“) jsou nástrojem dvoustranné rozvojové spolupráce ČR v gesci MZV ČR. Cílem MLP je podpořit rozvojové aktivity menšího rozsahu (do 0,5 mil. Kč) lokálních subjektů v rozvojových zemích. Aktivitami menšího rozsahu se rozumí např. dodávky vybavení či materiálu nebo technologie (i českého původu), školení, podpora rozvojových aktivit místních institucí a organizací, spoluúčast na dílčí části většího, např. mezinárodního projektu. MLP jsou prováděny místními realizátory přímo v rozvojové zemi ve spolupráci se zastupitelským úřadem ČR. Mohou být též nástrojem spolupráce s jedním či několika donory.</w:t>
      </w:r>
    </w:p>
    <w:p w14:paraId="0E136033" w14:textId="77777777" w:rsidR="00D53110" w:rsidRPr="005032EA" w:rsidRDefault="00D53110" w:rsidP="001C7A7B">
      <w:pPr>
        <w:spacing w:line="264" w:lineRule="auto"/>
        <w:ind w:firstLine="709"/>
        <w:jc w:val="both"/>
        <w:rPr>
          <w:rFonts w:asciiTheme="majorBidi" w:hAnsiTheme="majorBidi" w:cstheme="majorBidi"/>
        </w:rPr>
      </w:pPr>
      <w:r w:rsidRPr="005032EA">
        <w:rPr>
          <w:rFonts w:asciiTheme="majorBidi" w:hAnsiTheme="majorBidi" w:cstheme="majorBidi"/>
        </w:rPr>
        <w:t>V Plánu ZRS dle UV 481/2022 bylo na MLP pro rok 2024 alokováno 25 mil. Kč; tyto prostředky byly dále doplněny 5,2 mil. Kč z Programu BVA. Celkem se v r. 2024 podařilo realizovat 63 MLP ve 46 zemích světa v celkové výši 29,5 mil. Kč; z toho 24,3 mil. Kč z prostředků v rámci Plánu ZRS a 5,2 mil. z prostředků Programu BVA (viz kap. 2.3.2).</w:t>
      </w:r>
    </w:p>
    <w:p w14:paraId="185E3F20" w14:textId="77777777" w:rsidR="00D53110" w:rsidRPr="005032EA" w:rsidRDefault="00D53110" w:rsidP="001C7A7B">
      <w:pPr>
        <w:spacing w:line="264" w:lineRule="auto"/>
        <w:ind w:firstLine="709"/>
        <w:jc w:val="both"/>
        <w:rPr>
          <w:rFonts w:asciiTheme="majorBidi" w:hAnsiTheme="majorBidi" w:cstheme="majorBidi"/>
        </w:rPr>
      </w:pPr>
      <w:r w:rsidRPr="005032EA">
        <w:rPr>
          <w:rFonts w:asciiTheme="majorBidi" w:hAnsiTheme="majorBidi" w:cstheme="majorBidi"/>
        </w:rPr>
        <w:t>Z geografického hlediska bylo nejvíce projektů realizováno v regionu Blízkého východ a severní Afriky (19 projektů v 9 zemích v celkové hodnotě 9,3 mil. Kč, z toho 3,99 mil. z Programu BVA) a v subsaharské Africe (celkem 14 projektů ve 13 zemích v celkové hodnotě 6,5 mil. Kč). Následovaly země Asie a Oceánie (celkem 11 projektů v devíti zemích v celkové hodnotě 5,1 mil. Kč), střední a jižní Ameriky (7 projektů v šesti zemích v hodnotě 3,2 mil. Kč), dále východní Evropa (celkem 6 projektů ve čtyřech zemích v celkové hodnotě 2,2 mil. Kč) a západní Balkán (celkem 7 projektů v pěti zemích v celkové hodnotě 3,2 mil. Kč).</w:t>
      </w:r>
    </w:p>
    <w:p w14:paraId="72A863BF" w14:textId="77777777" w:rsidR="00D53110" w:rsidRPr="005032EA" w:rsidRDefault="00D53110" w:rsidP="001C7A7B">
      <w:pPr>
        <w:spacing w:line="264" w:lineRule="auto"/>
        <w:ind w:firstLine="709"/>
        <w:jc w:val="both"/>
        <w:rPr>
          <w:rFonts w:asciiTheme="majorBidi" w:hAnsiTheme="majorBidi" w:cstheme="majorBidi"/>
        </w:rPr>
      </w:pPr>
      <w:r w:rsidRPr="005032EA">
        <w:rPr>
          <w:rFonts w:asciiTheme="majorBidi" w:hAnsiTheme="majorBidi" w:cstheme="majorBidi"/>
        </w:rPr>
        <w:t>Z hlediska Cílů udržitelného rozvoje (SDGs) se projekty nejčastěji zaměřovaly na zajištění kvalitního vzdělávání (SDG 4), zlepšení zdravotní péče (SDG 3), na přístup k pitné vodě a sanitaci (SDG 6), boj s chudobou a nerovnostmi (SDG 1) a na podporu důstojné práce a ekonomického růstu (SDG 8). Uplatňovány byly také průřezové priority ZRS ČR, zejména podpora genderové rovnosti (SDG 5) a ochrana životního prostředí a klimatu (SDG 13).</w:t>
      </w:r>
    </w:p>
    <w:p w14:paraId="2963D958" w14:textId="77777777" w:rsidR="00CD5779" w:rsidRPr="005032EA" w:rsidRDefault="00875F04" w:rsidP="001C7A7B">
      <w:pPr>
        <w:pStyle w:val="Nadpis3"/>
        <w:spacing w:line="264" w:lineRule="auto"/>
      </w:pPr>
      <w:bookmarkStart w:id="14" w:name="_Toc200633263"/>
      <w:r w:rsidRPr="005032EA">
        <w:t>Programy s</w:t>
      </w:r>
      <w:r w:rsidR="00CD5779" w:rsidRPr="005032EA">
        <w:t> </w:t>
      </w:r>
      <w:r w:rsidRPr="005032EA">
        <w:t>resorty</w:t>
      </w:r>
      <w:bookmarkEnd w:id="14"/>
    </w:p>
    <w:p w14:paraId="7695DF08" w14:textId="77777777" w:rsidR="005332C1" w:rsidRPr="00B06776" w:rsidRDefault="005332C1" w:rsidP="001C7A7B">
      <w:pPr>
        <w:pStyle w:val="Nadpis4"/>
        <w:spacing w:line="264" w:lineRule="auto"/>
      </w:pPr>
      <w:r w:rsidRPr="00B06776">
        <w:t xml:space="preserve">Technická </w:t>
      </w:r>
      <w:r w:rsidR="00B55F94" w:rsidRPr="00B06776">
        <w:t>asistence – TA</w:t>
      </w:r>
      <w:r w:rsidRPr="00B06776">
        <w:t>-ZRS</w:t>
      </w:r>
      <w:r w:rsidR="009E1FF4" w:rsidRPr="00B06776">
        <w:t xml:space="preserve"> (Ministerstvo financí</w:t>
      </w:r>
      <w:r w:rsidRPr="00B06776">
        <w:t>)</w:t>
      </w:r>
    </w:p>
    <w:p w14:paraId="57BF174A" w14:textId="77777777" w:rsidR="00AB6249" w:rsidRPr="005032EA" w:rsidRDefault="00AB6249" w:rsidP="001C7A7B">
      <w:pPr>
        <w:spacing w:line="264" w:lineRule="auto"/>
        <w:ind w:firstLine="709"/>
        <w:jc w:val="both"/>
        <w:rPr>
          <w:rFonts w:asciiTheme="majorBidi" w:hAnsiTheme="majorBidi" w:cstheme="majorBidi"/>
          <w:b/>
        </w:rPr>
      </w:pPr>
      <w:r w:rsidRPr="005032EA">
        <w:rPr>
          <w:rFonts w:asciiTheme="majorBidi" w:hAnsiTheme="majorBidi" w:cstheme="majorBidi"/>
        </w:rPr>
        <w:t xml:space="preserve">Ministerstvo financí realizovalo v roce 2024 </w:t>
      </w:r>
      <w:r w:rsidRPr="005032EA">
        <w:rPr>
          <w:rFonts w:asciiTheme="majorBidi" w:hAnsiTheme="majorBidi" w:cstheme="majorBidi"/>
          <w:bCs/>
        </w:rPr>
        <w:t xml:space="preserve">projekt technické asistence </w:t>
      </w:r>
      <w:r w:rsidRPr="005032EA">
        <w:rPr>
          <w:rFonts w:asciiTheme="majorBidi" w:hAnsiTheme="majorBidi" w:cstheme="majorBidi"/>
          <w:i/>
        </w:rPr>
        <w:t>Transformační finanční a ekonomická spolupráce</w:t>
      </w:r>
      <w:r w:rsidRPr="005032EA">
        <w:rPr>
          <w:rFonts w:asciiTheme="majorBidi" w:hAnsiTheme="majorBidi" w:cstheme="majorBidi"/>
          <w:bCs/>
        </w:rPr>
        <w:t xml:space="preserve"> v celkové hodnotě </w:t>
      </w:r>
      <w:r w:rsidRPr="005032EA">
        <w:rPr>
          <w:rFonts w:asciiTheme="majorBidi" w:hAnsiTheme="majorBidi" w:cstheme="majorBidi"/>
          <w:b/>
        </w:rPr>
        <w:t xml:space="preserve">693 175 </w:t>
      </w:r>
      <w:r w:rsidRPr="005032EA">
        <w:rPr>
          <w:rFonts w:asciiTheme="majorBidi" w:hAnsiTheme="majorBidi" w:cstheme="majorBidi"/>
          <w:b/>
          <w:bCs/>
        </w:rPr>
        <w:t xml:space="preserve">CZK </w:t>
      </w:r>
      <w:r w:rsidRPr="005032EA">
        <w:rPr>
          <w:rFonts w:asciiTheme="majorBidi" w:hAnsiTheme="majorBidi" w:cstheme="majorBidi"/>
          <w:bCs/>
        </w:rPr>
        <w:t xml:space="preserve">(100% vykazatelné jako ODA). </w:t>
      </w:r>
      <w:r w:rsidRPr="005032EA">
        <w:rPr>
          <w:rFonts w:asciiTheme="majorBidi" w:hAnsiTheme="majorBidi" w:cstheme="majorBidi"/>
        </w:rPr>
        <w:t xml:space="preserve">Jednalo se o pomoc partnerským rezortům financí, která se uskutečnila formou studijních návštěv z těchto zemí: </w:t>
      </w:r>
      <w:r w:rsidRPr="005032EA">
        <w:rPr>
          <w:rFonts w:asciiTheme="majorBidi" w:hAnsiTheme="majorBidi" w:cstheme="majorBidi"/>
          <w:b/>
        </w:rPr>
        <w:t xml:space="preserve">Ukrajina, Srbsko, Kambodža, Albánie, Uzbekistán, Mongolsko a Arménie. </w:t>
      </w:r>
      <w:r w:rsidRPr="005032EA">
        <w:rPr>
          <w:rFonts w:asciiTheme="majorBidi" w:hAnsiTheme="majorBidi" w:cstheme="majorBidi"/>
        </w:rPr>
        <w:t xml:space="preserve">Návštěvy studijních delegací byly organizovány buď přímo na žádost zahraničních partnerů, nebo z iniciativy ZÚ ČR. MF oceňuje v tomto směru úzkou spolupráci s českými zastupitelskými úřady v zahraničí a rovněž součinnost teritoriálních útvarů a odboru rozvojové spolupráce a humanitární pomoci MZV. </w:t>
      </w:r>
    </w:p>
    <w:p w14:paraId="58ED511E" w14:textId="77777777" w:rsidR="00AB6249" w:rsidRPr="005032EA" w:rsidRDefault="00AB6249" w:rsidP="001C7A7B">
      <w:pPr>
        <w:pStyle w:val="Zkladntext"/>
        <w:spacing w:before="120" w:line="264" w:lineRule="auto"/>
        <w:ind w:firstLine="709"/>
        <w:jc w:val="both"/>
        <w:rPr>
          <w:rFonts w:asciiTheme="majorBidi" w:hAnsiTheme="majorBidi" w:cstheme="majorBidi"/>
        </w:rPr>
      </w:pPr>
      <w:r w:rsidRPr="005032EA">
        <w:rPr>
          <w:rFonts w:asciiTheme="majorBidi" w:hAnsiTheme="majorBidi" w:cstheme="majorBidi"/>
        </w:rPr>
        <w:t xml:space="preserve">V rámci projektu jsou předávány zkušenosti a know-how ČR z období transformace ekonomiky, přípravy na vstup do EU, zkušenosti s reformou v klíčových oblastech veřejných financí a implementace práva - ES/EU acquis. Přednášky a konzultace během studijních návštěv byly zaměřeny na žádost partnerů na následující oblasti: státní rozpočet, rozpočet EU, řízení a správa státního dluhu, mezinárodní arbitráže, makroekonomické a fiskální analýzy, </w:t>
      </w:r>
      <w:r w:rsidRPr="005032EA">
        <w:rPr>
          <w:rFonts w:asciiTheme="majorBidi" w:hAnsiTheme="majorBidi" w:cstheme="majorBidi"/>
        </w:rPr>
        <w:lastRenderedPageBreak/>
        <w:t>PPP projekty, financování územních rozpočtů, finanční trhy, mezinárodní finanční instituce, směrnici 6 o DPH,</w:t>
      </w:r>
      <w:r w:rsidRPr="005032EA">
        <w:rPr>
          <w:rStyle w:val="rynqvb"/>
          <w:rFonts w:asciiTheme="majorBidi" w:hAnsiTheme="majorBidi" w:cstheme="majorBidi"/>
        </w:rPr>
        <w:t xml:space="preserve"> daňovou a celní problematiku, apod.</w:t>
      </w:r>
      <w:r w:rsidRPr="005032EA">
        <w:rPr>
          <w:rFonts w:asciiTheme="majorBidi" w:hAnsiTheme="majorBidi" w:cstheme="majorBidi"/>
        </w:rPr>
        <w:t xml:space="preserve"> </w:t>
      </w:r>
    </w:p>
    <w:p w14:paraId="78E15E41" w14:textId="77777777" w:rsidR="00AB6249" w:rsidRPr="005032EA" w:rsidRDefault="00AB6249" w:rsidP="001C7A7B">
      <w:pPr>
        <w:pStyle w:val="Zkladntext"/>
        <w:spacing w:before="120" w:line="264" w:lineRule="auto"/>
        <w:ind w:firstLine="709"/>
        <w:jc w:val="both"/>
        <w:rPr>
          <w:rFonts w:asciiTheme="majorBidi" w:hAnsiTheme="majorBidi" w:cstheme="majorBidi"/>
        </w:rPr>
      </w:pPr>
      <w:r w:rsidRPr="005032EA">
        <w:rPr>
          <w:rFonts w:asciiTheme="majorBidi" w:hAnsiTheme="majorBidi" w:cstheme="majorBidi"/>
        </w:rPr>
        <w:t xml:space="preserve">Kontakty přispívaly k posilování bilaterálních vztahů s rozvojovými zeměmi, k posilování mezivládní spolupráce a ekonomické diplomacie v souladu s prioritami vlády ČR a úkoly Ministerstva financí ČR. </w:t>
      </w:r>
    </w:p>
    <w:p w14:paraId="7AE2862A" w14:textId="7DAD9C69" w:rsidR="00C2069B" w:rsidRPr="005032EA" w:rsidRDefault="00C2069B" w:rsidP="001C7A7B">
      <w:pPr>
        <w:pStyle w:val="Zkladntext"/>
        <w:spacing w:before="120" w:line="264" w:lineRule="auto"/>
        <w:ind w:firstLine="709"/>
        <w:jc w:val="both"/>
        <w:rPr>
          <w:rFonts w:asciiTheme="majorBidi" w:hAnsiTheme="majorBidi" w:cstheme="majorBidi"/>
        </w:rPr>
      </w:pPr>
      <w:r w:rsidRPr="005032EA">
        <w:rPr>
          <w:rFonts w:asciiTheme="majorBidi" w:hAnsiTheme="majorBidi" w:cstheme="majorBidi"/>
        </w:rPr>
        <w:t xml:space="preserve">Pro projekt TA-ZRS byla Ministerstvu financí přidělena pro rok 2024 částka 3 mil. Kč. </w:t>
      </w:r>
      <w:r w:rsidRPr="005032EA">
        <w:t xml:space="preserve">Přehled realizovaných projektů je obsažen </w:t>
      </w:r>
      <w:r w:rsidRPr="00C2069B">
        <w:t>v příloze č. 3.</w:t>
      </w:r>
    </w:p>
    <w:p w14:paraId="296BBAE0" w14:textId="77777777" w:rsidR="00CF3F82" w:rsidRPr="005032EA" w:rsidRDefault="00CF3F82" w:rsidP="001C7A7B">
      <w:pPr>
        <w:spacing w:line="264" w:lineRule="auto"/>
        <w:jc w:val="both"/>
        <w:rPr>
          <w:rFonts w:asciiTheme="majorBidi" w:hAnsiTheme="majorBidi" w:cstheme="majorBidi"/>
        </w:rPr>
      </w:pPr>
    </w:p>
    <w:p w14:paraId="6E9A1C7B" w14:textId="77777777" w:rsidR="009E1FF4" w:rsidRPr="00B06776" w:rsidRDefault="009E1FF4" w:rsidP="001C7A7B">
      <w:pPr>
        <w:pStyle w:val="Nadpis4"/>
        <w:spacing w:line="264" w:lineRule="auto"/>
      </w:pPr>
      <w:r w:rsidRPr="00B06776">
        <w:t>Program Aid for Trade (Ministerstvo průmyslu a obchodu)</w:t>
      </w:r>
    </w:p>
    <w:p w14:paraId="24BB1BEA" w14:textId="77777777" w:rsidR="00704A85" w:rsidRPr="005032EA" w:rsidRDefault="00704A85" w:rsidP="001C7A7B">
      <w:pPr>
        <w:pStyle w:val="Zkladntext"/>
        <w:spacing w:before="120" w:line="264" w:lineRule="auto"/>
        <w:ind w:firstLine="709"/>
        <w:jc w:val="both"/>
        <w:rPr>
          <w:rFonts w:asciiTheme="majorBidi" w:hAnsiTheme="majorBidi" w:cstheme="majorBidi"/>
        </w:rPr>
      </w:pPr>
      <w:r w:rsidRPr="005032EA">
        <w:rPr>
          <w:rFonts w:asciiTheme="majorBidi" w:hAnsiTheme="majorBidi" w:cstheme="majorBidi"/>
        </w:rPr>
        <w:t>Jedním z nástrojů zahraniční rozvojové spolupráce ČR (ZRS) je rovněž program Aid for Trade gesčně zajišťovaný Ministerstvem průmyslu a obchodu ve spolupráci s Ministerstvem zahraničních věcí. Cílem tohoto programu je primárně podpora rozvoje obchodu a budování obchodních kapacit v partnerských státech, jejich rychlejšího a efektivnějšího zapojování do mezinárodní obchodní výměny, posílení hospodářského rozvoje, podnikatelského prostředí, malých a středních podniků, pomoc státní administrativě při vytváření obchodních strategií, odstraňování administrativních bariér, přijímání potřebné legislativy, norem atd.</w:t>
      </w:r>
    </w:p>
    <w:p w14:paraId="338DD505" w14:textId="77777777" w:rsidR="00704A85" w:rsidRPr="005032EA" w:rsidRDefault="00704A85" w:rsidP="001C7A7B">
      <w:pPr>
        <w:pStyle w:val="Zkladntext"/>
        <w:spacing w:before="120" w:line="264" w:lineRule="auto"/>
        <w:ind w:firstLine="709"/>
        <w:jc w:val="both"/>
        <w:rPr>
          <w:rFonts w:asciiTheme="majorBidi" w:hAnsiTheme="majorBidi" w:cstheme="majorBidi"/>
        </w:rPr>
      </w:pPr>
      <w:r w:rsidRPr="005032EA">
        <w:rPr>
          <w:rFonts w:asciiTheme="majorBidi" w:hAnsiTheme="majorBidi" w:cstheme="majorBidi"/>
        </w:rPr>
        <w:t>Projekty Aid for Trade jsou přednostně směrovány do šesti prioritních států ZRS ČR a podle zájmu zahraničních partnerů též do některých dalších zemí dle klasifikace OECD. Svým zaměřením pomáhají při řešení aktuálních prioritních úkolů a potřeb těchto zemí.</w:t>
      </w:r>
    </w:p>
    <w:p w14:paraId="0C5ED3C1" w14:textId="7C49776C" w:rsidR="00704A85" w:rsidRPr="005032EA" w:rsidRDefault="00704A85" w:rsidP="001C7A7B">
      <w:pPr>
        <w:pStyle w:val="Zkladntext"/>
        <w:spacing w:before="120" w:line="264" w:lineRule="auto"/>
        <w:ind w:firstLine="709"/>
        <w:jc w:val="both"/>
        <w:rPr>
          <w:rFonts w:asciiTheme="majorBidi" w:hAnsiTheme="majorBidi" w:cstheme="majorBidi"/>
        </w:rPr>
      </w:pPr>
      <w:r w:rsidRPr="005032EA">
        <w:rPr>
          <w:rFonts w:asciiTheme="majorBidi" w:hAnsiTheme="majorBidi" w:cstheme="majorBidi"/>
        </w:rPr>
        <w:t>V roce 2024 se realizovalo celkem 8 projektů. Z toho 6 bylo plně dokončeno a</w:t>
      </w:r>
      <w:r w:rsidR="00285FDF">
        <w:rPr>
          <w:rFonts w:asciiTheme="majorBidi" w:hAnsiTheme="majorBidi" w:cstheme="majorBidi"/>
        </w:rPr>
        <w:t> </w:t>
      </w:r>
      <w:r w:rsidRPr="005032EA">
        <w:rPr>
          <w:rFonts w:asciiTheme="majorBidi" w:hAnsiTheme="majorBidi" w:cstheme="majorBidi"/>
        </w:rPr>
        <w:t>realizace 2 projektů byla prodloužena do roku 2025. Úhrnná částka čerpaná na tyto projekty činila 6,39 mil. Kč. Nedočerpané prostředky byly převedeny do rozpočtu pro rok 2025, kde budou využity na dokončení 2 prodloužených projektů a na realizaci projektů nových. Podpořenými oblastmi byly rozvoj obchodu a malých a středních podniků, transformace soukromého sektoru, e-commerce, harmonizace s předpisy EU a zvedení ISO standardů, zpracování zemědělské produkce, potravinářství, vzdělávání atd.</w:t>
      </w:r>
    </w:p>
    <w:p w14:paraId="4CA979EE" w14:textId="77777777" w:rsidR="00704A85" w:rsidRPr="005032EA" w:rsidRDefault="00704A85" w:rsidP="001C7A7B">
      <w:pPr>
        <w:pStyle w:val="Zkladntext"/>
        <w:spacing w:before="120" w:line="264" w:lineRule="auto"/>
        <w:ind w:firstLine="709"/>
        <w:jc w:val="both"/>
        <w:rPr>
          <w:rFonts w:asciiTheme="majorBidi" w:hAnsiTheme="majorBidi" w:cstheme="majorBidi"/>
        </w:rPr>
      </w:pPr>
      <w:r w:rsidRPr="005032EA">
        <w:rPr>
          <w:rFonts w:asciiTheme="majorBidi" w:hAnsiTheme="majorBidi" w:cstheme="majorBidi"/>
        </w:rPr>
        <w:t>Projekty Aid for Trade se daří úspěšně realizovat, a to k plné spokojenosti partnerských států většinou s jejich bezprostředním zájmem o další pokračování. Realizace projektů napomáhá propagovat a zviditelňovat české realizátory a česká řešení v příslušných teritoriích a budovat dobré jméno České republiky jako spolehlivého partnera.</w:t>
      </w:r>
    </w:p>
    <w:p w14:paraId="687D8448" w14:textId="2B56889F" w:rsidR="00285FDF" w:rsidRDefault="00285FDF" w:rsidP="001C7A7B">
      <w:pPr>
        <w:spacing w:line="264" w:lineRule="auto"/>
        <w:rPr>
          <w:rFonts w:asciiTheme="majorBidi" w:hAnsiTheme="majorBidi" w:cstheme="majorBidi"/>
          <w:b/>
        </w:rPr>
      </w:pPr>
      <w:r>
        <w:br w:type="page"/>
      </w:r>
    </w:p>
    <w:p w14:paraId="29438E26" w14:textId="3248A808" w:rsidR="009E1FF4" w:rsidRPr="00B06776" w:rsidRDefault="009E1FF4" w:rsidP="001C7A7B">
      <w:pPr>
        <w:pStyle w:val="Nadpis4"/>
        <w:spacing w:line="264" w:lineRule="auto"/>
      </w:pPr>
      <w:r w:rsidRPr="00B06776">
        <w:lastRenderedPageBreak/>
        <w:t>Program bezpečnostní rozvojové spolupráce (Ministerstvo vnitra)</w:t>
      </w:r>
    </w:p>
    <w:p w14:paraId="60FF8978" w14:textId="6505D202" w:rsidR="00E46B8E" w:rsidRPr="005032EA" w:rsidRDefault="00E46B8E" w:rsidP="001C7A7B">
      <w:pPr>
        <w:spacing w:line="264" w:lineRule="auto"/>
        <w:ind w:firstLine="567"/>
        <w:jc w:val="both"/>
        <w:rPr>
          <w:rFonts w:asciiTheme="majorBidi" w:hAnsiTheme="majorBidi" w:cstheme="majorBidi"/>
        </w:rPr>
      </w:pPr>
      <w:r w:rsidRPr="005032EA">
        <w:rPr>
          <w:rFonts w:asciiTheme="majorBidi" w:hAnsiTheme="majorBidi" w:cstheme="majorBidi"/>
          <w:b/>
        </w:rPr>
        <w:t>Na rok 2024 bylo</w:t>
      </w:r>
      <w:r w:rsidRPr="005032EA">
        <w:rPr>
          <w:rFonts w:asciiTheme="majorBidi" w:hAnsiTheme="majorBidi" w:cstheme="majorBidi"/>
        </w:rPr>
        <w:t xml:space="preserve"> na Program bezpečnostní rozvojové spolupráce (dále „Program BRS“) </w:t>
      </w:r>
      <w:r w:rsidRPr="005032EA">
        <w:rPr>
          <w:rFonts w:asciiTheme="majorBidi" w:hAnsiTheme="majorBidi" w:cstheme="majorBidi"/>
          <w:b/>
        </w:rPr>
        <w:t>alokováno 8 mil. Kč</w:t>
      </w:r>
      <w:r w:rsidRPr="005032EA">
        <w:rPr>
          <w:rFonts w:asciiTheme="majorBidi" w:hAnsiTheme="majorBidi" w:cstheme="majorBidi"/>
        </w:rPr>
        <w:t xml:space="preserve">. Pro realizaci Programu BRS v roce 2024 byly využity rovněž úspory z roku 2023 ve výši 3 mil. Kč. </w:t>
      </w:r>
      <w:r w:rsidRPr="005032EA">
        <w:rPr>
          <w:rFonts w:asciiTheme="majorBidi" w:hAnsiTheme="majorBidi" w:cstheme="majorBidi"/>
          <w:b/>
        </w:rPr>
        <w:t xml:space="preserve">Realizováno </w:t>
      </w:r>
      <w:r w:rsidRPr="005032EA">
        <w:rPr>
          <w:rFonts w:asciiTheme="majorBidi" w:hAnsiTheme="majorBidi" w:cstheme="majorBidi"/>
        </w:rPr>
        <w:t xml:space="preserve">bylo celkem </w:t>
      </w:r>
      <w:r w:rsidRPr="005032EA">
        <w:rPr>
          <w:rFonts w:asciiTheme="majorBidi" w:hAnsiTheme="majorBidi" w:cstheme="majorBidi"/>
          <w:b/>
        </w:rPr>
        <w:t xml:space="preserve">16 projektů ve výši </w:t>
      </w:r>
      <w:r w:rsidRPr="005032EA">
        <w:rPr>
          <w:rFonts w:asciiTheme="majorBidi" w:hAnsiTheme="majorBidi" w:cstheme="majorBidi"/>
          <w:b/>
          <w:bCs/>
        </w:rPr>
        <w:t>7 707 731</w:t>
      </w:r>
      <w:r w:rsidRPr="005032EA">
        <w:rPr>
          <w:rFonts w:asciiTheme="majorBidi" w:hAnsiTheme="majorBidi" w:cstheme="majorBidi"/>
          <w:b/>
        </w:rPr>
        <w:t> Kč.</w:t>
      </w:r>
      <w:r w:rsidRPr="005032EA">
        <w:rPr>
          <w:rFonts w:asciiTheme="majorBidi" w:hAnsiTheme="majorBidi" w:cstheme="majorBidi"/>
        </w:rPr>
        <w:t xml:space="preserve"> V rámci těchto projektů proběhlo 13 expertních cest českých odborníků do partnerských zemí, 9 studijních pobytů zahraničních zástupců v České republice a předány byly 3 materiální dary. Partnerskými, resp. cílovými zem</w:t>
      </w:r>
      <w:r w:rsidR="008072D0">
        <w:rPr>
          <w:rFonts w:asciiTheme="majorBidi" w:hAnsiTheme="majorBidi" w:cstheme="majorBidi"/>
        </w:rPr>
        <w:t>ěmi byly Bosna a Hercegovina (6 </w:t>
      </w:r>
      <w:r w:rsidRPr="005032EA">
        <w:rPr>
          <w:rFonts w:asciiTheme="majorBidi" w:hAnsiTheme="majorBidi" w:cstheme="majorBidi"/>
        </w:rPr>
        <w:t>projektů), Černá Hora (2 projekty), Ghana (1 projekt),</w:t>
      </w:r>
      <w:r w:rsidR="008072D0">
        <w:rPr>
          <w:rFonts w:asciiTheme="majorBidi" w:hAnsiTheme="majorBidi" w:cstheme="majorBidi"/>
        </w:rPr>
        <w:t xml:space="preserve"> Gruzie (1 projekty), Kosovo (1 </w:t>
      </w:r>
      <w:r w:rsidRPr="005032EA">
        <w:rPr>
          <w:rFonts w:asciiTheme="majorBidi" w:hAnsiTheme="majorBidi" w:cstheme="majorBidi"/>
        </w:rPr>
        <w:t xml:space="preserve">projekt), Severní Makedonie (1 projekt) a Ukrajina (4 projekty). Na administraci a realizaci projektů bylo spotřebována částka ve výši 1 procenta ročního rozpočtu programu, tedy </w:t>
      </w:r>
      <w:r w:rsidRPr="005032EA">
        <w:rPr>
          <w:rFonts w:asciiTheme="majorBidi" w:hAnsiTheme="majorBidi" w:cstheme="majorBidi"/>
          <w:b/>
          <w:bCs/>
        </w:rPr>
        <w:t>80</w:t>
      </w:r>
      <w:r w:rsidR="00285FDF">
        <w:rPr>
          <w:rFonts w:asciiTheme="majorBidi" w:hAnsiTheme="majorBidi" w:cstheme="majorBidi"/>
          <w:b/>
          <w:bCs/>
        </w:rPr>
        <w:t> </w:t>
      </w:r>
      <w:r w:rsidRPr="005032EA">
        <w:rPr>
          <w:rFonts w:asciiTheme="majorBidi" w:hAnsiTheme="majorBidi" w:cstheme="majorBidi"/>
          <w:b/>
          <w:bCs/>
        </w:rPr>
        <w:t>000</w:t>
      </w:r>
      <w:r w:rsidR="00285FDF">
        <w:rPr>
          <w:rFonts w:asciiTheme="majorBidi" w:hAnsiTheme="majorBidi" w:cstheme="majorBidi"/>
          <w:b/>
          <w:bCs/>
        </w:rPr>
        <w:t> </w:t>
      </w:r>
      <w:r w:rsidRPr="005032EA">
        <w:rPr>
          <w:rFonts w:asciiTheme="majorBidi" w:hAnsiTheme="majorBidi" w:cstheme="majorBidi"/>
          <w:b/>
          <w:bCs/>
        </w:rPr>
        <w:t>Kč.</w:t>
      </w:r>
      <w:r w:rsidRPr="005032EA">
        <w:rPr>
          <w:rFonts w:asciiTheme="majorBidi" w:hAnsiTheme="majorBidi" w:cstheme="majorBidi"/>
        </w:rPr>
        <w:t xml:space="preserve"> 4 projekty byly částečně nebo plně převedeny do roku 2025 z důvodů překážek způsobených kapacitními důvody na straně realizátora či partnerské strany. Finanční prostředky na realizaci přesunutých projektů spolu s uspořenými prostředky (cca 3 mil. Kč) byly převedeny v rámci nároků na nespotřebované výdaje a budou využity na Program bezpečnostní rozvojové spolupráce v roce 2025.</w:t>
      </w:r>
    </w:p>
    <w:p w14:paraId="46499FAD" w14:textId="77777777" w:rsidR="00E46B8E" w:rsidRPr="005032EA" w:rsidRDefault="00E46B8E" w:rsidP="001C7A7B">
      <w:pPr>
        <w:pStyle w:val="Normlnweb"/>
        <w:spacing w:before="0" w:beforeAutospacing="0" w:after="120" w:afterAutospacing="0" w:line="264" w:lineRule="auto"/>
        <w:ind w:firstLine="567"/>
        <w:jc w:val="both"/>
        <w:rPr>
          <w:rFonts w:asciiTheme="majorBidi" w:hAnsiTheme="majorBidi" w:cstheme="majorBidi"/>
          <w:b/>
        </w:rPr>
      </w:pPr>
      <w:r w:rsidRPr="005032EA">
        <w:rPr>
          <w:rFonts w:asciiTheme="majorBidi" w:hAnsiTheme="majorBidi" w:cstheme="majorBidi"/>
          <w:b/>
        </w:rPr>
        <w:t>Realizátory projektů</w:t>
      </w:r>
      <w:r w:rsidRPr="005032EA">
        <w:rPr>
          <w:rFonts w:asciiTheme="majorBidi" w:hAnsiTheme="majorBidi" w:cstheme="majorBidi"/>
        </w:rPr>
        <w:t xml:space="preserve"> byly </w:t>
      </w:r>
      <w:r w:rsidRPr="005032EA">
        <w:rPr>
          <w:rFonts w:asciiTheme="majorBidi" w:hAnsiTheme="majorBidi" w:cstheme="majorBidi"/>
          <w:b/>
        </w:rPr>
        <w:t>útvary Policie ČR</w:t>
      </w:r>
      <w:r w:rsidRPr="005032EA">
        <w:rPr>
          <w:rFonts w:asciiTheme="majorBidi" w:hAnsiTheme="majorBidi" w:cstheme="majorBidi"/>
        </w:rPr>
        <w:t xml:space="preserve"> (Kriminalistický ústav, Národní centrála proti organizovanému zločinu, Národní centrála proti terorismu, extremismu a kybernetické kriminalitě, Národní protidrogová centrála, Pyrotechnická služba, Ředitelství služby pořádkové policie PP ČR a Úřad vnitřní kontroly PP ČR),</w:t>
      </w:r>
      <w:r w:rsidRPr="005032EA">
        <w:rPr>
          <w:rFonts w:asciiTheme="majorBidi" w:hAnsiTheme="majorBidi" w:cstheme="majorBidi"/>
          <w:b/>
        </w:rPr>
        <w:t xml:space="preserve"> Zdravotnické zařízení Ministerstva vnitra, Generální ředitelství Hasičského záchranného sboru ČR</w:t>
      </w:r>
      <w:r w:rsidRPr="005032EA">
        <w:rPr>
          <w:rFonts w:asciiTheme="majorBidi" w:hAnsiTheme="majorBidi" w:cstheme="majorBidi"/>
        </w:rPr>
        <w:t xml:space="preserve">, </w:t>
      </w:r>
      <w:r w:rsidRPr="005032EA">
        <w:rPr>
          <w:rFonts w:asciiTheme="majorBidi" w:hAnsiTheme="majorBidi" w:cstheme="majorBidi"/>
          <w:b/>
        </w:rPr>
        <w:t>Generální inspekce bezpečnostních sborů a Odbor provozu informačních technologií a komunikací MV.</w:t>
      </w:r>
    </w:p>
    <w:p w14:paraId="117F9CF2" w14:textId="04E73218" w:rsidR="00E46B8E" w:rsidRPr="005032EA" w:rsidRDefault="00E46B8E" w:rsidP="001C7A7B">
      <w:pPr>
        <w:pStyle w:val="Normlnweb"/>
        <w:spacing w:before="0" w:beforeAutospacing="0" w:after="120" w:afterAutospacing="0" w:line="264" w:lineRule="auto"/>
        <w:ind w:firstLine="567"/>
        <w:jc w:val="both"/>
        <w:rPr>
          <w:rFonts w:asciiTheme="majorBidi" w:hAnsiTheme="majorBidi" w:cstheme="majorBidi"/>
        </w:rPr>
      </w:pPr>
      <w:r w:rsidRPr="005032EA">
        <w:rPr>
          <w:rFonts w:asciiTheme="majorBidi" w:hAnsiTheme="majorBidi" w:cstheme="majorBidi"/>
        </w:rPr>
        <w:t xml:space="preserve">Mezi nejvýznamnější projekty Programu BRS v roce 2024 patřily projekty </w:t>
      </w:r>
      <w:r w:rsidRPr="005032EA">
        <w:rPr>
          <w:rFonts w:asciiTheme="majorBidi" w:hAnsiTheme="majorBidi" w:cstheme="majorBidi"/>
          <w:b/>
          <w:bCs/>
        </w:rPr>
        <w:t>českých policejních potápěčů-pyrotechniků</w:t>
      </w:r>
      <w:r w:rsidRPr="005032EA">
        <w:rPr>
          <w:rFonts w:asciiTheme="majorBidi" w:hAnsiTheme="majorBidi" w:cstheme="majorBidi"/>
        </w:rPr>
        <w:t xml:space="preserve"> z Ředitelství služby pořádkové policie Policejního prezidia ČR. Spolupráce v oblasti vyzdvihování a zneškodňování munice z řek a jezer v Bosně a Hercegovině trvá již od roku 2011. Konkrétně se v roce 2024 uskutečnily dvě výcvikové mise a dvě odminovací mise, při nichž došlo k odminování části jezer Klinje a Crne a část řeky Klokot. Na oblast odminování se zaměřil rovněž projekt </w:t>
      </w:r>
      <w:r w:rsidRPr="005032EA">
        <w:rPr>
          <w:rFonts w:asciiTheme="majorBidi" w:hAnsiTheme="majorBidi" w:cstheme="majorBidi"/>
          <w:b/>
          <w:bCs/>
        </w:rPr>
        <w:t>Pyrotechnické služby Policie ČR</w:t>
      </w:r>
      <w:r w:rsidRPr="005032EA">
        <w:rPr>
          <w:rFonts w:asciiTheme="majorBidi" w:hAnsiTheme="majorBidi" w:cstheme="majorBidi"/>
        </w:rPr>
        <w:t xml:space="preserve">, jejíž experti asanovali část areálu bývalého muničního skladu Žunovnica v Bosně a Hercegovině. V souvislosti s odminováním a likvidací nevybuchlé munice pracovníci </w:t>
      </w:r>
      <w:r w:rsidRPr="005032EA">
        <w:rPr>
          <w:rFonts w:asciiTheme="majorBidi" w:hAnsiTheme="majorBidi" w:cstheme="majorBidi"/>
          <w:b/>
          <w:bCs/>
        </w:rPr>
        <w:t>Zdravotnického zařízení Ministerstva vnitra</w:t>
      </w:r>
      <w:r w:rsidRPr="005032EA">
        <w:rPr>
          <w:rFonts w:asciiTheme="majorBidi" w:hAnsiTheme="majorBidi" w:cstheme="majorBidi"/>
        </w:rPr>
        <w:t xml:space="preserve"> </w:t>
      </w:r>
      <w:r w:rsidR="000A2478">
        <w:rPr>
          <w:rFonts w:asciiTheme="majorBidi" w:hAnsiTheme="majorBidi" w:cstheme="majorBidi"/>
        </w:rPr>
        <w:t>proškolili bosenské protějšky v </w:t>
      </w:r>
      <w:r w:rsidRPr="005032EA">
        <w:rPr>
          <w:rFonts w:asciiTheme="majorBidi" w:hAnsiTheme="majorBidi" w:cstheme="majorBidi"/>
        </w:rPr>
        <w:t xml:space="preserve">moderních postupech ošetření traumatických zranění. </w:t>
      </w:r>
    </w:p>
    <w:p w14:paraId="67B4B55F" w14:textId="77777777" w:rsidR="00E46B8E" w:rsidRPr="005032EA" w:rsidRDefault="00E46B8E" w:rsidP="001C7A7B">
      <w:pPr>
        <w:pStyle w:val="Normlnweb"/>
        <w:spacing w:before="0" w:beforeAutospacing="0" w:after="120" w:afterAutospacing="0" w:line="264" w:lineRule="auto"/>
        <w:ind w:firstLine="567"/>
        <w:jc w:val="both"/>
        <w:rPr>
          <w:rFonts w:asciiTheme="majorBidi" w:hAnsiTheme="majorBidi" w:cstheme="majorBidi"/>
        </w:rPr>
      </w:pPr>
      <w:r w:rsidRPr="005032EA">
        <w:rPr>
          <w:rFonts w:asciiTheme="majorBidi" w:hAnsiTheme="majorBidi" w:cstheme="majorBidi"/>
        </w:rPr>
        <w:t xml:space="preserve">K významným projektům patřil rovněž projekt </w:t>
      </w:r>
      <w:r w:rsidRPr="005032EA">
        <w:rPr>
          <w:rFonts w:asciiTheme="majorBidi" w:hAnsiTheme="majorBidi" w:cstheme="majorBidi"/>
          <w:b/>
          <w:bCs/>
        </w:rPr>
        <w:t>Kriminalistického ústavu</w:t>
      </w:r>
      <w:r w:rsidRPr="005032EA">
        <w:rPr>
          <w:rFonts w:asciiTheme="majorBidi" w:hAnsiTheme="majorBidi" w:cstheme="majorBidi"/>
        </w:rPr>
        <w:t xml:space="preserve"> s Gruzií se zaměřením na implementaci genetických metod pro výměnu profilů DNA. </w:t>
      </w:r>
      <w:r w:rsidRPr="005032EA">
        <w:rPr>
          <w:rFonts w:asciiTheme="majorBidi" w:hAnsiTheme="majorBidi" w:cstheme="majorBidi"/>
          <w:b/>
          <w:bCs/>
        </w:rPr>
        <w:t>Národní centrála proti terorismu, extremismu a kybernetické kriminalitě</w:t>
      </w:r>
      <w:r w:rsidRPr="005032EA">
        <w:rPr>
          <w:rFonts w:asciiTheme="majorBidi" w:hAnsiTheme="majorBidi" w:cstheme="majorBidi"/>
        </w:rPr>
        <w:t xml:space="preserve"> a </w:t>
      </w:r>
      <w:r w:rsidRPr="005032EA">
        <w:rPr>
          <w:rFonts w:asciiTheme="majorBidi" w:hAnsiTheme="majorBidi" w:cstheme="majorBidi"/>
          <w:b/>
          <w:bCs/>
        </w:rPr>
        <w:t>Národní protidrogová centrála</w:t>
      </w:r>
      <w:r w:rsidRPr="005032EA">
        <w:rPr>
          <w:rFonts w:asciiTheme="majorBidi" w:hAnsiTheme="majorBidi" w:cstheme="majorBidi"/>
        </w:rPr>
        <w:t xml:space="preserve"> velmi úspěšně zrealizovaly projekty s ukrajinskými kolegy na téma kybernetické bezpečnosti, resp. zvýšení kapacit ukrajinské policie v boji proti drogové kriminalitě ve virtuálním prostředí. Součástí projektů bylo poskytnutí materiálního daru ve formě potřebné výpočetní techniky.  </w:t>
      </w:r>
    </w:p>
    <w:p w14:paraId="1A9EE5F7" w14:textId="77777777" w:rsidR="00E46B8E" w:rsidRPr="005032EA" w:rsidRDefault="00E46B8E" w:rsidP="001C7A7B">
      <w:pPr>
        <w:pStyle w:val="Normlnweb"/>
        <w:spacing w:before="0" w:beforeAutospacing="0" w:after="120" w:afterAutospacing="0" w:line="264" w:lineRule="auto"/>
        <w:ind w:firstLine="567"/>
        <w:jc w:val="both"/>
        <w:rPr>
          <w:rFonts w:asciiTheme="majorBidi" w:hAnsiTheme="majorBidi" w:cstheme="majorBidi"/>
        </w:rPr>
      </w:pPr>
      <w:r w:rsidRPr="005032EA">
        <w:rPr>
          <w:rFonts w:asciiTheme="majorBidi" w:hAnsiTheme="majorBidi" w:cstheme="majorBidi"/>
        </w:rPr>
        <w:t>Dalšími tématy, kterým se projekty věnovaly, byly boj proti kybernetické kriminalitě, podpora efektivnosti trestního řízení, finanční šetření, analytické činnosti policie, vnitřní kontrolní mechanismy a institut zkoušky spolehlivosti Generální inspekce bezpečnostních sborů.</w:t>
      </w:r>
    </w:p>
    <w:p w14:paraId="5CE8F026" w14:textId="77777777" w:rsidR="00E46B8E" w:rsidRPr="005032EA" w:rsidRDefault="00E46B8E" w:rsidP="001C7A7B">
      <w:pPr>
        <w:spacing w:line="264" w:lineRule="auto"/>
        <w:rPr>
          <w:rFonts w:asciiTheme="majorBidi" w:hAnsiTheme="majorBidi" w:cstheme="majorBidi"/>
          <w:b/>
          <w:bCs/>
        </w:rPr>
      </w:pPr>
      <w:r w:rsidRPr="005032EA">
        <w:rPr>
          <w:rFonts w:asciiTheme="majorBidi" w:hAnsiTheme="majorBidi" w:cstheme="majorBidi"/>
        </w:rPr>
        <w:t xml:space="preserve">Celkem bylo na </w:t>
      </w:r>
      <w:r w:rsidRPr="005032EA">
        <w:rPr>
          <w:rFonts w:asciiTheme="majorBidi" w:hAnsiTheme="majorBidi" w:cstheme="majorBidi"/>
          <w:b/>
          <w:bCs/>
        </w:rPr>
        <w:t>Program bezpečnostní rozvojové spolupráce vynaloženo 7 787 731 Kč.</w:t>
      </w:r>
    </w:p>
    <w:p w14:paraId="1FB11E33" w14:textId="77777777" w:rsidR="00C521BC" w:rsidRPr="00B06776" w:rsidRDefault="00C521BC" w:rsidP="001C7A7B">
      <w:pPr>
        <w:pStyle w:val="Nadpis4"/>
        <w:spacing w:line="264" w:lineRule="auto"/>
      </w:pPr>
      <w:r w:rsidRPr="00B06776">
        <w:lastRenderedPageBreak/>
        <w:t>Program vládních rozvojových stipendií (Ministerstvo školství, mládeže a tělovýchovy)</w:t>
      </w:r>
    </w:p>
    <w:p w14:paraId="0344C092" w14:textId="77777777" w:rsidR="00A1791E" w:rsidRPr="005032EA" w:rsidRDefault="00A1791E" w:rsidP="001C7A7B">
      <w:pPr>
        <w:spacing w:line="264" w:lineRule="auto"/>
        <w:ind w:firstLine="708"/>
        <w:jc w:val="both"/>
        <w:rPr>
          <w:rFonts w:asciiTheme="majorBidi" w:hAnsiTheme="majorBidi" w:cstheme="majorBidi"/>
        </w:rPr>
      </w:pPr>
      <w:r w:rsidRPr="005032EA">
        <w:rPr>
          <w:rFonts w:asciiTheme="majorBidi" w:hAnsiTheme="majorBidi" w:cstheme="majorBidi"/>
        </w:rPr>
        <w:t xml:space="preserve">Program vládních rozvojových stipendií, který je ve společné gesci Ministerstva zahraničních věcí ČR a Ministerstva školství, mládeže a tělovýchovy ČR, která při jeho naplňování úzce spolupracují s Ministerstvem zdravotnictví ČR, byl v roce 2024 realizován podle končící </w:t>
      </w:r>
      <w:r w:rsidRPr="005032EA">
        <w:rPr>
          <w:rFonts w:asciiTheme="majorBidi" w:hAnsiTheme="majorBidi" w:cstheme="majorBidi"/>
          <w:b/>
        </w:rPr>
        <w:t>Strategie programu poskytování rozvojových stipendií na období 2019 – 2024</w:t>
      </w:r>
      <w:r w:rsidRPr="005032EA">
        <w:rPr>
          <w:rFonts w:asciiTheme="majorBidi" w:hAnsiTheme="majorBidi" w:cstheme="majorBidi"/>
        </w:rPr>
        <w:t xml:space="preserve"> (schválena 28. ledna 2019 usnesením vlády č. 77), jejímž hlavním znakem bylo na jedné straně teritoriální i tematické zúžení nabídky stipendií, na druhé rozšíření počtu zapojených českých veřejných vysokých škol. </w:t>
      </w:r>
    </w:p>
    <w:p w14:paraId="7F9C6107" w14:textId="77777777" w:rsidR="00A1791E" w:rsidRPr="005032EA" w:rsidRDefault="00A1791E" w:rsidP="001C7A7B">
      <w:pPr>
        <w:spacing w:line="264" w:lineRule="auto"/>
        <w:ind w:firstLine="708"/>
        <w:jc w:val="both"/>
        <w:rPr>
          <w:rFonts w:asciiTheme="majorBidi" w:hAnsiTheme="majorBidi" w:cstheme="majorBidi"/>
        </w:rPr>
      </w:pPr>
      <w:r w:rsidRPr="005032EA">
        <w:rPr>
          <w:rFonts w:asciiTheme="majorBidi" w:hAnsiTheme="majorBidi" w:cstheme="majorBidi"/>
        </w:rPr>
        <w:t xml:space="preserve">V roce 2024 bylo na studium a stipendia pro studenty z rozvojových zemí </w:t>
      </w:r>
      <w:r w:rsidRPr="005032EA">
        <w:rPr>
          <w:rFonts w:asciiTheme="majorBidi" w:hAnsiTheme="majorBidi" w:cstheme="majorBidi"/>
          <w:b/>
        </w:rPr>
        <w:t>alokováno 112 mil. Kč;</w:t>
      </w:r>
      <w:r w:rsidRPr="005032EA">
        <w:rPr>
          <w:rFonts w:asciiTheme="majorBidi" w:hAnsiTheme="majorBidi" w:cstheme="majorBidi"/>
        </w:rPr>
        <w:t xml:space="preserve"> na související </w:t>
      </w:r>
      <w:r w:rsidRPr="005032EA">
        <w:rPr>
          <w:rFonts w:asciiTheme="majorBidi" w:hAnsiTheme="majorBidi" w:cstheme="majorBidi"/>
          <w:b/>
        </w:rPr>
        <w:t>zdravotní služby</w:t>
      </w:r>
      <w:r w:rsidRPr="005032EA">
        <w:rPr>
          <w:rFonts w:asciiTheme="majorBidi" w:hAnsiTheme="majorBidi" w:cstheme="majorBidi"/>
        </w:rPr>
        <w:t xml:space="preserve"> pro tyto studenty v gesci </w:t>
      </w:r>
      <w:r w:rsidRPr="005032EA">
        <w:rPr>
          <w:rFonts w:asciiTheme="majorBidi" w:hAnsiTheme="majorBidi" w:cstheme="majorBidi"/>
          <w:b/>
        </w:rPr>
        <w:t xml:space="preserve">Ministerstva zdravotnictví ČR </w:t>
      </w:r>
      <w:r w:rsidRPr="005032EA">
        <w:rPr>
          <w:rFonts w:asciiTheme="majorBidi" w:hAnsiTheme="majorBidi" w:cstheme="majorBidi"/>
        </w:rPr>
        <w:t>pak 3 mil. Kč.</w:t>
      </w:r>
    </w:p>
    <w:p w14:paraId="2D433667" w14:textId="5A94EF87" w:rsidR="00A1791E" w:rsidRPr="005032EA" w:rsidRDefault="00A1791E" w:rsidP="001C7A7B">
      <w:pPr>
        <w:autoSpaceDE w:val="0"/>
        <w:autoSpaceDN w:val="0"/>
        <w:adjustRightInd w:val="0"/>
        <w:spacing w:line="264" w:lineRule="auto"/>
        <w:ind w:firstLine="708"/>
        <w:jc w:val="both"/>
        <w:rPr>
          <w:rFonts w:asciiTheme="majorBidi" w:hAnsiTheme="majorBidi" w:cstheme="majorBidi"/>
        </w:rPr>
      </w:pPr>
      <w:r w:rsidRPr="005032EA">
        <w:rPr>
          <w:rFonts w:asciiTheme="majorBidi" w:hAnsiTheme="majorBidi" w:cstheme="majorBidi"/>
          <w:lang w:eastAsia="en-US"/>
        </w:rPr>
        <w:t xml:space="preserve">V průběhu roku 2024 studovalo na veřejných vysokých školách ČR </w:t>
      </w:r>
      <w:r w:rsidRPr="005032EA">
        <w:rPr>
          <w:rFonts w:asciiTheme="majorBidi" w:hAnsiTheme="majorBidi" w:cstheme="majorBidi"/>
          <w:b/>
          <w:lang w:eastAsia="en-US"/>
        </w:rPr>
        <w:t>413 vládních stipendistů ze 22 zemí</w:t>
      </w:r>
      <w:r w:rsidRPr="005032EA">
        <w:rPr>
          <w:rFonts w:asciiTheme="majorBidi" w:hAnsiTheme="majorBidi" w:cstheme="majorBidi"/>
          <w:lang w:eastAsia="en-US"/>
        </w:rPr>
        <w:t>. Studium v daném roce ukončilo celkem 109 stipendistů (67 absolvovalo, 9 ukončilo studium jiným způsobem, 33 studentům byla v návaznosti na překročení doby studia ukončena výplata stipendia – většina z nich však dokončila či dokončuje studium na vlastní náklady).</w:t>
      </w:r>
      <w:r w:rsidRPr="005032EA">
        <w:rPr>
          <w:rFonts w:asciiTheme="majorBidi" w:hAnsiTheme="majorBidi" w:cstheme="majorBidi"/>
        </w:rPr>
        <w:t xml:space="preserve"> </w:t>
      </w:r>
    </w:p>
    <w:p w14:paraId="068AE490" w14:textId="77777777" w:rsidR="00A1791E" w:rsidRPr="005032EA" w:rsidRDefault="00A1791E" w:rsidP="001C7A7B">
      <w:pPr>
        <w:autoSpaceDE w:val="0"/>
        <w:autoSpaceDN w:val="0"/>
        <w:adjustRightInd w:val="0"/>
        <w:spacing w:line="264" w:lineRule="auto"/>
        <w:ind w:firstLine="708"/>
        <w:jc w:val="both"/>
        <w:rPr>
          <w:rFonts w:asciiTheme="majorBidi" w:hAnsiTheme="majorBidi" w:cstheme="majorBidi"/>
          <w:sz w:val="28"/>
          <w:szCs w:val="28"/>
        </w:rPr>
      </w:pPr>
      <w:bookmarkStart w:id="15" w:name="_Hlk96441508"/>
      <w:r w:rsidRPr="005032EA">
        <w:rPr>
          <w:rFonts w:asciiTheme="majorBidi" w:hAnsiTheme="majorBidi" w:cstheme="majorBidi"/>
        </w:rPr>
        <w:t>Na studium a související služby a stipendia pro studenty z rozvojových zemí, včetně provozu on-line registru</w:t>
      </w:r>
      <w:bookmarkEnd w:id="15"/>
      <w:r w:rsidRPr="005032EA">
        <w:rPr>
          <w:rFonts w:asciiTheme="majorBidi" w:hAnsiTheme="majorBidi" w:cstheme="majorBidi"/>
        </w:rPr>
        <w:t xml:space="preserve">, byly v gesci MŠMT v roce 2024 </w:t>
      </w:r>
      <w:r w:rsidRPr="005032EA">
        <w:rPr>
          <w:rFonts w:asciiTheme="majorBidi" w:hAnsiTheme="majorBidi" w:cstheme="majorBidi"/>
          <w:b/>
        </w:rPr>
        <w:t>čerpány prostředky ve výši 87 568 295 Kč</w:t>
      </w:r>
      <w:r w:rsidRPr="005032EA">
        <w:rPr>
          <w:rFonts w:asciiTheme="majorBidi" w:hAnsiTheme="majorBidi" w:cstheme="majorBidi"/>
        </w:rPr>
        <w:t xml:space="preserve">. </w:t>
      </w:r>
    </w:p>
    <w:p w14:paraId="196F254F" w14:textId="115E9A1D" w:rsidR="00A1791E" w:rsidRPr="005032EA" w:rsidRDefault="00A1791E" w:rsidP="001C7A7B">
      <w:pPr>
        <w:spacing w:line="264" w:lineRule="auto"/>
        <w:ind w:firstLine="708"/>
        <w:jc w:val="both"/>
        <w:rPr>
          <w:rFonts w:asciiTheme="majorBidi" w:hAnsiTheme="majorBidi" w:cstheme="majorBidi"/>
        </w:rPr>
      </w:pPr>
      <w:r w:rsidRPr="005032EA">
        <w:rPr>
          <w:rFonts w:asciiTheme="majorBidi" w:hAnsiTheme="majorBidi" w:cstheme="majorBidi"/>
        </w:rPr>
        <w:t xml:space="preserve">Pro </w:t>
      </w:r>
      <w:r w:rsidRPr="005032EA">
        <w:rPr>
          <w:rFonts w:asciiTheme="majorBidi" w:hAnsiTheme="majorBidi" w:cstheme="majorBidi"/>
          <w:b/>
        </w:rPr>
        <w:t>akademický rok 2024/2025</w:t>
      </w:r>
      <w:r w:rsidRPr="005032EA">
        <w:rPr>
          <w:rFonts w:asciiTheme="majorBidi" w:hAnsiTheme="majorBidi" w:cstheme="majorBidi"/>
        </w:rPr>
        <w:t xml:space="preserve"> nabídla ČR </w:t>
      </w:r>
      <w:r w:rsidRPr="005032EA">
        <w:rPr>
          <w:rFonts w:asciiTheme="majorBidi" w:hAnsiTheme="majorBidi" w:cstheme="majorBidi"/>
          <w:b/>
        </w:rPr>
        <w:t>130 stipendijních míst,</w:t>
      </w:r>
      <w:r w:rsidRPr="005032EA">
        <w:rPr>
          <w:rFonts w:asciiTheme="majorBidi" w:hAnsiTheme="majorBidi" w:cstheme="majorBidi"/>
        </w:rPr>
        <w:t xml:space="preserve"> z toho 44 bylo určeno pro studium navazujících magisterských studijních programů v českém jazyce a 86 míst pro studium navazujících magisterských či doktorských studijních programů v anglickém jazyce. Prostřednictvím registru žádostí bylo podáno 6351 kompletních přihlášek uchazečů o stipendia vlády ze 7 zemí (BaH, GE, MD, ET, UA, ZM). </w:t>
      </w:r>
      <w:r w:rsidRPr="005032EA">
        <w:rPr>
          <w:rFonts w:asciiTheme="majorBidi" w:hAnsiTheme="majorBidi" w:cstheme="majorBidi"/>
          <w:b/>
          <w:bCs/>
        </w:rPr>
        <w:t>K</w:t>
      </w:r>
      <w:r w:rsidRPr="005032EA">
        <w:rPr>
          <w:rFonts w:asciiTheme="majorBidi" w:hAnsiTheme="majorBidi" w:cstheme="majorBidi"/>
        </w:rPr>
        <w:t xml:space="preserve"> následnému </w:t>
      </w:r>
      <w:r w:rsidRPr="005032EA">
        <w:rPr>
          <w:rFonts w:asciiTheme="majorBidi" w:hAnsiTheme="majorBidi" w:cstheme="majorBidi"/>
          <w:b/>
          <w:bCs/>
        </w:rPr>
        <w:t>projednání s vysokými školami</w:t>
      </w:r>
      <w:r w:rsidRPr="005032EA">
        <w:rPr>
          <w:rFonts w:asciiTheme="majorBidi" w:hAnsiTheme="majorBidi" w:cstheme="majorBidi"/>
        </w:rPr>
        <w:t xml:space="preserve"> bylo postoupeno </w:t>
      </w:r>
      <w:r w:rsidRPr="005032EA">
        <w:rPr>
          <w:rFonts w:asciiTheme="majorBidi" w:hAnsiTheme="majorBidi" w:cstheme="majorBidi"/>
          <w:b/>
          <w:bCs/>
        </w:rPr>
        <w:t>173 dokumentací</w:t>
      </w:r>
      <w:r w:rsidRPr="005032EA">
        <w:rPr>
          <w:rFonts w:asciiTheme="majorBidi" w:hAnsiTheme="majorBidi" w:cstheme="majorBidi"/>
        </w:rPr>
        <w:t xml:space="preserve"> (22 ke studiu v českém jazyce a 151 ke studiu v anglickém jazyce), </w:t>
      </w:r>
      <w:r w:rsidRPr="005032EA">
        <w:rPr>
          <w:rFonts w:asciiTheme="majorBidi" w:hAnsiTheme="majorBidi" w:cstheme="majorBidi"/>
          <w:b/>
          <w:bCs/>
        </w:rPr>
        <w:t>z čehož 140</w:t>
      </w:r>
      <w:r w:rsidRPr="005032EA">
        <w:rPr>
          <w:rFonts w:asciiTheme="majorBidi" w:hAnsiTheme="majorBidi" w:cstheme="majorBidi"/>
        </w:rPr>
        <w:t xml:space="preserve"> jich bylo </w:t>
      </w:r>
      <w:r w:rsidRPr="005032EA">
        <w:rPr>
          <w:rFonts w:asciiTheme="majorBidi" w:hAnsiTheme="majorBidi" w:cstheme="majorBidi"/>
          <w:b/>
          <w:bCs/>
        </w:rPr>
        <w:t>zasláno zastupitelskými úřady</w:t>
      </w:r>
      <w:r w:rsidRPr="005032EA">
        <w:rPr>
          <w:rFonts w:asciiTheme="majorBidi" w:hAnsiTheme="majorBidi" w:cstheme="majorBidi"/>
        </w:rPr>
        <w:t xml:space="preserve">. Po úspěšném pilotním roce byla stipendia opět nabídnuta běloruské opozici (celkem 5 míst). Na základě stanoviska vysokých škol a po projednání Komisí pro vládní stipendia bylo </w:t>
      </w:r>
      <w:r w:rsidRPr="005032EA">
        <w:rPr>
          <w:rFonts w:asciiTheme="majorBidi" w:hAnsiTheme="majorBidi" w:cstheme="majorBidi"/>
          <w:b/>
          <w:bCs/>
        </w:rPr>
        <w:t>stipendium přiznáno 141 uchazečům</w:t>
      </w:r>
      <w:r w:rsidRPr="005032EA">
        <w:rPr>
          <w:rFonts w:asciiTheme="majorBidi" w:hAnsiTheme="majorBidi" w:cstheme="majorBidi"/>
        </w:rPr>
        <w:t xml:space="preserve"> (19 ke studiu v českém jazyce a 122 ke studiu v anglickém jazyce). Ke studiu </w:t>
      </w:r>
      <w:r w:rsidRPr="005032EA">
        <w:rPr>
          <w:rFonts w:asciiTheme="majorBidi" w:hAnsiTheme="majorBidi" w:cstheme="majorBidi"/>
          <w:b/>
        </w:rPr>
        <w:t>nastoupilo</w:t>
      </w:r>
      <w:r w:rsidRPr="005032EA">
        <w:rPr>
          <w:rFonts w:asciiTheme="majorBidi" w:hAnsiTheme="majorBidi" w:cstheme="majorBidi"/>
        </w:rPr>
        <w:t xml:space="preserve"> </w:t>
      </w:r>
      <w:r w:rsidRPr="005032EA">
        <w:rPr>
          <w:rFonts w:asciiTheme="majorBidi" w:hAnsiTheme="majorBidi" w:cstheme="majorBidi"/>
          <w:b/>
        </w:rPr>
        <w:t>126 stipendistů</w:t>
      </w:r>
      <w:r w:rsidRPr="005032EA">
        <w:rPr>
          <w:rFonts w:asciiTheme="majorBidi" w:hAnsiTheme="majorBidi" w:cstheme="majorBidi"/>
        </w:rPr>
        <w:t xml:space="preserve">, z toho 16 ke studiu v českém jazyce a 110 v anglickém jazyce. </w:t>
      </w:r>
    </w:p>
    <w:p w14:paraId="0032C175" w14:textId="77777777" w:rsidR="007111A6" w:rsidRPr="005032EA" w:rsidRDefault="007111A6" w:rsidP="001C7A7B">
      <w:pPr>
        <w:pStyle w:val="Nadpis3"/>
        <w:spacing w:line="264" w:lineRule="auto"/>
      </w:pPr>
      <w:bookmarkStart w:id="16" w:name="_Toc103964605"/>
      <w:bookmarkStart w:id="17" w:name="_Toc200633264"/>
      <w:r w:rsidRPr="005032EA">
        <w:t>Posilování kapacit veřejných vysokých škol v rozvojových zemích</w:t>
      </w:r>
      <w:bookmarkEnd w:id="16"/>
      <w:bookmarkEnd w:id="17"/>
    </w:p>
    <w:p w14:paraId="4E36F8D4" w14:textId="77777777" w:rsidR="00980759" w:rsidRPr="005032EA" w:rsidRDefault="00980759" w:rsidP="001C7A7B">
      <w:pPr>
        <w:autoSpaceDE w:val="0"/>
        <w:autoSpaceDN w:val="0"/>
        <w:adjustRightInd w:val="0"/>
        <w:spacing w:line="264" w:lineRule="auto"/>
        <w:ind w:firstLine="709"/>
        <w:contextualSpacing/>
        <w:jc w:val="both"/>
      </w:pPr>
      <w:r w:rsidRPr="005032EA">
        <w:t xml:space="preserve">V roce 2024 pokračoval v gesci MZV dotační program Posilování kapacit veřejných vysokých škol v rozvojových zemích. Cílem tohoto programu je podpořit </w:t>
      </w:r>
      <w:r w:rsidRPr="005032EA">
        <w:rPr>
          <w:b/>
        </w:rPr>
        <w:t>kapacity veřejných VŠ</w:t>
      </w:r>
      <w:r w:rsidRPr="005032EA">
        <w:t xml:space="preserve"> zejména v prioritních zemích dvoustranné ZRS </w:t>
      </w:r>
      <w:r w:rsidRPr="005032EA">
        <w:rPr>
          <w:b/>
        </w:rPr>
        <w:t>v oblasti výuky, výzkumu i managementu</w:t>
      </w:r>
      <w:r w:rsidRPr="005032EA">
        <w:t xml:space="preserve">, včetně podpory jejich </w:t>
      </w:r>
      <w:r w:rsidRPr="005032EA">
        <w:rPr>
          <w:b/>
        </w:rPr>
        <w:t>zapojení do mezinárodní spolupráce</w:t>
      </w:r>
      <w:r w:rsidRPr="005032EA">
        <w:t xml:space="preserve">. Program podporuje rovněž </w:t>
      </w:r>
      <w:r w:rsidRPr="005032EA">
        <w:rPr>
          <w:b/>
        </w:rPr>
        <w:t>synergie s programem vládních rozvojových stipendií</w:t>
      </w:r>
      <w:r w:rsidRPr="005032EA">
        <w:t xml:space="preserve"> a to podporou krátkodobé vzájemné mobility učitelů i studentů a vytvářením příležitostí pro vytipování vhodných kandidátů pro dlouhodobá rozvojová stipendia zejména na vyšších stupních studia. V řadě případů Program vhodně doplňuje bilaterální rozvojové projekty v prioritních zemích zahraniční rozvojové spolupráce ČR. </w:t>
      </w:r>
    </w:p>
    <w:p w14:paraId="2DF4B595" w14:textId="6D020EEE" w:rsidR="00980759" w:rsidRPr="005032EA" w:rsidRDefault="00980759" w:rsidP="001C7A7B">
      <w:pPr>
        <w:autoSpaceDE w:val="0"/>
        <w:autoSpaceDN w:val="0"/>
        <w:adjustRightInd w:val="0"/>
        <w:spacing w:line="264" w:lineRule="auto"/>
        <w:ind w:firstLine="708"/>
        <w:jc w:val="both"/>
      </w:pPr>
      <w:r w:rsidRPr="005032EA">
        <w:t xml:space="preserve">V roce 2024 bylo v rámci Programu podpořeno 11 projektů v rozvojových zemích v celkové hodnotě </w:t>
      </w:r>
      <w:r w:rsidR="00464D16" w:rsidRPr="005032EA">
        <w:t xml:space="preserve">téměř </w:t>
      </w:r>
      <w:r w:rsidRPr="005032EA">
        <w:t>13 mil. Kč v rámci Plánu ZRS (a 11 projektů z Programu Ukrajina, viz 2.3.3 v celkové výši 11,7 mil. Kč). Celkem tak bylo podpořeno</w:t>
      </w:r>
      <w:r w:rsidRPr="005032EA">
        <w:rPr>
          <w:b/>
        </w:rPr>
        <w:t xml:space="preserve"> </w:t>
      </w:r>
      <w:r w:rsidRPr="005032EA">
        <w:t xml:space="preserve">22 projektů českých veřejných vysokých škol (ČVUT, ČZU, Mendelova univerzita, VUT Brno, VŠCHT, </w:t>
      </w:r>
      <w:r w:rsidRPr="005032EA">
        <w:lastRenderedPageBreak/>
        <w:t>Západočeská univerzita, Ostravská univerzita, Univerzita Karlova, Masarykova univerzita, Univerzita Palackého). Z hlediska cílových zemí byly projekty realizovány v Etiopii, Kambodži, Gruzii, Bosně a Hercegovině, Ukrajině, Zambii a v Moldavsku. Celkový přehled a</w:t>
      </w:r>
      <w:r w:rsidR="008157C0">
        <w:t> </w:t>
      </w:r>
      <w:r w:rsidRPr="005032EA">
        <w:t xml:space="preserve">finanční čerpání – </w:t>
      </w:r>
      <w:r w:rsidRPr="005032EA">
        <w:rPr>
          <w:u w:val="single"/>
        </w:rPr>
        <w:t>viz příloha č. 3.</w:t>
      </w:r>
      <w:r w:rsidRPr="005032EA">
        <w:t xml:space="preserve"> </w:t>
      </w:r>
    </w:p>
    <w:p w14:paraId="12B37670" w14:textId="77777777" w:rsidR="00215058" w:rsidRPr="005032EA" w:rsidRDefault="006C08DC" w:rsidP="001C7A7B">
      <w:pPr>
        <w:pStyle w:val="Nadpis3"/>
        <w:spacing w:line="264" w:lineRule="auto"/>
      </w:pPr>
      <w:bookmarkStart w:id="18" w:name="_Toc200633265"/>
      <w:r w:rsidRPr="005032EA">
        <w:t>Program Cyber</w:t>
      </w:r>
      <w:r w:rsidR="00744D79" w:rsidRPr="005032EA">
        <w:t>v</w:t>
      </w:r>
      <w:r w:rsidRPr="005032EA">
        <w:t>ac</w:t>
      </w:r>
      <w:bookmarkEnd w:id="18"/>
    </w:p>
    <w:p w14:paraId="742E88D3" w14:textId="15A76212" w:rsidR="00390963" w:rsidRPr="005032EA" w:rsidRDefault="00390963" w:rsidP="001C7A7B">
      <w:pPr>
        <w:autoSpaceDE w:val="0"/>
        <w:autoSpaceDN w:val="0"/>
        <w:adjustRightInd w:val="0"/>
        <w:spacing w:line="264" w:lineRule="auto"/>
        <w:ind w:firstLine="708"/>
        <w:jc w:val="both"/>
      </w:pPr>
      <w:r w:rsidRPr="005032EA">
        <w:t>Rozvojový program Cybervac cílí na posílení odolnosti a budování kapacit v oblasti kybernetické bezpečnosti či boje s kyberkriminalitou v partnerských zemích dle předem projednaných preferencí a kapacitních možností české strany. Priority jsou diskutovány v rámci MZV, zejm. s teritoriálními odbory, ale též s partnery z ostatních participujících resortů - MSp, NÚKIB, Nejvyšší státní zastupitelství/NSZ, Vrchní státní zastupitelství/VSZ v Praze a</w:t>
      </w:r>
      <w:r w:rsidR="00920283" w:rsidRPr="005032EA">
        <w:t> </w:t>
      </w:r>
      <w:r w:rsidRPr="005032EA">
        <w:t xml:space="preserve">Olomouci, Policie ČR (NCOZ, NCTEKK), VUT &amp; Masarykova univerzita Brno, ev. </w:t>
      </w:r>
      <w:r w:rsidR="008157C0" w:rsidRPr="005032EA">
        <w:t>S</w:t>
      </w:r>
      <w:r w:rsidR="008157C0">
        <w:t> </w:t>
      </w:r>
      <w:r w:rsidRPr="005032EA">
        <w:t>dalšími úřady a akademickým či soukromým sektorem. Na jeho realizaci je každoročně vyčleněno 5 mil. Kč.</w:t>
      </w:r>
    </w:p>
    <w:p w14:paraId="22BD526B" w14:textId="236782BD" w:rsidR="00390963" w:rsidRPr="005032EA" w:rsidRDefault="00390963" w:rsidP="001C7A7B">
      <w:pPr>
        <w:autoSpaceDE w:val="0"/>
        <w:autoSpaceDN w:val="0"/>
        <w:adjustRightInd w:val="0"/>
        <w:spacing w:line="264" w:lineRule="auto"/>
        <w:ind w:firstLine="708"/>
        <w:jc w:val="both"/>
      </w:pPr>
      <w:r w:rsidRPr="005032EA">
        <w:t>Hlavním záměrem programu Cybervac, který byl zahájen v roce 2022, je pomáhat partnerským zemím podporou fungujících a odpovědných institucí s cílem zvýšit kybernetickou odolnost a schopnost účinně reagovat na počítačovou kriminalitu. Mezi dosavadní země realizace dílčích projektů v rámci Cybervac patří prioritní země dvoustranné rozvojové spolupráce/ZRS. V roce 2024 byly navíc realizovány akce vůči dalším zemím JV+J Asie (Indonésie, Bhútán), Afriky (Keňa) i Latinské Ameriky (Kolumbie, Argentina, Dominikánská republika a další země LAK). A právě v regionu zemí Latinské Ameriky se uskutečnily dosud největší projekty programu Cybervac - projekt v Kolumbii pokryl kromě hostitelské země také dalších 7 zemí střední Ameriky, projekt v Argentině zahrnul též aktivní účast expertů z</w:t>
      </w:r>
      <w:r w:rsidR="00920283" w:rsidRPr="005032EA">
        <w:t> </w:t>
      </w:r>
      <w:r w:rsidRPr="005032EA">
        <w:t>Paraguaye, Uruguaye a Chile.</w:t>
      </w:r>
    </w:p>
    <w:p w14:paraId="0A9BC16D" w14:textId="77777777" w:rsidR="001A7337" w:rsidRPr="005032EA" w:rsidRDefault="001A7337" w:rsidP="001C7A7B">
      <w:pPr>
        <w:pStyle w:val="Nadpis3"/>
        <w:spacing w:line="264" w:lineRule="auto"/>
      </w:pPr>
      <w:bookmarkStart w:id="19" w:name="_Toc200633266"/>
      <w:r w:rsidRPr="005032EA">
        <w:t>Záruka ZRS ČR</w:t>
      </w:r>
      <w:bookmarkEnd w:id="19"/>
    </w:p>
    <w:p w14:paraId="5371B3FA" w14:textId="77777777" w:rsidR="00DA2003" w:rsidRPr="005032EA" w:rsidRDefault="00DA2003" w:rsidP="001C7A7B">
      <w:pPr>
        <w:autoSpaceDE w:val="0"/>
        <w:autoSpaceDN w:val="0"/>
        <w:adjustRightInd w:val="0"/>
        <w:spacing w:line="264" w:lineRule="auto"/>
        <w:ind w:firstLine="708"/>
        <w:jc w:val="both"/>
      </w:pPr>
      <w:r w:rsidRPr="005032EA">
        <w:t xml:space="preserve">Na program Záruka ZRS ČR, který je od roku 2023 rozšířen na Finanční nástroje ZRS a realizován ve společné gesci MZV a Národní rozvojové banky (NRB), byla v roce 2024 </w:t>
      </w:r>
      <w:r w:rsidRPr="005032EA">
        <w:rPr>
          <w:b/>
          <w:bCs/>
        </w:rPr>
        <w:t>alokována částka 26 633 995  Kč</w:t>
      </w:r>
      <w:r w:rsidRPr="005032EA">
        <w:t xml:space="preserve"> ve formě účelové dotace, která byla na podzim 2024 na žádost NRB poskytnuta na základě vyhlášení další dotační výzvy. </w:t>
      </w:r>
    </w:p>
    <w:p w14:paraId="3B2B712E" w14:textId="1CBA56D4" w:rsidR="00DA2003" w:rsidRPr="005032EA" w:rsidRDefault="00DA2003" w:rsidP="001C7A7B">
      <w:pPr>
        <w:autoSpaceDE w:val="0"/>
        <w:autoSpaceDN w:val="0"/>
        <w:adjustRightInd w:val="0"/>
        <w:spacing w:line="264" w:lineRule="auto"/>
        <w:ind w:firstLine="708"/>
        <w:jc w:val="both"/>
      </w:pPr>
      <w:r w:rsidRPr="005032EA">
        <w:t>V roce 2024 zároveň došlo k poskytnutí první záruky z tohoto programu ve výši 4 mil Kč na projekt firmy SEDA v Ghaně na realizaci linky pro stáčení pitné vody v Ghaně.</w:t>
      </w:r>
    </w:p>
    <w:p w14:paraId="0CA1BD2B" w14:textId="33A1C27B" w:rsidR="00DA2003" w:rsidRPr="005032EA" w:rsidRDefault="00DA2003" w:rsidP="001C7A7B">
      <w:pPr>
        <w:spacing w:line="264" w:lineRule="auto"/>
        <w:ind w:firstLine="708"/>
        <w:jc w:val="both"/>
      </w:pPr>
      <w:r w:rsidRPr="005032EA">
        <w:t xml:space="preserve">V říjnu 2024 NRB podala dvě žádosti do výzvy II. investičního pilíře Nástroje EU pro Ukrajinu: 1. záruční program na obnovu kritické infrastruktury, zejména energetiky. 2.blendingový program ve spolupráci s ČRA na rekonstrukci a modernizaci nemocnic. </w:t>
      </w:r>
    </w:p>
    <w:p w14:paraId="2DA9E645" w14:textId="06104CDF" w:rsidR="001A7337" w:rsidRPr="005032EA" w:rsidRDefault="001A7337" w:rsidP="001C7A7B">
      <w:pPr>
        <w:pStyle w:val="Nadpis3"/>
        <w:spacing w:line="264" w:lineRule="auto"/>
      </w:pPr>
      <w:bookmarkStart w:id="20" w:name="_Toc200633267"/>
      <w:r w:rsidRPr="005032EA">
        <w:t>Peněžní dary</w:t>
      </w:r>
      <w:r w:rsidR="00C521BC" w:rsidRPr="005032EA">
        <w:t xml:space="preserve"> v bilaterální ZRS</w:t>
      </w:r>
      <w:bookmarkEnd w:id="20"/>
      <w:r w:rsidRPr="005032EA">
        <w:t xml:space="preserve"> </w:t>
      </w:r>
    </w:p>
    <w:p w14:paraId="0BA4F835" w14:textId="77777777" w:rsidR="00F40781" w:rsidRPr="005032EA" w:rsidRDefault="00F40781" w:rsidP="001C7A7B">
      <w:pPr>
        <w:spacing w:line="264" w:lineRule="auto"/>
        <w:ind w:firstLine="709"/>
        <w:contextualSpacing/>
        <w:jc w:val="both"/>
      </w:pPr>
      <w:r w:rsidRPr="005032EA">
        <w:t>Forma peněžních darů se využívá v bilaterální i multilaterální ZRS ČR, zpravidla na spolupráci s mezinárodními, ale také místními partnery.</w:t>
      </w:r>
    </w:p>
    <w:p w14:paraId="52D2B7B5" w14:textId="1A083680" w:rsidR="00F40781" w:rsidRPr="005032EA" w:rsidRDefault="00F40781" w:rsidP="001C7A7B">
      <w:pPr>
        <w:spacing w:line="264" w:lineRule="auto"/>
        <w:ind w:firstLine="709"/>
        <w:contextualSpacing/>
        <w:jc w:val="both"/>
      </w:pPr>
      <w:r w:rsidRPr="005032EA">
        <w:t xml:space="preserve">V podpoře bilaterální spolupráce v návaznosti na Plán ZRS v r. 2024 pokračovala spolupráce </w:t>
      </w:r>
      <w:r w:rsidRPr="005032EA">
        <w:rPr>
          <w:b/>
          <w:bCs/>
        </w:rPr>
        <w:t>s Rozvojovým programem OSN (UNDP) v Afghánistánu.</w:t>
      </w:r>
      <w:r w:rsidRPr="005032EA">
        <w:t xml:space="preserve"> Peněžní dar ve výši </w:t>
      </w:r>
      <w:r w:rsidRPr="005032EA">
        <w:rPr>
          <w:b/>
          <w:bCs/>
        </w:rPr>
        <w:t>20 mil. Kč</w:t>
      </w:r>
      <w:r w:rsidRPr="005032EA">
        <w:t xml:space="preserve"> byl stejně jako v letech 2021 až 2023 poskytnut </w:t>
      </w:r>
      <w:r w:rsidRPr="005032EA">
        <w:rPr>
          <w:b/>
        </w:rPr>
        <w:t>Zvláštnímu svěřeneckému fondu OSN pro Afghánistán</w:t>
      </w:r>
      <w:r w:rsidRPr="005032EA">
        <w:t xml:space="preserve"> (Special Trust Fund for Afghanistan - STFA), který UNDP od podzimu 2021 spravuje. Aktivity fondu jsou realizovány agenturami OSN v souladu se Strategickým rámcem OSN pro Afghánistán (United Nations Strategic Framework for Afghanistan – UNSFA) se zaměřením na poskytování základních služeb, posilování odolnosti komunit a podporu místních ekonomických aktivit s důrazem na zdroje obživy pro ženy. </w:t>
      </w:r>
    </w:p>
    <w:p w14:paraId="0CB81407" w14:textId="246D8F66" w:rsidR="00F40781" w:rsidRPr="005032EA" w:rsidRDefault="00F40781" w:rsidP="001C7A7B">
      <w:pPr>
        <w:spacing w:line="264" w:lineRule="auto"/>
        <w:ind w:firstLine="709"/>
        <w:contextualSpacing/>
        <w:jc w:val="both"/>
      </w:pPr>
      <w:r w:rsidRPr="005032EA">
        <w:lastRenderedPageBreak/>
        <w:t xml:space="preserve">Pod vedením </w:t>
      </w:r>
      <w:r w:rsidRPr="005032EA">
        <w:rPr>
          <w:b/>
        </w:rPr>
        <w:t>Programu OSN pro životní prostředí (UNEP)</w:t>
      </w:r>
      <w:r w:rsidRPr="005032EA">
        <w:t xml:space="preserve"> byl v roce 2024 zahájen projekt podpory zelené obnovy a rekonstrukce Ukrajiny. Hlavními výstupy projektu byly posouzení zdravotních a environmentálních rizik kontaminace sedimentů ve vodní nádrži Kachovka, vytvoření konceptuálního modelu lokality pro cílené sanační práce a dlouhodobé strategie zmírňování dopadů, a v neposlední řadě i doporučení pro environmentální obnovu a</w:t>
      </w:r>
      <w:r w:rsidR="008157C0">
        <w:t> </w:t>
      </w:r>
      <w:r w:rsidRPr="005032EA">
        <w:t xml:space="preserve">ochranu zdraví. ČR podpořila projekt částkou </w:t>
      </w:r>
      <w:r w:rsidRPr="005032EA">
        <w:rPr>
          <w:b/>
        </w:rPr>
        <w:t>10 mil. Kč</w:t>
      </w:r>
      <w:r w:rsidRPr="005032EA">
        <w:t>. Dalšími finančními partnery projektu byly vlády Japonska a USA. První etapa projektu byla dokončena v březnu 2025.</w:t>
      </w:r>
    </w:p>
    <w:p w14:paraId="4257F0D9" w14:textId="00C44ED1" w:rsidR="00C5359E" w:rsidRPr="005032EA" w:rsidRDefault="00875F04" w:rsidP="001C7A7B">
      <w:pPr>
        <w:pStyle w:val="Nadpis3"/>
        <w:spacing w:line="264" w:lineRule="auto"/>
      </w:pPr>
      <w:bookmarkStart w:id="21" w:name="_Toc200633268"/>
      <w:r w:rsidRPr="005032EA">
        <w:t>Evaluace</w:t>
      </w:r>
      <w:r w:rsidR="00C5359E" w:rsidRPr="005032EA">
        <w:t xml:space="preserve"> </w:t>
      </w:r>
      <w:r w:rsidR="00C521BC" w:rsidRPr="005032EA">
        <w:t>programů a projektů ZRS a HP</w:t>
      </w:r>
      <w:bookmarkEnd w:id="21"/>
    </w:p>
    <w:p w14:paraId="614E3F21" w14:textId="48BF77EC" w:rsidR="00B96D1B" w:rsidRPr="005032EA" w:rsidRDefault="00B96D1B" w:rsidP="001C7A7B">
      <w:pPr>
        <w:autoSpaceDE w:val="0"/>
        <w:autoSpaceDN w:val="0"/>
        <w:adjustRightInd w:val="0"/>
        <w:spacing w:line="264" w:lineRule="auto"/>
        <w:ind w:firstLine="708"/>
        <w:jc w:val="both"/>
      </w:pPr>
      <w:r w:rsidRPr="005032EA">
        <w:t>Evaluace projektů a programů zahraniční rozvojové spolupráce realizuje MZV ČR s cílem získat systematické, odborné a objektivní vyhodnocení výsledků a dopadů rozvojových aktivit v partnerských zemích i v ČR a zajistit tak zpětnou vazbu pro další realizaci ZRS ČR. Výstupy z evaluací přispívají ke zvyšování kvality ZRS, její dlouhodobé účelnosti a udržitelnosti; zároveň jsou zdrojem informací pro vykazování rozvojového úsilí ČR vůči české veřejnosti, partnerským zemím i mezinárodnímu společenství.</w:t>
      </w:r>
    </w:p>
    <w:p w14:paraId="11D8B739" w14:textId="77777777" w:rsidR="00B96D1B" w:rsidRPr="005032EA" w:rsidRDefault="00B96D1B" w:rsidP="001C7A7B">
      <w:pPr>
        <w:autoSpaceDE w:val="0"/>
        <w:autoSpaceDN w:val="0"/>
        <w:adjustRightInd w:val="0"/>
        <w:spacing w:line="264" w:lineRule="auto"/>
        <w:ind w:firstLine="708"/>
        <w:jc w:val="both"/>
      </w:pPr>
      <w:r w:rsidRPr="005032EA">
        <w:t>Plán evaluací na rok 2024, schválený Radou pro ZRS, obsahoval šest externích evaluací a jednu interní – střednědobé vyhodnocení naplňování Strategie ZRS ČR.  Evaluace probíhají formou otevřené výzvy. V rámci 2024 bylo zrealizováno celkem pět externích vyhodnocení (zakázka malého rozsahu do 500 tisíc Kč, u Zambie a Ukrajiny nad 500 tisíc Kč):</w:t>
      </w:r>
    </w:p>
    <w:p w14:paraId="2502A915" w14:textId="41D3AEC1" w:rsidR="00B96D1B" w:rsidRPr="005032EA" w:rsidRDefault="00B96D1B" w:rsidP="001C7A7B">
      <w:pPr>
        <w:numPr>
          <w:ilvl w:val="0"/>
          <w:numId w:val="9"/>
        </w:numPr>
        <w:autoSpaceDE w:val="0"/>
        <w:autoSpaceDN w:val="0"/>
        <w:adjustRightInd w:val="0"/>
        <w:spacing w:line="264" w:lineRule="auto"/>
        <w:jc w:val="both"/>
      </w:pPr>
      <w:r w:rsidRPr="005032EA">
        <w:t xml:space="preserve">nezávislé vyhodnocení vybraných </w:t>
      </w:r>
      <w:r w:rsidR="0069760C" w:rsidRPr="005032EA">
        <w:t>projektů</w:t>
      </w:r>
      <w:r w:rsidRPr="005032EA">
        <w:t xml:space="preserve"> programu Aid for trace v Bosně a Hercegovině za období 2021 – 2023, realizátor Edreo s r.o. (květen– říjen 2024);</w:t>
      </w:r>
    </w:p>
    <w:p w14:paraId="721D5C73" w14:textId="77777777" w:rsidR="00B96D1B" w:rsidRPr="005032EA" w:rsidRDefault="00B96D1B" w:rsidP="001C7A7B">
      <w:pPr>
        <w:numPr>
          <w:ilvl w:val="0"/>
          <w:numId w:val="9"/>
        </w:numPr>
        <w:autoSpaceDE w:val="0"/>
        <w:autoSpaceDN w:val="0"/>
        <w:adjustRightInd w:val="0"/>
        <w:spacing w:line="264" w:lineRule="auto"/>
        <w:jc w:val="both"/>
      </w:pPr>
      <w:r w:rsidRPr="005032EA">
        <w:t>nezávislé vyhodnocení udržitelného rozvoje včelařství v Gruzii za období 2016-2020, realizátor 4Geval s r.o. (červen – prosinec 2024).</w:t>
      </w:r>
    </w:p>
    <w:p w14:paraId="6B708F1A" w14:textId="77777777" w:rsidR="00B96D1B" w:rsidRPr="005032EA" w:rsidRDefault="00B96D1B" w:rsidP="001C7A7B">
      <w:pPr>
        <w:numPr>
          <w:ilvl w:val="0"/>
          <w:numId w:val="9"/>
        </w:numPr>
        <w:autoSpaceDE w:val="0"/>
        <w:autoSpaceDN w:val="0"/>
        <w:adjustRightInd w:val="0"/>
        <w:spacing w:line="264" w:lineRule="auto"/>
        <w:jc w:val="both"/>
      </w:pPr>
      <w:r w:rsidRPr="005032EA">
        <w:t>nezávislé vyhodnocení sektoru WASH v provincii Kampong Chhang, včetně vybraných relevantních projektů B2B za období 2020-2023, realizátor Naviga Advisory and Evaluation s r.o. (červen – prosinec 2024);</w:t>
      </w:r>
    </w:p>
    <w:p w14:paraId="582EC4DE" w14:textId="77777777" w:rsidR="00B96D1B" w:rsidRPr="005032EA" w:rsidRDefault="00B96D1B" w:rsidP="001C7A7B">
      <w:pPr>
        <w:numPr>
          <w:ilvl w:val="0"/>
          <w:numId w:val="9"/>
        </w:numPr>
        <w:autoSpaceDE w:val="0"/>
        <w:autoSpaceDN w:val="0"/>
        <w:adjustRightInd w:val="0"/>
        <w:spacing w:line="264" w:lineRule="auto"/>
        <w:jc w:val="both"/>
      </w:pPr>
      <w:r w:rsidRPr="005032EA">
        <w:t>nezávislé vyhodnocení tří projektů realizovaných v rámci humanitární odezvy České republiky na pandemii COVID-19 v Zambii za období 2020- 2023, realizátor Octans Consulting, s.r.o. (červen – září 2024);</w:t>
      </w:r>
    </w:p>
    <w:p w14:paraId="15434C32" w14:textId="77777777" w:rsidR="00B96D1B" w:rsidRPr="005032EA" w:rsidRDefault="00B96D1B" w:rsidP="001C7A7B">
      <w:pPr>
        <w:numPr>
          <w:ilvl w:val="0"/>
          <w:numId w:val="5"/>
        </w:numPr>
        <w:autoSpaceDE w:val="0"/>
        <w:autoSpaceDN w:val="0"/>
        <w:adjustRightInd w:val="0"/>
        <w:spacing w:line="264" w:lineRule="auto"/>
        <w:jc w:val="both"/>
      </w:pPr>
      <w:r w:rsidRPr="005032EA">
        <w:t>nezávislé vyhodnocení humanitární odezvy na konflikt na Ukrajině - 10 projektů realizovaných na Ukrajině a v Moldavsku za období 2022-2023, realizátor Naviga Advisory and Evaluation s r.o. (srpen – prosinec 2023);</w:t>
      </w:r>
    </w:p>
    <w:p w14:paraId="51CEE1F2" w14:textId="77777777" w:rsidR="00B96D1B" w:rsidRPr="005032EA" w:rsidRDefault="00B96D1B" w:rsidP="001C7A7B">
      <w:pPr>
        <w:autoSpaceDE w:val="0"/>
        <w:autoSpaceDN w:val="0"/>
        <w:adjustRightInd w:val="0"/>
        <w:spacing w:line="264" w:lineRule="auto"/>
        <w:ind w:firstLine="708"/>
        <w:jc w:val="both"/>
      </w:pPr>
    </w:p>
    <w:p w14:paraId="08BEDB35" w14:textId="77777777" w:rsidR="00B96D1B" w:rsidRPr="005032EA" w:rsidRDefault="00B96D1B" w:rsidP="001C7A7B">
      <w:pPr>
        <w:autoSpaceDE w:val="0"/>
        <w:autoSpaceDN w:val="0"/>
        <w:adjustRightInd w:val="0"/>
        <w:spacing w:line="264" w:lineRule="auto"/>
        <w:ind w:firstLine="708"/>
        <w:jc w:val="both"/>
      </w:pPr>
      <w:r w:rsidRPr="005032EA">
        <w:t>Interní evaluace „Střednědobé vyhodnocení naplňování ZRS ČR 2018-2030“ byla završena schválením vládou v červenci 2024.</w:t>
      </w:r>
    </w:p>
    <w:p w14:paraId="1CEC2F03" w14:textId="77777777" w:rsidR="00B96D1B" w:rsidRPr="005032EA" w:rsidRDefault="00B96D1B" w:rsidP="001C7A7B">
      <w:pPr>
        <w:autoSpaceDE w:val="0"/>
        <w:autoSpaceDN w:val="0"/>
        <w:adjustRightInd w:val="0"/>
        <w:spacing w:line="264" w:lineRule="auto"/>
        <w:ind w:firstLine="708"/>
        <w:jc w:val="both"/>
      </w:pPr>
      <w:r w:rsidRPr="005032EA">
        <w:t>Z roku 2024 probíhá v roce 2025 poslední - portfoliová evaluace, komplexní vyhodnocení sektoru zemědělství a rozvoj venkova v pěti prioritních zemích. Výsledek bude k dispozici v polovině t. r.</w:t>
      </w:r>
    </w:p>
    <w:p w14:paraId="2BD446C1" w14:textId="23A28C2E" w:rsidR="00B96D1B" w:rsidRPr="005032EA" w:rsidRDefault="00B96D1B" w:rsidP="001C7A7B">
      <w:pPr>
        <w:autoSpaceDE w:val="0"/>
        <w:autoSpaceDN w:val="0"/>
        <w:adjustRightInd w:val="0"/>
        <w:spacing w:line="264" w:lineRule="auto"/>
        <w:ind w:firstLine="708"/>
        <w:jc w:val="both"/>
      </w:pPr>
      <w:r w:rsidRPr="005032EA">
        <w:t>Závěrečné zprávy ze všech evaluací jsou publikovány na webu MZV. Doporučení vzešlá z jednotlivých vyhodnocení byla řádně vypořádána s českými i místními adresáty.  Doporučení, která se týkala celkového zaměření tematického působení v prioritních zemích a realizace jednotlivých programů, byla promítnuta do programových a strategických dokumentů. Procesní doporučení byla či budou rovněž přímo zohledněna do dalšího ročníku evaluací, zejména z hlediska požadavků na doručování nabídek a struktury hod</w:t>
      </w:r>
      <w:r w:rsidR="00562C0A">
        <w:t>notících kritérií.</w:t>
      </w:r>
    </w:p>
    <w:p w14:paraId="09AB2A97" w14:textId="77777777" w:rsidR="00B96D1B" w:rsidRPr="005032EA" w:rsidRDefault="00B96D1B" w:rsidP="001C7A7B">
      <w:pPr>
        <w:autoSpaceDE w:val="0"/>
        <w:autoSpaceDN w:val="0"/>
        <w:adjustRightInd w:val="0"/>
        <w:spacing w:line="264" w:lineRule="auto"/>
        <w:ind w:firstLine="708"/>
        <w:jc w:val="both"/>
      </w:pPr>
      <w:r w:rsidRPr="005032EA">
        <w:lastRenderedPageBreak/>
        <w:t xml:space="preserve">Vedle administrace a realizace evaluací zajišťuje MZV také účast v mezinárodních koordinacích, zejména v rámci OECD/DAC – sdružení EvalNet a Globální evaluační koalice ustavená v kontextu pandemie COVID-19. Toto působení je každoročně podpořeno částí z dobrovolného příspěvku, který měl v roce 2024 výši 4 mil. Kč (viz 2.2.11). </w:t>
      </w:r>
    </w:p>
    <w:p w14:paraId="068D997B" w14:textId="5C470CCB" w:rsidR="00285FDF" w:rsidRDefault="00B96D1B" w:rsidP="001C7A7B">
      <w:pPr>
        <w:autoSpaceDE w:val="0"/>
        <w:autoSpaceDN w:val="0"/>
        <w:adjustRightInd w:val="0"/>
        <w:spacing w:line="264" w:lineRule="auto"/>
        <w:ind w:firstLine="708"/>
        <w:jc w:val="both"/>
      </w:pPr>
      <w:r w:rsidRPr="005032EA">
        <w:t>Výdaje, spojené s jednotlivými evaluačními zakázkami a s dalšími kontrolními a konzultačními činnostmi činily v roce 2024 celkem</w:t>
      </w:r>
      <w:r w:rsidRPr="005032EA">
        <w:rPr>
          <w:b/>
        </w:rPr>
        <w:t xml:space="preserve"> 3 005 624 Kč.</w:t>
      </w:r>
      <w:r w:rsidRPr="005032EA">
        <w:t xml:space="preserve"> </w:t>
      </w:r>
    </w:p>
    <w:p w14:paraId="49611333" w14:textId="77777777" w:rsidR="00875F04" w:rsidRPr="005032EA" w:rsidRDefault="00C5359E" w:rsidP="001C7A7B">
      <w:pPr>
        <w:pStyle w:val="Nadpis3"/>
        <w:spacing w:line="264" w:lineRule="auto"/>
      </w:pPr>
      <w:bookmarkStart w:id="22" w:name="_Toc200633269"/>
      <w:r w:rsidRPr="005032EA">
        <w:t>Komunikace</w:t>
      </w:r>
      <w:r w:rsidR="004C1836" w:rsidRPr="005032EA">
        <w:t>,</w:t>
      </w:r>
      <w:r w:rsidR="002B359D" w:rsidRPr="005032EA">
        <w:t xml:space="preserve"> </w:t>
      </w:r>
      <w:r w:rsidR="004C1836" w:rsidRPr="005032EA">
        <w:t>prezentace, GV a osvěta</w:t>
      </w:r>
      <w:bookmarkEnd w:id="22"/>
    </w:p>
    <w:p w14:paraId="322412F5" w14:textId="77777777" w:rsidR="00EF2A7E" w:rsidRPr="005032EA" w:rsidRDefault="004E4CFC" w:rsidP="001C7A7B">
      <w:pPr>
        <w:autoSpaceDE w:val="0"/>
        <w:autoSpaceDN w:val="0"/>
        <w:adjustRightInd w:val="0"/>
        <w:spacing w:line="264" w:lineRule="auto"/>
        <w:ind w:firstLine="708"/>
        <w:jc w:val="both"/>
      </w:pPr>
      <w:r w:rsidRPr="005032EA">
        <w:t xml:space="preserve">S cílem zajistit informování odborné i široké veřejnosti a naplňovat </w:t>
      </w:r>
      <w:r w:rsidRPr="005032EA">
        <w:rPr>
          <w:b/>
        </w:rPr>
        <w:t>Strategii globálního rozvojového vzdělávání a osvěty o globálních souvislostech 2018–2030</w:t>
      </w:r>
      <w:r w:rsidRPr="005032EA">
        <w:t xml:space="preserve"> vytváří MZV na počátku roku v součinnosti se ZÚ v prioritních zemích, příslušnými útvary MZV, FoRS a Radou pro ZRS Plán komunikace na příslušný rok. Plán je průběžně naplňován zejména formou informačních podkladů k jednotlivým rozvojovým a humanitárním aktivitám a událostem, které MZV šíří prostřednictvím různých kanálů a příležitostně sdílí s českými i zahraničními implementačními partnery. V první řadě jsou informace komunikovány skrze oficiální webové stránky a sociální sítě ministerstva. </w:t>
      </w:r>
    </w:p>
    <w:p w14:paraId="5A38FC35" w14:textId="4FCAD4B2" w:rsidR="0014592A" w:rsidRPr="005032EA" w:rsidRDefault="004E4CFC" w:rsidP="001C7A7B">
      <w:pPr>
        <w:autoSpaceDE w:val="0"/>
        <w:autoSpaceDN w:val="0"/>
        <w:adjustRightInd w:val="0"/>
        <w:spacing w:line="264" w:lineRule="auto"/>
        <w:ind w:firstLine="708"/>
        <w:jc w:val="both"/>
      </w:pPr>
      <w:r w:rsidRPr="005032EA">
        <w:t>Jednotlivé ZÚ a stálé mise také v r. 202</w:t>
      </w:r>
      <w:r w:rsidR="00E414CB" w:rsidRPr="005032EA">
        <w:t>4</w:t>
      </w:r>
      <w:r w:rsidRPr="005032EA">
        <w:t xml:space="preserve"> mohly využívat prostředky vyčleněné na komunikaci a prezentaci na výrobu propagačních materiálů, pořádání akcí na zahájení a ukončení projektů, zapojení do společné prezentace a komunikace v rámci EU a OSN</w:t>
      </w:r>
      <w:r w:rsidR="00C84F92" w:rsidRPr="005032EA">
        <w:t xml:space="preserve"> apod</w:t>
      </w:r>
      <w:r w:rsidRPr="005032EA">
        <w:t xml:space="preserve">. </w:t>
      </w:r>
    </w:p>
    <w:p w14:paraId="3FF32819" w14:textId="499E7BA0" w:rsidR="0011032D" w:rsidRPr="005032EA" w:rsidRDefault="00C528D0" w:rsidP="001C7A7B">
      <w:pPr>
        <w:autoSpaceDE w:val="0"/>
        <w:autoSpaceDN w:val="0"/>
        <w:adjustRightInd w:val="0"/>
        <w:spacing w:line="264" w:lineRule="auto"/>
        <w:ind w:firstLine="708"/>
        <w:jc w:val="both"/>
      </w:pPr>
      <w:r w:rsidRPr="005032EA">
        <w:rPr>
          <w:b/>
          <w:bCs/>
        </w:rPr>
        <w:t>Dne 25. dubna 2024 proběhla také historicky první akce „Česko pomáhá – Národní rozvojový den“</w:t>
      </w:r>
      <w:r w:rsidR="00002021" w:rsidRPr="005032EA">
        <w:rPr>
          <w:b/>
          <w:bCs/>
        </w:rPr>
        <w:t>,</w:t>
      </w:r>
      <w:r w:rsidR="00002021" w:rsidRPr="005032EA">
        <w:t xml:space="preserve"> kterou zahájil </w:t>
      </w:r>
      <w:r w:rsidR="00A5040E" w:rsidRPr="005032EA">
        <w:t xml:space="preserve">prezident ČR. </w:t>
      </w:r>
      <w:r w:rsidR="00753D84" w:rsidRPr="005032EA">
        <w:t>Na politickou část</w:t>
      </w:r>
      <w:r w:rsidR="00A5040E" w:rsidRPr="005032EA">
        <w:t xml:space="preserve">, které se účastnilo téměř 200 </w:t>
      </w:r>
      <w:r w:rsidR="008D41C8" w:rsidRPr="005032EA">
        <w:t>zástupců resortů, neziskových organizací, univerzit, firem a platforem a médií</w:t>
      </w:r>
      <w:r w:rsidR="00753D84" w:rsidRPr="005032EA">
        <w:t>, navázaly tři odborné stoly. Odpoledne následně proběhla akce pro veřejnost v zahradě MZV.</w:t>
      </w:r>
    </w:p>
    <w:p w14:paraId="27745670" w14:textId="12E25585" w:rsidR="0014592A" w:rsidRPr="005032EA" w:rsidRDefault="0014592A" w:rsidP="001C7A7B">
      <w:pPr>
        <w:autoSpaceDE w:val="0"/>
        <w:autoSpaceDN w:val="0"/>
        <w:adjustRightInd w:val="0"/>
        <w:spacing w:line="264" w:lineRule="auto"/>
        <w:ind w:firstLine="708"/>
        <w:jc w:val="both"/>
      </w:pPr>
      <w:r w:rsidRPr="005032EA">
        <w:t xml:space="preserve">V roce 2024 bylo </w:t>
      </w:r>
      <w:r w:rsidR="0011032D" w:rsidRPr="005032EA">
        <w:t>také</w:t>
      </w:r>
      <w:r w:rsidRPr="005032EA">
        <w:t xml:space="preserve"> vytvořeno </w:t>
      </w:r>
      <w:r w:rsidRPr="005032EA">
        <w:rPr>
          <w:b/>
          <w:bCs/>
        </w:rPr>
        <w:t>nové zastřešující logo Czech Aid</w:t>
      </w:r>
      <w:r w:rsidRPr="005032EA">
        <w:t xml:space="preserve"> a také šablony pro prezentační materiály ve stylu loga. Logo i šablony jsou ke stažení na stránkách MZV – </w:t>
      </w:r>
      <w:hyperlink r:id="rId15" w:history="1">
        <w:r w:rsidRPr="005032EA">
          <w:rPr>
            <w:rStyle w:val="Hypertextovodkaz"/>
            <w:color w:val="auto"/>
          </w:rPr>
          <w:t>www.mzv.gov.cz/rozvoj</w:t>
        </w:r>
      </w:hyperlink>
      <w:r w:rsidRPr="005032EA">
        <w:t>.</w:t>
      </w:r>
    </w:p>
    <w:p w14:paraId="4ACDDD82" w14:textId="293B0C38" w:rsidR="004E4CFC" w:rsidRPr="005032EA" w:rsidRDefault="00511CA4" w:rsidP="001C7A7B">
      <w:pPr>
        <w:autoSpaceDE w:val="0"/>
        <w:autoSpaceDN w:val="0"/>
        <w:adjustRightInd w:val="0"/>
        <w:spacing w:line="264" w:lineRule="auto"/>
        <w:ind w:firstLine="708"/>
        <w:jc w:val="both"/>
      </w:pPr>
      <w:r w:rsidRPr="005032EA">
        <w:t xml:space="preserve">V oblasti </w:t>
      </w:r>
      <w:r w:rsidR="005C5FAD" w:rsidRPr="005032EA">
        <w:t xml:space="preserve">podpory globálního vzdělávání byl v souladu se </w:t>
      </w:r>
      <w:r w:rsidR="00153409" w:rsidRPr="005032EA">
        <w:t xml:space="preserve">Strategií pro globální vzdělávání 2018-2030 </w:t>
      </w:r>
      <w:r w:rsidR="005C5FAD" w:rsidRPr="005032EA">
        <w:t xml:space="preserve">vytvořen </w:t>
      </w:r>
      <w:r w:rsidR="00DB775E" w:rsidRPr="005032EA">
        <w:t>A</w:t>
      </w:r>
      <w:r w:rsidR="005C5FAD" w:rsidRPr="005032EA">
        <w:t xml:space="preserve">kční plán GV </w:t>
      </w:r>
      <w:r w:rsidR="00DB775E" w:rsidRPr="005032EA">
        <w:t>pro roky 2024-2026, který byl následně schválen v rámci pracovní skupiny pro GV</w:t>
      </w:r>
      <w:r w:rsidR="008B299B" w:rsidRPr="005032EA">
        <w:t>, která má v současnosti 20 členů z řad veřejného, neziskového i akademického sektoru</w:t>
      </w:r>
      <w:r w:rsidR="0080240A" w:rsidRPr="005032EA">
        <w:t xml:space="preserve">. Hlavním cílem MZV v roce 2024 </w:t>
      </w:r>
      <w:r w:rsidR="004E4CFC" w:rsidRPr="005032EA">
        <w:t xml:space="preserve">bylo promítnutí globálních témat do revize Rámcových vzdělávacích programů a posilování koherence GV s dalšími koncepty, zejména vzděláváním k udržitelnému rozvoji a environmentálním vzděláváním (EVVO). </w:t>
      </w:r>
    </w:p>
    <w:p w14:paraId="57BEC58F" w14:textId="1D8AE783" w:rsidR="002137EB" w:rsidRDefault="004E4CFC" w:rsidP="001C7A7B">
      <w:pPr>
        <w:spacing w:line="264" w:lineRule="auto"/>
        <w:rPr>
          <w:b/>
        </w:rPr>
      </w:pPr>
      <w:r w:rsidRPr="005032EA">
        <w:t xml:space="preserve">Na komunikační a prezentační aktivity a realizaci GV v gesci MZV bylo v roce 2023 čerpáno </w:t>
      </w:r>
      <w:r w:rsidR="00733AB7" w:rsidRPr="005032EA">
        <w:rPr>
          <w:b/>
          <w:bCs/>
        </w:rPr>
        <w:t>1 032 484,91</w:t>
      </w:r>
      <w:r w:rsidRPr="005032EA">
        <w:rPr>
          <w:b/>
        </w:rPr>
        <w:t xml:space="preserve"> Kč</w:t>
      </w:r>
    </w:p>
    <w:p w14:paraId="74E04190" w14:textId="77777777" w:rsidR="002137EB" w:rsidRDefault="002137EB">
      <w:pPr>
        <w:rPr>
          <w:b/>
        </w:rPr>
      </w:pPr>
      <w:r>
        <w:rPr>
          <w:b/>
        </w:rPr>
        <w:br w:type="page"/>
      </w:r>
    </w:p>
    <w:p w14:paraId="2C2A6C30" w14:textId="77777777" w:rsidR="00875F04" w:rsidRPr="005032EA" w:rsidRDefault="00875F04" w:rsidP="001C7A7B">
      <w:pPr>
        <w:pStyle w:val="Nadpis3"/>
        <w:spacing w:line="264" w:lineRule="auto"/>
      </w:pPr>
      <w:bookmarkStart w:id="23" w:name="_Toc200633270"/>
      <w:r w:rsidRPr="005032EA">
        <w:lastRenderedPageBreak/>
        <w:t>Humanitární pomoc</w:t>
      </w:r>
      <w:bookmarkEnd w:id="23"/>
      <w:r w:rsidRPr="005032EA">
        <w:t xml:space="preserve"> </w:t>
      </w:r>
    </w:p>
    <w:p w14:paraId="05118F17" w14:textId="7E1493E1" w:rsidR="00352506" w:rsidRPr="005032EA" w:rsidRDefault="00352506" w:rsidP="001C7A7B">
      <w:pPr>
        <w:autoSpaceDE w:val="0"/>
        <w:autoSpaceDN w:val="0"/>
        <w:adjustRightInd w:val="0"/>
        <w:spacing w:line="264" w:lineRule="auto"/>
        <w:ind w:firstLine="708"/>
        <w:jc w:val="both"/>
      </w:pPr>
      <w:r w:rsidRPr="005032EA">
        <w:t xml:space="preserve">Cílem humanitární pomoci (HP) je záchrana lidských životů a omezení utrpení vzniklého v důsledku přírodních i lidmi způsobených katastrof. V souvislosti s , sílícími dopady změny klimatu a závažnými konflikty, včetně ruské agrese na Ukrajině, konfliktu mezi Izraelem a teroristickým hnutím Hamás v Gaze či vnitřních konfliktů v řadě afrických zemí, roste v současné době rozsah nuceného vysídlení (uprchlíci i vnitřně vysídlení) a celkové křehkosti zemí a populací. Přestože globální humanitární potřeby rostou, rozpočet na humanitární pomoc v gesci MZV v r. 2024 dle UV 605/2023 stagnoval ve stejné výši jako v předchozím roce, tedy na </w:t>
      </w:r>
      <w:r w:rsidRPr="005032EA">
        <w:rPr>
          <w:b/>
          <w:bCs/>
        </w:rPr>
        <w:t>165 mil. Kč</w:t>
      </w:r>
      <w:r w:rsidRPr="005032EA">
        <w:t>. Po zahrnutí nároků z nespotřebovaných výdajů na humanitární a stabilizační pomoc pro Ukrajinu činil humanitární rozpočet celkem 350,2</w:t>
      </w:r>
      <w:r w:rsidR="00A0082C">
        <w:t> </w:t>
      </w:r>
      <w:r w:rsidRPr="005032EA">
        <w:t>mil.</w:t>
      </w:r>
      <w:r w:rsidR="00A0082C">
        <w:t> </w:t>
      </w:r>
      <w:r w:rsidRPr="005032EA">
        <w:t>Kč.</w:t>
      </w:r>
    </w:p>
    <w:p w14:paraId="0DAB09ED" w14:textId="3B5710E4" w:rsidR="00352506" w:rsidRPr="005032EA" w:rsidRDefault="00352506" w:rsidP="001C7A7B">
      <w:pPr>
        <w:autoSpaceDE w:val="0"/>
        <w:autoSpaceDN w:val="0"/>
        <w:adjustRightInd w:val="0"/>
        <w:spacing w:line="264" w:lineRule="auto"/>
        <w:ind w:firstLine="708"/>
        <w:jc w:val="both"/>
      </w:pPr>
      <w:r w:rsidRPr="005032EA">
        <w:t xml:space="preserve">V rámci humanitárního rozpočtu MZV na rok 2024 dle UV 605/2023 bylo ministrem zahraničních věcí ČR schváleno </w:t>
      </w:r>
      <w:r w:rsidR="00136404">
        <w:rPr>
          <w:b/>
        </w:rPr>
        <w:t>44</w:t>
      </w:r>
      <w:r w:rsidRPr="005032EA">
        <w:rPr>
          <w:b/>
        </w:rPr>
        <w:t xml:space="preserve"> humanitárních aktivit ve 22 zemích v souhrnné </w:t>
      </w:r>
      <w:r w:rsidR="00136404">
        <w:rPr>
          <w:b/>
        </w:rPr>
        <w:t>hodnotě 1</w:t>
      </w:r>
      <w:r w:rsidR="00592DBD">
        <w:rPr>
          <w:b/>
        </w:rPr>
        <w:t>77,4</w:t>
      </w:r>
      <w:r w:rsidR="002629C8">
        <w:rPr>
          <w:b/>
        </w:rPr>
        <w:t xml:space="preserve"> </w:t>
      </w:r>
      <w:r w:rsidRPr="005032EA">
        <w:rPr>
          <w:b/>
        </w:rPr>
        <w:t>mil. Kč;</w:t>
      </w:r>
      <w:r w:rsidRPr="005032EA">
        <w:t xml:space="preserve"> formou vnějších rozpočtových opatření byla v součinnosti s MV realizována </w:t>
      </w:r>
      <w:r w:rsidR="00EF27E5">
        <w:t xml:space="preserve">další </w:t>
      </w:r>
      <w:r w:rsidRPr="005032EA">
        <w:t xml:space="preserve">pomoc v souhrnné hodnotě </w:t>
      </w:r>
      <w:r w:rsidRPr="005032EA">
        <w:rPr>
          <w:b/>
          <w:bCs/>
        </w:rPr>
        <w:t>7,3 mil. Kč</w:t>
      </w:r>
      <w:r w:rsidRPr="005032EA">
        <w:t xml:space="preserve">. Přehled humanitární a stabilizační </w:t>
      </w:r>
      <w:r w:rsidRPr="005032EA">
        <w:rPr>
          <w:b/>
        </w:rPr>
        <w:t>asistence Ukrajině</w:t>
      </w:r>
      <w:r w:rsidRPr="005032EA">
        <w:t xml:space="preserve"> je uveden v samostatném bodu </w:t>
      </w:r>
      <w:r w:rsidRPr="005032EA">
        <w:rPr>
          <w:b/>
        </w:rPr>
        <w:t>2.3.3.</w:t>
      </w:r>
      <w:r w:rsidRPr="005032EA">
        <w:t xml:space="preserve"> </w:t>
      </w:r>
    </w:p>
    <w:p w14:paraId="269B5F12" w14:textId="121F1DA2" w:rsidR="00484881" w:rsidRPr="005032EA" w:rsidRDefault="00352506" w:rsidP="001C7A7B">
      <w:pPr>
        <w:autoSpaceDE w:val="0"/>
        <w:autoSpaceDN w:val="0"/>
        <w:adjustRightInd w:val="0"/>
        <w:spacing w:line="264" w:lineRule="auto"/>
        <w:ind w:firstLine="708"/>
        <w:jc w:val="both"/>
      </w:pPr>
      <w:r w:rsidRPr="005032EA">
        <w:t>Součástí HP ČR v roce 2024 byla okamžitá pomoc při katastrofách (zemětřesení  na Tchaj-wanu, Sýrii a Turecku, záplavy v v BaH, Brazílii, Kazachstánu, Francii a na Filipínách, požáry v Chile, Bulharsku, Severní Makedoniia Řecku), při konfliktech a nuceném vysídlení (Afghánistán, Bangladéš, Gaza, IzraelJemen, Jordánsko, Konžská demokratická republika,  Súdán, Ukrajina), dále pomoc při komplexních humanitárních krizích způsobených kombinací chudoby, nestability a klimatických vlivů (Barma/Myanmar, Etiopie, Libanon, Sahel, Sýrie) a</w:t>
      </w:r>
      <w:r w:rsidR="005E5888" w:rsidRPr="005032EA">
        <w:t> </w:t>
      </w:r>
      <w:r w:rsidRPr="005032EA">
        <w:t xml:space="preserve">také </w:t>
      </w:r>
      <w:r w:rsidRPr="005032EA">
        <w:rPr>
          <w:b/>
        </w:rPr>
        <w:t>úsilí o snižování rizika katastrof (DRR) a posilování odolnosti</w:t>
      </w:r>
      <w:r w:rsidRPr="005032EA">
        <w:t xml:space="preserve"> zranitelných zemí a</w:t>
      </w:r>
      <w:r w:rsidR="005E5888" w:rsidRPr="005032EA">
        <w:t> </w:t>
      </w:r>
      <w:r w:rsidRPr="005032EA">
        <w:t xml:space="preserve">regionů (BaH, Etiopie, Gruzie, Kambodža, Zambie, subsaharská Afrika regionálně). </w:t>
      </w:r>
      <w:r w:rsidR="00AD52B6" w:rsidRPr="005032EA">
        <w:t xml:space="preserve">Tato priorita byla vedle HP podpořena i ze ZRS prostředků, a to peněžním darem </w:t>
      </w:r>
      <w:r w:rsidR="00AD52B6" w:rsidRPr="005032EA">
        <w:rPr>
          <w:b/>
        </w:rPr>
        <w:t>5 mil. Kč</w:t>
      </w:r>
      <w:r w:rsidR="00AD52B6" w:rsidRPr="005032EA">
        <w:t xml:space="preserve"> na pokračující podporu implementace Sendaiského rámce pro DRR a zejména iniciativy GT OSN „</w:t>
      </w:r>
      <w:r w:rsidR="00AD52B6" w:rsidRPr="005032EA">
        <w:rPr>
          <w:i/>
        </w:rPr>
        <w:t>Early Warnings for All</w:t>
      </w:r>
      <w:r w:rsidR="00AD52B6" w:rsidRPr="005032EA">
        <w:t>“. ČR se zde soustředí na konkrétní aktivity zvyšující povědomí a na praktické výsledky snižování rizika katastrof, např. jednoduchými digitálními aplikacemi, zejména pro potřeby tzv. křehkých států.</w:t>
      </w:r>
    </w:p>
    <w:p w14:paraId="59AEFCDE" w14:textId="1103F381" w:rsidR="00352506" w:rsidRPr="005032EA" w:rsidRDefault="00352506" w:rsidP="001C7A7B">
      <w:pPr>
        <w:autoSpaceDE w:val="0"/>
        <w:autoSpaceDN w:val="0"/>
        <w:adjustRightInd w:val="0"/>
        <w:spacing w:line="264" w:lineRule="auto"/>
        <w:ind w:firstLine="708"/>
        <w:jc w:val="both"/>
      </w:pPr>
      <w:r w:rsidRPr="005032EA">
        <w:t xml:space="preserve">Vzhledem k omezeným finančním prostředkům probíhala po celý rok úzká </w:t>
      </w:r>
      <w:r w:rsidRPr="005032EA">
        <w:rPr>
          <w:b/>
        </w:rPr>
        <w:t xml:space="preserve">koordinace s asistenčními programy pro Afriku (bez vlastní alokace) a region Blízkého východu </w:t>
      </w:r>
      <w:r w:rsidRPr="005032EA">
        <w:rPr>
          <w:bCs/>
        </w:rPr>
        <w:t>a s humanitárně-migračními programy MEDEVAC a Pomoc na místě</w:t>
      </w:r>
      <w:r w:rsidRPr="005032EA">
        <w:t xml:space="preserve"> v gesci MV tak, aby u prioritních zemí, regionů a témat byly vždy mobilizovány dostatečné zdroje. </w:t>
      </w:r>
    </w:p>
    <w:p w14:paraId="2927C790" w14:textId="77777777" w:rsidR="00352506" w:rsidRPr="005032EA" w:rsidRDefault="00352506" w:rsidP="001C7A7B">
      <w:pPr>
        <w:autoSpaceDE w:val="0"/>
        <w:autoSpaceDN w:val="0"/>
        <w:adjustRightInd w:val="0"/>
        <w:spacing w:line="264" w:lineRule="auto"/>
        <w:ind w:firstLine="708"/>
        <w:jc w:val="both"/>
      </w:pPr>
      <w:r w:rsidRPr="005032EA">
        <w:t>Na realizaci humanitární pomoci ČR v zahraničí se v roce 2024 podílely české i zahraniční nevládní organizace, české firmy – výrobci zdravotnických prostředků i dodavatelé technologií v oblasti vody-sanitace a zelené energetiky, mezinárodní humanitární organizace, místní úřady a také ZÚ ČR a Generální ředitelství Hasičského záchranného sboru MV.</w:t>
      </w:r>
    </w:p>
    <w:p w14:paraId="1A997B36" w14:textId="5775DB61" w:rsidR="002137EB" w:rsidRDefault="00352506" w:rsidP="001C7A7B">
      <w:pPr>
        <w:autoSpaceDE w:val="0"/>
        <w:autoSpaceDN w:val="0"/>
        <w:adjustRightInd w:val="0"/>
        <w:spacing w:line="264" w:lineRule="auto"/>
        <w:ind w:firstLine="708"/>
        <w:jc w:val="both"/>
      </w:pPr>
      <w:r w:rsidRPr="005032EA">
        <w:t xml:space="preserve">Celkové čerpání humanitárního ukazatele rozpočtu MZV </w:t>
      </w:r>
      <w:r w:rsidR="00DE52C0" w:rsidRPr="005032EA">
        <w:t xml:space="preserve">napříč různými nástroji </w:t>
      </w:r>
      <w:r w:rsidRPr="005032EA">
        <w:t>v r.</w:t>
      </w:r>
      <w:r w:rsidR="00A0082C">
        <w:t> </w:t>
      </w:r>
      <w:r w:rsidRPr="005032EA">
        <w:t xml:space="preserve">2024 činilo </w:t>
      </w:r>
      <w:r w:rsidRPr="005032EA">
        <w:rPr>
          <w:b/>
        </w:rPr>
        <w:t>330 489 985,41</w:t>
      </w:r>
      <w:r w:rsidR="00592DEB" w:rsidRPr="005032EA">
        <w:t xml:space="preserve">. </w:t>
      </w:r>
      <w:r w:rsidRPr="005032EA">
        <w:t xml:space="preserve">Přehled realizovaných humanitárních projektů je obsažen </w:t>
      </w:r>
      <w:r w:rsidRPr="005032EA">
        <w:rPr>
          <w:u w:val="single"/>
        </w:rPr>
        <w:t>v příloze č. 3</w:t>
      </w:r>
      <w:r w:rsidRPr="005032EA">
        <w:t>.</w:t>
      </w:r>
    </w:p>
    <w:p w14:paraId="5F6E0854" w14:textId="77777777" w:rsidR="002137EB" w:rsidRDefault="002137EB">
      <w:r>
        <w:br w:type="page"/>
      </w:r>
    </w:p>
    <w:p w14:paraId="7A1E2DBA" w14:textId="77777777" w:rsidR="00933793" w:rsidRPr="005032EA" w:rsidRDefault="00875F04" w:rsidP="001C7A7B">
      <w:pPr>
        <w:pStyle w:val="Nadpis3"/>
        <w:spacing w:line="264" w:lineRule="auto"/>
      </w:pPr>
      <w:bookmarkStart w:id="24" w:name="_Toc200633271"/>
      <w:r w:rsidRPr="005032EA">
        <w:lastRenderedPageBreak/>
        <w:t>Program transformační spolupráce</w:t>
      </w:r>
      <w:bookmarkEnd w:id="24"/>
      <w:r w:rsidRPr="005032EA">
        <w:t xml:space="preserve"> </w:t>
      </w:r>
    </w:p>
    <w:p w14:paraId="3C0AE8A0" w14:textId="7DC25B75" w:rsidR="00E32B80" w:rsidRPr="005032EA" w:rsidRDefault="00E32B80" w:rsidP="001C7A7B">
      <w:pPr>
        <w:autoSpaceDE w:val="0"/>
        <w:autoSpaceDN w:val="0"/>
        <w:adjustRightInd w:val="0"/>
        <w:spacing w:line="264" w:lineRule="auto"/>
        <w:ind w:firstLine="709"/>
        <w:jc w:val="both"/>
        <w:rPr>
          <w:sz w:val="22"/>
          <w:szCs w:val="22"/>
          <w:lang w:eastAsia="en-US"/>
        </w:rPr>
      </w:pPr>
      <w:r w:rsidRPr="005032EA">
        <w:t xml:space="preserve">Zásadní složkou ZRS ČR v sektoru řádné veřejné správy je </w:t>
      </w:r>
      <w:r w:rsidRPr="005032EA">
        <w:rPr>
          <w:b/>
        </w:rPr>
        <w:t>Program transformační spolupráce</w:t>
      </w:r>
      <w:r w:rsidRPr="005032EA">
        <w:t>, jehož cílem je přispívat k vytváření a posilování demokratických institucí na ochranu lidských práv, k podpoře právního státu, občanské společnosti, nezávislých médií a</w:t>
      </w:r>
      <w:r w:rsidR="00A0082C">
        <w:t> </w:t>
      </w:r>
      <w:r w:rsidRPr="005032EA">
        <w:t xml:space="preserve">zásad řádné správy veřejných záležitostí. V Plánu ZRS na rok 2024 na něj bylo vyčleněno </w:t>
      </w:r>
      <w:r w:rsidRPr="005032EA">
        <w:rPr>
          <w:b/>
        </w:rPr>
        <w:t>90 mil. Kč</w:t>
      </w:r>
      <w:r w:rsidRPr="005032EA">
        <w:t xml:space="preserve">. </w:t>
      </w:r>
    </w:p>
    <w:p w14:paraId="098B1DFE" w14:textId="77777777" w:rsidR="00E32B80" w:rsidRPr="005032EA" w:rsidRDefault="00E32B80" w:rsidP="001C7A7B">
      <w:pPr>
        <w:autoSpaceDE w:val="0"/>
        <w:autoSpaceDN w:val="0"/>
        <w:adjustRightInd w:val="0"/>
        <w:spacing w:line="264" w:lineRule="auto"/>
        <w:ind w:firstLine="709"/>
        <w:jc w:val="both"/>
      </w:pPr>
      <w:r w:rsidRPr="005032EA">
        <w:t xml:space="preserve">Program se i v roce 2024 zaměřil na země přednostního zájmu zahraniční politiky ČR, kde zároveň existuje určitý předpoklad přenositelnosti české zkušenosti a tradice vzájemných kontaktů (Arménie, Bělorusko, Bosna a Hercegovina, Gruzie, Kosovo, Kuba, Moldavsko, Myanmar/Barma, Srbsko, Ukrajina a Vietnam). </w:t>
      </w:r>
    </w:p>
    <w:p w14:paraId="390A40E9" w14:textId="77777777" w:rsidR="00E32B80" w:rsidRPr="005032EA" w:rsidRDefault="00E32B80" w:rsidP="001C7A7B">
      <w:pPr>
        <w:autoSpaceDE w:val="0"/>
        <w:autoSpaceDN w:val="0"/>
        <w:adjustRightInd w:val="0"/>
        <w:spacing w:line="264" w:lineRule="auto"/>
        <w:ind w:firstLine="709"/>
        <w:jc w:val="both"/>
      </w:pPr>
      <w:r w:rsidRPr="005032EA">
        <w:t xml:space="preserve">Celkem bylo v roce 2024 v rámci Programu transformační spolupráce financováno </w:t>
      </w:r>
      <w:r w:rsidRPr="005032EA">
        <w:rPr>
          <w:b/>
        </w:rPr>
        <w:t>82 projektů</w:t>
      </w:r>
      <w:r w:rsidRPr="005032EA">
        <w:t xml:space="preserve"> českých nevládních organizací a institucí, realizovaných ve spolupráci s jejich partnery v cílových zemích, včetně samostaných projektových aktivit MZV, uskutečněných převážně prostřednictvím ZÚ ČR v zahraničí. Kromě prioritních zemí se některé jednorázové aktivity týkaly i dalších zemí regionů Afriky, Latinské Ameriky, Asie a Blízkého východu či post-sovětského prostoru. Řada projektů, na kterých se podílely české subjekty, byly vícestranné či mezinárodní. </w:t>
      </w:r>
    </w:p>
    <w:p w14:paraId="596907DB" w14:textId="77777777" w:rsidR="00E32B80" w:rsidRPr="005032EA" w:rsidRDefault="00E32B80" w:rsidP="001C7A7B">
      <w:pPr>
        <w:autoSpaceDE w:val="0"/>
        <w:autoSpaceDN w:val="0"/>
        <w:adjustRightInd w:val="0"/>
        <w:spacing w:line="264" w:lineRule="auto"/>
        <w:ind w:firstLine="709"/>
        <w:jc w:val="both"/>
      </w:pPr>
      <w:r w:rsidRPr="005032EA">
        <w:t xml:space="preserve">Celkově bylo na projekty na podporu lidských práv a demokracie v roce 2024 vynaloženo </w:t>
      </w:r>
      <w:r w:rsidRPr="005032EA">
        <w:rPr>
          <w:b/>
        </w:rPr>
        <w:t>91 540 351,03 Kč</w:t>
      </w:r>
      <w:r w:rsidRPr="005032EA">
        <w:t xml:space="preserve"> (podrobněji viz </w:t>
      </w:r>
      <w:r w:rsidRPr="005032EA">
        <w:rPr>
          <w:u w:val="single"/>
        </w:rPr>
        <w:t>příloha č. 3</w:t>
      </w:r>
      <w:r w:rsidRPr="005032EA">
        <w:t>).</w:t>
      </w:r>
    </w:p>
    <w:p w14:paraId="40C65CCA" w14:textId="10A9280F" w:rsidR="00D80757" w:rsidRPr="005032EA" w:rsidRDefault="00D80757" w:rsidP="001C7A7B">
      <w:pPr>
        <w:pStyle w:val="Nadpis3"/>
        <w:spacing w:line="264" w:lineRule="auto"/>
      </w:pPr>
      <w:bookmarkStart w:id="25" w:name="_Toc200633272"/>
      <w:r w:rsidRPr="005032EA">
        <w:t>Projekty ZÚ zaměřené na naplňování Agendy 2030</w:t>
      </w:r>
      <w:bookmarkEnd w:id="25"/>
    </w:p>
    <w:p w14:paraId="4DCF9FAA" w14:textId="77777777" w:rsidR="009E2065" w:rsidRPr="005032EA" w:rsidRDefault="009E2065" w:rsidP="001C7A7B">
      <w:pPr>
        <w:autoSpaceDE w:val="0"/>
        <w:autoSpaceDN w:val="0"/>
        <w:adjustRightInd w:val="0"/>
        <w:spacing w:line="264" w:lineRule="auto"/>
        <w:ind w:firstLine="709"/>
        <w:jc w:val="both"/>
      </w:pPr>
      <w:r w:rsidRPr="005032EA">
        <w:t xml:space="preserve">Kromě MLP (v nevyplněné tabulce je již přednastaveno) mají ZÚ možnost realizovat i projekty v gesci odboru OSN a globálních otázek, které jsou zaměřeny na naplňování Agendy 2030 a jejích cílů udržitelného rozvoje (tzv. „PA2030“). Jejich cílem je nejen přispívat k Agendě 2030, ale také zviditelňovat ČR a posilovat povědomí o českých řešeních, know-how a o ČR jako zemi s cennými a sdělitelnými zkušenostmi v naplňování této agendy. Jsou realizovány ve všech regionech světa. </w:t>
      </w:r>
    </w:p>
    <w:p w14:paraId="312D1CBE" w14:textId="77777777" w:rsidR="009E2065" w:rsidRPr="005032EA" w:rsidRDefault="009E2065" w:rsidP="001C7A7B">
      <w:pPr>
        <w:autoSpaceDE w:val="0"/>
        <w:autoSpaceDN w:val="0"/>
        <w:adjustRightInd w:val="0"/>
        <w:spacing w:line="264" w:lineRule="auto"/>
        <w:ind w:firstLine="709"/>
        <w:jc w:val="both"/>
      </w:pPr>
      <w:r w:rsidRPr="005032EA">
        <w:t xml:space="preserve">V roce 2024 byl dokončen čtvrtý cyklus projektů PA2030. ZÚ jich v loňském roce realizovaly celkem 20. Schválený rozpočet činil 944 000 Kč. Celkově bylo čerpáno 884 369 Kč. Nejčastější formou uskutečněných projektů byla podpora účasti českých expertů na seminářích a prezentacích v zemích působnosti ZÚ. </w:t>
      </w:r>
    </w:p>
    <w:p w14:paraId="3CF87F09" w14:textId="42DADB73" w:rsidR="00475BA6" w:rsidRPr="005032EA" w:rsidRDefault="00A4492A" w:rsidP="001C7A7B">
      <w:pPr>
        <w:pStyle w:val="Nadpis3"/>
        <w:spacing w:line="264" w:lineRule="auto"/>
      </w:pPr>
      <w:bookmarkStart w:id="26" w:name="_Toc200633273"/>
      <w:r w:rsidRPr="005032EA">
        <w:t>Mnohostranná rozvojová spolupráce</w:t>
      </w:r>
      <w:bookmarkEnd w:id="26"/>
      <w:r w:rsidRPr="005032EA">
        <w:t xml:space="preserve"> </w:t>
      </w:r>
    </w:p>
    <w:p w14:paraId="2B800A6F" w14:textId="77777777" w:rsidR="00745B33" w:rsidRPr="005032EA" w:rsidRDefault="00745B33" w:rsidP="001C7A7B">
      <w:pPr>
        <w:autoSpaceDE w:val="0"/>
        <w:autoSpaceDN w:val="0"/>
        <w:adjustRightInd w:val="0"/>
        <w:spacing w:line="264" w:lineRule="auto"/>
        <w:ind w:firstLine="708"/>
        <w:jc w:val="both"/>
      </w:pPr>
      <w:r w:rsidRPr="005032EA">
        <w:t xml:space="preserve">V rámci mnohostranné rozvojové spolupráce v roce 2024 se ČR zapojila do </w:t>
      </w:r>
      <w:r w:rsidRPr="005032EA">
        <w:rPr>
          <w:b/>
          <w:bCs/>
        </w:rPr>
        <w:t>komplexního vyhodnocení (peer review)</w:t>
      </w:r>
      <w:r w:rsidRPr="005032EA">
        <w:t xml:space="preserve"> rozvojové spolupráce Finska ze strany rozvojového ředitelství </w:t>
      </w:r>
      <w:r w:rsidRPr="005032EA">
        <w:rPr>
          <w:bCs/>
        </w:rPr>
        <w:t>Výboru pro rozvojovou pomoc OECD</w:t>
      </w:r>
      <w:r w:rsidRPr="005032EA">
        <w:t xml:space="preserve"> spolu s další hodnotitelskou zemí - Rakouskem. Z tohoto procesu si ČR odnesla inspiraci zejména v oblasti zapojování soukromého sektoru do ZRS a delegované spolupráce. V EU představila ČR s velkým ohlasem non-paper k podmínkám pro uplatnění evropského soukromého sektoru v projektech Global Gateway. </w:t>
      </w:r>
    </w:p>
    <w:p w14:paraId="4756626C" w14:textId="51B6DA12" w:rsidR="002137EB" w:rsidRDefault="002137EB">
      <w:r>
        <w:br w:type="page"/>
      </w:r>
    </w:p>
    <w:p w14:paraId="6A1D1D30" w14:textId="77777777" w:rsidR="00745B33" w:rsidRPr="003D1943" w:rsidRDefault="00745B33" w:rsidP="001C7A7B">
      <w:pPr>
        <w:pStyle w:val="Nadpis4"/>
        <w:spacing w:line="264" w:lineRule="auto"/>
        <w:rPr>
          <w:rStyle w:val="normaltextrun"/>
        </w:rPr>
      </w:pPr>
      <w:r w:rsidRPr="003D1943">
        <w:rPr>
          <w:rStyle w:val="normaltextrun"/>
        </w:rPr>
        <w:lastRenderedPageBreak/>
        <w:t>Evropská unie</w:t>
      </w:r>
    </w:p>
    <w:p w14:paraId="79F5A49C" w14:textId="77777777" w:rsidR="00745B33" w:rsidRPr="005032EA" w:rsidRDefault="00745B33" w:rsidP="001C7A7B">
      <w:pPr>
        <w:pStyle w:val="paragraph"/>
        <w:spacing w:before="0" w:beforeAutospacing="0" w:after="0" w:afterAutospacing="0" w:line="264" w:lineRule="auto"/>
        <w:contextualSpacing/>
        <w:jc w:val="both"/>
        <w:textAlignment w:val="baseline"/>
        <w:rPr>
          <w:rStyle w:val="normaltextrun"/>
        </w:rPr>
      </w:pPr>
      <w:r w:rsidRPr="005032EA">
        <w:rPr>
          <w:rStyle w:val="normaltextrun"/>
          <w:b/>
          <w:bCs/>
        </w:rPr>
        <w:tab/>
      </w:r>
      <w:r w:rsidRPr="005032EA">
        <w:rPr>
          <w:rStyle w:val="normaltextrun"/>
        </w:rPr>
        <w:t xml:space="preserve">V EU probíhalo v prvním pololetí 2024 belgické předsednictví, které se zaměřilo na globální zdraví, lidskoprávní přístup k rozvoji a také na přístup Team Europe. ČR tyto priority aktivně podporovala, mj. zapojením do Team Europe návštěvy Africké unie a Team Europe aktivit v Bruselu. ČR rovněž podpořila přijetí závěrů Rady ke globálnímu zdraví, které byly rozjednány již za švédského předsednictví o rok dříve. </w:t>
      </w:r>
    </w:p>
    <w:p w14:paraId="5FB8DD45" w14:textId="77777777" w:rsidR="00745B33" w:rsidRPr="005032EA" w:rsidRDefault="00745B33" w:rsidP="001C7A7B">
      <w:pPr>
        <w:pStyle w:val="paragraph"/>
        <w:spacing w:before="0" w:beforeAutospacing="0" w:after="0" w:afterAutospacing="0" w:line="264" w:lineRule="auto"/>
        <w:contextualSpacing/>
        <w:jc w:val="both"/>
        <w:textAlignment w:val="baseline"/>
        <w:rPr>
          <w:rStyle w:val="normaltextrun"/>
        </w:rPr>
      </w:pPr>
      <w:r w:rsidRPr="005032EA">
        <w:rPr>
          <w:rStyle w:val="normaltextrun"/>
        </w:rPr>
        <w:tab/>
        <w:t xml:space="preserve">Na jaře 2024 byl v rámci střednědobého vyhodnocení Víceletého finančního rámce EU schválen Nástroj pro obnovu Ukrajiny (Ukraine Facility). ČR se aktivně podílela na formování jeho struktury i na prosazení role Rady EU v jeho implementaci a kontrole. </w:t>
      </w:r>
    </w:p>
    <w:p w14:paraId="520D8FC9" w14:textId="77777777" w:rsidR="00745B33" w:rsidRPr="005032EA" w:rsidRDefault="00745B33" w:rsidP="001C7A7B">
      <w:pPr>
        <w:pStyle w:val="paragraph"/>
        <w:spacing w:before="0" w:beforeAutospacing="0" w:after="0" w:afterAutospacing="0" w:line="264" w:lineRule="auto"/>
        <w:ind w:firstLine="708"/>
        <w:contextualSpacing/>
        <w:jc w:val="both"/>
        <w:textAlignment w:val="baseline"/>
        <w:rPr>
          <w:rStyle w:val="normaltextrun"/>
        </w:rPr>
      </w:pPr>
      <w:r w:rsidRPr="005032EA">
        <w:rPr>
          <w:rStyle w:val="normaltextrun"/>
        </w:rPr>
        <w:t xml:space="preserve">Významnou událostí na podzim 2024 bylo ustavení nové Evropské komise, kde se výrazněji proměnila portfolia humanitární i rozvojové. Rozvojová agenda byla zasazena do širšího kontextu mezinárodního partnerství a svěřena českému eurokomisaři Jozefu Síkelovi. Humanitární agenda byla zahrnuta do portfolia krizového řízení a genderové rovnosti. </w:t>
      </w:r>
    </w:p>
    <w:p w14:paraId="6D51E530" w14:textId="77777777" w:rsidR="00745B33" w:rsidRPr="005032EA" w:rsidRDefault="00745B33" w:rsidP="001C7A7B">
      <w:pPr>
        <w:pStyle w:val="paragraph"/>
        <w:spacing w:before="0" w:beforeAutospacing="0" w:after="0" w:afterAutospacing="0" w:line="264" w:lineRule="auto"/>
        <w:ind w:firstLine="708"/>
        <w:contextualSpacing/>
        <w:jc w:val="both"/>
        <w:textAlignment w:val="baseline"/>
        <w:rPr>
          <w:rStyle w:val="normaltextrun"/>
        </w:rPr>
      </w:pPr>
      <w:r w:rsidRPr="005032EA">
        <w:rPr>
          <w:rStyle w:val="normaltextrun"/>
        </w:rPr>
        <w:t xml:space="preserve">ČR v záři 2024 představila svůj non-paper k podmínkám implementace strategie Global Gateway. Velký a pozitivní ohlas zejména vyvolaly podněty k lepšímu zapojení evropského soukromého sektoru včetně malých a středních firem, a to cestou revize zadávacích podmínek a standardů EU. Revizní procesy se podařilo nastartovat v Evropské komisi i Evropské investiční bance. </w:t>
      </w:r>
    </w:p>
    <w:p w14:paraId="79D2541A" w14:textId="25417CB0" w:rsidR="00745B33" w:rsidRPr="005032EA" w:rsidRDefault="00745B33" w:rsidP="001C7A7B">
      <w:pPr>
        <w:pStyle w:val="paragraph"/>
        <w:spacing w:before="0" w:beforeAutospacing="0" w:after="0" w:afterAutospacing="0" w:line="264" w:lineRule="auto"/>
        <w:ind w:firstLine="708"/>
        <w:contextualSpacing/>
        <w:jc w:val="both"/>
        <w:textAlignment w:val="baseline"/>
        <w:rPr>
          <w:rStyle w:val="normaltextrun"/>
        </w:rPr>
      </w:pPr>
      <w:r w:rsidRPr="005032EA">
        <w:rPr>
          <w:rStyle w:val="normaltextrun"/>
        </w:rPr>
        <w:t xml:space="preserve">Ve vztahu k </w:t>
      </w:r>
      <w:r w:rsidRPr="005032EA">
        <w:rPr>
          <w:rStyle w:val="normaltextrun"/>
          <w:b/>
          <w:bCs/>
        </w:rPr>
        <w:t xml:space="preserve">Nástroji pro Sousedství, rozvojovou a mezinárodní spolupráci </w:t>
      </w:r>
      <w:r w:rsidRPr="005032EA">
        <w:rPr>
          <w:rStyle w:val="normaltextrun"/>
        </w:rPr>
        <w:t>(NDICI-Global Europe), hlavnímu nástroji vnější akce EU, bylo v r. 2024 dokončeno střednědobé vyhodnocení a na podzim 2024 byl zahájen proces programování priorit na léta 2025-2027. ČR se na těchto procesech aktivně podílela a uplatňovala své priority, zejména ve vztahu k </w:t>
      </w:r>
      <w:r w:rsidR="009632F7" w:rsidRPr="005032EA">
        <w:rPr>
          <w:rStyle w:val="normaltextrun"/>
        </w:rPr>
        <w:t>zemím</w:t>
      </w:r>
      <w:r w:rsidRPr="005032EA">
        <w:rPr>
          <w:rStyle w:val="normaltextrun"/>
        </w:rPr>
        <w:t xml:space="preserve"> Sousedství a subsaharské Afriky.</w:t>
      </w:r>
    </w:p>
    <w:p w14:paraId="14F1586B" w14:textId="77777777" w:rsidR="00745B33" w:rsidRPr="005032EA" w:rsidRDefault="00745B33" w:rsidP="001C7A7B">
      <w:pPr>
        <w:pStyle w:val="paragraph"/>
        <w:spacing w:before="0" w:beforeAutospacing="0" w:after="0" w:afterAutospacing="0" w:line="264" w:lineRule="auto"/>
        <w:contextualSpacing/>
        <w:jc w:val="both"/>
        <w:textAlignment w:val="baseline"/>
        <w:rPr>
          <w:rStyle w:val="normaltextrun"/>
          <w:bCs/>
        </w:rPr>
      </w:pPr>
      <w:r w:rsidRPr="005032EA">
        <w:rPr>
          <w:rStyle w:val="normaltextrun"/>
        </w:rPr>
        <w:tab/>
        <w:t xml:space="preserve">MZV pokračovalo v meziresortní koordinaci ve vztahu ke komitologii nástroje NDICI-Global Europe (geografická a tematická okna) a také ve vztahu </w:t>
      </w:r>
      <w:r w:rsidRPr="005032EA">
        <w:rPr>
          <w:rStyle w:val="normaltextrun"/>
          <w:b/>
          <w:bCs/>
        </w:rPr>
        <w:t>k implementaci Strategie Global Gateway.</w:t>
      </w:r>
      <w:r w:rsidRPr="005032EA">
        <w:rPr>
          <w:rStyle w:val="normaltextrun"/>
        </w:rPr>
        <w:t xml:space="preserve"> V této oblasti došlo v roce 2024 k ustavení </w:t>
      </w:r>
      <w:r w:rsidRPr="005032EA">
        <w:rPr>
          <w:rStyle w:val="normaltextrun"/>
          <w:b/>
          <w:bCs/>
        </w:rPr>
        <w:t xml:space="preserve">politického koordinačního týmu (Team Czechia) </w:t>
      </w:r>
      <w:r w:rsidRPr="005032EA">
        <w:rPr>
          <w:rStyle w:val="normaltextrun"/>
          <w:bCs/>
        </w:rPr>
        <w:t>se zahrnutím příslušných resortů, finančních institucí a firemních asociací. Hlavním výstupem v r. 2024 bylo vytvoření jednotného vstupního místa pro firmy a ustavení jasného procesu identifikace vhodných projektů.</w:t>
      </w:r>
    </w:p>
    <w:p w14:paraId="09D9B4CD" w14:textId="77777777" w:rsidR="00745B33" w:rsidRPr="005032EA" w:rsidRDefault="00745B33" w:rsidP="001C7A7B">
      <w:pPr>
        <w:pStyle w:val="paragraph"/>
        <w:spacing w:before="0" w:beforeAutospacing="0" w:after="0" w:afterAutospacing="0" w:line="264" w:lineRule="auto"/>
        <w:ind w:firstLine="708"/>
        <w:contextualSpacing/>
        <w:jc w:val="both"/>
        <w:textAlignment w:val="baseline"/>
        <w:rPr>
          <w:rStyle w:val="normaltextrun"/>
          <w:bCs/>
        </w:rPr>
      </w:pPr>
      <w:r w:rsidRPr="005032EA">
        <w:rPr>
          <w:rStyle w:val="normaltextrun"/>
          <w:bCs/>
        </w:rPr>
        <w:t>V rámci přístupu Team Europe se ČR nadále podílela na realizaci vybraných Iniciativ Team Europe (TEI) se zaměřením na migraci, vodu-sanitaci, zdraví a klimatickou adaptaci. V Zambii byla ČR prostřednictvím delegované spolupráce ČRA zapojena do TEI podporující zelený rozvoj, v Mongolsku prostřednictvím Mendelovy univerzity do TEI zaměřené na udržitelnou správu lesů.</w:t>
      </w:r>
      <w:r w:rsidRPr="005032EA">
        <w:rPr>
          <w:rStyle w:val="normaltextrun"/>
        </w:rPr>
        <w:t xml:space="preserve"> </w:t>
      </w:r>
    </w:p>
    <w:p w14:paraId="7FF9CB39" w14:textId="1CBE7868" w:rsidR="00745B33" w:rsidRPr="005032EA" w:rsidRDefault="00745B33" w:rsidP="001C7A7B">
      <w:pPr>
        <w:pStyle w:val="paragraph"/>
        <w:spacing w:before="0" w:beforeAutospacing="0" w:after="0" w:afterAutospacing="0" w:line="264" w:lineRule="auto"/>
        <w:ind w:firstLine="708"/>
        <w:contextualSpacing/>
        <w:jc w:val="both"/>
        <w:textAlignment w:val="baseline"/>
      </w:pPr>
      <w:r w:rsidRPr="005032EA">
        <w:t xml:space="preserve">Z finančního hlediska pokračovaly v gesci MF platby do Evropské unie a Evropského rozvojového fondu (EDF), které jsou vykazatelné v rámci oficiální rozvojové pomoci. Předběžný podíl příspěvku ČR na </w:t>
      </w:r>
      <w:r w:rsidRPr="005032EA">
        <w:rPr>
          <w:b/>
        </w:rPr>
        <w:t>rozvojovou spolupráci EU</w:t>
      </w:r>
      <w:r w:rsidRPr="005032EA">
        <w:t xml:space="preserve"> v roce 2024 činil </w:t>
      </w:r>
      <w:r w:rsidR="00384C0C" w:rsidRPr="005032EA">
        <w:rPr>
          <w:b/>
        </w:rPr>
        <w:t>6 704 535 789</w:t>
      </w:r>
      <w:r w:rsidR="00384C0C" w:rsidRPr="005032EA" w:rsidDel="00E63DDB">
        <w:rPr>
          <w:b/>
          <w:shd w:val="clear" w:color="auto" w:fill="FFFFFF"/>
        </w:rPr>
        <w:t xml:space="preserve"> </w:t>
      </w:r>
      <w:r w:rsidR="00384C0C" w:rsidRPr="005032EA">
        <w:rPr>
          <w:b/>
        </w:rPr>
        <w:t>Kč</w:t>
      </w:r>
      <w:r w:rsidRPr="005032EA">
        <w:rPr>
          <w:b/>
        </w:rPr>
        <w:t>;</w:t>
      </w:r>
      <w:r w:rsidRPr="005032EA">
        <w:t xml:space="preserve"> platby do Evropského rozvojového fondu (EDF) pak </w:t>
      </w:r>
      <w:r w:rsidR="009F195E" w:rsidRPr="005032EA">
        <w:rPr>
          <w:b/>
          <w:bCs/>
        </w:rPr>
        <w:t>299 987 930,80 Kč</w:t>
      </w:r>
      <w:r w:rsidRPr="005032EA">
        <w:rPr>
          <w:b/>
          <w:bCs/>
        </w:rPr>
        <w:t xml:space="preserve"> – </w:t>
      </w:r>
      <w:r w:rsidRPr="005032EA">
        <w:rPr>
          <w:bCs/>
        </w:rPr>
        <w:t>blíže v části 3.4.</w:t>
      </w:r>
    </w:p>
    <w:p w14:paraId="246C1BB8" w14:textId="7CCF5531" w:rsidR="00313C28" w:rsidRDefault="00313C28" w:rsidP="001C7A7B">
      <w:pPr>
        <w:spacing w:line="264" w:lineRule="auto"/>
        <w:rPr>
          <w:rFonts w:asciiTheme="majorBidi" w:hAnsiTheme="majorBidi" w:cstheme="majorBidi"/>
        </w:rPr>
      </w:pPr>
      <w:r>
        <w:rPr>
          <w:rFonts w:asciiTheme="majorBidi" w:hAnsiTheme="majorBidi" w:cstheme="majorBidi"/>
        </w:rPr>
        <w:br w:type="page"/>
      </w:r>
    </w:p>
    <w:p w14:paraId="455F0B23" w14:textId="77777777" w:rsidR="009A26A4" w:rsidRPr="00313C28" w:rsidRDefault="009A26A4" w:rsidP="001C7A7B">
      <w:pPr>
        <w:pStyle w:val="Nadpis4"/>
        <w:spacing w:line="264" w:lineRule="auto"/>
        <w:rPr>
          <w:rStyle w:val="normaltextrun"/>
        </w:rPr>
      </w:pPr>
      <w:r w:rsidRPr="00313C28">
        <w:rPr>
          <w:rStyle w:val="normaltextrun"/>
        </w:rPr>
        <w:lastRenderedPageBreak/>
        <w:t>Výbor pro rozvojovou pomoc OECD (OECD/DAC)</w:t>
      </w:r>
    </w:p>
    <w:p w14:paraId="59D8A38D" w14:textId="77777777" w:rsidR="00B960E8" w:rsidRPr="005032EA" w:rsidRDefault="00B960E8" w:rsidP="001C7A7B">
      <w:pPr>
        <w:pStyle w:val="paragraph"/>
        <w:spacing w:before="0" w:beforeAutospacing="0" w:after="0" w:afterAutospacing="0" w:line="264" w:lineRule="auto"/>
        <w:ind w:firstLine="708"/>
        <w:contextualSpacing/>
        <w:jc w:val="both"/>
        <w:textAlignment w:val="baseline"/>
        <w:rPr>
          <w:rFonts w:asciiTheme="majorBidi" w:hAnsiTheme="majorBidi" w:cstheme="majorBidi"/>
        </w:rPr>
      </w:pPr>
      <w:r w:rsidRPr="005032EA">
        <w:rPr>
          <w:bCs/>
        </w:rPr>
        <w:t>V </w:t>
      </w:r>
      <w:r w:rsidRPr="005032EA">
        <w:rPr>
          <w:rFonts w:asciiTheme="majorBidi" w:hAnsiTheme="majorBidi" w:cstheme="majorBidi"/>
        </w:rPr>
        <w:t>roce 2024 poprvé proběhlo peer rewiew statistického výkaznictví oficiální rozvojové pomoci české ZRS, které proběhlo 14. - 17. 10. 2024 v Praze. Hodnotitelskými zeměmi byly Nizozemsko a Portugalsko; Kazachstán se zúčastnil jako pozorovatel.</w:t>
      </w:r>
    </w:p>
    <w:p w14:paraId="6707508E" w14:textId="77777777" w:rsidR="00B960E8" w:rsidRPr="005032EA" w:rsidRDefault="00B960E8" w:rsidP="001C7A7B">
      <w:pPr>
        <w:pStyle w:val="paragraph"/>
        <w:spacing w:before="0" w:beforeAutospacing="0" w:after="0" w:afterAutospacing="0" w:line="264" w:lineRule="auto"/>
        <w:ind w:firstLine="708"/>
        <w:contextualSpacing/>
        <w:jc w:val="both"/>
        <w:textAlignment w:val="baseline"/>
        <w:rPr>
          <w:rFonts w:asciiTheme="majorBidi" w:hAnsiTheme="majorBidi" w:cstheme="majorBidi"/>
        </w:rPr>
      </w:pPr>
    </w:p>
    <w:p w14:paraId="1EAA4CDA" w14:textId="77777777" w:rsidR="00B960E8" w:rsidRPr="005032EA" w:rsidRDefault="00B960E8" w:rsidP="001C7A7B">
      <w:pPr>
        <w:pStyle w:val="paragraph"/>
        <w:spacing w:before="0" w:beforeAutospacing="0" w:after="0" w:afterAutospacing="0" w:line="264" w:lineRule="auto"/>
        <w:ind w:firstLine="708"/>
        <w:contextualSpacing/>
        <w:jc w:val="both"/>
        <w:textAlignment w:val="baseline"/>
        <w:rPr>
          <w:rFonts w:asciiTheme="majorBidi" w:hAnsiTheme="majorBidi" w:cstheme="majorBidi"/>
        </w:rPr>
      </w:pPr>
      <w:r w:rsidRPr="005032EA">
        <w:rPr>
          <w:rFonts w:asciiTheme="majorBidi" w:hAnsiTheme="majorBidi" w:cstheme="majorBidi"/>
        </w:rPr>
        <w:t xml:space="preserve">Hlavním účelem peer review statistického výkaznictví oficiální rozvojové pomoci bylo zmapovat proces sběru dat, jejich následné užití, ale i poskytnout prostor pro zpětnou vazbu české straně.  </w:t>
      </w:r>
    </w:p>
    <w:p w14:paraId="065304F1" w14:textId="77777777" w:rsidR="00B960E8" w:rsidRPr="005032EA" w:rsidRDefault="00B960E8" w:rsidP="001C7A7B">
      <w:pPr>
        <w:pStyle w:val="paragraph"/>
        <w:spacing w:before="0" w:beforeAutospacing="0" w:after="0" w:afterAutospacing="0" w:line="264" w:lineRule="auto"/>
        <w:ind w:firstLine="708"/>
        <w:contextualSpacing/>
        <w:jc w:val="both"/>
        <w:textAlignment w:val="baseline"/>
        <w:rPr>
          <w:rFonts w:asciiTheme="majorBidi" w:hAnsiTheme="majorBidi" w:cstheme="majorBidi"/>
        </w:rPr>
      </w:pPr>
      <w:r w:rsidRPr="005032EA">
        <w:rPr>
          <w:rFonts w:asciiTheme="majorBidi" w:hAnsiTheme="majorBidi" w:cstheme="majorBidi"/>
        </w:rPr>
        <w:t>Peer review pozitivně ohodnotil přístup ČR ke statistickému výkaznictví, a to zejména v těchto oblastech:</w:t>
      </w:r>
    </w:p>
    <w:p w14:paraId="39F13870" w14:textId="77777777" w:rsidR="00B960E8" w:rsidRPr="005032EA" w:rsidRDefault="00B960E8" w:rsidP="001C7A7B">
      <w:pPr>
        <w:pStyle w:val="Odstavecseseznamem"/>
        <w:numPr>
          <w:ilvl w:val="0"/>
          <w:numId w:val="20"/>
        </w:numPr>
        <w:spacing w:after="160" w:line="264" w:lineRule="auto"/>
        <w:contextualSpacing/>
        <w:rPr>
          <w:rFonts w:asciiTheme="majorBidi" w:hAnsiTheme="majorBidi" w:cstheme="majorBidi"/>
        </w:rPr>
      </w:pPr>
      <w:r w:rsidRPr="005032EA">
        <w:rPr>
          <w:rFonts w:asciiTheme="majorBidi" w:hAnsiTheme="majorBidi" w:cstheme="majorBidi"/>
        </w:rPr>
        <w:t>Podpora ukrajinských uprchlíků – výdaje hrazeny z oddělených rozpočtových kapitol, čímž se zabránilo nadhodnocování údajů o ODA.</w:t>
      </w:r>
    </w:p>
    <w:p w14:paraId="760F04F0" w14:textId="77777777" w:rsidR="00B960E8" w:rsidRPr="005032EA" w:rsidRDefault="00B960E8" w:rsidP="001C7A7B">
      <w:pPr>
        <w:pStyle w:val="Odstavecseseznamem"/>
        <w:numPr>
          <w:ilvl w:val="0"/>
          <w:numId w:val="20"/>
        </w:numPr>
        <w:spacing w:after="160" w:line="264" w:lineRule="auto"/>
        <w:contextualSpacing/>
        <w:rPr>
          <w:rFonts w:asciiTheme="majorBidi" w:hAnsiTheme="majorBidi" w:cstheme="majorBidi"/>
        </w:rPr>
      </w:pPr>
      <w:r w:rsidRPr="005032EA">
        <w:rPr>
          <w:rFonts w:asciiTheme="majorBidi" w:hAnsiTheme="majorBidi" w:cstheme="majorBidi"/>
        </w:rPr>
        <w:t>Obezřetnost a transparentnost při vykazování výdajů na uprchlíky.</w:t>
      </w:r>
    </w:p>
    <w:p w14:paraId="393D6CBD" w14:textId="77777777" w:rsidR="00B960E8" w:rsidRPr="005032EA" w:rsidRDefault="00B960E8" w:rsidP="001C7A7B">
      <w:pPr>
        <w:pStyle w:val="Odstavecseseznamem"/>
        <w:numPr>
          <w:ilvl w:val="0"/>
          <w:numId w:val="20"/>
        </w:numPr>
        <w:spacing w:after="160" w:line="264" w:lineRule="auto"/>
        <w:contextualSpacing/>
        <w:rPr>
          <w:rFonts w:asciiTheme="majorBidi" w:hAnsiTheme="majorBidi" w:cstheme="majorBidi"/>
        </w:rPr>
      </w:pPr>
      <w:r w:rsidRPr="005032EA">
        <w:rPr>
          <w:rFonts w:asciiTheme="majorBidi" w:hAnsiTheme="majorBidi" w:cstheme="majorBidi"/>
        </w:rPr>
        <w:t>Ochrana rozpočtu na rozvojovou spolupráci – pozitivní hodnocení činnosti MZV v této oblasti.</w:t>
      </w:r>
    </w:p>
    <w:p w14:paraId="73E9044A" w14:textId="32C51E73" w:rsidR="00B960E8" w:rsidRPr="005032EA" w:rsidRDefault="00B960E8" w:rsidP="001C7A7B">
      <w:pPr>
        <w:pStyle w:val="paragraph"/>
        <w:spacing w:before="0" w:beforeAutospacing="0" w:after="0" w:afterAutospacing="0" w:line="264" w:lineRule="auto"/>
        <w:ind w:firstLine="708"/>
        <w:contextualSpacing/>
        <w:jc w:val="both"/>
        <w:textAlignment w:val="baseline"/>
      </w:pPr>
      <w:r w:rsidRPr="005032EA">
        <w:rPr>
          <w:rStyle w:val="normaltextrun"/>
          <w:bCs/>
        </w:rPr>
        <w:t>ČR také i po personálních změnách pokračovala v aktivním sledování je</w:t>
      </w:r>
      <w:r w:rsidRPr="005032EA">
        <w:t xml:space="preserve">dnání </w:t>
      </w:r>
      <w:r w:rsidRPr="005032EA">
        <w:rPr>
          <w:b/>
        </w:rPr>
        <w:t>ke statistickému výkaznictví (WP-STAT),</w:t>
      </w:r>
      <w:r w:rsidRPr="005032EA">
        <w:t xml:space="preserve"> zejména k podmínkám vykazování pomoci ukrajinským uprchlíkům s dočasnou ochranou v ČS EU. </w:t>
      </w:r>
    </w:p>
    <w:p w14:paraId="4D568218" w14:textId="77777777" w:rsidR="00B960E8" w:rsidRPr="005032EA" w:rsidRDefault="00B960E8" w:rsidP="001C7A7B">
      <w:pPr>
        <w:spacing w:line="264" w:lineRule="auto"/>
        <w:ind w:firstLine="708"/>
        <w:contextualSpacing/>
        <w:jc w:val="both"/>
      </w:pPr>
      <w:r w:rsidRPr="005032EA">
        <w:t xml:space="preserve">ČR se aktivně účastnila též </w:t>
      </w:r>
      <w:r w:rsidRPr="005032EA">
        <w:rPr>
          <w:b/>
        </w:rPr>
        <w:t>evaluačních jednání (EVALNET</w:t>
      </w:r>
      <w:r w:rsidRPr="005032EA">
        <w:t xml:space="preserve">) a odborné </w:t>
      </w:r>
      <w:r w:rsidRPr="005032EA">
        <w:rPr>
          <w:b/>
        </w:rPr>
        <w:t>Skupiny ke konfliktu a křehkosti (INCAF),</w:t>
      </w:r>
      <w:r w:rsidRPr="005032EA">
        <w:t xml:space="preserve"> která je garantem Doporučení OECD/DAC k trojitému nexu i Globálního rámce křehkosti (Fragility Framework).</w:t>
      </w:r>
    </w:p>
    <w:p w14:paraId="0AC9AC43" w14:textId="77777777" w:rsidR="00B960E8" w:rsidRPr="005032EA" w:rsidRDefault="00B960E8" w:rsidP="001C7A7B">
      <w:pPr>
        <w:spacing w:line="264" w:lineRule="auto"/>
        <w:ind w:firstLine="708"/>
        <w:contextualSpacing/>
        <w:jc w:val="both"/>
      </w:pPr>
      <w:r w:rsidRPr="005032EA">
        <w:t xml:space="preserve">ČR aktivně podporovala přípravu podkladů (tool boxu) k problematice lokalizace rozvojové spolupráce a podílela se také na přípravě Doporučení k genderové rovnosti. </w:t>
      </w:r>
    </w:p>
    <w:p w14:paraId="75E23C23" w14:textId="77777777" w:rsidR="00B960E8" w:rsidRPr="005032EA" w:rsidRDefault="00B960E8" w:rsidP="001C7A7B">
      <w:pPr>
        <w:pStyle w:val="paragraph"/>
        <w:spacing w:before="0" w:beforeAutospacing="0" w:after="0" w:afterAutospacing="0" w:line="264" w:lineRule="auto"/>
        <w:ind w:firstLine="708"/>
        <w:contextualSpacing/>
        <w:jc w:val="both"/>
        <w:textAlignment w:val="baseline"/>
      </w:pPr>
      <w:r w:rsidRPr="005032EA">
        <w:t xml:space="preserve">ČR poskytla OECD/DAC v závěru roku 2023 </w:t>
      </w:r>
      <w:r w:rsidRPr="005032EA">
        <w:rPr>
          <w:b/>
        </w:rPr>
        <w:t>dobrovolný příspěvek ve výši 4 mil. Kč</w:t>
      </w:r>
      <w:r w:rsidRPr="005032EA">
        <w:t xml:space="preserve">, kterým podpořila pokračování spolupráce v uvedených oblastech. </w:t>
      </w:r>
    </w:p>
    <w:p w14:paraId="4E6E3949" w14:textId="05BC87A2" w:rsidR="003E59D2" w:rsidRDefault="003E59D2">
      <w:r>
        <w:br w:type="page"/>
      </w:r>
    </w:p>
    <w:p w14:paraId="6A3B07F7" w14:textId="77777777" w:rsidR="00DD48E7" w:rsidRPr="00313C28" w:rsidRDefault="00DD48E7" w:rsidP="001C7A7B">
      <w:pPr>
        <w:pStyle w:val="Nadpis4"/>
        <w:spacing w:line="264" w:lineRule="auto"/>
      </w:pPr>
      <w:r w:rsidRPr="00313C28">
        <w:rPr>
          <w:rStyle w:val="normaltextrun"/>
        </w:rPr>
        <w:lastRenderedPageBreak/>
        <w:t>Organizace spojených národů (OSN</w:t>
      </w:r>
      <w:r w:rsidRPr="00313C28">
        <w:rPr>
          <w:rStyle w:val="eop"/>
        </w:rPr>
        <w:t>)</w:t>
      </w:r>
    </w:p>
    <w:p w14:paraId="0B529793" w14:textId="77777777" w:rsidR="008175A4" w:rsidRPr="005032EA" w:rsidRDefault="008175A4" w:rsidP="001C7A7B">
      <w:pPr>
        <w:pStyle w:val="paragraph"/>
        <w:spacing w:before="0" w:beforeAutospacing="0" w:after="0" w:afterAutospacing="0" w:line="264" w:lineRule="auto"/>
        <w:ind w:firstLine="708"/>
        <w:contextualSpacing/>
        <w:jc w:val="both"/>
        <w:textAlignment w:val="baseline"/>
        <w:rPr>
          <w:rStyle w:val="normaltextrun"/>
          <w:bCs/>
        </w:rPr>
      </w:pPr>
      <w:r w:rsidRPr="005032EA">
        <w:rPr>
          <w:rStyle w:val="normaltextrun"/>
        </w:rPr>
        <w:t xml:space="preserve">ČR v souvislosti s působením v rozvojovém systému OSN v r. 2024 zasedala ve </w:t>
      </w:r>
      <w:r w:rsidRPr="005032EA">
        <w:rPr>
          <w:rStyle w:val="normaltextrun"/>
          <w:b/>
        </w:rPr>
        <w:t xml:space="preserve">Výkonné radě Dětského fondu OSN (UNICEF) </w:t>
      </w:r>
      <w:r w:rsidRPr="005032EA">
        <w:rPr>
          <w:rStyle w:val="normaltextrun"/>
        </w:rPr>
        <w:t>v New Yorku</w:t>
      </w:r>
      <w:r w:rsidRPr="005032EA">
        <w:rPr>
          <w:rStyle w:val="normaltextrun"/>
          <w:b/>
        </w:rPr>
        <w:t xml:space="preserve">, </w:t>
      </w:r>
      <w:r w:rsidRPr="005032EA">
        <w:rPr>
          <w:rStyle w:val="normaltextrun"/>
          <w:bCs/>
        </w:rPr>
        <w:t xml:space="preserve">ve </w:t>
      </w:r>
      <w:r w:rsidRPr="005032EA">
        <w:rPr>
          <w:rStyle w:val="normaltextrun"/>
          <w:b/>
          <w:bCs/>
        </w:rPr>
        <w:t>Výboru stálých představitelů Programu OSN pro životní prostředí</w:t>
      </w:r>
      <w:r w:rsidRPr="005032EA">
        <w:rPr>
          <w:rStyle w:val="normaltextrun"/>
          <w:bCs/>
        </w:rPr>
        <w:t xml:space="preserve"> (</w:t>
      </w:r>
      <w:r w:rsidRPr="005032EA">
        <w:rPr>
          <w:rStyle w:val="normaltextrun"/>
          <w:b/>
          <w:bCs/>
        </w:rPr>
        <w:t>UNEP)</w:t>
      </w:r>
      <w:r w:rsidRPr="005032EA">
        <w:rPr>
          <w:rStyle w:val="normaltextrun"/>
          <w:bCs/>
        </w:rPr>
        <w:t xml:space="preserve"> v Nairobi a ve </w:t>
      </w:r>
      <w:r w:rsidRPr="005032EA">
        <w:rPr>
          <w:rStyle w:val="normaltextrun"/>
          <w:b/>
          <w:bCs/>
        </w:rPr>
        <w:t xml:space="preserve">Výkonné radě Světového potravinového programu OSN (WFP) </w:t>
      </w:r>
      <w:r w:rsidRPr="005032EA">
        <w:rPr>
          <w:rStyle w:val="normaltextrun"/>
          <w:bCs/>
        </w:rPr>
        <w:t xml:space="preserve">v Římě. </w:t>
      </w:r>
    </w:p>
    <w:p w14:paraId="7A8D9DD1" w14:textId="77777777" w:rsidR="008175A4" w:rsidRPr="005032EA" w:rsidRDefault="008175A4" w:rsidP="001C7A7B">
      <w:pPr>
        <w:pStyle w:val="paragraph"/>
        <w:spacing w:before="0" w:beforeAutospacing="0" w:after="0" w:afterAutospacing="0" w:line="264" w:lineRule="auto"/>
        <w:ind w:firstLine="708"/>
        <w:contextualSpacing/>
        <w:jc w:val="both"/>
        <w:textAlignment w:val="baseline"/>
        <w:rPr>
          <w:rStyle w:val="normaltextrun"/>
        </w:rPr>
      </w:pPr>
      <w:r w:rsidRPr="005032EA">
        <w:rPr>
          <w:rStyle w:val="normaltextrun"/>
        </w:rPr>
        <w:t xml:space="preserve">V roce 2024 pokračovala komplexní spolupráce s Rozvojovým programem OSN (UNDP) v rámci dlouhodobého </w:t>
      </w:r>
      <w:r w:rsidRPr="005032EA">
        <w:rPr>
          <w:rStyle w:val="normaltextrun"/>
          <w:b/>
        </w:rPr>
        <w:t xml:space="preserve">Partnerství pro cíle udržitelného rozvoje mezi ČR a Rozvojovým programem OSN (CUP) </w:t>
      </w:r>
      <w:r w:rsidRPr="005032EA">
        <w:rPr>
          <w:rStyle w:val="normaltextrun"/>
          <w:bCs/>
        </w:rPr>
        <w:t>v</w:t>
      </w:r>
      <w:r w:rsidRPr="005032EA">
        <w:rPr>
          <w:rStyle w:val="normaltextrun"/>
        </w:rPr>
        <w:t xml:space="preserve">e spolupráci s regionální kanceláří UNDP v Istanbulu. Naplňování cílů Partnerství bylo podpořeno částkou </w:t>
      </w:r>
      <w:r w:rsidRPr="005032EA">
        <w:rPr>
          <w:rStyle w:val="normaltextrun"/>
          <w:b/>
        </w:rPr>
        <w:t>17 mil. Kč</w:t>
      </w:r>
      <w:r w:rsidRPr="005032EA">
        <w:rPr>
          <w:rStyle w:val="normaltextrun"/>
        </w:rPr>
        <w:t xml:space="preserve">, které napomohly přenosu primárně českých zkušeností a inovativních řešení do prioritních zemí české ZRS a na Ukrajině. V r. 2024 </w:t>
      </w:r>
      <w:r w:rsidRPr="005032EA">
        <w:rPr>
          <w:rFonts w:ascii="Tms Rmn" w:hAnsi="Tms Rmn" w:cs="Tms Rmn"/>
        </w:rPr>
        <w:t>bylo ve výzvě Challenge Fundu podáno celkem 78 platných námětů, z nichž 11 bylo vybráno k realizaci (</w:t>
      </w:r>
      <w:r w:rsidRPr="005032EA">
        <w:t>tři návrhy pro Bosnu a Hercegovinu, tři návrhy pro Moldavsko, dva návrhy pro Zambii a po jednom návrhu pro Etiopii, Gruzii a Kambodžu</w:t>
      </w:r>
      <w:r w:rsidRPr="005032EA">
        <w:rPr>
          <w:rFonts w:ascii="Tms Rmn" w:hAnsi="Tms Rmn" w:cs="Tms Rmn"/>
        </w:rPr>
        <w:t>). V rámci Partnerství bylo do zahraničí vysláno také šest českých expertů, kteří se podíleli na budování kybernetických kapacit v Bosně a Hercegovině nebo na projektech s tematikou mentálního zdraví v Gruzii. Na podzim 2024 byla spolupráce prodloužena až do roku 2030.</w:t>
      </w:r>
      <w:r w:rsidRPr="005032EA" w:rsidDel="0049368C">
        <w:rPr>
          <w:rStyle w:val="normaltextrun"/>
        </w:rPr>
        <w:t xml:space="preserve"> </w:t>
      </w:r>
      <w:r w:rsidRPr="005032EA">
        <w:rPr>
          <w:rStyle w:val="normaltextrun"/>
        </w:rPr>
        <w:t xml:space="preserve"> </w:t>
      </w:r>
    </w:p>
    <w:p w14:paraId="25EC5CB4" w14:textId="2C0243C0" w:rsidR="008175A4" w:rsidRPr="005032EA" w:rsidRDefault="008175A4" w:rsidP="001C7A7B">
      <w:pPr>
        <w:pStyle w:val="paragraph"/>
        <w:spacing w:before="0" w:beforeAutospacing="0" w:after="0" w:afterAutospacing="0" w:line="264" w:lineRule="auto"/>
        <w:ind w:firstLine="708"/>
        <w:contextualSpacing/>
        <w:jc w:val="both"/>
        <w:textAlignment w:val="baseline"/>
      </w:pPr>
      <w:r w:rsidRPr="005032EA">
        <w:t xml:space="preserve">V roce 2024 úspěšně pokračoval také program </w:t>
      </w:r>
      <w:r w:rsidRPr="005032EA">
        <w:rPr>
          <w:b/>
        </w:rPr>
        <w:t>vysílání dobrovolníků OSN (UNV)</w:t>
      </w:r>
      <w:r w:rsidRPr="005032EA">
        <w:t xml:space="preserve">. Podařilo se vyslat celkem </w:t>
      </w:r>
      <w:r w:rsidRPr="005032EA">
        <w:rPr>
          <w:b/>
        </w:rPr>
        <w:t>osm českých dobrovolníků</w:t>
      </w:r>
      <w:r w:rsidRPr="005032EA">
        <w:t xml:space="preserve"> do sedmi různých programů OSN (FAO, UNDP, IOM, RCO, UNHCR, UNEP a UNICEF) v BaH, Etiopii, Gruzii, Jordánsku, Kambodži, Keni a Zambii. Příspěvek pro UNV na vysílání mladých dobrovolníků činil </w:t>
      </w:r>
      <w:r w:rsidRPr="005032EA">
        <w:rPr>
          <w:b/>
        </w:rPr>
        <w:t>10</w:t>
      </w:r>
      <w:r w:rsidR="00A0082C">
        <w:rPr>
          <w:b/>
        </w:rPr>
        <w:t> </w:t>
      </w:r>
      <w:r w:rsidRPr="005032EA">
        <w:rPr>
          <w:b/>
        </w:rPr>
        <w:t>mil. Kč</w:t>
      </w:r>
      <w:r w:rsidRPr="005032EA">
        <w:t>.</w:t>
      </w:r>
    </w:p>
    <w:p w14:paraId="77AD2FF1" w14:textId="77777777" w:rsidR="008175A4" w:rsidRPr="005032EA" w:rsidRDefault="008175A4" w:rsidP="001C7A7B">
      <w:pPr>
        <w:pStyle w:val="paragraph"/>
        <w:spacing w:before="0" w:beforeAutospacing="0" w:after="0" w:afterAutospacing="0" w:line="264" w:lineRule="auto"/>
        <w:ind w:firstLine="708"/>
        <w:contextualSpacing/>
        <w:jc w:val="both"/>
        <w:textAlignment w:val="baseline"/>
        <w:rPr>
          <w:rStyle w:val="normaltextrun"/>
        </w:rPr>
      </w:pPr>
      <w:r w:rsidRPr="005032EA">
        <w:rPr>
          <w:rStyle w:val="normaltextrun"/>
        </w:rPr>
        <w:t>Pokračovala také spolupráce s MZe ve vztahu k </w:t>
      </w:r>
      <w:r w:rsidRPr="005032EA">
        <w:rPr>
          <w:rStyle w:val="normaltextrun"/>
          <w:b/>
        </w:rPr>
        <w:t>FAO,</w:t>
      </w:r>
      <w:r w:rsidRPr="005032EA">
        <w:rPr>
          <w:rStyle w:val="normaltextrun"/>
        </w:rPr>
        <w:t xml:space="preserve"> kde byla pokračující implementace odborných seminářů i dlouhodobějších projektů v oblasti zemědělství, akvakultury a lesnictví, zaměřená na regiony Balkánu, Východní Evropy a Střední Asie, podpořena částkou </w:t>
      </w:r>
      <w:r w:rsidRPr="005032EA">
        <w:rPr>
          <w:rStyle w:val="normaltextrun"/>
          <w:b/>
          <w:bCs/>
        </w:rPr>
        <w:t>3,6 mil. Kč</w:t>
      </w:r>
      <w:r w:rsidRPr="005032EA">
        <w:rPr>
          <w:rStyle w:val="normaltextrun"/>
        </w:rPr>
        <w:t xml:space="preserve">. </w:t>
      </w:r>
    </w:p>
    <w:p w14:paraId="4A15267D" w14:textId="77777777" w:rsidR="008175A4" w:rsidRPr="005032EA" w:rsidRDefault="008175A4" w:rsidP="001C7A7B">
      <w:pPr>
        <w:pStyle w:val="paragraph"/>
        <w:spacing w:before="0" w:beforeAutospacing="0" w:after="0" w:afterAutospacing="0" w:line="264" w:lineRule="auto"/>
        <w:ind w:firstLine="708"/>
        <w:contextualSpacing/>
        <w:jc w:val="both"/>
        <w:textAlignment w:val="baseline"/>
        <w:rPr>
          <w:rStyle w:val="normaltextrun"/>
        </w:rPr>
      </w:pPr>
    </w:p>
    <w:p w14:paraId="28725FA8" w14:textId="77777777" w:rsidR="008175A4" w:rsidRPr="005032EA" w:rsidRDefault="008175A4" w:rsidP="001C7A7B">
      <w:pPr>
        <w:pStyle w:val="paragraph"/>
        <w:keepNext/>
        <w:keepLines/>
        <w:spacing w:before="0" w:beforeAutospacing="0" w:after="0" w:afterAutospacing="0" w:line="264" w:lineRule="auto"/>
        <w:ind w:firstLine="709"/>
        <w:contextualSpacing/>
        <w:jc w:val="both"/>
        <w:textAlignment w:val="baseline"/>
        <w:rPr>
          <w:rStyle w:val="normaltextrun"/>
        </w:rPr>
      </w:pPr>
      <w:r w:rsidRPr="005032EA">
        <w:rPr>
          <w:rStyle w:val="normaltextrun"/>
        </w:rPr>
        <w:t xml:space="preserve">V roce 2024 ČR rovněž přispěla částkou </w:t>
      </w:r>
      <w:r w:rsidRPr="005032EA">
        <w:rPr>
          <w:rStyle w:val="normaltextrun"/>
          <w:b/>
        </w:rPr>
        <w:t>4 mil. Kč</w:t>
      </w:r>
      <w:r w:rsidRPr="005032EA">
        <w:rPr>
          <w:rStyle w:val="normaltextrun"/>
        </w:rPr>
        <w:t xml:space="preserve"> na podporu tématického programu „</w:t>
      </w:r>
      <w:r w:rsidRPr="005032EA">
        <w:rPr>
          <w:rStyle w:val="normaltextrun"/>
          <w:i/>
        </w:rPr>
        <w:t>Chemicals and Pollution Action</w:t>
      </w:r>
      <w:r w:rsidRPr="005032EA">
        <w:rPr>
          <w:rStyle w:val="normaltextrun"/>
        </w:rPr>
        <w:t xml:space="preserve">“ </w:t>
      </w:r>
      <w:r w:rsidRPr="005032EA">
        <w:rPr>
          <w:rStyle w:val="normaltextrun"/>
          <w:b/>
        </w:rPr>
        <w:t>Programu OSN pro životní prostředí (UNEP)</w:t>
      </w:r>
      <w:r w:rsidRPr="005032EA">
        <w:rPr>
          <w:rStyle w:val="normaltextrun"/>
        </w:rPr>
        <w:t>, neboť ČR v oblasti chemického znečištění disponuje rozsáhlou expertízou. Tento peněžní dar vhodně doplnil naše aktivní působení ve výboru stálých představitelů při UNEP v Nairobi.</w:t>
      </w:r>
    </w:p>
    <w:p w14:paraId="73587A58" w14:textId="77777777" w:rsidR="00B72F48" w:rsidRDefault="00B72F48" w:rsidP="001C7A7B">
      <w:pPr>
        <w:spacing w:line="264" w:lineRule="auto"/>
        <w:rPr>
          <w:rStyle w:val="normaltextrun"/>
        </w:rPr>
      </w:pPr>
      <w:r>
        <w:rPr>
          <w:rStyle w:val="normaltextrun"/>
        </w:rPr>
        <w:br w:type="page"/>
      </w:r>
    </w:p>
    <w:p w14:paraId="1E59D81C" w14:textId="77777777" w:rsidR="00A276A7" w:rsidRPr="005032EA" w:rsidRDefault="00A276A7" w:rsidP="001C7A7B">
      <w:pPr>
        <w:pStyle w:val="Nadpis2"/>
        <w:spacing w:line="264" w:lineRule="auto"/>
      </w:pPr>
      <w:bookmarkStart w:id="27" w:name="_Toc200633274"/>
      <w:r w:rsidRPr="005032EA">
        <w:lastRenderedPageBreak/>
        <w:t>Vládní stabilizační programy v gesci MZV</w:t>
      </w:r>
      <w:bookmarkEnd w:id="27"/>
    </w:p>
    <w:p w14:paraId="77C47745" w14:textId="77777777" w:rsidR="002902D6" w:rsidRPr="005032EA" w:rsidRDefault="009E1FF4" w:rsidP="001C7A7B">
      <w:pPr>
        <w:pStyle w:val="Nadpis3"/>
        <w:spacing w:line="264" w:lineRule="auto"/>
      </w:pPr>
      <w:r w:rsidRPr="005032EA">
        <w:t xml:space="preserve"> </w:t>
      </w:r>
      <w:bookmarkStart w:id="28" w:name="_Toc200633275"/>
      <w:r w:rsidR="00A276A7" w:rsidRPr="005032EA">
        <w:t xml:space="preserve">Program </w:t>
      </w:r>
      <w:r w:rsidR="004C1836" w:rsidRPr="005032EA">
        <w:t>Afrika</w:t>
      </w:r>
      <w:r w:rsidR="00A276A7" w:rsidRPr="005032EA">
        <w:t xml:space="preserve"> dle UV 5/202</w:t>
      </w:r>
      <w:r w:rsidR="00543D8B" w:rsidRPr="005032EA">
        <w:t>3</w:t>
      </w:r>
      <w:r w:rsidR="00533DBB" w:rsidRPr="005032EA">
        <w:t xml:space="preserve"> v r. 202</w:t>
      </w:r>
      <w:r w:rsidR="006249BE" w:rsidRPr="005032EA">
        <w:t>4</w:t>
      </w:r>
      <w:bookmarkEnd w:id="28"/>
      <w:r w:rsidR="00A276A7" w:rsidRPr="005032EA">
        <w:t xml:space="preserve"> </w:t>
      </w:r>
    </w:p>
    <w:p w14:paraId="757ADFE1" w14:textId="77777777" w:rsidR="000B3D14" w:rsidRPr="005032EA" w:rsidRDefault="000B3D14" w:rsidP="001C7A7B">
      <w:pPr>
        <w:pStyle w:val="Bezmezer"/>
        <w:spacing w:line="264" w:lineRule="auto"/>
        <w:rPr>
          <w:rStyle w:val="normaltextrun"/>
          <w:color w:val="auto"/>
        </w:rPr>
      </w:pPr>
      <w:r w:rsidRPr="005032EA">
        <w:rPr>
          <w:rStyle w:val="normaltextrun"/>
          <w:color w:val="auto"/>
        </w:rPr>
        <w:t xml:space="preserve">V roce 2024 proběhl druhý rok tříletého cyklu Programu Afrika pod názvem „Program na naplňování cílů ČR v Africe na léta 2023-2025“, který navazoval na předchozí tříletý program 2020-2022. </w:t>
      </w:r>
    </w:p>
    <w:p w14:paraId="05EBB001" w14:textId="77777777" w:rsidR="000B3D14" w:rsidRPr="005032EA" w:rsidRDefault="000B3D14" w:rsidP="001C7A7B">
      <w:pPr>
        <w:pStyle w:val="Bezmezer"/>
        <w:spacing w:line="264" w:lineRule="auto"/>
        <w:rPr>
          <w:rStyle w:val="normaltextrun"/>
          <w:color w:val="auto"/>
        </w:rPr>
      </w:pPr>
      <w:r w:rsidRPr="005032EA">
        <w:rPr>
          <w:rStyle w:val="normaltextrun"/>
          <w:color w:val="auto"/>
        </w:rPr>
        <w:t xml:space="preserve">Program funguje jako flexibilní nástroj reagující na nové výzvy, mezi které patří m.j. snaha o stabilizaci afrických zemí ve světle existujících a nových konfliktů. Součástí tohoto úsilí je promyšlená strategická komunikace jako průřezové téma Programu Afrika, které má alespoň částečně vyvažovat tlaky ze strany Ruska a dalších aktérů a umožňuje formou různých nástrojů (VPD, peněžní dary, MLP, LTP, akce veřejné diplomacie) reagovat na aktuální geopolitické změny ve světě. </w:t>
      </w:r>
    </w:p>
    <w:p w14:paraId="3DCBD42E" w14:textId="7D4DB77C" w:rsidR="000B3D14" w:rsidRPr="005032EA" w:rsidRDefault="000B3D14" w:rsidP="001C7A7B">
      <w:pPr>
        <w:pStyle w:val="Bezmezer"/>
        <w:spacing w:line="264" w:lineRule="auto"/>
        <w:rPr>
          <w:rStyle w:val="normaltextrun"/>
          <w:color w:val="auto"/>
        </w:rPr>
      </w:pPr>
      <w:r w:rsidRPr="005032EA">
        <w:rPr>
          <w:rStyle w:val="normaltextrun"/>
          <w:color w:val="auto"/>
        </w:rPr>
        <w:t>Na aktivity Programu Afrika v r. 2024 nebyly aloková</w:t>
      </w:r>
      <w:r w:rsidR="006A254C">
        <w:rPr>
          <w:rStyle w:val="normaltextrun"/>
          <w:color w:val="auto"/>
        </w:rPr>
        <w:t>ny žádné prostředky v rozporu s </w:t>
      </w:r>
      <w:r w:rsidRPr="005032EA">
        <w:rPr>
          <w:rStyle w:val="normaltextrun"/>
          <w:color w:val="auto"/>
        </w:rPr>
        <w:t xml:space="preserve">UV 5/2023, a proto byly aktivity Programu realizovány pouze z nespotřebovaných výdajů roku 2023. Částka, která byla k dispozici pro plnění Programu Afrika na rok 2024 nad rámec financí na dokončení projektů z předchozího roku (VPD za 4,8 mil.Kč), byla 6,8 mil. Kč. Celkem tak v roce 2024 byly z Programu Afrika realizovány aktivity v objemu 11,6 mil. Kč. </w:t>
      </w:r>
    </w:p>
    <w:p w14:paraId="4F97BCEE" w14:textId="0FEBD1F6" w:rsidR="000B3D14" w:rsidRPr="005032EA" w:rsidRDefault="000B3D14" w:rsidP="001C7A7B">
      <w:pPr>
        <w:pStyle w:val="Bezmezer"/>
        <w:spacing w:line="264" w:lineRule="auto"/>
        <w:rPr>
          <w:rStyle w:val="normaltextrun"/>
          <w:color w:val="auto"/>
        </w:rPr>
      </w:pPr>
      <w:r w:rsidRPr="005032EA">
        <w:rPr>
          <w:rStyle w:val="normaltextrun"/>
          <w:color w:val="auto"/>
        </w:rPr>
        <w:t>V roce 2024 tak MZV vyčerpalo prostředky ve výši 3,2 mil. Kč na akce strategické komunikace organizované přes své ZÚ v Africe formou univerzitních přednášek, seminářů na podporu nezávislých médií a svobody slova a především na „Cool Czechia 2024“ – druhý ročník studijní cesty 20 mladých afrických leaderů ze 14 afrických zemí do Prahy s návštěvou státních a veřejnoprávních institucí, NGOs, médií a vědeckých institucí. S účastníky akce se nadále udržuje kontakt přes ZÚ ČR v Africe a aktivní WA skupinou. V této částce je zahrnuta také akce veřejné diplomacie, kterou připravil AFR ve spolupráci s OK jako oslavu Dne Afriky, jež byla v roce 2024 věnována výročí 30 let od genocidy ve Rwandě a od ukončení apartheidu v JAR. Témata byla přiblížena hostům projekcí filmu „Petit Pays“ v kinosále Městské knihovny s debatou před filmem za účasti afrických diplomatů pro publikum, které se skládalo převážně z řad studentů středních škol. Tak se daří naplňovat také další bod Strategie působení ČR v Africe, tj. posílení přítomnosti afrických témat v českém vzdělávacím a akademickém světě.</w:t>
      </w:r>
    </w:p>
    <w:p w14:paraId="0B37D699" w14:textId="77777777" w:rsidR="000B3D14" w:rsidRPr="005032EA" w:rsidRDefault="000B3D14" w:rsidP="001C7A7B">
      <w:pPr>
        <w:pStyle w:val="Bezmezer"/>
        <w:spacing w:line="264" w:lineRule="auto"/>
        <w:rPr>
          <w:rStyle w:val="normaltextrun"/>
          <w:color w:val="auto"/>
        </w:rPr>
      </w:pPr>
      <w:r w:rsidRPr="005032EA">
        <w:rPr>
          <w:rStyle w:val="normaltextrun"/>
          <w:color w:val="auto"/>
        </w:rPr>
        <w:t xml:space="preserve">Na projekty humanitární pomoci a na peněžní dary v roce 2024 bylo vynaloženo 3,6 mil. Kč. Podpořili jsme opět nadaci Hirondelle, která zajišťuje komunitní vysílání v Sahelu – v Mali, Nigeru a Burkině Faso. Dále jsme poskytli peněžní dar pro WFP na podporu uprchlíků a vnitřně vysídlených osob v Súdánu. Částkou 218 tis. Kč byl podpořen lidskoprávní projekt v Nigérii, který má za cíl podporovat místní komunity mj. i jako prevenci radikalismu. Projekt měl velký ohlas v komunitách i v místních médiích a pro rok 2025 byl realizátor opět vybrán pro lidskoprávní projekt, jenž navazuje na loňský úspěch.   </w:t>
      </w:r>
    </w:p>
    <w:p w14:paraId="783060C7" w14:textId="4F673984" w:rsidR="000B3D14" w:rsidRPr="005032EA" w:rsidRDefault="000B3D14" w:rsidP="001C7A7B">
      <w:pPr>
        <w:pStyle w:val="Bezmezer"/>
        <w:spacing w:line="264" w:lineRule="auto"/>
        <w:rPr>
          <w:rStyle w:val="normaltextrun"/>
          <w:color w:val="auto"/>
        </w:rPr>
      </w:pPr>
      <w:r w:rsidRPr="005032EA">
        <w:rPr>
          <w:rStyle w:val="normaltextrun"/>
          <w:color w:val="auto"/>
        </w:rPr>
        <w:t>Žádné nové vázané peněžní dary (VPD) nebylo v roce 2024 možno zahájit v důsledku nepřidělení nových financí. Byl doplacen a předán poslední VPD z</w:t>
      </w:r>
      <w:r w:rsidR="006A254C">
        <w:rPr>
          <w:rStyle w:val="normaltextrun"/>
          <w:color w:val="auto"/>
        </w:rPr>
        <w:t>ahájený v roce 2022 v </w:t>
      </w:r>
      <w:r w:rsidRPr="005032EA">
        <w:rPr>
          <w:rStyle w:val="normaltextrun"/>
          <w:color w:val="auto"/>
        </w:rPr>
        <w:t xml:space="preserve">Keni: Vybavení porodnice v Mombase za 4,8 mil. Kč. </w:t>
      </w:r>
    </w:p>
    <w:p w14:paraId="72FDB125" w14:textId="77777777" w:rsidR="000B3D14" w:rsidRPr="005032EA" w:rsidRDefault="000B3D14" w:rsidP="001C7A7B">
      <w:pPr>
        <w:pStyle w:val="Bezmezer"/>
        <w:spacing w:line="264" w:lineRule="auto"/>
        <w:rPr>
          <w:rStyle w:val="normaltextrun"/>
          <w:color w:val="auto"/>
        </w:rPr>
      </w:pPr>
      <w:r w:rsidRPr="005032EA">
        <w:rPr>
          <w:rStyle w:val="normaltextrun"/>
          <w:color w:val="auto"/>
        </w:rPr>
        <w:t xml:space="preserve">Aktivity Programu Afrika na rok 2024 jsou podrobněji vyčísleny v příloze č. 3. </w:t>
      </w:r>
    </w:p>
    <w:p w14:paraId="471118D1" w14:textId="77777777" w:rsidR="00502C5C" w:rsidRPr="005032EA" w:rsidRDefault="00533DBB" w:rsidP="001C7A7B">
      <w:pPr>
        <w:pStyle w:val="Nadpis3"/>
        <w:spacing w:line="264" w:lineRule="auto"/>
      </w:pPr>
      <w:bookmarkStart w:id="29" w:name="_Toc200633276"/>
      <w:r w:rsidRPr="005032EA">
        <w:lastRenderedPageBreak/>
        <w:t>Progra</w:t>
      </w:r>
      <w:r w:rsidR="009E00CF" w:rsidRPr="005032EA">
        <w:t>m</w:t>
      </w:r>
      <w:r w:rsidRPr="005032EA">
        <w:t xml:space="preserve"> BVA</w:t>
      </w:r>
      <w:r w:rsidR="00A276A7" w:rsidRPr="005032EA">
        <w:t xml:space="preserve"> dle UV </w:t>
      </w:r>
      <w:r w:rsidRPr="005032EA">
        <w:t>965</w:t>
      </w:r>
      <w:r w:rsidR="00A276A7" w:rsidRPr="005032EA">
        <w:t>/20</w:t>
      </w:r>
      <w:r w:rsidRPr="005032EA">
        <w:t>21</w:t>
      </w:r>
      <w:r w:rsidR="00A276A7" w:rsidRPr="005032EA">
        <w:t xml:space="preserve"> v r. 202</w:t>
      </w:r>
      <w:r w:rsidR="006249BE" w:rsidRPr="005032EA">
        <w:t>4</w:t>
      </w:r>
      <w:bookmarkEnd w:id="29"/>
      <w:r w:rsidR="00A276A7" w:rsidRPr="005032EA">
        <w:t xml:space="preserve"> </w:t>
      </w:r>
    </w:p>
    <w:p w14:paraId="35625773" w14:textId="77777777" w:rsidR="007C28B3" w:rsidRPr="005032EA" w:rsidRDefault="007C28B3" w:rsidP="001C7A7B">
      <w:pPr>
        <w:pStyle w:val="Bezmezer"/>
        <w:keepNext/>
        <w:keepLines/>
        <w:spacing w:line="264" w:lineRule="auto"/>
        <w:rPr>
          <w:rStyle w:val="normaltextrun"/>
          <w:color w:val="auto"/>
        </w:rPr>
      </w:pPr>
      <w:r w:rsidRPr="005032EA">
        <w:rPr>
          <w:rStyle w:val="normaltextrun"/>
          <w:color w:val="auto"/>
        </w:rPr>
        <w:t xml:space="preserve">V roce 2024 došlo k plynulému pokračování Rekonstrukčního programu České republiky v regionu Blízkého východu v období 2022 – 2024 (dále jen „Rekonstrukční program BVA“), který byl schválen usnesením vlády dne 5. listopadu 2021 č. 965 a probíhal tedy již </w:t>
      </w:r>
      <w:r>
        <w:rPr>
          <w:rStyle w:val="normaltextrun"/>
          <w:color w:val="auto"/>
        </w:rPr>
        <w:t>třetím</w:t>
      </w:r>
      <w:r w:rsidRPr="005032EA">
        <w:rPr>
          <w:rStyle w:val="normaltextrun"/>
          <w:color w:val="auto"/>
        </w:rPr>
        <w:t xml:space="preserve"> rokem. Rozpočet Programu byl na základě usnesení letos ponechán ve výši 100 mil. Kč, přičemž se aktivity Programu i nadále zaměřovaly především na sektor humanitární, rekonstrukční a</w:t>
      </w:r>
      <w:r>
        <w:rPr>
          <w:rStyle w:val="normaltextrun"/>
          <w:color w:val="auto"/>
        </w:rPr>
        <w:t> </w:t>
      </w:r>
      <w:r w:rsidRPr="005032EA">
        <w:rPr>
          <w:rStyle w:val="normaltextrun"/>
          <w:color w:val="auto"/>
        </w:rPr>
        <w:t>rozvojový.</w:t>
      </w:r>
    </w:p>
    <w:p w14:paraId="18C19798" w14:textId="77777777" w:rsidR="007C28B3" w:rsidRPr="005032EA" w:rsidRDefault="007C28B3" w:rsidP="001C7A7B">
      <w:pPr>
        <w:pStyle w:val="Bezmezer"/>
        <w:keepNext/>
        <w:keepLines/>
        <w:spacing w:line="264" w:lineRule="auto"/>
        <w:rPr>
          <w:rStyle w:val="normaltextrun"/>
          <w:color w:val="auto"/>
        </w:rPr>
      </w:pPr>
      <w:r w:rsidRPr="005032EA">
        <w:rPr>
          <w:rStyle w:val="normaltextrun"/>
          <w:color w:val="auto"/>
        </w:rPr>
        <w:t>V rámci humanitárního komponentu byly realizovány peněžní dary mezinárodním organizacím (4 projekty) a dotační výzvy pro české NNO (6 projekty). V první kategorii byly prostředky poskytnuty organizacím ICRC, WFP a UNICEF. Například u WFP se jednalo o zajištění potravinové pomoci civilnímu obyvatelstvu v pásmu Gazy. Z projektů dotací NNO lze uvést např. v Libanonu působící Diakonie ČCE a projekt zajištění humanitární podpory zranitelným s</w:t>
      </w:r>
      <w:r>
        <w:rPr>
          <w:rStyle w:val="normaltextrun"/>
          <w:color w:val="auto"/>
        </w:rPr>
        <w:t>y</w:t>
      </w:r>
      <w:r w:rsidRPr="005032EA">
        <w:rPr>
          <w:rStyle w:val="normaltextrun"/>
          <w:color w:val="auto"/>
        </w:rPr>
        <w:t>rským uprchlíkům a hostitelské libanonské komunitě ve výši 5 mil. Kč. Celkově tedy bylo vynaloženo na humanitární aktivity z prostředků Rekonstrukčního programu BVA 38 378 178 Kč.</w:t>
      </w:r>
    </w:p>
    <w:p w14:paraId="55E15A44" w14:textId="77777777" w:rsidR="007C28B3" w:rsidRPr="005032EA" w:rsidRDefault="007C28B3" w:rsidP="001C7A7B">
      <w:pPr>
        <w:pStyle w:val="Bezmezer"/>
        <w:spacing w:line="264" w:lineRule="auto"/>
        <w:rPr>
          <w:rStyle w:val="normaltextrun"/>
          <w:color w:val="auto"/>
        </w:rPr>
      </w:pPr>
      <w:r w:rsidRPr="005032EA">
        <w:rPr>
          <w:rStyle w:val="normaltextrun"/>
          <w:color w:val="auto"/>
        </w:rPr>
        <w:t>Rozvojová část Programu se i v roce 2024 zaměřila na realizaci malých lokálních projektů (dále „MLP“), konkrétně 11 projektů, na které byla spotřebována celková částka 5 120 349 Kč.</w:t>
      </w:r>
    </w:p>
    <w:p w14:paraId="4150B773" w14:textId="77777777" w:rsidR="007C28B3" w:rsidRPr="005032EA" w:rsidRDefault="007C28B3" w:rsidP="001C7A7B">
      <w:pPr>
        <w:pStyle w:val="Bezmezer"/>
        <w:spacing w:line="264" w:lineRule="auto"/>
        <w:rPr>
          <w:rStyle w:val="normaltextrun"/>
          <w:color w:val="auto"/>
        </w:rPr>
      </w:pPr>
      <w:r w:rsidRPr="005032EA">
        <w:rPr>
          <w:rStyle w:val="normaltextrun"/>
          <w:color w:val="auto"/>
        </w:rPr>
        <w:t>Sektorové zaměření projektů zahrnovalo vzdělávání, energetiku, zdravotnictví, zemědělství, životní prostředí a sociální služby a komunitní podpora. Největší počet MLP byl realizován v Iráku, Palestině a Sýrii, jednalo se zde o 9 projektů (např. ve spolupráci s charitativní asociací Arab Women’s Union (AWU) v Palestině nebo Rwanga Foundation v Regionu iráckého Kurdistánu).</w:t>
      </w:r>
    </w:p>
    <w:p w14:paraId="509A7AF6" w14:textId="77777777" w:rsidR="007C28B3" w:rsidRDefault="007C28B3" w:rsidP="001C7A7B">
      <w:pPr>
        <w:pStyle w:val="Bezmezer"/>
        <w:spacing w:line="264" w:lineRule="auto"/>
        <w:rPr>
          <w:rStyle w:val="normaltextrun"/>
          <w:color w:val="auto"/>
        </w:rPr>
      </w:pPr>
      <w:r w:rsidRPr="005032EA">
        <w:rPr>
          <w:rStyle w:val="normaltextrun"/>
          <w:color w:val="auto"/>
        </w:rPr>
        <w:t>Z hlediska objemu peněžních prostředků pokrývaly v roce 2024 největší část rekonstrukční aktivity, a to za použití instrumentu vázaných peněžních darů (dále jen „VPD“). Projekty byly uskutečněny ve všech hlavních programových zemích (Sýrie, Irák, Jordánsko, Libanon, Palestina) a jednalo se o projekt</w:t>
      </w:r>
      <w:r>
        <w:rPr>
          <w:rStyle w:val="normaltextrun"/>
          <w:color w:val="auto"/>
        </w:rPr>
        <w:t>y</w:t>
      </w:r>
      <w:r w:rsidRPr="005032EA">
        <w:rPr>
          <w:rStyle w:val="normaltextrun"/>
          <w:color w:val="auto"/>
        </w:rPr>
        <w:t xml:space="preserve"> v celkové výši 39 465 216 Kč. Většina VPD byla zaměřena na zdravotnic</w:t>
      </w:r>
      <w:r>
        <w:rPr>
          <w:rStyle w:val="normaltextrun"/>
          <w:color w:val="auto"/>
        </w:rPr>
        <w:t>ký sektor</w:t>
      </w:r>
      <w:r w:rsidRPr="005032EA">
        <w:rPr>
          <w:rStyle w:val="normaltextrun"/>
          <w:color w:val="auto"/>
        </w:rPr>
        <w:t xml:space="preserve"> (např. dodání zdravot. vybavení  pro neonatální JIP pro Státní nemocnici Mays El Jabal v</w:t>
      </w:r>
      <w:r>
        <w:rPr>
          <w:rStyle w:val="normaltextrun"/>
          <w:color w:val="auto"/>
        </w:rPr>
        <w:t> </w:t>
      </w:r>
      <w:r w:rsidRPr="005032EA">
        <w:rPr>
          <w:rStyle w:val="normaltextrun"/>
          <w:color w:val="auto"/>
        </w:rPr>
        <w:t>Libanonu ve výši 3 542 000 Kč či pro jednodenní chirurgii Al Hayat International Hospital v</w:t>
      </w:r>
      <w:r>
        <w:rPr>
          <w:rStyle w:val="normaltextrun"/>
          <w:color w:val="auto"/>
        </w:rPr>
        <w:t> </w:t>
      </w:r>
      <w:r w:rsidRPr="005032EA">
        <w:rPr>
          <w:rStyle w:val="normaltextrun"/>
          <w:color w:val="auto"/>
        </w:rPr>
        <w:t xml:space="preserve">Mosulu ve výši 2 516 000 Kč). V Sýrii byly také realizovány 2 VPD v sektoru vodohospodářství (úpravna podzemních vod v Dúmě a Mléha). </w:t>
      </w:r>
      <w:r w:rsidRPr="003A7763">
        <w:rPr>
          <w:rStyle w:val="normaltextrun"/>
          <w:color w:val="auto"/>
        </w:rPr>
        <w:t>Do roku 2024 byly rovněž převedeny nároky nespotřebovaných výdajů (NNV) z roku 2023. Jednalo se o 3 zdravotnické projekty, jejichž druhá část platby proběhla v roce 2024. Celková výše těchto NNV činí 7 479 350 Kč.</w:t>
      </w:r>
    </w:p>
    <w:p w14:paraId="516C1472" w14:textId="77777777" w:rsidR="007C28B3" w:rsidRPr="003A7763" w:rsidRDefault="007C28B3" w:rsidP="001C7A7B">
      <w:pPr>
        <w:pStyle w:val="Bezmezer"/>
        <w:spacing w:line="264" w:lineRule="auto"/>
        <w:rPr>
          <w:color w:val="auto"/>
        </w:rPr>
      </w:pPr>
      <w:r w:rsidRPr="003A7763">
        <w:rPr>
          <w:rStyle w:val="normaltextrun"/>
        </w:rPr>
        <w:t>V roce 2024 se opět uskutečnil projekt školení iráckých pilotů v ČR pod záštitou MO, na který MZV v rámci Rekonstrukčního programu BVA poskytlo prostřednictvím rozpočtového opatření 2 100 000 Kč. Logistickou část programu pak tvořily výdaje na zvýšené životní náklady spojené s výkonem funkce v zahraničí, nájemné za služební byty diplomatických pracovníků a výdaje na místní síly v Generálním konzulátu v Erbílu a na zastupitelských úřadech v Bagdádu a Damašku. Celková výše logistiky činila 7 189 231 Kč. Za rok 2024 bylo tedy v rámci programu celkem vynaloženo</w:t>
      </w:r>
      <w:r>
        <w:rPr>
          <w:rStyle w:val="normaltextrun"/>
        </w:rPr>
        <w:t xml:space="preserve"> bez vnějšího rozpočtového opatření na projekt ve spolupráci s MO ČR</w:t>
      </w:r>
      <w:r w:rsidRPr="003A7763">
        <w:rPr>
          <w:rStyle w:val="normaltextrun"/>
        </w:rPr>
        <w:t xml:space="preserve"> 9</w:t>
      </w:r>
      <w:r>
        <w:rPr>
          <w:rStyle w:val="normaltextrun"/>
        </w:rPr>
        <w:t>7</w:t>
      </w:r>
      <w:r w:rsidRPr="003A7763">
        <w:rPr>
          <w:rStyle w:val="normaltextrun"/>
        </w:rPr>
        <w:t> </w:t>
      </w:r>
      <w:r>
        <w:rPr>
          <w:rStyle w:val="normaltextrun"/>
        </w:rPr>
        <w:t>6</w:t>
      </w:r>
      <w:r w:rsidRPr="003A7763">
        <w:rPr>
          <w:rStyle w:val="normaltextrun"/>
        </w:rPr>
        <w:t>32 326 Kč.</w:t>
      </w:r>
    </w:p>
    <w:p w14:paraId="6812CE55" w14:textId="77777777" w:rsidR="00313C28" w:rsidRDefault="00313C28" w:rsidP="001C7A7B">
      <w:pPr>
        <w:spacing w:line="264" w:lineRule="auto"/>
        <w:rPr>
          <w:rStyle w:val="normaltextrun"/>
          <w:rFonts w:asciiTheme="majorBidi" w:hAnsiTheme="majorBidi" w:cstheme="majorBidi"/>
        </w:rPr>
      </w:pPr>
      <w:r>
        <w:rPr>
          <w:rStyle w:val="normaltextrun"/>
        </w:rPr>
        <w:br w:type="page"/>
      </w:r>
    </w:p>
    <w:p w14:paraId="5BF2456B" w14:textId="77777777" w:rsidR="00A276A7" w:rsidRPr="005032EA" w:rsidRDefault="006249BE" w:rsidP="001C7A7B">
      <w:pPr>
        <w:pStyle w:val="Nadpis3"/>
        <w:spacing w:line="264" w:lineRule="auto"/>
      </w:pPr>
      <w:bookmarkStart w:id="30" w:name="_Toc200633277"/>
      <w:r w:rsidRPr="005032EA">
        <w:lastRenderedPageBreak/>
        <w:t>Program Ukrajina</w:t>
      </w:r>
      <w:r w:rsidR="00533DBB" w:rsidRPr="005032EA">
        <w:t xml:space="preserve"> </w:t>
      </w:r>
      <w:r w:rsidRPr="005032EA">
        <w:t>dle UV 855/2022 v r. 2024</w:t>
      </w:r>
      <w:bookmarkEnd w:id="30"/>
      <w:r w:rsidRPr="005032EA">
        <w:t xml:space="preserve"> </w:t>
      </w:r>
      <w:r w:rsidR="00A276A7" w:rsidRPr="005032EA">
        <w:t xml:space="preserve"> </w:t>
      </w:r>
    </w:p>
    <w:p w14:paraId="5A6CE8EA" w14:textId="155200E6" w:rsidR="00F474F3" w:rsidRPr="005032EA" w:rsidRDefault="00F474F3" w:rsidP="001C7A7B">
      <w:pPr>
        <w:spacing w:line="264" w:lineRule="auto"/>
        <w:ind w:firstLine="708"/>
        <w:jc w:val="both"/>
      </w:pPr>
      <w:r w:rsidRPr="005032EA">
        <w:t xml:space="preserve">V souvislosti s agresí Ruska proti Ukrajině schválila Vláda ČR v říjnu roku 2022 </w:t>
      </w:r>
      <w:r w:rsidRPr="005032EA">
        <w:rPr>
          <w:b/>
        </w:rPr>
        <w:t>Program humanitární, stabilizační, rekonstrukční a hospodářské asistence Ukrajině v letech 2023-2025</w:t>
      </w:r>
      <w:r w:rsidRPr="005032EA">
        <w:t xml:space="preserve"> (UV 855/2022, dále Program Ukrajina) s roční alokací 500 mil. Kč určenou pro MZV (celkem 280 mil. na humanitární, transformační a rozvojovou asistenci a ekonomickou diplomacii), MPO (85 mil. na hospodářsk</w:t>
      </w:r>
      <w:r w:rsidR="006A254C">
        <w:t>ou spolupráci), MV (120 mil. na </w:t>
      </w:r>
      <w:r w:rsidRPr="005032EA">
        <w:t xml:space="preserve">programy MEDEVAC a Pomoc na místě pro Ukrajinu) MŠMT a MZ (celkem 15 mil. Kč na rozvojová stipendia a související zdravotní pojištění). </w:t>
      </w:r>
    </w:p>
    <w:p w14:paraId="1F30425C" w14:textId="66FEBF3E" w:rsidR="00F474F3" w:rsidRPr="005032EA" w:rsidRDefault="00F474F3" w:rsidP="001C7A7B">
      <w:pPr>
        <w:spacing w:line="264" w:lineRule="auto"/>
        <w:ind w:firstLine="708"/>
        <w:jc w:val="both"/>
      </w:pPr>
      <w:r w:rsidRPr="005032EA">
        <w:t>Program je koncipován napříč humanitární, stabilizační</w:t>
      </w:r>
      <w:r w:rsidR="006A254C">
        <w:t xml:space="preserve"> a rekonstrukční asistencí, ale </w:t>
      </w:r>
      <w:r w:rsidRPr="005032EA">
        <w:t xml:space="preserve">také napříč veřejným, soukromým, akademickým a neziskovým sektorem. Počítá </w:t>
      </w:r>
      <w:r w:rsidRPr="005032EA">
        <w:rPr>
          <w:b/>
        </w:rPr>
        <w:t>s maximálním zapojením české expertízy a českých řešení</w:t>
      </w:r>
      <w:r w:rsidRPr="005032EA">
        <w:t>, a to i v kontextu snahy o reformy a sbližování Ukrajiny s EU.</w:t>
      </w:r>
    </w:p>
    <w:p w14:paraId="196E85BC" w14:textId="77777777" w:rsidR="00F474F3" w:rsidRPr="005032EA" w:rsidRDefault="00F474F3" w:rsidP="001C7A7B">
      <w:pPr>
        <w:spacing w:line="264" w:lineRule="auto"/>
        <w:ind w:firstLine="708"/>
        <w:jc w:val="both"/>
      </w:pPr>
      <w:r w:rsidRPr="005032EA">
        <w:t xml:space="preserve">Do řízení Programu jsou prostřednictvím ustavené meziresortní </w:t>
      </w:r>
      <w:r w:rsidRPr="005032EA">
        <w:rPr>
          <w:b/>
        </w:rPr>
        <w:t>Pracovní skupiny pro Ukrajinu při Radě pro ZRS</w:t>
      </w:r>
      <w:r w:rsidRPr="005032EA">
        <w:t xml:space="preserve"> zapojeny všechny zainteresované resorty ČR i platformy implementačních partnerů ze soukromé a neziskové sféry. </w:t>
      </w:r>
    </w:p>
    <w:p w14:paraId="400D4D9F" w14:textId="77777777" w:rsidR="00F474F3" w:rsidRPr="005032EA" w:rsidRDefault="00F474F3" w:rsidP="001C7A7B">
      <w:pPr>
        <w:spacing w:line="264" w:lineRule="auto"/>
        <w:ind w:firstLine="708"/>
        <w:jc w:val="both"/>
      </w:pPr>
      <w:r w:rsidRPr="005032EA">
        <w:t xml:space="preserve">Na MPO pak je ustavena komunikační a koordinační platforma pro hospodářskou spolupráci nazvaná </w:t>
      </w:r>
      <w:r w:rsidRPr="005032EA">
        <w:rPr>
          <w:b/>
        </w:rPr>
        <w:t>Business klub Ukrajina</w:t>
      </w:r>
      <w:r w:rsidRPr="005032EA">
        <w:t xml:space="preserve">, která představuje pracovní skupinu v rámci česko-ukrajinské Mezivládní komise pro hospodářskou, průmyslovou a vědeckotechnickou spolupráci. </w:t>
      </w:r>
    </w:p>
    <w:p w14:paraId="70E03E44" w14:textId="208DD78B" w:rsidR="00BB1A8C" w:rsidRDefault="00BB1A8C" w:rsidP="001C7A7B">
      <w:pPr>
        <w:spacing w:line="264" w:lineRule="auto"/>
      </w:pPr>
    </w:p>
    <w:p w14:paraId="58950524" w14:textId="77777777" w:rsidR="00F474F3" w:rsidRPr="00361D2D" w:rsidRDefault="00F474F3" w:rsidP="001C7A7B">
      <w:pPr>
        <w:pStyle w:val="Nadpis4"/>
        <w:spacing w:line="264" w:lineRule="auto"/>
        <w:rPr>
          <w:rStyle w:val="normaltextrun"/>
        </w:rPr>
      </w:pPr>
      <w:r w:rsidRPr="00361D2D">
        <w:rPr>
          <w:rStyle w:val="normaltextrun"/>
        </w:rPr>
        <w:t>Projekty v gesci MZV</w:t>
      </w:r>
    </w:p>
    <w:p w14:paraId="67F30A25" w14:textId="263A71F6" w:rsidR="00F474F3" w:rsidRPr="005032EA" w:rsidRDefault="00F474F3" w:rsidP="001C7A7B">
      <w:pPr>
        <w:pStyle w:val="Bezmezer"/>
        <w:keepNext/>
        <w:keepLines/>
        <w:spacing w:line="264" w:lineRule="auto"/>
        <w:rPr>
          <w:rStyle w:val="normaltextrun"/>
          <w:color w:val="auto"/>
        </w:rPr>
      </w:pPr>
      <w:r w:rsidRPr="005032EA">
        <w:rPr>
          <w:rStyle w:val="normaltextrun"/>
          <w:color w:val="auto"/>
        </w:rPr>
        <w:t>Z celkového rozpočtu programu Pomoc Ukrajině byl</w:t>
      </w:r>
      <w:r w:rsidR="004E26AC">
        <w:rPr>
          <w:rStyle w:val="normaltextrun"/>
          <w:color w:val="auto"/>
        </w:rPr>
        <w:t>o na rok 2024 vyčleněno 20 mil. </w:t>
      </w:r>
      <w:r w:rsidRPr="005032EA">
        <w:rPr>
          <w:rStyle w:val="normaltextrun"/>
          <w:color w:val="auto"/>
        </w:rPr>
        <w:t xml:space="preserve">Kč na </w:t>
      </w:r>
      <w:r w:rsidRPr="005032EA">
        <w:rPr>
          <w:rStyle w:val="normaltextrun"/>
          <w:b/>
          <w:bCs/>
          <w:color w:val="auto"/>
        </w:rPr>
        <w:t>projekty transformační spolupráce</w:t>
      </w:r>
      <w:r w:rsidRPr="005032EA">
        <w:rPr>
          <w:rStyle w:val="normaltextrun"/>
          <w:color w:val="auto"/>
        </w:rPr>
        <w:t xml:space="preserve">. V průběhu roku bylo financováno </w:t>
      </w:r>
      <w:r w:rsidRPr="00A84B59">
        <w:rPr>
          <w:rStyle w:val="normaltextrun"/>
          <w:color w:val="auto"/>
        </w:rPr>
        <w:t xml:space="preserve">dohromady </w:t>
      </w:r>
      <w:r w:rsidRPr="00A84B59">
        <w:rPr>
          <w:rStyle w:val="normaltextrun"/>
          <w:b/>
          <w:bCs/>
          <w:color w:val="auto"/>
        </w:rPr>
        <w:t>10 projektů v celkovém objemu 20 731 757,01 Kč</w:t>
      </w:r>
      <w:r w:rsidRPr="00A84B59">
        <w:rPr>
          <w:rStyle w:val="normaltextrun"/>
          <w:color w:val="auto"/>
        </w:rPr>
        <w:t xml:space="preserve"> (731 757,01 Kč jsou nespotřebované nároky z programu Pomoc Ukrajině z roku 2023). Formou dotací bylo podpořeno celkem 6</w:t>
      </w:r>
      <w:r w:rsidR="00C94F75" w:rsidRPr="00A84B59">
        <w:rPr>
          <w:rStyle w:val="normaltextrun"/>
          <w:color w:val="auto"/>
        </w:rPr>
        <w:t> </w:t>
      </w:r>
      <w:r w:rsidRPr="00A84B59">
        <w:rPr>
          <w:rStyle w:val="normaltextrun"/>
          <w:color w:val="auto"/>
        </w:rPr>
        <w:t>projektů realizovaných českými nevládními organizacemi ve spolupráci s místními partnery. Dále byly přes zastupitelský úřad v Kyjevě podpořeny 4 projekty ukrajinských nevládních organizací (podrobněji viz příloha č. 3). Realizované projekty se soustřeďovaly mimo jiné na dokumentování porušování lidských práv v souvislosti s válečným konfliktem a okupací, podporu nezávislých médií</w:t>
      </w:r>
      <w:r w:rsidRPr="005032EA">
        <w:rPr>
          <w:rStyle w:val="normaltextrun"/>
          <w:color w:val="auto"/>
        </w:rPr>
        <w:t xml:space="preserve"> a občanské společnosti, odbornost a právo v rámci občanské ochrany ovzduší, zvyšování odborných dovedností ředitelů škol na Ukrajině.</w:t>
      </w:r>
    </w:p>
    <w:p w14:paraId="0870879A" w14:textId="19E487D9" w:rsidR="0050163F" w:rsidRPr="0050163F" w:rsidRDefault="0095110C" w:rsidP="0050163F">
      <w:pPr>
        <w:pStyle w:val="Bezmezer"/>
        <w:spacing w:line="264" w:lineRule="auto"/>
        <w:rPr>
          <w:b/>
          <w:color w:val="auto"/>
        </w:rPr>
      </w:pPr>
      <w:r w:rsidRPr="005032EA">
        <w:rPr>
          <w:rStyle w:val="normaltextrun"/>
          <w:color w:val="auto"/>
        </w:rPr>
        <w:t>MZV</w:t>
      </w:r>
      <w:r w:rsidRPr="005032EA">
        <w:rPr>
          <w:color w:val="auto"/>
        </w:rPr>
        <w:t xml:space="preserve"> v</w:t>
      </w:r>
      <w:r w:rsidR="00E6687A">
        <w:rPr>
          <w:color w:val="auto"/>
        </w:rPr>
        <w:t> </w:t>
      </w:r>
      <w:r w:rsidRPr="005032EA">
        <w:rPr>
          <w:color w:val="auto"/>
        </w:rPr>
        <w:t>roce</w:t>
      </w:r>
      <w:r w:rsidR="00E6687A">
        <w:rPr>
          <w:color w:val="auto"/>
        </w:rPr>
        <w:t xml:space="preserve"> </w:t>
      </w:r>
      <w:r w:rsidRPr="005032EA">
        <w:rPr>
          <w:color w:val="auto"/>
        </w:rPr>
        <w:t xml:space="preserve">2024 </w:t>
      </w:r>
      <w:r w:rsidR="0036182E">
        <w:rPr>
          <w:color w:val="auto"/>
        </w:rPr>
        <w:t xml:space="preserve">dále </w:t>
      </w:r>
      <w:r w:rsidRPr="005032EA">
        <w:rPr>
          <w:color w:val="auto"/>
        </w:rPr>
        <w:t xml:space="preserve">realizovalo celkem </w:t>
      </w:r>
      <w:r w:rsidR="0036182E">
        <w:rPr>
          <w:b/>
          <w:color w:val="auto"/>
        </w:rPr>
        <w:t>66</w:t>
      </w:r>
      <w:r w:rsidRPr="005032EA">
        <w:rPr>
          <w:b/>
          <w:color w:val="auto"/>
        </w:rPr>
        <w:t xml:space="preserve"> humanitárních a stabilizačních projektů</w:t>
      </w:r>
      <w:r w:rsidRPr="005032EA">
        <w:rPr>
          <w:color w:val="auto"/>
        </w:rPr>
        <w:t xml:space="preserve"> (materiální pomoc, humanitární dotace, peněžní dary místním partnerům, dotace na podporu VVŠ, vázané peněžní dary)</w:t>
      </w:r>
      <w:r w:rsidR="00CB59DE" w:rsidRPr="005032EA">
        <w:rPr>
          <w:color w:val="auto"/>
        </w:rPr>
        <w:t xml:space="preserve">, či </w:t>
      </w:r>
      <w:r w:rsidR="005C60F6" w:rsidRPr="005032EA">
        <w:rPr>
          <w:b/>
          <w:color w:val="auto"/>
        </w:rPr>
        <w:t xml:space="preserve">projektů </w:t>
      </w:r>
      <w:r w:rsidRPr="005032EA">
        <w:rPr>
          <w:b/>
          <w:color w:val="auto"/>
        </w:rPr>
        <w:t>ekonomické diplomacie</w:t>
      </w:r>
      <w:r w:rsidRPr="005032EA">
        <w:rPr>
          <w:color w:val="auto"/>
        </w:rPr>
        <w:t xml:space="preserve"> (včetně projektů PROPED)</w:t>
      </w:r>
      <w:r w:rsidR="00F35018" w:rsidRPr="005032EA">
        <w:rPr>
          <w:color w:val="auto"/>
        </w:rPr>
        <w:t>, zaměřených na stabilizaci a rekonstrukci v klíčových oblastech, na které dopadá agrese Ruska</w:t>
      </w:r>
      <w:r w:rsidR="009A4781" w:rsidRPr="005032EA">
        <w:rPr>
          <w:color w:val="auto"/>
        </w:rPr>
        <w:t xml:space="preserve">, </w:t>
      </w:r>
      <w:r w:rsidR="005C60F6" w:rsidRPr="005032EA">
        <w:rPr>
          <w:color w:val="auto"/>
        </w:rPr>
        <w:t>a</w:t>
      </w:r>
      <w:r w:rsidR="00C94F75" w:rsidRPr="005032EA">
        <w:rPr>
          <w:color w:val="auto"/>
        </w:rPr>
        <w:t> </w:t>
      </w:r>
      <w:r w:rsidR="005C60F6" w:rsidRPr="005032EA">
        <w:rPr>
          <w:color w:val="auto"/>
        </w:rPr>
        <w:t xml:space="preserve">dalších aktivit </w:t>
      </w:r>
      <w:r w:rsidRPr="005032EA">
        <w:rPr>
          <w:color w:val="auto"/>
        </w:rPr>
        <w:t xml:space="preserve">s náklady ve výši </w:t>
      </w:r>
      <w:r w:rsidR="00AA6489">
        <w:rPr>
          <w:b/>
          <w:color w:val="auto"/>
        </w:rPr>
        <w:t>2</w:t>
      </w:r>
      <w:r w:rsidR="006B21F9">
        <w:rPr>
          <w:b/>
          <w:color w:val="auto"/>
        </w:rPr>
        <w:t>63</w:t>
      </w:r>
      <w:r w:rsidR="00AA6489">
        <w:rPr>
          <w:b/>
          <w:color w:val="auto"/>
        </w:rPr>
        <w:t> </w:t>
      </w:r>
      <w:r w:rsidR="006B21F9">
        <w:rPr>
          <w:b/>
          <w:color w:val="auto"/>
        </w:rPr>
        <w:t>330</w:t>
      </w:r>
      <w:r w:rsidR="00AA6489">
        <w:rPr>
          <w:b/>
          <w:color w:val="auto"/>
        </w:rPr>
        <w:t> </w:t>
      </w:r>
      <w:r w:rsidR="006B21F9">
        <w:rPr>
          <w:b/>
          <w:color w:val="auto"/>
        </w:rPr>
        <w:t>567</w:t>
      </w:r>
      <w:r w:rsidR="00AA6489">
        <w:rPr>
          <w:b/>
          <w:color w:val="auto"/>
        </w:rPr>
        <w:t>,</w:t>
      </w:r>
      <w:r w:rsidR="006B21F9">
        <w:rPr>
          <w:b/>
          <w:color w:val="auto"/>
        </w:rPr>
        <w:t>03</w:t>
      </w:r>
      <w:r w:rsidR="00AA6489">
        <w:rPr>
          <w:b/>
          <w:color w:val="auto"/>
        </w:rPr>
        <w:t xml:space="preserve"> Kč.</w:t>
      </w:r>
      <w:r w:rsidR="0050163F">
        <w:rPr>
          <w:b/>
          <w:color w:val="auto"/>
        </w:rPr>
        <w:t xml:space="preserve"> </w:t>
      </w:r>
      <w:r w:rsidR="0050163F" w:rsidRPr="00C248B7">
        <w:rPr>
          <w:bCs/>
          <w:color w:val="auto"/>
        </w:rPr>
        <w:t>Z kapitoly MZV bylo také dále realizováno</w:t>
      </w:r>
      <w:r w:rsidR="0050163F">
        <w:rPr>
          <w:b/>
          <w:color w:val="auto"/>
        </w:rPr>
        <w:t xml:space="preserve"> </w:t>
      </w:r>
      <w:r w:rsidR="00C248B7">
        <w:rPr>
          <w:b/>
          <w:color w:val="auto"/>
        </w:rPr>
        <w:t>6 projektů prostřednictvím ČRA s celkovým čerpáním 31 092 151,92 Kč.</w:t>
      </w:r>
    </w:p>
    <w:p w14:paraId="4312780B" w14:textId="77777777" w:rsidR="0095110C" w:rsidRDefault="0095110C" w:rsidP="001C7A7B">
      <w:pPr>
        <w:spacing w:line="264" w:lineRule="auto"/>
      </w:pPr>
    </w:p>
    <w:p w14:paraId="35B1FDA1" w14:textId="085BCA28" w:rsidR="00851673" w:rsidRDefault="00851673" w:rsidP="001C7A7B">
      <w:pPr>
        <w:spacing w:line="264" w:lineRule="auto"/>
      </w:pPr>
      <w:r>
        <w:br w:type="page"/>
      </w:r>
    </w:p>
    <w:p w14:paraId="2CC79AF9" w14:textId="057DB31C" w:rsidR="00C84467" w:rsidRPr="00361D2D" w:rsidRDefault="00C84467" w:rsidP="001C7A7B">
      <w:pPr>
        <w:pStyle w:val="Nadpis4"/>
        <w:spacing w:line="264" w:lineRule="auto"/>
        <w:rPr>
          <w:rStyle w:val="normaltextrun"/>
        </w:rPr>
      </w:pPr>
      <w:r w:rsidRPr="00361D2D">
        <w:rPr>
          <w:rStyle w:val="normaltextrun"/>
        </w:rPr>
        <w:lastRenderedPageBreak/>
        <w:t>Projekty v gesci MPO</w:t>
      </w:r>
    </w:p>
    <w:p w14:paraId="254424B9" w14:textId="05F3EFB6" w:rsidR="00E52C95" w:rsidRPr="00E52C95" w:rsidRDefault="00E52C95" w:rsidP="00E52C95">
      <w:pPr>
        <w:pStyle w:val="Bezmezer"/>
        <w:spacing w:line="264" w:lineRule="auto"/>
      </w:pPr>
      <w:r w:rsidRPr="00E52C95">
        <w:t xml:space="preserve">V rámci tohoto programu se v gesci MPO realizují projekty pod názvem </w:t>
      </w:r>
      <w:r w:rsidRPr="00E52C95">
        <w:rPr>
          <w:b/>
          <w:bCs/>
        </w:rPr>
        <w:t>Aid for Trade - Ukraine (AfT-U)</w:t>
      </w:r>
      <w:r w:rsidRPr="00E52C95">
        <w:t xml:space="preserve"> a </w:t>
      </w:r>
      <w:r w:rsidRPr="00E52C95">
        <w:rPr>
          <w:b/>
          <w:bCs/>
        </w:rPr>
        <w:t>Capacity Building for Ukraine (CaBufU)</w:t>
      </w:r>
      <w:r w:rsidRPr="00E52C95">
        <w:t>. V prvním případě se jedná o projekty, které si kladou za cíl aktivně přispět k rozvoji obchodní a hospodářské spolupráce mezi ČR a Ukrajinou a českými a ukrajinskými společnostmi, ekonomickému a</w:t>
      </w:r>
      <w:r>
        <w:t> </w:t>
      </w:r>
      <w:r w:rsidRPr="00E52C95">
        <w:t>sociálnímu rozvoji, zvláště na úrovni regionů, k ochraně životního prostředí při obnově válkou poškozené a zničené ekonomické, ekologické a sociální sféry atp.</w:t>
      </w:r>
    </w:p>
    <w:p w14:paraId="4241A22D" w14:textId="7DA128FD" w:rsidR="00E52C95" w:rsidRPr="00E52C95" w:rsidRDefault="00E52C95" w:rsidP="00E52C95">
      <w:pPr>
        <w:pStyle w:val="Bezmezer"/>
        <w:spacing w:line="264" w:lineRule="auto"/>
      </w:pPr>
      <w:r w:rsidRPr="00E52C95">
        <w:t xml:space="preserve">V roce 2024 se realizovalo </w:t>
      </w:r>
      <w:r w:rsidRPr="00E52C95">
        <w:rPr>
          <w:b/>
          <w:bCs/>
        </w:rPr>
        <w:t>5 projektů</w:t>
      </w:r>
      <w:r w:rsidRPr="00E52C95">
        <w:t xml:space="preserve"> programu AfT-U. Celkem bylo na projekty AfT-U v roce </w:t>
      </w:r>
      <w:r w:rsidRPr="00E52C95">
        <w:rPr>
          <w:b/>
          <w:bCs/>
        </w:rPr>
        <w:t>2024 čerpáno 8 448 890 Kč</w:t>
      </w:r>
      <w:r w:rsidRPr="00E52C95">
        <w:t xml:space="preserve">. Projekty byly zaměřeny např. na vypracování studií proveditelnosti výstavby čističek odpadních vod, termální elektrárny na biomasu, na nové řešení vytápění sanatoria, dále na dekontaminaci lokality postižené znečištěním, na dodávku 3D tiskáren. V případě programu CaBUfU se pak jedná o zajištění incomingových, outgoingových a twinningových obchodních nebo odborných misí v různých sektorech na žádost ukrajinské strany nebo české oborové asociace. V roce 2024 bylo v rámci tohoto programu realizováno </w:t>
      </w:r>
      <w:r w:rsidRPr="00E52C95">
        <w:rPr>
          <w:b/>
          <w:bCs/>
        </w:rPr>
        <w:t>17 misí</w:t>
      </w:r>
      <w:r w:rsidRPr="00E52C95">
        <w:t xml:space="preserve"> v hodnotě </w:t>
      </w:r>
      <w:r w:rsidRPr="00E52C95">
        <w:rPr>
          <w:b/>
          <w:bCs/>
        </w:rPr>
        <w:t>7 177 455 Kč</w:t>
      </w:r>
      <w:r w:rsidRPr="00E52C95">
        <w:t>. Projekty byly zaměřeny na spolupráci municipalit, IT, chytré městské technologie, strojírenství a zdravotnictví. Dále bylo financováno zapojení do několika rekonstrukčních veletrhů ve Varšavě a v Brně, které mimo jiné umožňují prezentaci ukrajinských veřejných i soukromých subjektů českým partnerům, a</w:t>
      </w:r>
      <w:r>
        <w:t> </w:t>
      </w:r>
      <w:r w:rsidRPr="00E52C95">
        <w:t>také trvalé posílení kapacity CzechTrade na Ukrajině, které se věnují i rozvojové spolupráci.</w:t>
      </w:r>
    </w:p>
    <w:p w14:paraId="31C7AE67" w14:textId="3A3E024B" w:rsidR="00E52C95" w:rsidRPr="00E52C95" w:rsidRDefault="00E52C95" w:rsidP="00E52C95">
      <w:pPr>
        <w:pStyle w:val="Bezmezer"/>
        <w:spacing w:line="264" w:lineRule="auto"/>
      </w:pPr>
      <w:r w:rsidRPr="00E52C95">
        <w:t> Na MPO je dále ustavena komunikační a koordinační platforma pro hospodářskou spolupráci nazvaná Business klub Ukrajina, která představuje pracovní skupinu v rámci česko-ukrajinské Mezivládní komise pro hospodářskou, průmyslovou a vědeckotechnickou spolupráci.</w:t>
      </w:r>
    </w:p>
    <w:p w14:paraId="52789416" w14:textId="338868D3" w:rsidR="00C84467" w:rsidRPr="00361D2D" w:rsidRDefault="00C84467" w:rsidP="001C7A7B">
      <w:pPr>
        <w:pStyle w:val="Nadpis4"/>
        <w:spacing w:line="264" w:lineRule="auto"/>
      </w:pPr>
      <w:r w:rsidRPr="00361D2D">
        <w:rPr>
          <w:rStyle w:val="normaltextrun"/>
        </w:rPr>
        <w:t>Projekty v gesci MŠMT</w:t>
      </w:r>
    </w:p>
    <w:p w14:paraId="45864309" w14:textId="77777777" w:rsidR="001F1907" w:rsidRPr="005032EA" w:rsidRDefault="001F1907" w:rsidP="001C7A7B">
      <w:pPr>
        <w:keepNext/>
        <w:keepLines/>
        <w:spacing w:line="264" w:lineRule="auto"/>
        <w:ind w:firstLine="709"/>
        <w:contextualSpacing/>
        <w:jc w:val="both"/>
        <w:rPr>
          <w:rFonts w:asciiTheme="majorBidi" w:hAnsiTheme="majorBidi" w:cstheme="majorBidi"/>
          <w:b/>
          <w:bCs/>
        </w:rPr>
      </w:pPr>
      <w:r w:rsidRPr="005032EA">
        <w:rPr>
          <w:rFonts w:asciiTheme="majorBidi" w:hAnsiTheme="majorBidi" w:cstheme="majorBidi"/>
          <w:b/>
          <w:bCs/>
        </w:rPr>
        <w:t>Dotační výzva „Jazyk jako brána: Soustavné jazykové vzdělávání pro Ukrajince – migranty směřující k jejich terciárnímu vzdělávání v českém jazyce“</w:t>
      </w:r>
    </w:p>
    <w:p w14:paraId="4AC6968C" w14:textId="3DED23AA" w:rsidR="001F1907" w:rsidRPr="005032EA" w:rsidRDefault="001F1907" w:rsidP="001C7A7B">
      <w:pPr>
        <w:keepNext/>
        <w:keepLines/>
        <w:spacing w:line="264" w:lineRule="auto"/>
        <w:jc w:val="both"/>
        <w:rPr>
          <w:rFonts w:asciiTheme="majorBidi" w:hAnsiTheme="majorBidi" w:cstheme="majorBidi"/>
        </w:rPr>
      </w:pPr>
      <w:r w:rsidRPr="005032EA">
        <w:rPr>
          <w:rFonts w:asciiTheme="majorBidi" w:hAnsiTheme="majorBidi" w:cstheme="majorBidi"/>
        </w:rPr>
        <w:tab/>
        <w:t xml:space="preserve">Po úspěšné realizaci kurzů jazykové a odborné přípravy ke studiu v českojazyčných programech na vysokých školách v ČR </w:t>
      </w:r>
      <w:r w:rsidR="009675DB" w:rsidRPr="00B608AB">
        <w:rPr>
          <w:rFonts w:asciiTheme="majorBidi" w:hAnsiTheme="majorBidi" w:cstheme="majorBidi"/>
        </w:rPr>
        <w:t xml:space="preserve">v akademickém roce 2023/2024 </w:t>
      </w:r>
      <w:r w:rsidRPr="005032EA">
        <w:rPr>
          <w:rFonts w:asciiTheme="majorBidi" w:hAnsiTheme="majorBidi" w:cstheme="majorBidi"/>
        </w:rPr>
        <w:t>byla pro rok 2024/2025 vyhlášena nová výzva s obdobnými parametry, tzn. cílovou skupinu tvořili ukrajinští migranti s nedostatečnou úrovní znalosti českého jazyka, oprávněným žadatelem mohla být pouze veřejná vysoká škola. Na realizaci uvedené aktivity bylo do rozpočtu MŠMT převedeno 14 mil. Kč, přičemž – s ohledem na časové určení akademického roku – byla realizátorovi v roce 2024 vyplacena pouze dílčí část, zbývající prostředky budou příjemci dotace vyplaceny v 1. čtvrtletí roku 2025.</w:t>
      </w:r>
    </w:p>
    <w:p w14:paraId="3F8A5060" w14:textId="77777777" w:rsidR="001F1907" w:rsidRPr="005032EA" w:rsidRDefault="001F1907" w:rsidP="001C7A7B">
      <w:pPr>
        <w:spacing w:line="264" w:lineRule="auto"/>
        <w:ind w:firstLine="708"/>
        <w:jc w:val="both"/>
        <w:rPr>
          <w:rFonts w:asciiTheme="majorBidi" w:hAnsiTheme="majorBidi" w:cstheme="majorBidi"/>
        </w:rPr>
      </w:pPr>
      <w:r w:rsidRPr="005032EA">
        <w:rPr>
          <w:rFonts w:asciiTheme="majorBidi" w:hAnsiTheme="majorBidi" w:cstheme="majorBidi"/>
        </w:rPr>
        <w:t xml:space="preserve">Prostřednictvím dotační výzvy byla podpořena </w:t>
      </w:r>
      <w:r w:rsidRPr="005032EA">
        <w:rPr>
          <w:rFonts w:asciiTheme="majorBidi" w:hAnsiTheme="majorBidi" w:cstheme="majorBidi"/>
          <w:b/>
          <w:bCs/>
        </w:rPr>
        <w:t>realizace 3 kurzů</w:t>
      </w:r>
      <w:r w:rsidRPr="005032EA">
        <w:rPr>
          <w:rFonts w:asciiTheme="majorBidi" w:hAnsiTheme="majorBidi" w:cstheme="majorBidi"/>
        </w:rPr>
        <w:t xml:space="preserve"> o minimálním </w:t>
      </w:r>
      <w:r w:rsidRPr="005032EA">
        <w:rPr>
          <w:rFonts w:asciiTheme="majorBidi" w:hAnsiTheme="majorBidi" w:cstheme="majorBidi"/>
          <w:b/>
          <w:bCs/>
        </w:rPr>
        <w:t>celkovém objemu 1980 vyučovacích hodin</w:t>
      </w:r>
      <w:r w:rsidRPr="005032EA">
        <w:rPr>
          <w:rFonts w:asciiTheme="majorBidi" w:hAnsiTheme="majorBidi" w:cstheme="majorBidi"/>
        </w:rPr>
        <w:t xml:space="preserve"> realizovaných </w:t>
      </w:r>
      <w:r w:rsidRPr="005032EA">
        <w:rPr>
          <w:rFonts w:asciiTheme="majorBidi" w:hAnsiTheme="majorBidi" w:cstheme="majorBidi"/>
          <w:b/>
          <w:bCs/>
        </w:rPr>
        <w:t>v období 1. října 2024 – 30. září 2025</w:t>
      </w:r>
      <w:r w:rsidRPr="005032EA">
        <w:rPr>
          <w:rFonts w:asciiTheme="majorBidi" w:hAnsiTheme="majorBidi" w:cstheme="majorBidi"/>
        </w:rPr>
        <w:t xml:space="preserve">. V jednom kurzu je po celou dobu zapsáno </w:t>
      </w:r>
      <w:r w:rsidRPr="005032EA">
        <w:rPr>
          <w:rFonts w:asciiTheme="majorBidi" w:hAnsiTheme="majorBidi" w:cstheme="majorBidi"/>
          <w:b/>
          <w:bCs/>
        </w:rPr>
        <w:t>minimálně 12 a maximálně 18 účastníků</w:t>
      </w:r>
      <w:r w:rsidRPr="005032EA">
        <w:rPr>
          <w:rFonts w:asciiTheme="majorBidi" w:hAnsiTheme="majorBidi" w:cstheme="majorBidi"/>
        </w:rPr>
        <w:t xml:space="preserve">. </w:t>
      </w:r>
    </w:p>
    <w:p w14:paraId="60AEDC6D" w14:textId="3DFD3EE2" w:rsidR="00851673" w:rsidRDefault="00827944" w:rsidP="00E52C95">
      <w:pPr>
        <w:pStyle w:val="Bezmezer"/>
        <w:spacing w:line="264" w:lineRule="auto"/>
        <w:rPr>
          <w:rStyle w:val="normaltextrun"/>
          <w:b/>
          <w:bCs/>
        </w:rPr>
      </w:pPr>
      <w:r w:rsidRPr="00827944">
        <w:t xml:space="preserve">Realizátorem kurzů je </w:t>
      </w:r>
      <w:r w:rsidRPr="00827944">
        <w:rPr>
          <w:b/>
          <w:bCs/>
        </w:rPr>
        <w:t>Ústav jazykové a odborné přípravy Univerzity Karlovy.</w:t>
      </w:r>
      <w:r w:rsidRPr="00827944">
        <w:t xml:space="preserve"> Univerzitě Karlově byla </w:t>
      </w:r>
      <w:r w:rsidRPr="00827944">
        <w:rPr>
          <w:b/>
          <w:bCs/>
        </w:rPr>
        <w:t>v roce 2024 pro akademický rok 2023/2024 přidělena dotace ve výši 8 736 000. Pro akademický rok 2024/2025 byla Univerzitě Karlově</w:t>
      </w:r>
      <w:r w:rsidRPr="00827944">
        <w:t xml:space="preserve"> přiznána </w:t>
      </w:r>
      <w:r w:rsidRPr="00827944">
        <w:rPr>
          <w:b/>
          <w:bCs/>
        </w:rPr>
        <w:t>dotace v celkové výši 13 920 000 Kč, z níž byla v roce 2024 poskytnuta první část ve výši 4</w:t>
      </w:r>
      <w:r>
        <w:rPr>
          <w:b/>
          <w:bCs/>
        </w:rPr>
        <w:t> </w:t>
      </w:r>
      <w:r w:rsidRPr="00827944">
        <w:rPr>
          <w:b/>
          <w:bCs/>
        </w:rPr>
        <w:t>176</w:t>
      </w:r>
      <w:r>
        <w:rPr>
          <w:b/>
          <w:bCs/>
        </w:rPr>
        <w:t> </w:t>
      </w:r>
      <w:r w:rsidRPr="00827944">
        <w:rPr>
          <w:b/>
          <w:bCs/>
        </w:rPr>
        <w:t>000 Kč.</w:t>
      </w:r>
      <w:r w:rsidRPr="00827944">
        <w:t xml:space="preserve"> Druhá část dotace ve výši 9 744 000 Kč bude Ústavu jazykové a odborné přípravy Univerzity Karlovy poskytnuta do 31. března 2025. V roce 2024 obdrželo MŠMT také vratku dotace ve výši 112 000 Kč. Celkové čerpání z Programu Ukrajina v roce 2024 bylo tedy 12 800 000 Kč.</w:t>
      </w:r>
      <w:r w:rsidR="00851673">
        <w:rPr>
          <w:rStyle w:val="normaltextrun"/>
          <w:b/>
          <w:bCs/>
        </w:rPr>
        <w:br w:type="page"/>
      </w:r>
    </w:p>
    <w:p w14:paraId="6701A791" w14:textId="1D7305B6" w:rsidR="001F1907" w:rsidRPr="00361D2D" w:rsidRDefault="00C84467" w:rsidP="001C7A7B">
      <w:pPr>
        <w:pStyle w:val="Nadpis4"/>
        <w:spacing w:line="264" w:lineRule="auto"/>
        <w:rPr>
          <w:rStyle w:val="normaltextrun"/>
        </w:rPr>
      </w:pPr>
      <w:r w:rsidRPr="00361D2D">
        <w:rPr>
          <w:rStyle w:val="normaltextrun"/>
        </w:rPr>
        <w:lastRenderedPageBreak/>
        <w:t>Projekty v gesci MV</w:t>
      </w:r>
    </w:p>
    <w:p w14:paraId="0F6EA571" w14:textId="5F494A7A" w:rsidR="008D0986" w:rsidRPr="005032EA" w:rsidRDefault="00C103A1" w:rsidP="001C7A7B">
      <w:pPr>
        <w:pStyle w:val="Bezmezer"/>
        <w:spacing w:after="100" w:afterAutospacing="1" w:line="264" w:lineRule="auto"/>
        <w:rPr>
          <w:bCs/>
          <w:color w:val="auto"/>
        </w:rPr>
      </w:pPr>
      <w:r w:rsidRPr="005032EA">
        <w:rPr>
          <w:bCs/>
          <w:color w:val="auto"/>
        </w:rPr>
        <w:t xml:space="preserve">V rámci programu je </w:t>
      </w:r>
      <w:r w:rsidR="008D0986" w:rsidRPr="005032EA">
        <w:rPr>
          <w:bCs/>
          <w:color w:val="auto"/>
        </w:rPr>
        <w:t xml:space="preserve">alokováno pro Ministerstvo vnitra (OAMP) 120 mil. Kč ročně, přičemž indikativně je </w:t>
      </w:r>
      <w:r w:rsidR="008D0986" w:rsidRPr="005032EA">
        <w:rPr>
          <w:b/>
          <w:color w:val="auto"/>
        </w:rPr>
        <w:t>implementováno 75 mil. Kč ročně v rámci programu Pomoc na místě a 45 mil. Kč v rámci programu MEDEVAC.</w:t>
      </w:r>
    </w:p>
    <w:p w14:paraId="22CD8E49" w14:textId="2E2A7B0D" w:rsidR="008D0986" w:rsidRPr="005032EA" w:rsidRDefault="008D0986" w:rsidP="001C7A7B">
      <w:pPr>
        <w:pStyle w:val="Bezmezer"/>
        <w:spacing w:line="264" w:lineRule="auto"/>
        <w:rPr>
          <w:bCs/>
          <w:color w:val="auto"/>
        </w:rPr>
      </w:pPr>
      <w:r w:rsidRPr="005032EA">
        <w:rPr>
          <w:bCs/>
          <w:color w:val="auto"/>
        </w:rPr>
        <w:t>Tyto finance jsou Ministerstvem vnitra po schválení pracovní skupinou koordinovanou Ministerstvem zahraničních věcí využívány k zajištění pomoci, která je definována a vyžadována ze strany Ukrajiny, a to zejména ve spolupráci s Velvyslanectvím Ukrajiny v ČR, Generálním konzulátem ve Lvově, Ve</w:t>
      </w:r>
      <w:r w:rsidR="004E26AC">
        <w:rPr>
          <w:bCs/>
          <w:color w:val="auto"/>
        </w:rPr>
        <w:t>lvyslanectvím ČR v Kyjevě, či v </w:t>
      </w:r>
      <w:r w:rsidRPr="005032EA">
        <w:rPr>
          <w:bCs/>
          <w:color w:val="auto"/>
        </w:rPr>
        <w:t>případě programu MEDEVAC na základě přímé žádosti. Pomoc je tak vždy zajišťována formou odpovědi na konkrétní potřeby na místě.</w:t>
      </w:r>
    </w:p>
    <w:p w14:paraId="0DBC3C0D" w14:textId="77777777" w:rsidR="00313C28" w:rsidRDefault="008D0986" w:rsidP="001C7A7B">
      <w:pPr>
        <w:pStyle w:val="Bezmezer"/>
        <w:spacing w:line="264" w:lineRule="auto"/>
        <w:rPr>
          <w:bCs/>
          <w:color w:val="auto"/>
        </w:rPr>
      </w:pPr>
      <w:r w:rsidRPr="005032EA">
        <w:rPr>
          <w:bCs/>
          <w:color w:val="auto"/>
        </w:rPr>
        <w:t>Z celkové částky 120 mil. Kč alokovaných pro Ministerstvo vnitra bylo 95 mil. Kč využito na peněžní dary v rámci vybraných projektů. Zbyl</w:t>
      </w:r>
      <w:r w:rsidR="004E26AC">
        <w:rPr>
          <w:bCs/>
          <w:color w:val="auto"/>
        </w:rPr>
        <w:t>ých 25 mil. Kč bylo alokováno v </w:t>
      </w:r>
      <w:r w:rsidRPr="005032EA">
        <w:rPr>
          <w:bCs/>
          <w:color w:val="auto"/>
        </w:rPr>
        <w:t xml:space="preserve">rámci spolupráce s Ministerstvem zdravotnictví na lékařské a rekognoskační mise a na školení a stáže ukrajinských lékařů. V rámci programu Pomoc na místě byly podpořeny celkem čtyři projekty převážně s mezinárodními implementačními partnery, včetně podpory humanitárního odminování, ekonomických příležitostí pro navrátilce, podpory moldavského inspektorátu pohraniční policie a poskytování psychologické a sociální asistence vnitřně vysídleným osobám. V rámci programu MEDEVAC bylo podpořeno celkem pět projektů především </w:t>
      </w:r>
    </w:p>
    <w:p w14:paraId="24D9A70C" w14:textId="76BDE998" w:rsidR="008D0986" w:rsidRPr="005032EA" w:rsidRDefault="008D0986" w:rsidP="00F54B16">
      <w:pPr>
        <w:pStyle w:val="Bezmezer"/>
        <w:spacing w:line="264" w:lineRule="auto"/>
        <w:rPr>
          <w:bCs/>
          <w:color w:val="auto"/>
        </w:rPr>
      </w:pPr>
      <w:r w:rsidRPr="005032EA">
        <w:rPr>
          <w:bCs/>
          <w:color w:val="auto"/>
        </w:rPr>
        <w:t>s ukrajinskými implementačními partnery, zaměřených především na posílení zdravotní infrastruktury na Ukrajině, ale také například projekt NÚDZ (Národní ústav duševního zdraví) na podporu duševního zdraví válkou zasažených obyvatel Ukrajiny. Během roku 2024 se zároveň uskutečnily čtyři lékařské mise v nemocnicích ve Lvově s týmy z</w:t>
      </w:r>
      <w:r w:rsidR="00A0082C">
        <w:rPr>
          <w:bCs/>
          <w:color w:val="auto"/>
        </w:rPr>
        <w:t> </w:t>
      </w:r>
      <w:r w:rsidRPr="005032EA">
        <w:rPr>
          <w:bCs/>
          <w:color w:val="auto"/>
        </w:rPr>
        <w:t>FNKV a VFN. Čeští plastičtí chirurgové z FNKV odoperovali během čtyř misí přes sto pacientů, kteří kvůli přetíženým kapacitám ukrajinských nemocnic zákroky českých lékařů nutně potřebovali. Proběhly také dvě rekognoskační mise v nových specializacích: infektologie a traumatologie. Nadále pokračovaly také stáže a školení, a to jak škole</w:t>
      </w:r>
      <w:r w:rsidR="004E26AC">
        <w:rPr>
          <w:bCs/>
          <w:color w:val="auto"/>
        </w:rPr>
        <w:t>ní ukrajinských doktorů přímo v </w:t>
      </w:r>
      <w:r w:rsidRPr="005032EA">
        <w:rPr>
          <w:bCs/>
          <w:color w:val="auto"/>
        </w:rPr>
        <w:t xml:space="preserve">Ukrajině v oblasti infektologie, tak v ČR v oblasti fyzioterapie a rehabilitace. </w:t>
      </w:r>
    </w:p>
    <w:p w14:paraId="4B9251F2" w14:textId="4623C5D8" w:rsidR="00C84467" w:rsidRDefault="008D0986" w:rsidP="00F54B16">
      <w:pPr>
        <w:pStyle w:val="Bezmezer"/>
        <w:spacing w:line="264" w:lineRule="auto"/>
        <w:rPr>
          <w:b/>
        </w:rPr>
      </w:pPr>
      <w:r w:rsidRPr="005032EA">
        <w:rPr>
          <w:rFonts w:eastAsiaTheme="majorEastAsia"/>
          <w:bCs/>
        </w:rPr>
        <w:t>Celkem bylo na</w:t>
      </w:r>
      <w:r w:rsidRPr="005032EA">
        <w:rPr>
          <w:rFonts w:eastAsiaTheme="majorEastAsia"/>
          <w:b/>
        </w:rPr>
        <w:t xml:space="preserve"> Program Ukrajina v roce 2024 z rozpočtu programů MEDEVAC a </w:t>
      </w:r>
      <w:r w:rsidR="004E26AC">
        <w:rPr>
          <w:rFonts w:eastAsiaTheme="majorEastAsia"/>
          <w:b/>
        </w:rPr>
        <w:t> </w:t>
      </w:r>
      <w:r w:rsidR="00D63A0A">
        <w:rPr>
          <w:rFonts w:eastAsiaTheme="majorEastAsia"/>
          <w:b/>
        </w:rPr>
        <w:t>P</w:t>
      </w:r>
      <w:r w:rsidRPr="005032EA">
        <w:rPr>
          <w:rFonts w:eastAsiaTheme="majorEastAsia"/>
          <w:b/>
        </w:rPr>
        <w:t xml:space="preserve">omoc na místě vyčerpáno </w:t>
      </w:r>
      <w:r w:rsidR="00AA0EE5">
        <w:rPr>
          <w:b/>
        </w:rPr>
        <w:t>9</w:t>
      </w:r>
      <w:r w:rsidR="00B269FC">
        <w:rPr>
          <w:b/>
        </w:rPr>
        <w:t>6 891 916</w:t>
      </w:r>
      <w:r w:rsidR="00AA0EE5">
        <w:rPr>
          <w:b/>
        </w:rPr>
        <w:t xml:space="preserve"> </w:t>
      </w:r>
      <w:r w:rsidRPr="005032EA">
        <w:rPr>
          <w:b/>
        </w:rPr>
        <w:t>Kč.</w:t>
      </w:r>
    </w:p>
    <w:p w14:paraId="60B3CA31" w14:textId="039170CA" w:rsidR="00851673" w:rsidRPr="00851673" w:rsidRDefault="00851673" w:rsidP="001C7A7B">
      <w:pPr>
        <w:pStyle w:val="Bezmezer"/>
        <w:spacing w:line="264" w:lineRule="auto"/>
        <w:rPr>
          <w:bCs/>
          <w:color w:val="auto"/>
        </w:rPr>
      </w:pPr>
      <w:r w:rsidRPr="00851673">
        <w:rPr>
          <w:bCs/>
          <w:color w:val="auto"/>
        </w:rPr>
        <w:t>„Mimo programy OAMP realizovalo MV v rámci Programu Ukrajina pokračování projektu odboru archivní správy a spisové služby. MV poskytlo ukrajinským expertům hlubší know-how k záchraně archivního dědictví, sdílení nejlepších postupů při rekonstrukci a</w:t>
      </w:r>
      <w:r>
        <w:rPr>
          <w:bCs/>
          <w:color w:val="auto"/>
        </w:rPr>
        <w:t> </w:t>
      </w:r>
      <w:r w:rsidRPr="00851673">
        <w:rPr>
          <w:bCs/>
          <w:color w:val="auto"/>
        </w:rPr>
        <w:t>výstavbě archivních budov, digitalizaci, restaurování a konzervačním technikám archiválií. V</w:t>
      </w:r>
      <w:r>
        <w:rPr>
          <w:bCs/>
          <w:color w:val="auto"/>
        </w:rPr>
        <w:t> </w:t>
      </w:r>
      <w:r w:rsidRPr="00851673">
        <w:rPr>
          <w:bCs/>
          <w:color w:val="auto"/>
        </w:rPr>
        <w:t>roce 2024 byla na projekt vynaložena částka ve výši 163 047 Kč.</w:t>
      </w:r>
    </w:p>
    <w:p w14:paraId="12247AFA" w14:textId="77777777" w:rsidR="00851673" w:rsidRDefault="00851673" w:rsidP="001C7A7B">
      <w:pPr>
        <w:spacing w:line="264" w:lineRule="auto"/>
        <w:jc w:val="both"/>
      </w:pPr>
    </w:p>
    <w:p w14:paraId="041EC151" w14:textId="7D34EAA8" w:rsidR="00D3677F" w:rsidRDefault="00D3677F" w:rsidP="001C7A7B">
      <w:pPr>
        <w:spacing w:line="264" w:lineRule="auto"/>
        <w:jc w:val="both"/>
      </w:pPr>
      <w:r>
        <w:t xml:space="preserve">Ve spolupráci s Ministerstvem zdravotnictví byly realizovány projekty s celkovým čerpáním </w:t>
      </w:r>
      <w:r w:rsidR="00FE4164">
        <w:t>25 164 103 Kč.</w:t>
      </w:r>
    </w:p>
    <w:p w14:paraId="60624267" w14:textId="77777777" w:rsidR="00F54B16" w:rsidRDefault="00F54B16" w:rsidP="001C7A7B">
      <w:pPr>
        <w:spacing w:line="264" w:lineRule="auto"/>
        <w:jc w:val="both"/>
      </w:pPr>
    </w:p>
    <w:p w14:paraId="2148FC27" w14:textId="77777777" w:rsidR="00F54B16" w:rsidRPr="005032EA" w:rsidRDefault="00F54B16" w:rsidP="001C7A7B">
      <w:pPr>
        <w:spacing w:line="264" w:lineRule="auto"/>
        <w:jc w:val="both"/>
      </w:pPr>
    </w:p>
    <w:p w14:paraId="785DF1C2" w14:textId="77777777" w:rsidR="00F6243B" w:rsidRPr="005032EA" w:rsidRDefault="0067608C" w:rsidP="001C7A7B">
      <w:pPr>
        <w:pStyle w:val="Nadpis1"/>
        <w:spacing w:line="264" w:lineRule="auto"/>
      </w:pPr>
      <w:r w:rsidRPr="005032EA">
        <w:br w:type="page"/>
      </w:r>
      <w:bookmarkStart w:id="31" w:name="_Toc200633278"/>
      <w:r w:rsidR="00F6243B" w:rsidRPr="005032EA">
        <w:lastRenderedPageBreak/>
        <w:t xml:space="preserve">Přehled </w:t>
      </w:r>
      <w:r w:rsidR="006311D0" w:rsidRPr="005032EA">
        <w:t>dalších</w:t>
      </w:r>
      <w:r w:rsidR="00F6243B" w:rsidRPr="005032EA">
        <w:t xml:space="preserve"> </w:t>
      </w:r>
      <w:r w:rsidR="006311D0" w:rsidRPr="005032EA">
        <w:t>forem</w:t>
      </w:r>
      <w:r w:rsidR="00F6243B" w:rsidRPr="005032EA">
        <w:t xml:space="preserve"> započitatelných jako ODA</w:t>
      </w:r>
      <w:bookmarkEnd w:id="31"/>
    </w:p>
    <w:p w14:paraId="4710A227" w14:textId="77777777" w:rsidR="00FD6A36" w:rsidRPr="005032EA" w:rsidRDefault="00FD6A36" w:rsidP="001C7A7B">
      <w:pPr>
        <w:pStyle w:val="Nadpis2"/>
        <w:spacing w:line="264" w:lineRule="auto"/>
      </w:pPr>
      <w:bookmarkStart w:id="32" w:name="_Toc200633279"/>
      <w:r w:rsidRPr="005032EA">
        <w:t xml:space="preserve">Program </w:t>
      </w:r>
      <w:r w:rsidR="00424273" w:rsidRPr="005032EA">
        <w:t>P</w:t>
      </w:r>
      <w:r w:rsidRPr="005032EA">
        <w:t>omoc na místě</w:t>
      </w:r>
      <w:bookmarkEnd w:id="32"/>
    </w:p>
    <w:p w14:paraId="02A960D0" w14:textId="77777777" w:rsidR="00D752F9" w:rsidRPr="005032EA" w:rsidRDefault="00D752F9" w:rsidP="001C7A7B">
      <w:pPr>
        <w:spacing w:line="264" w:lineRule="auto"/>
        <w:ind w:firstLine="567"/>
        <w:jc w:val="both"/>
        <w:rPr>
          <w:rFonts w:asciiTheme="majorBidi" w:hAnsiTheme="majorBidi" w:cstheme="majorBidi"/>
        </w:rPr>
      </w:pPr>
      <w:r w:rsidRPr="005032EA">
        <w:rPr>
          <w:rFonts w:asciiTheme="majorBidi" w:hAnsiTheme="majorBidi" w:cstheme="majorBidi"/>
        </w:rPr>
        <w:t xml:space="preserve">Program Pomoc na místě byl jako specifický nástroj pomoci </w:t>
      </w:r>
      <w:r w:rsidRPr="005032EA">
        <w:rPr>
          <w:rFonts w:asciiTheme="majorBidi" w:hAnsiTheme="majorBidi" w:cstheme="majorBidi"/>
          <w:b/>
          <w:bCs/>
        </w:rPr>
        <w:t>zřízen</w:t>
      </w:r>
      <w:r w:rsidRPr="005032EA">
        <w:rPr>
          <w:rFonts w:asciiTheme="majorBidi" w:hAnsiTheme="majorBidi" w:cstheme="majorBidi"/>
        </w:rPr>
        <w:t xml:space="preserve"> </w:t>
      </w:r>
      <w:r w:rsidRPr="005032EA">
        <w:rPr>
          <w:rFonts w:asciiTheme="majorBidi" w:hAnsiTheme="majorBidi" w:cstheme="majorBidi"/>
          <w:b/>
          <w:bCs/>
        </w:rPr>
        <w:t>Ministerstvem vnitra ČR</w:t>
      </w:r>
      <w:r w:rsidRPr="005032EA">
        <w:rPr>
          <w:rFonts w:asciiTheme="majorBidi" w:hAnsiTheme="majorBidi" w:cstheme="majorBidi"/>
        </w:rPr>
        <w:t xml:space="preserve"> </w:t>
      </w:r>
      <w:r w:rsidRPr="005032EA">
        <w:rPr>
          <w:rFonts w:asciiTheme="majorBidi" w:hAnsiTheme="majorBidi" w:cstheme="majorBidi"/>
          <w:b/>
          <w:bCs/>
        </w:rPr>
        <w:t>v lednu 2015</w:t>
      </w:r>
      <w:r w:rsidRPr="005032EA">
        <w:rPr>
          <w:rFonts w:asciiTheme="majorBidi" w:hAnsiTheme="majorBidi" w:cstheme="majorBidi"/>
        </w:rPr>
        <w:t xml:space="preserve">. Program je </w:t>
      </w:r>
      <w:r w:rsidRPr="005032EA">
        <w:rPr>
          <w:rFonts w:asciiTheme="majorBidi" w:hAnsiTheme="majorBidi" w:cstheme="majorBidi"/>
          <w:b/>
          <w:bCs/>
        </w:rPr>
        <w:t>spravován odborem azylové a migrační politiky</w:t>
      </w:r>
      <w:r w:rsidRPr="005032EA">
        <w:rPr>
          <w:rFonts w:asciiTheme="majorBidi" w:hAnsiTheme="majorBidi" w:cstheme="majorBidi"/>
        </w:rPr>
        <w:t xml:space="preserve"> MV ČR a jeho prostřednictvím jsou udělovány peněžní dary do zahraničí zacílené na asistenci uprchlíkům v místě jejich prvního vysídlení a na podporu azylové a migrační infrastruktury států, které velké uprchlické populace hostí, případně přes které směřuje hlavní migrační proud do Evropské unie.</w:t>
      </w:r>
    </w:p>
    <w:p w14:paraId="36F3BCCB" w14:textId="77777777" w:rsidR="00D752F9" w:rsidRPr="005032EA" w:rsidRDefault="00D752F9" w:rsidP="001C7A7B">
      <w:pPr>
        <w:spacing w:after="120" w:line="264" w:lineRule="auto"/>
        <w:ind w:firstLine="567"/>
        <w:jc w:val="both"/>
        <w:rPr>
          <w:rFonts w:asciiTheme="majorBidi" w:hAnsiTheme="majorBidi" w:cstheme="majorBidi"/>
        </w:rPr>
      </w:pPr>
      <w:r w:rsidRPr="005032EA">
        <w:rPr>
          <w:rFonts w:asciiTheme="majorBidi" w:hAnsiTheme="majorBidi" w:cstheme="majorBidi"/>
        </w:rPr>
        <w:t xml:space="preserve">Rozpočet programu </w:t>
      </w:r>
      <w:r w:rsidRPr="005032EA">
        <w:rPr>
          <w:rFonts w:asciiTheme="majorBidi" w:hAnsiTheme="majorBidi" w:cstheme="majorBidi"/>
          <w:b/>
          <w:bCs/>
        </w:rPr>
        <w:t>Pomoc na místě</w:t>
      </w:r>
      <w:r w:rsidRPr="005032EA">
        <w:rPr>
          <w:rFonts w:asciiTheme="majorBidi" w:hAnsiTheme="majorBidi" w:cstheme="majorBidi"/>
        </w:rPr>
        <w:t xml:space="preserve"> </w:t>
      </w:r>
      <w:r w:rsidRPr="005032EA">
        <w:rPr>
          <w:rFonts w:asciiTheme="majorBidi" w:hAnsiTheme="majorBidi" w:cstheme="majorBidi"/>
          <w:b/>
          <w:bCs/>
        </w:rPr>
        <w:t>v roce 2024</w:t>
      </w:r>
      <w:r w:rsidRPr="005032EA">
        <w:rPr>
          <w:rFonts w:asciiTheme="majorBidi" w:hAnsiTheme="majorBidi" w:cstheme="majorBidi"/>
        </w:rPr>
        <w:t xml:space="preserve"> činil </w:t>
      </w:r>
      <w:r w:rsidRPr="005032EA">
        <w:rPr>
          <w:rFonts w:asciiTheme="majorBidi" w:hAnsiTheme="majorBidi" w:cstheme="majorBidi"/>
          <w:b/>
          <w:bCs/>
        </w:rPr>
        <w:t>150 mil. Kč</w:t>
      </w:r>
      <w:r w:rsidRPr="005032EA">
        <w:rPr>
          <w:rFonts w:asciiTheme="majorBidi" w:hAnsiTheme="majorBidi" w:cstheme="majorBidi"/>
        </w:rPr>
        <w:t xml:space="preserve">. V roce 2024 tak mohlo být v rámci programu podpořeno 6 projektů, a to v souladu se stanovenými prioritami pro rok 2024 v zemích na východní středomořské a západobalkánské migrační trase, na centrální středomořské migrační trase a na západní středomořské migrační trase. </w:t>
      </w:r>
    </w:p>
    <w:p w14:paraId="27AB08E2" w14:textId="77777777" w:rsidR="00FD6A36" w:rsidRPr="005032EA" w:rsidRDefault="00FD6A36" w:rsidP="001C7A7B">
      <w:pPr>
        <w:pStyle w:val="Nadpis2"/>
        <w:spacing w:line="264" w:lineRule="auto"/>
      </w:pPr>
      <w:bookmarkStart w:id="33" w:name="_Toc200633280"/>
      <w:r w:rsidRPr="005032EA">
        <w:t>MEDEVAC</w:t>
      </w:r>
      <w:bookmarkEnd w:id="33"/>
      <w:r w:rsidRPr="005032EA">
        <w:t xml:space="preserve"> </w:t>
      </w:r>
    </w:p>
    <w:p w14:paraId="18752621" w14:textId="41F0004D" w:rsidR="006D7247" w:rsidRPr="005032EA" w:rsidRDefault="006D7247" w:rsidP="001C7A7B">
      <w:pPr>
        <w:suppressAutoHyphens/>
        <w:spacing w:line="264" w:lineRule="auto"/>
        <w:ind w:firstLine="708"/>
        <w:jc w:val="both"/>
        <w:rPr>
          <w:rFonts w:asciiTheme="majorBidi" w:hAnsiTheme="majorBidi" w:cstheme="majorBidi"/>
        </w:rPr>
      </w:pPr>
      <w:r w:rsidRPr="005032EA">
        <w:rPr>
          <w:rFonts w:asciiTheme="majorBidi" w:hAnsiTheme="majorBidi" w:cstheme="majorBidi"/>
        </w:rPr>
        <w:t xml:space="preserve">V roce 2024 byly realizovány </w:t>
      </w:r>
      <w:r w:rsidRPr="005032EA">
        <w:rPr>
          <w:rFonts w:asciiTheme="majorBidi" w:hAnsiTheme="majorBidi" w:cstheme="majorBidi"/>
          <w:b/>
          <w:bCs/>
        </w:rPr>
        <w:t>4 rekognoskační mise</w:t>
      </w:r>
      <w:r w:rsidRPr="005032EA">
        <w:rPr>
          <w:rFonts w:asciiTheme="majorBidi" w:hAnsiTheme="majorBidi" w:cstheme="majorBidi"/>
        </w:rPr>
        <w:t xml:space="preserve"> do zahraničí (Irák, Pobřeží slonoviny, Zambie) v 3 specializacích a ve spolupráci s</w:t>
      </w:r>
      <w:r w:rsidR="004E26AC">
        <w:rPr>
          <w:rFonts w:asciiTheme="majorBidi" w:hAnsiTheme="majorBidi" w:cstheme="majorBidi"/>
        </w:rPr>
        <w:t xml:space="preserve"> 5 partnerskými nemocnicemi (FN </w:t>
      </w:r>
      <w:r w:rsidRPr="005032EA">
        <w:rPr>
          <w:rFonts w:asciiTheme="majorBidi" w:hAnsiTheme="majorBidi" w:cstheme="majorBidi"/>
        </w:rPr>
        <w:t xml:space="preserve">Bulovka, FN Hradec Králové, FN Olomouc, FN Motol, FTN). Dále proběhlo </w:t>
      </w:r>
      <w:r w:rsidR="004E26AC">
        <w:rPr>
          <w:rFonts w:asciiTheme="majorBidi" w:hAnsiTheme="majorBidi" w:cstheme="majorBidi"/>
          <w:b/>
          <w:bCs/>
        </w:rPr>
        <w:t>18 </w:t>
      </w:r>
      <w:r w:rsidRPr="005032EA">
        <w:rPr>
          <w:rFonts w:asciiTheme="majorBidi" w:hAnsiTheme="majorBidi" w:cstheme="majorBidi"/>
          <w:b/>
          <w:bCs/>
        </w:rPr>
        <w:t>lékařských misí do zahraničí</w:t>
      </w:r>
      <w:r w:rsidRPr="005032EA">
        <w:rPr>
          <w:rFonts w:asciiTheme="majorBidi" w:hAnsiTheme="majorBidi" w:cstheme="majorBidi"/>
        </w:rPr>
        <w:t xml:space="preserve"> (Ghana, Jordánsko, Libanon, Pobřeží slonoviny, Rwanda, Senegal, Zambie) za účasti AČR a 8 partnerských nemocnic (FN Bulovka, FN Brno, FNKV, FN Motol, FN Olomouc, NNH, ÚVN, VFN). Celkem bylo </w:t>
      </w:r>
      <w:r w:rsidRPr="005032EA">
        <w:rPr>
          <w:rFonts w:asciiTheme="majorBidi" w:hAnsiTheme="majorBidi" w:cstheme="majorBidi"/>
          <w:b/>
          <w:bCs/>
        </w:rPr>
        <w:t xml:space="preserve">ošetřeno 1225 osob </w:t>
      </w:r>
      <w:r w:rsidR="004E26AC">
        <w:rPr>
          <w:rFonts w:asciiTheme="majorBidi" w:hAnsiTheme="majorBidi" w:cstheme="majorBidi"/>
        </w:rPr>
        <w:t>v 7 </w:t>
      </w:r>
      <w:r w:rsidRPr="005032EA">
        <w:rPr>
          <w:rFonts w:asciiTheme="majorBidi" w:hAnsiTheme="majorBidi" w:cstheme="majorBidi"/>
        </w:rPr>
        <w:t xml:space="preserve">odborných specializacích (dětská kardiochirurgie, gynekologie, oftalmologie, neurochirurgie, ORL, plastická chirurgie, traumatologie). Také bylo realizováno </w:t>
      </w:r>
      <w:r w:rsidRPr="005032EA">
        <w:rPr>
          <w:rFonts w:asciiTheme="majorBidi" w:hAnsiTheme="majorBidi" w:cstheme="majorBidi"/>
          <w:b/>
          <w:bCs/>
        </w:rPr>
        <w:t>12 stáží v</w:t>
      </w:r>
      <w:r w:rsidR="00A0082C">
        <w:rPr>
          <w:rFonts w:asciiTheme="majorBidi" w:hAnsiTheme="majorBidi" w:cstheme="majorBidi"/>
          <w:b/>
          <w:bCs/>
        </w:rPr>
        <w:t> </w:t>
      </w:r>
      <w:r w:rsidRPr="005032EA">
        <w:rPr>
          <w:rFonts w:asciiTheme="majorBidi" w:hAnsiTheme="majorBidi" w:cstheme="majorBidi"/>
          <w:b/>
          <w:bCs/>
        </w:rPr>
        <w:t>ČR</w:t>
      </w:r>
      <w:r w:rsidRPr="005032EA">
        <w:rPr>
          <w:rFonts w:asciiTheme="majorBidi" w:hAnsiTheme="majorBidi" w:cstheme="majorBidi"/>
        </w:rPr>
        <w:t xml:space="preserve"> (Ghana, Rwanda, Senegal, Zambie) ve 4 specializacích (gynekologie, ORL, plastická chirurgie, traumatologie) ve spolupráci s 6 partne</w:t>
      </w:r>
      <w:r w:rsidR="006E7420">
        <w:rPr>
          <w:rFonts w:asciiTheme="majorBidi" w:hAnsiTheme="majorBidi" w:cstheme="majorBidi"/>
        </w:rPr>
        <w:t>rskými nemocnicemi (FN Brno, FN </w:t>
      </w:r>
      <w:r w:rsidRPr="005032EA">
        <w:rPr>
          <w:rFonts w:asciiTheme="majorBidi" w:hAnsiTheme="majorBidi" w:cstheme="majorBidi"/>
        </w:rPr>
        <w:t>Bulovka, FNKV, FN Motol, FN</w:t>
      </w:r>
      <w:r w:rsidR="00C74192" w:rsidRPr="005032EA">
        <w:rPr>
          <w:rFonts w:asciiTheme="majorBidi" w:hAnsiTheme="majorBidi" w:cstheme="majorBidi"/>
        </w:rPr>
        <w:t> </w:t>
      </w:r>
      <w:r w:rsidRPr="005032EA">
        <w:rPr>
          <w:rFonts w:asciiTheme="majorBidi" w:hAnsiTheme="majorBidi" w:cstheme="majorBidi"/>
        </w:rPr>
        <w:t xml:space="preserve">Olomouc, VFN), </w:t>
      </w:r>
      <w:r w:rsidRPr="005032EA">
        <w:rPr>
          <w:rFonts w:asciiTheme="majorBidi" w:hAnsiTheme="majorBidi" w:cstheme="majorBidi"/>
          <w:b/>
          <w:bCs/>
        </w:rPr>
        <w:t>4 školení v zahraničí</w:t>
      </w:r>
      <w:r w:rsidRPr="005032EA">
        <w:rPr>
          <w:rFonts w:asciiTheme="majorBidi" w:hAnsiTheme="majorBidi" w:cstheme="majorBidi"/>
        </w:rPr>
        <w:t xml:space="preserve"> Irák, Rwanda, Senegal) ve specializaci anesteziologie, gynekologie a trauma</w:t>
      </w:r>
      <w:r w:rsidR="006E7420">
        <w:rPr>
          <w:rFonts w:asciiTheme="majorBidi" w:hAnsiTheme="majorBidi" w:cstheme="majorBidi"/>
        </w:rPr>
        <w:t>tologie ve spolupráci s AČR a 4 </w:t>
      </w:r>
      <w:r w:rsidRPr="005032EA">
        <w:rPr>
          <w:rFonts w:asciiTheme="majorBidi" w:hAnsiTheme="majorBidi" w:cstheme="majorBidi"/>
        </w:rPr>
        <w:t xml:space="preserve">partnerskými nemocnicemi (FN Brno, FN Bulovka, FNKV, VFN). V rámci edukačních aktivit bylo </w:t>
      </w:r>
      <w:r w:rsidRPr="005032EA">
        <w:rPr>
          <w:rFonts w:asciiTheme="majorBidi" w:hAnsiTheme="majorBidi" w:cstheme="majorBidi"/>
          <w:b/>
          <w:bCs/>
        </w:rPr>
        <w:t>proškoleno</w:t>
      </w:r>
      <w:r w:rsidRPr="005032EA">
        <w:rPr>
          <w:rFonts w:asciiTheme="majorBidi" w:hAnsiTheme="majorBidi" w:cstheme="majorBidi"/>
        </w:rPr>
        <w:t xml:space="preserve"> celkem </w:t>
      </w:r>
      <w:r w:rsidRPr="005032EA">
        <w:rPr>
          <w:rFonts w:asciiTheme="majorBidi" w:hAnsiTheme="majorBidi" w:cstheme="majorBidi"/>
          <w:b/>
          <w:bCs/>
        </w:rPr>
        <w:t>254 osob</w:t>
      </w:r>
      <w:r w:rsidRPr="005032EA">
        <w:rPr>
          <w:rFonts w:asciiTheme="majorBidi" w:hAnsiTheme="majorBidi" w:cstheme="majorBidi"/>
        </w:rPr>
        <w:t xml:space="preserve"> z 5 zemí (Ghana, Irák, Rwanda, Senegal, Zambie). </w:t>
      </w:r>
    </w:p>
    <w:p w14:paraId="61448A51" w14:textId="77777777" w:rsidR="006D7247" w:rsidRPr="005032EA" w:rsidRDefault="006D7247" w:rsidP="001C7A7B">
      <w:pPr>
        <w:suppressAutoHyphens/>
        <w:spacing w:line="264" w:lineRule="auto"/>
        <w:ind w:firstLine="708"/>
        <w:jc w:val="both"/>
        <w:rPr>
          <w:rFonts w:asciiTheme="majorBidi" w:hAnsiTheme="majorBidi" w:cstheme="majorBidi"/>
        </w:rPr>
      </w:pPr>
    </w:p>
    <w:p w14:paraId="1D7B2676" w14:textId="0722DF30" w:rsidR="006D7247" w:rsidRPr="005032EA" w:rsidRDefault="006D7247" w:rsidP="001C7A7B">
      <w:pPr>
        <w:spacing w:after="120" w:line="264" w:lineRule="auto"/>
        <w:contextualSpacing/>
        <w:rPr>
          <w:rFonts w:asciiTheme="majorBidi" w:hAnsiTheme="majorBidi" w:cstheme="majorBidi"/>
          <w:bCs/>
        </w:rPr>
      </w:pPr>
      <w:bookmarkStart w:id="34" w:name="_Hlk190873350"/>
      <w:r w:rsidRPr="005032EA">
        <w:rPr>
          <w:rFonts w:asciiTheme="majorBidi" w:hAnsiTheme="majorBidi" w:cstheme="majorBidi"/>
          <w:bCs/>
        </w:rPr>
        <w:t>Přehled jednotlivých zdravotnických aktivit programu MEDEVAC v roce 2024</w:t>
      </w:r>
      <w:r w:rsidR="00F34D6A" w:rsidRPr="005032EA">
        <w:rPr>
          <w:rFonts w:asciiTheme="majorBidi" w:hAnsiTheme="majorBidi" w:cstheme="majorBidi"/>
          <w:bCs/>
        </w:rPr>
        <w:t xml:space="preserve"> viz příloha</w:t>
      </w:r>
      <w:r w:rsidR="00E3315A" w:rsidRPr="005032EA">
        <w:rPr>
          <w:rFonts w:asciiTheme="majorBidi" w:hAnsiTheme="majorBidi" w:cstheme="majorBidi"/>
          <w:bCs/>
        </w:rPr>
        <w:t xml:space="preserve"> 3.</w:t>
      </w:r>
    </w:p>
    <w:p w14:paraId="4CA170EE" w14:textId="77777777" w:rsidR="00424D70" w:rsidRPr="005032EA" w:rsidRDefault="00424D70" w:rsidP="001C7A7B">
      <w:pPr>
        <w:pStyle w:val="Nadpis2"/>
        <w:spacing w:line="264" w:lineRule="auto"/>
      </w:pPr>
      <w:bookmarkStart w:id="35" w:name="_Toc200633281"/>
      <w:bookmarkEnd w:id="34"/>
      <w:r w:rsidRPr="005032EA">
        <w:t>Oddlužení</w:t>
      </w:r>
      <w:bookmarkEnd w:id="35"/>
      <w:r w:rsidRPr="005032EA">
        <w:t xml:space="preserve"> </w:t>
      </w:r>
    </w:p>
    <w:p w14:paraId="68763100" w14:textId="22787C29" w:rsidR="003A1EAF" w:rsidRPr="005032EA" w:rsidRDefault="003A1EAF" w:rsidP="001C7A7B">
      <w:pPr>
        <w:spacing w:after="120" w:line="264" w:lineRule="auto"/>
        <w:ind w:firstLine="283"/>
        <w:contextualSpacing/>
        <w:jc w:val="both"/>
        <w:rPr>
          <w:rFonts w:asciiTheme="majorBidi" w:hAnsiTheme="majorBidi" w:cstheme="majorBidi"/>
        </w:rPr>
      </w:pPr>
      <w:r w:rsidRPr="005032EA">
        <w:rPr>
          <w:rFonts w:asciiTheme="majorBidi" w:hAnsiTheme="majorBidi" w:cstheme="majorBidi"/>
        </w:rPr>
        <w:t>V roce 202</w:t>
      </w:r>
      <w:r w:rsidR="00823AEF" w:rsidRPr="005032EA">
        <w:rPr>
          <w:rFonts w:asciiTheme="majorBidi" w:hAnsiTheme="majorBidi" w:cstheme="majorBidi"/>
        </w:rPr>
        <w:t>4</w:t>
      </w:r>
      <w:r w:rsidRPr="005032EA">
        <w:rPr>
          <w:rFonts w:asciiTheme="majorBidi" w:hAnsiTheme="majorBidi" w:cstheme="majorBidi"/>
        </w:rPr>
        <w:t xml:space="preserve"> nedošlo k odpuštění pohledávek partnerských rozvojových zemí.</w:t>
      </w:r>
    </w:p>
    <w:p w14:paraId="31994325" w14:textId="77777777" w:rsidR="00424D70" w:rsidRPr="005032EA" w:rsidRDefault="00424D70" w:rsidP="001C7A7B">
      <w:pPr>
        <w:pStyle w:val="Nadpis2"/>
        <w:spacing w:line="264" w:lineRule="auto"/>
      </w:pPr>
      <w:bookmarkStart w:id="36" w:name="_Toc200633282"/>
      <w:r w:rsidRPr="005032EA">
        <w:lastRenderedPageBreak/>
        <w:t>Mezinárodní finanční instituce</w:t>
      </w:r>
      <w:bookmarkEnd w:id="36"/>
    </w:p>
    <w:p w14:paraId="5FB1A02E" w14:textId="77777777" w:rsidR="003A1EAF" w:rsidRPr="005032EA" w:rsidRDefault="003A1EAF" w:rsidP="001C7A7B">
      <w:pPr>
        <w:pStyle w:val="Nadpis3"/>
        <w:spacing w:line="264" w:lineRule="auto"/>
      </w:pPr>
      <w:bookmarkStart w:id="37" w:name="_Toc200633283"/>
      <w:r w:rsidRPr="005032EA">
        <w:t>Skupina Světové banky</w:t>
      </w:r>
      <w:bookmarkEnd w:id="37"/>
    </w:p>
    <w:p w14:paraId="4EFE2113" w14:textId="77777777" w:rsidR="00311499" w:rsidRPr="005032EA" w:rsidRDefault="00311499" w:rsidP="001C7A7B">
      <w:pPr>
        <w:spacing w:line="264" w:lineRule="auto"/>
        <w:ind w:firstLine="709"/>
        <w:jc w:val="both"/>
      </w:pPr>
      <w:r w:rsidRPr="005032EA">
        <w:t xml:space="preserve">Do Skupiny Světové banky (World Bank Group) provedla ČR v roce 2024 celkem tři platby, a to konkrétně do IDA, MDRI a IFC (viz níže) v celkové výši </w:t>
      </w:r>
      <w:r w:rsidRPr="005032EA">
        <w:rPr>
          <w:b/>
        </w:rPr>
        <w:t>228 815 550 Kč</w:t>
      </w:r>
      <w:r w:rsidRPr="005032EA">
        <w:t xml:space="preserve"> (100 % započitatelné do ODA). </w:t>
      </w:r>
    </w:p>
    <w:p w14:paraId="08F56C69" w14:textId="77777777" w:rsidR="003A1EAF" w:rsidRPr="005032EA" w:rsidRDefault="003A1EAF" w:rsidP="001C7A7B">
      <w:pPr>
        <w:pStyle w:val="Nadpis3"/>
        <w:spacing w:line="264" w:lineRule="auto"/>
      </w:pPr>
      <w:bookmarkStart w:id="38" w:name="_Toc200633284"/>
      <w:r w:rsidRPr="005032EA">
        <w:t>Mezinárodní asociace pro rozvoj (IDA)</w:t>
      </w:r>
      <w:bookmarkEnd w:id="38"/>
    </w:p>
    <w:p w14:paraId="0913A7D8" w14:textId="32231C90" w:rsidR="00311499" w:rsidRPr="005032EA" w:rsidRDefault="00311499" w:rsidP="001C7A7B">
      <w:pPr>
        <w:shd w:val="clear" w:color="auto" w:fill="FFFFFF" w:themeFill="background1"/>
        <w:spacing w:line="264" w:lineRule="auto"/>
        <w:ind w:firstLine="709"/>
        <w:jc w:val="both"/>
      </w:pPr>
      <w:r w:rsidRPr="005032EA">
        <w:t>Mezinárodní asociace pro rozvoj (International Development Association) patřící do Skupiny Světové banky poskytuje nejchudším zemím světa zvýhodněné financování na podporu udržitelného rozvoje a zlepšování životních podmínek obyvatel (obnova</w:t>
      </w:r>
      <w:r w:rsidR="004E6946">
        <w:t> </w:t>
      </w:r>
      <w:r w:rsidRPr="005032EA">
        <w:t xml:space="preserve">infrastruktury, zemědělství, institucionální reformy, základní vzdělávání, zdravotní péče, přístup k pitné vodě nebo opatření na ochranu klimatu aj.). Čerpat prostředky z jejích zdrojů může v současné době 78 zemí. ČR je dárcem od roku 1990. Na konci roku 2021 byl schválen příspěvek ČR do 20. cyklu doplnění zdrojů IDA pro období 2022-2025 (tzv. IDA20) ve výši 388,9 mil. Kč. V roce 2024 byla uhrazena druhá splátka ve výši </w:t>
      </w:r>
      <w:r w:rsidRPr="005032EA">
        <w:rPr>
          <w:b/>
        </w:rPr>
        <w:t>128 470 000 Kč</w:t>
      </w:r>
      <w:r w:rsidRPr="005032EA">
        <w:t>.</w:t>
      </w:r>
    </w:p>
    <w:p w14:paraId="253ED0AB" w14:textId="77777777" w:rsidR="00311499" w:rsidRPr="005032EA" w:rsidRDefault="00311499" w:rsidP="001C7A7B">
      <w:pPr>
        <w:pStyle w:val="Nadpis3"/>
        <w:spacing w:line="264" w:lineRule="auto"/>
      </w:pPr>
      <w:bookmarkStart w:id="39" w:name="_Toc200633285"/>
      <w:r w:rsidRPr="005032EA">
        <w:t>Multilaterální iniciativa na odpouštění dluhů (MDRI) v rámci Mezinárodní asociace pro rozvoj (IDA)</w:t>
      </w:r>
      <w:bookmarkEnd w:id="39"/>
    </w:p>
    <w:p w14:paraId="75D7E5B1" w14:textId="77777777" w:rsidR="00311499" w:rsidRPr="005032EA" w:rsidRDefault="00311499" w:rsidP="001C7A7B">
      <w:pPr>
        <w:spacing w:line="264" w:lineRule="auto"/>
        <w:ind w:firstLine="709"/>
        <w:jc w:val="both"/>
      </w:pPr>
      <w:r w:rsidRPr="005032EA">
        <w:t xml:space="preserve">Cílem iniciativy MDRI je 100 % oddlužení vybraných rozvojových zemí prostřednictvím odpuštění jejich dluhů vůči IDA. V květnu 2022 podepsal ministr financí aktualizované potvrzení o přijetí závazku ČR podílet se na doplnění zdrojů MDRI. Na roky 2023–2033 se ČR zavázala uhradit celkem 170,48 mil. CZK. ČR se řídí dle splátkového kalendáře, který byl vystaven ze strany MDRI. V roce 2024 byla uhrazena 18. splátka ve výši </w:t>
      </w:r>
      <w:r w:rsidRPr="005032EA">
        <w:rPr>
          <w:b/>
          <w:bCs/>
        </w:rPr>
        <w:t>17 240 000 Kč.</w:t>
      </w:r>
      <w:r w:rsidRPr="005032EA">
        <w:t xml:space="preserve"> </w:t>
      </w:r>
    </w:p>
    <w:p w14:paraId="44AB6905" w14:textId="77777777" w:rsidR="003A1EAF" w:rsidRPr="005032EA" w:rsidRDefault="003A1EAF" w:rsidP="001C7A7B">
      <w:pPr>
        <w:pStyle w:val="Nadpis3"/>
        <w:spacing w:line="264" w:lineRule="auto"/>
        <w:rPr>
          <w:lang w:eastAsia="en-US"/>
        </w:rPr>
      </w:pPr>
      <w:bookmarkStart w:id="40" w:name="_Toc200633286"/>
      <w:r w:rsidRPr="005032EA">
        <w:rPr>
          <w:lang w:eastAsia="en-US"/>
        </w:rPr>
        <w:t>Mezinárodní finanční korporace (IFC)</w:t>
      </w:r>
      <w:bookmarkEnd w:id="40"/>
    </w:p>
    <w:p w14:paraId="515EBF7C" w14:textId="788E2453" w:rsidR="00B94C99" w:rsidRPr="005032EA" w:rsidRDefault="00B94C99" w:rsidP="001C7A7B">
      <w:pPr>
        <w:spacing w:line="264" w:lineRule="auto"/>
        <w:ind w:firstLine="709"/>
        <w:jc w:val="both"/>
      </w:pPr>
      <w:r w:rsidRPr="005032EA">
        <w:rPr>
          <w:rFonts w:cs="Arial"/>
        </w:rPr>
        <w:t xml:space="preserve">Dne 14. prosince 2020 schválila vláda usnesením č. 1310 navýšení kapitálu ČR v Mezinárodní finanční korporaci (IFC) ve výši 29.407.000 USD (ve formě splaceného kapitálu). Úpis kapitálu je rozdělen do šesti ročních splátek rozložených rovnoměrně do období let 2020 až 2025. </w:t>
      </w:r>
      <w:r w:rsidRPr="005032EA">
        <w:rPr>
          <w:b/>
          <w:bCs/>
        </w:rPr>
        <w:t xml:space="preserve"> </w:t>
      </w:r>
      <w:r w:rsidRPr="005032EA">
        <w:t xml:space="preserve">V roce 2024 byla uhrazena 5. splátka ve výši </w:t>
      </w:r>
      <w:r w:rsidRPr="005032EA">
        <w:rPr>
          <w:b/>
          <w:bCs/>
        </w:rPr>
        <w:t>83 105 550 Kč</w:t>
      </w:r>
      <w:r w:rsidR="00EE2C58" w:rsidRPr="005032EA">
        <w:t xml:space="preserve"> (3 </w:t>
      </w:r>
      <w:r w:rsidRPr="005032EA">
        <w:t>586 000 USD).</w:t>
      </w:r>
    </w:p>
    <w:p w14:paraId="7EE8B968" w14:textId="77777777" w:rsidR="003A1EAF" w:rsidRPr="005032EA" w:rsidRDefault="003A1EAF" w:rsidP="001C7A7B">
      <w:pPr>
        <w:pStyle w:val="Nadpis3"/>
        <w:spacing w:line="264" w:lineRule="auto"/>
      </w:pPr>
      <w:bookmarkStart w:id="41" w:name="_Toc200633287"/>
      <w:r w:rsidRPr="005032EA">
        <w:t>Rozvojová banka Rady Evropy (CEB)</w:t>
      </w:r>
      <w:bookmarkEnd w:id="41"/>
    </w:p>
    <w:p w14:paraId="762410D8" w14:textId="3D2FC0BE" w:rsidR="00C96F96" w:rsidRDefault="00B94C99" w:rsidP="001C7A7B">
      <w:pPr>
        <w:spacing w:line="264" w:lineRule="auto"/>
        <w:ind w:firstLine="708"/>
        <w:jc w:val="both"/>
        <w:rPr>
          <w:b/>
        </w:rPr>
      </w:pPr>
      <w:r w:rsidRPr="005032EA">
        <w:t>V roce 2024 uhradila ČR mandatorní příspěvek ČR do rozpočtu Rady Evropy na rok 2024 na základě parciální dohody o CEB, ve 2 platbách. První platba byla uhrazen</w:t>
      </w:r>
      <w:r w:rsidR="004E6946">
        <w:t>a dne 28. 2. </w:t>
      </w:r>
      <w:r w:rsidRPr="005032EA">
        <w:t xml:space="preserve">2024 ve výši 5 082,13 EUR (korunový ekvivalent byl vyčíslen ve výši 128 928,56 Kč). Zbývající část příspěvku ve výši 10 164,25 EUR byla uhrazena dne 27. 6. 2024 (korunový ekvivalent byl vyčíslen ve výši 252 195,37 Kč). </w:t>
      </w:r>
      <w:r w:rsidRPr="005032EA">
        <w:rPr>
          <w:b/>
          <w:bCs/>
        </w:rPr>
        <w:t>Celke</w:t>
      </w:r>
      <w:r w:rsidR="00EE2C58" w:rsidRPr="005032EA">
        <w:rPr>
          <w:b/>
          <w:bCs/>
        </w:rPr>
        <w:t>m ČR uhradila 381 123,93 Kč (15 </w:t>
      </w:r>
      <w:r w:rsidRPr="005032EA">
        <w:rPr>
          <w:b/>
          <w:bCs/>
        </w:rPr>
        <w:t>246,38 EUR)</w:t>
      </w:r>
      <w:r w:rsidRPr="005032EA">
        <w:t xml:space="preserve">. </w:t>
      </w:r>
      <w:r w:rsidRPr="005032EA">
        <w:rPr>
          <w:b/>
        </w:rPr>
        <w:t>Jako ODA lze vykázat 68 602 Kč.</w:t>
      </w:r>
    </w:p>
    <w:p w14:paraId="6C021CC0" w14:textId="77777777" w:rsidR="00C96F96" w:rsidRDefault="00C96F96">
      <w:pPr>
        <w:rPr>
          <w:b/>
        </w:rPr>
      </w:pPr>
      <w:r>
        <w:rPr>
          <w:b/>
        </w:rPr>
        <w:br w:type="page"/>
      </w:r>
    </w:p>
    <w:p w14:paraId="411DCDC2" w14:textId="77777777" w:rsidR="003A1EAF" w:rsidRPr="005032EA" w:rsidRDefault="00054817" w:rsidP="001C7A7B">
      <w:pPr>
        <w:pStyle w:val="Nadpis3"/>
        <w:spacing w:line="264" w:lineRule="auto"/>
        <w:rPr>
          <w:bCs/>
        </w:rPr>
      </w:pPr>
      <w:bookmarkStart w:id="42" w:name="_Toc200633288"/>
      <w:r w:rsidRPr="005032EA">
        <w:lastRenderedPageBreak/>
        <w:t>Evropská unie</w:t>
      </w:r>
      <w:bookmarkEnd w:id="42"/>
      <w:r w:rsidRPr="005032EA">
        <w:t xml:space="preserve"> </w:t>
      </w:r>
    </w:p>
    <w:p w14:paraId="0A208F6C" w14:textId="77777777" w:rsidR="00B94C99" w:rsidRPr="005032EA" w:rsidRDefault="00B94C99" w:rsidP="001C7A7B">
      <w:pPr>
        <w:shd w:val="clear" w:color="auto" w:fill="FFFFFF" w:themeFill="background1"/>
        <w:spacing w:line="264" w:lineRule="auto"/>
        <w:ind w:firstLine="708"/>
        <w:jc w:val="both"/>
        <w:rPr>
          <w:b/>
        </w:rPr>
      </w:pPr>
      <w:r w:rsidRPr="005032EA">
        <w:t xml:space="preserve">Předběžný podíl příspěvku ČR na </w:t>
      </w:r>
      <w:r w:rsidRPr="005032EA">
        <w:rPr>
          <w:b/>
        </w:rPr>
        <w:t>rozvojovou spolupráci EU</w:t>
      </w:r>
      <w:r w:rsidRPr="005032EA">
        <w:t xml:space="preserve"> v roce 2024 činil </w:t>
      </w:r>
      <w:r w:rsidRPr="005032EA">
        <w:rPr>
          <w:b/>
        </w:rPr>
        <w:t>6 704 535 789</w:t>
      </w:r>
      <w:r w:rsidRPr="005032EA">
        <w:t xml:space="preserve"> </w:t>
      </w:r>
      <w:r w:rsidRPr="005032EA" w:rsidDel="00E63DDB">
        <w:rPr>
          <w:b/>
          <w:shd w:val="clear" w:color="auto" w:fill="FFFFFF"/>
        </w:rPr>
        <w:t xml:space="preserve"> </w:t>
      </w:r>
      <w:r w:rsidRPr="005032EA">
        <w:rPr>
          <w:b/>
        </w:rPr>
        <w:t>Kč.</w:t>
      </w:r>
    </w:p>
    <w:p w14:paraId="1E2AD26A" w14:textId="77777777" w:rsidR="00B94C99" w:rsidRPr="005032EA" w:rsidRDefault="00B94C99" w:rsidP="001C7A7B">
      <w:pPr>
        <w:spacing w:line="264" w:lineRule="auto"/>
      </w:pPr>
    </w:p>
    <w:p w14:paraId="6BD6FE7A" w14:textId="77777777" w:rsidR="00B94C99" w:rsidRPr="005032EA" w:rsidRDefault="00B94C99" w:rsidP="001C7A7B">
      <w:pPr>
        <w:spacing w:line="264" w:lineRule="auto"/>
        <w:ind w:firstLine="708"/>
        <w:rPr>
          <w:lang w:eastAsia="en-US"/>
        </w:rPr>
      </w:pPr>
      <w:r w:rsidRPr="005032EA">
        <w:rPr>
          <w:b/>
          <w:lang w:eastAsia="en-US"/>
        </w:rPr>
        <w:t>V rámci subvencování úroků za MFA+ pro Ukrajinu</w:t>
      </w:r>
      <w:r w:rsidRPr="005032EA">
        <w:rPr>
          <w:lang w:eastAsia="en-US"/>
        </w:rPr>
        <w:t xml:space="preserve"> zaplatila ČR v roce 2024 celkem </w:t>
      </w:r>
      <w:r w:rsidRPr="005032EA">
        <w:rPr>
          <w:b/>
        </w:rPr>
        <w:t>255 827 486</w:t>
      </w:r>
      <w:r w:rsidRPr="005032EA">
        <w:rPr>
          <w:b/>
          <w:bCs/>
          <w:lang w:eastAsia="en-US"/>
        </w:rPr>
        <w:t xml:space="preserve"> Kč</w:t>
      </w:r>
      <w:r w:rsidRPr="005032EA">
        <w:rPr>
          <w:lang w:eastAsia="en-US"/>
        </w:rPr>
        <w:t xml:space="preserve"> (10,12 mil. EUR), které jsou plně vykazatelné jako ODA.</w:t>
      </w:r>
    </w:p>
    <w:p w14:paraId="31ED8396" w14:textId="77777777" w:rsidR="00B94C99" w:rsidRPr="005032EA" w:rsidRDefault="00B94C99" w:rsidP="001C7A7B">
      <w:pPr>
        <w:spacing w:line="264" w:lineRule="auto"/>
      </w:pPr>
    </w:p>
    <w:p w14:paraId="7FDDCF4E" w14:textId="5F6BA3BE" w:rsidR="00B94C99" w:rsidRPr="005032EA" w:rsidRDefault="00B94C99" w:rsidP="001C7A7B">
      <w:pPr>
        <w:spacing w:line="264" w:lineRule="auto"/>
        <w:ind w:firstLine="709"/>
        <w:jc w:val="both"/>
        <w:rPr>
          <w:rFonts w:eastAsia="Arial"/>
        </w:rPr>
      </w:pPr>
      <w:r w:rsidRPr="005032EA">
        <w:rPr>
          <w:rStyle w:val="Siln"/>
        </w:rPr>
        <w:t xml:space="preserve">Evropský rozvojový fond je finanční nástroj rozvojové spolupráce se zeměmi skupiny AKT </w:t>
      </w:r>
      <w:r w:rsidRPr="005032EA">
        <w:t xml:space="preserve">(Afrika, Karibik, Tichomoří) a tzv. zámořskými zeměmi a územími. Základem vzájemné spolupráce EU-AKT je Dohoda o partnerství z Cotonou z roku 2000. 10. a 11. EDF, do kterého ČR přispívala a přispívá, stojí mimo rozpočet EU a je plně financován z příspěvků členských států EU. EDF je programován v pětiletých cyklech. V rámci Víceletého finančního rámce pro období 2021-2027 je EDF již zcela součástí rozpočtu EU </w:t>
      </w:r>
      <w:r w:rsidRPr="005032EA">
        <w:rPr>
          <w:rFonts w:eastAsia="Arial"/>
        </w:rPr>
        <w:t xml:space="preserve">Heading 6 (Sousedství a svět). Do něj začne ČR přispívat až po splacení celého 11. EDF. </w:t>
      </w:r>
      <w:r w:rsidRPr="005032EA">
        <w:t xml:space="preserve">V roce 2024 se uskutečnily celkem 3 platby v souvislosti s 11. EDF v celkové výši </w:t>
      </w:r>
      <w:r w:rsidRPr="005032EA">
        <w:rPr>
          <w:b/>
          <w:bCs/>
        </w:rPr>
        <w:t xml:space="preserve">299 987 930,80 Kč </w:t>
      </w:r>
      <w:r w:rsidR="004E6946">
        <w:t>(100 </w:t>
      </w:r>
      <w:r w:rsidRPr="005032EA">
        <w:t xml:space="preserve">% započitatelné do ODA). </w:t>
      </w:r>
    </w:p>
    <w:p w14:paraId="39118B16" w14:textId="77777777" w:rsidR="00B0060E" w:rsidRPr="00DA573C" w:rsidRDefault="00B0060E" w:rsidP="001C7A7B">
      <w:pPr>
        <w:pStyle w:val="Nadpis2"/>
        <w:spacing w:line="264" w:lineRule="auto"/>
      </w:pPr>
      <w:bookmarkStart w:id="43" w:name="_Toc200633289"/>
      <w:r w:rsidRPr="00DA573C">
        <w:t>Podpora životního prostředí</w:t>
      </w:r>
      <w:r w:rsidR="00452BA9" w:rsidRPr="00DA573C">
        <w:t xml:space="preserve"> </w:t>
      </w:r>
      <w:r w:rsidRPr="00DA573C">
        <w:t>a klimatu</w:t>
      </w:r>
      <w:bookmarkEnd w:id="43"/>
    </w:p>
    <w:p w14:paraId="10E80FA1" w14:textId="77777777" w:rsidR="00715AB2" w:rsidRPr="005032EA" w:rsidRDefault="00715AB2" w:rsidP="001C7A7B">
      <w:pPr>
        <w:spacing w:line="264" w:lineRule="auto"/>
        <w:ind w:firstLine="643"/>
        <w:jc w:val="both"/>
      </w:pPr>
      <w:r w:rsidRPr="005032EA">
        <w:t xml:space="preserve">Ministerstvo životního prostředí v roce 2023 realizovalo finanční příspěvky na podporu životního prostředí, ochrany biodiverzity a klimatu v souhrnné výši 67 566 787 Kč, z nichž část vykazatelná jako oficiální rozvojová pomoc činí </w:t>
      </w:r>
      <w:r w:rsidRPr="005032EA">
        <w:rPr>
          <w:b/>
        </w:rPr>
        <w:t>53 944 518 Kč</w:t>
      </w:r>
      <w:r w:rsidRPr="005032EA">
        <w:t>.</w:t>
      </w:r>
    </w:p>
    <w:p w14:paraId="31AC494A" w14:textId="44CE6BB8" w:rsidR="00715AB2" w:rsidRDefault="00715AB2" w:rsidP="001C7A7B">
      <w:pPr>
        <w:spacing w:line="264" w:lineRule="auto"/>
        <w:ind w:firstLine="643"/>
        <w:jc w:val="both"/>
      </w:pPr>
      <w:r w:rsidRPr="005032EA">
        <w:t>Finančně nejvýznamnější byl příspěvek do Globálního fondu pro životní prostředí (</w:t>
      </w:r>
      <w:r w:rsidR="0042248F" w:rsidRPr="0042248F">
        <w:t>Global Environment Facility</w:t>
      </w:r>
      <w:r w:rsidR="0042248F" w:rsidRPr="005032EA">
        <w:t xml:space="preserve"> </w:t>
      </w:r>
      <w:r w:rsidRPr="005032EA">
        <w:t>– GEF) ve výši 30 966 520 Kč, který otevírá příležitost pro uplatnění českých realizátorů a technologií.</w:t>
      </w:r>
    </w:p>
    <w:p w14:paraId="6D3880C3" w14:textId="77777777" w:rsidR="00C96F96" w:rsidRDefault="00C96F96">
      <w:pPr>
        <w:rPr>
          <w:b/>
          <w:u w:val="single"/>
        </w:rPr>
      </w:pPr>
      <w:r>
        <w:rPr>
          <w:b/>
          <w:u w:val="single"/>
        </w:rPr>
        <w:br w:type="page"/>
      </w:r>
    </w:p>
    <w:p w14:paraId="0E2D882C" w14:textId="2C7A5C6D" w:rsidR="005B6C3C" w:rsidRDefault="005B6C3C" w:rsidP="00786246">
      <w:pPr>
        <w:spacing w:before="120" w:after="120"/>
        <w:jc w:val="center"/>
      </w:pPr>
      <w:r>
        <w:rPr>
          <w:b/>
          <w:u w:val="single"/>
        </w:rPr>
        <w:lastRenderedPageBreak/>
        <w:t xml:space="preserve">Příspěvky MŽP za rok 2024 </w:t>
      </w:r>
      <w:r w:rsidRPr="00291DC3">
        <w:rPr>
          <w:b/>
          <w:u w:val="single"/>
        </w:rPr>
        <w:t>vykazatelné jako ODA</w:t>
      </w:r>
      <w:r>
        <w:rPr>
          <w:b/>
          <w:u w:val="single"/>
        </w:rPr>
        <w:t xml:space="preserve"> </w:t>
      </w:r>
    </w:p>
    <w:tbl>
      <w:tblPr>
        <w:tblW w:w="9782" w:type="dxa"/>
        <w:tblInd w:w="-318" w:type="dxa"/>
        <w:tblBorders>
          <w:bottom w:val="single" w:sz="6" w:space="0" w:color="A6A6A6" w:themeColor="background1" w:themeShade="A6"/>
          <w:insideH w:val="single" w:sz="6" w:space="0" w:color="A6A6A6" w:themeColor="background1" w:themeShade="A6"/>
        </w:tblBorders>
        <w:tblLook w:val="04A0" w:firstRow="1" w:lastRow="0" w:firstColumn="1" w:lastColumn="0" w:noHBand="0" w:noVBand="1"/>
      </w:tblPr>
      <w:tblGrid>
        <w:gridCol w:w="4821"/>
        <w:gridCol w:w="1417"/>
        <w:gridCol w:w="1603"/>
        <w:gridCol w:w="1941"/>
      </w:tblGrid>
      <w:tr w:rsidR="00E10236" w:rsidRPr="008167E9" w14:paraId="153B25C6" w14:textId="77777777" w:rsidTr="00065F49">
        <w:tc>
          <w:tcPr>
            <w:tcW w:w="4821" w:type="dxa"/>
            <w:shd w:val="clear" w:color="auto" w:fill="45B0E1" w:themeFill="accent1" w:themeFillTint="99"/>
          </w:tcPr>
          <w:p w14:paraId="264C726B" w14:textId="63041565" w:rsidR="00E10236" w:rsidRPr="008167E9" w:rsidRDefault="00E10236" w:rsidP="005B2806">
            <w:pPr>
              <w:jc w:val="center"/>
              <w:rPr>
                <w:rFonts w:eastAsia="Calibri"/>
              </w:rPr>
            </w:pPr>
            <w:r>
              <w:t>P</w:t>
            </w:r>
            <w:r w:rsidRPr="00365A55">
              <w:t>říspěvek</w:t>
            </w:r>
          </w:p>
        </w:tc>
        <w:tc>
          <w:tcPr>
            <w:tcW w:w="1417" w:type="dxa"/>
            <w:shd w:val="clear" w:color="auto" w:fill="45B0E1" w:themeFill="accent1" w:themeFillTint="99"/>
          </w:tcPr>
          <w:p w14:paraId="1CB009A0" w14:textId="2E484A18" w:rsidR="00E10236" w:rsidRPr="008167E9" w:rsidRDefault="00E10236" w:rsidP="005B2806">
            <w:pPr>
              <w:jc w:val="center"/>
              <w:rPr>
                <w:rFonts w:eastAsia="Calibri"/>
              </w:rPr>
            </w:pPr>
            <w:r w:rsidRPr="008D5893">
              <w:t>Částka v Kč</w:t>
            </w:r>
          </w:p>
        </w:tc>
        <w:tc>
          <w:tcPr>
            <w:tcW w:w="1603" w:type="dxa"/>
            <w:shd w:val="clear" w:color="auto" w:fill="45B0E1" w:themeFill="accent1" w:themeFillTint="99"/>
          </w:tcPr>
          <w:p w14:paraId="5DCE4CB5" w14:textId="4838B3FD" w:rsidR="00E10236" w:rsidRPr="008167E9" w:rsidRDefault="00E10236" w:rsidP="005B2806">
            <w:pPr>
              <w:jc w:val="center"/>
              <w:rPr>
                <w:rFonts w:eastAsia="Calibri"/>
              </w:rPr>
            </w:pPr>
            <w:r>
              <w:t>Procento vykazatelnosti ODA (%)</w:t>
            </w:r>
          </w:p>
        </w:tc>
        <w:tc>
          <w:tcPr>
            <w:tcW w:w="1941" w:type="dxa"/>
            <w:shd w:val="clear" w:color="auto" w:fill="45B0E1" w:themeFill="accent1" w:themeFillTint="99"/>
          </w:tcPr>
          <w:p w14:paraId="4E61B3CA" w14:textId="24296E8F" w:rsidR="00E10236" w:rsidRPr="008167E9" w:rsidRDefault="00E10236" w:rsidP="005B2806">
            <w:pPr>
              <w:jc w:val="center"/>
              <w:rPr>
                <w:rFonts w:eastAsia="Calibri"/>
              </w:rPr>
            </w:pPr>
            <w:r>
              <w:t>Přepočet na daná procenta v Kč</w:t>
            </w:r>
          </w:p>
        </w:tc>
      </w:tr>
      <w:tr w:rsidR="002F7047" w:rsidRPr="008167E9" w14:paraId="55DA6605" w14:textId="77777777" w:rsidTr="00065F49">
        <w:tc>
          <w:tcPr>
            <w:tcW w:w="4821" w:type="dxa"/>
            <w:shd w:val="clear" w:color="auto" w:fill="auto"/>
          </w:tcPr>
          <w:p w14:paraId="1924EB28" w14:textId="14BACF72" w:rsidR="002F7047" w:rsidRPr="008167E9" w:rsidRDefault="002F7047" w:rsidP="002F7047">
            <w:pPr>
              <w:rPr>
                <w:rFonts w:eastAsia="Calibri"/>
              </w:rPr>
            </w:pPr>
            <w:r w:rsidRPr="00B97F53">
              <w:t xml:space="preserve">Příspěvek do Úmluvy OSN o boji proti desertifikaci v zemích postižených velkým suchem a/nebo desertifikací, zejména </w:t>
            </w:r>
            <w:r>
              <w:t xml:space="preserve">v Africe (UNCCD) </w:t>
            </w:r>
          </w:p>
        </w:tc>
        <w:tc>
          <w:tcPr>
            <w:tcW w:w="1417" w:type="dxa"/>
          </w:tcPr>
          <w:p w14:paraId="5785BA15" w14:textId="2F7552B3" w:rsidR="002F7047" w:rsidRDefault="002F7047" w:rsidP="002F7047">
            <w:pPr>
              <w:jc w:val="center"/>
            </w:pPr>
            <w:r>
              <w:t>699 642</w:t>
            </w:r>
          </w:p>
        </w:tc>
        <w:tc>
          <w:tcPr>
            <w:tcW w:w="1603" w:type="dxa"/>
            <w:shd w:val="clear" w:color="auto" w:fill="auto"/>
          </w:tcPr>
          <w:p w14:paraId="385E2949" w14:textId="5E46A71C" w:rsidR="002F7047" w:rsidRPr="008167E9" w:rsidRDefault="002F7047" w:rsidP="002F7047">
            <w:pPr>
              <w:jc w:val="center"/>
              <w:rPr>
                <w:rFonts w:eastAsia="Calibri"/>
              </w:rPr>
            </w:pPr>
            <w:r>
              <w:t>100</w:t>
            </w:r>
          </w:p>
        </w:tc>
        <w:tc>
          <w:tcPr>
            <w:tcW w:w="1941" w:type="dxa"/>
            <w:shd w:val="clear" w:color="auto" w:fill="auto"/>
          </w:tcPr>
          <w:p w14:paraId="0F62A180" w14:textId="334BA5E4" w:rsidR="002F7047" w:rsidRPr="008167E9" w:rsidRDefault="002F7047" w:rsidP="002F7047">
            <w:pPr>
              <w:jc w:val="right"/>
              <w:rPr>
                <w:rFonts w:eastAsia="Calibri"/>
              </w:rPr>
            </w:pPr>
            <w:r>
              <w:t>699 642</w:t>
            </w:r>
          </w:p>
        </w:tc>
      </w:tr>
      <w:tr w:rsidR="002F7047" w:rsidRPr="008167E9" w14:paraId="4F21837C" w14:textId="77777777" w:rsidTr="00065F49">
        <w:tc>
          <w:tcPr>
            <w:tcW w:w="4821" w:type="dxa"/>
            <w:shd w:val="clear" w:color="auto" w:fill="auto"/>
          </w:tcPr>
          <w:p w14:paraId="3688A256" w14:textId="5DB4F3CC" w:rsidR="002F7047" w:rsidRPr="008167E9" w:rsidRDefault="002F7047" w:rsidP="002F7047">
            <w:pPr>
              <w:rPr>
                <w:rFonts w:eastAsia="Calibri"/>
              </w:rPr>
            </w:pPr>
            <w:r w:rsidRPr="00B97F53">
              <w:t>Příspěvek do Mnohostranného fondu pro plnění M</w:t>
            </w:r>
            <w:r>
              <w:t xml:space="preserve">ontrealského protokolu (MLF) </w:t>
            </w:r>
          </w:p>
        </w:tc>
        <w:tc>
          <w:tcPr>
            <w:tcW w:w="1417" w:type="dxa"/>
          </w:tcPr>
          <w:p w14:paraId="1AC36B47" w14:textId="42F263FC" w:rsidR="002F7047" w:rsidRDefault="002F7047" w:rsidP="002F7047">
            <w:pPr>
              <w:tabs>
                <w:tab w:val="center" w:pos="671"/>
              </w:tabs>
              <w:jc w:val="center"/>
            </w:pPr>
            <w:r>
              <w:t>23 296 610</w:t>
            </w:r>
          </w:p>
        </w:tc>
        <w:tc>
          <w:tcPr>
            <w:tcW w:w="1603" w:type="dxa"/>
            <w:shd w:val="clear" w:color="auto" w:fill="auto"/>
          </w:tcPr>
          <w:p w14:paraId="32C892E3" w14:textId="0575FEFA" w:rsidR="002F7047" w:rsidRPr="008167E9" w:rsidRDefault="002F7047" w:rsidP="002F7047">
            <w:pPr>
              <w:tabs>
                <w:tab w:val="center" w:pos="671"/>
              </w:tabs>
              <w:jc w:val="center"/>
              <w:rPr>
                <w:rFonts w:eastAsia="Calibri"/>
              </w:rPr>
            </w:pPr>
            <w:r>
              <w:t>100</w:t>
            </w:r>
          </w:p>
        </w:tc>
        <w:tc>
          <w:tcPr>
            <w:tcW w:w="1941" w:type="dxa"/>
            <w:shd w:val="clear" w:color="auto" w:fill="auto"/>
          </w:tcPr>
          <w:p w14:paraId="53B7D98B" w14:textId="304A8FD2" w:rsidR="002F7047" w:rsidRPr="008167E9" w:rsidRDefault="002F7047" w:rsidP="002F7047">
            <w:pPr>
              <w:jc w:val="right"/>
              <w:rPr>
                <w:rFonts w:eastAsia="Calibri"/>
              </w:rPr>
            </w:pPr>
            <w:r>
              <w:t>23 296 610</w:t>
            </w:r>
          </w:p>
        </w:tc>
      </w:tr>
      <w:tr w:rsidR="002F7047" w:rsidRPr="008167E9" w14:paraId="6989D0A5" w14:textId="77777777" w:rsidTr="00065F49">
        <w:tc>
          <w:tcPr>
            <w:tcW w:w="4821" w:type="dxa"/>
            <w:shd w:val="clear" w:color="auto" w:fill="auto"/>
          </w:tcPr>
          <w:p w14:paraId="53BE0BA8" w14:textId="01F9B979" w:rsidR="002F7047" w:rsidRPr="008167E9" w:rsidRDefault="002F7047" w:rsidP="002F7047">
            <w:pPr>
              <w:rPr>
                <w:rFonts w:eastAsia="Calibri"/>
              </w:rPr>
            </w:pPr>
            <w:r w:rsidRPr="00B97F53">
              <w:t>Příspěvek do Rámcové úmluvy OSN o zm</w:t>
            </w:r>
            <w:r>
              <w:t xml:space="preserve">ěně klimatu (UNFCCC) </w:t>
            </w:r>
          </w:p>
        </w:tc>
        <w:tc>
          <w:tcPr>
            <w:tcW w:w="1417" w:type="dxa"/>
          </w:tcPr>
          <w:p w14:paraId="2F793306" w14:textId="67F294E9" w:rsidR="002F7047" w:rsidRDefault="002F7047" w:rsidP="002F7047">
            <w:pPr>
              <w:jc w:val="center"/>
            </w:pPr>
            <w:r>
              <w:t>2 809 951</w:t>
            </w:r>
          </w:p>
        </w:tc>
        <w:tc>
          <w:tcPr>
            <w:tcW w:w="1603" w:type="dxa"/>
            <w:shd w:val="clear" w:color="auto" w:fill="auto"/>
          </w:tcPr>
          <w:p w14:paraId="3CD1FD2E" w14:textId="4D64CF80" w:rsidR="002F7047" w:rsidRPr="008167E9" w:rsidRDefault="002F7047" w:rsidP="002F7047">
            <w:pPr>
              <w:jc w:val="center"/>
              <w:rPr>
                <w:rFonts w:eastAsia="Calibri"/>
              </w:rPr>
            </w:pPr>
            <w:r>
              <w:t>61</w:t>
            </w:r>
          </w:p>
        </w:tc>
        <w:tc>
          <w:tcPr>
            <w:tcW w:w="1941" w:type="dxa"/>
            <w:shd w:val="clear" w:color="auto" w:fill="auto"/>
          </w:tcPr>
          <w:p w14:paraId="5EEA9CAF" w14:textId="32B1B47A" w:rsidR="002F7047" w:rsidRPr="008167E9" w:rsidRDefault="002F7047" w:rsidP="002F7047">
            <w:pPr>
              <w:jc w:val="right"/>
              <w:rPr>
                <w:rFonts w:eastAsia="Calibri"/>
              </w:rPr>
            </w:pPr>
            <w:r w:rsidRPr="005323A6">
              <w:t>1 714 070</w:t>
            </w:r>
          </w:p>
        </w:tc>
      </w:tr>
      <w:tr w:rsidR="002F7047" w:rsidRPr="008167E9" w14:paraId="3C8EB91B" w14:textId="77777777" w:rsidTr="00065F49">
        <w:tc>
          <w:tcPr>
            <w:tcW w:w="4821" w:type="dxa"/>
            <w:shd w:val="clear" w:color="auto" w:fill="auto"/>
          </w:tcPr>
          <w:p w14:paraId="6716396F" w14:textId="644CFAB2" w:rsidR="002F7047" w:rsidRPr="008167E9" w:rsidRDefault="002F7047" w:rsidP="002F7047">
            <w:pPr>
              <w:rPr>
                <w:rFonts w:eastAsia="Calibri"/>
              </w:rPr>
            </w:pPr>
            <w:r>
              <w:t>Příspěvek do Zeleného klimatického fondu (GCF)</w:t>
            </w:r>
          </w:p>
        </w:tc>
        <w:tc>
          <w:tcPr>
            <w:tcW w:w="1417" w:type="dxa"/>
          </w:tcPr>
          <w:p w14:paraId="07D05FC5" w14:textId="60478ABB" w:rsidR="002F7047" w:rsidRDefault="002F7047" w:rsidP="002F7047">
            <w:pPr>
              <w:jc w:val="center"/>
            </w:pPr>
            <w:r>
              <w:t>23 301 000</w:t>
            </w:r>
          </w:p>
        </w:tc>
        <w:tc>
          <w:tcPr>
            <w:tcW w:w="1603" w:type="dxa"/>
            <w:shd w:val="clear" w:color="auto" w:fill="auto"/>
          </w:tcPr>
          <w:p w14:paraId="5AA63BF4" w14:textId="088595CC" w:rsidR="002F7047" w:rsidRPr="008167E9" w:rsidRDefault="002F7047" w:rsidP="002F7047">
            <w:pPr>
              <w:jc w:val="center"/>
              <w:rPr>
                <w:rFonts w:eastAsia="Calibri"/>
              </w:rPr>
            </w:pPr>
            <w:r>
              <w:t>100</w:t>
            </w:r>
          </w:p>
        </w:tc>
        <w:tc>
          <w:tcPr>
            <w:tcW w:w="1941" w:type="dxa"/>
            <w:shd w:val="clear" w:color="auto" w:fill="auto"/>
          </w:tcPr>
          <w:p w14:paraId="3656D74F" w14:textId="5C7A4B5D" w:rsidR="002F7047" w:rsidRPr="008167E9" w:rsidRDefault="002F7047" w:rsidP="002F7047">
            <w:pPr>
              <w:jc w:val="right"/>
              <w:rPr>
                <w:rFonts w:eastAsia="Calibri"/>
              </w:rPr>
            </w:pPr>
            <w:r w:rsidRPr="00EB297A">
              <w:t>23 301 000</w:t>
            </w:r>
          </w:p>
        </w:tc>
      </w:tr>
      <w:tr w:rsidR="002F7047" w:rsidRPr="008167E9" w14:paraId="4C7E0B97" w14:textId="77777777" w:rsidTr="00065F49">
        <w:tc>
          <w:tcPr>
            <w:tcW w:w="4821" w:type="dxa"/>
            <w:shd w:val="clear" w:color="auto" w:fill="auto"/>
          </w:tcPr>
          <w:p w14:paraId="4A601E9E" w14:textId="783A7127" w:rsidR="002F7047" w:rsidRPr="008167E9" w:rsidRDefault="002F7047" w:rsidP="002F7047">
            <w:pPr>
              <w:rPr>
                <w:rFonts w:eastAsia="Calibri"/>
              </w:rPr>
            </w:pPr>
            <w:r w:rsidRPr="00B97F53">
              <w:t>Příspěvek pro Úmluvu o mezinárodním obchodu ohroženými druhy volně žijících živočic</w:t>
            </w:r>
            <w:r>
              <w:t>hů a rostlin (CITES)</w:t>
            </w:r>
          </w:p>
        </w:tc>
        <w:tc>
          <w:tcPr>
            <w:tcW w:w="1417" w:type="dxa"/>
          </w:tcPr>
          <w:p w14:paraId="2D51DA95" w14:textId="33A20AD7" w:rsidR="002F7047" w:rsidRDefault="002F7047" w:rsidP="002F7047">
            <w:pPr>
              <w:jc w:val="center"/>
            </w:pPr>
            <w:r>
              <w:t>526 355</w:t>
            </w:r>
          </w:p>
        </w:tc>
        <w:tc>
          <w:tcPr>
            <w:tcW w:w="1603" w:type="dxa"/>
            <w:shd w:val="clear" w:color="auto" w:fill="auto"/>
          </w:tcPr>
          <w:p w14:paraId="64837D1F" w14:textId="36E5EA14" w:rsidR="002F7047" w:rsidRPr="008167E9" w:rsidRDefault="002F7047" w:rsidP="002F7047">
            <w:pPr>
              <w:jc w:val="center"/>
              <w:rPr>
                <w:rFonts w:eastAsia="Calibri"/>
              </w:rPr>
            </w:pPr>
            <w:r>
              <w:t>100</w:t>
            </w:r>
          </w:p>
        </w:tc>
        <w:tc>
          <w:tcPr>
            <w:tcW w:w="1941" w:type="dxa"/>
            <w:shd w:val="clear" w:color="auto" w:fill="auto"/>
          </w:tcPr>
          <w:p w14:paraId="2363F36B" w14:textId="4955E592" w:rsidR="002F7047" w:rsidRPr="008167E9" w:rsidRDefault="002F7047" w:rsidP="002F7047">
            <w:pPr>
              <w:jc w:val="right"/>
              <w:rPr>
                <w:rFonts w:eastAsia="Calibri"/>
              </w:rPr>
            </w:pPr>
            <w:r>
              <w:t>526 355</w:t>
            </w:r>
          </w:p>
        </w:tc>
      </w:tr>
      <w:tr w:rsidR="002F7047" w:rsidRPr="008167E9" w14:paraId="0F4A63F3" w14:textId="77777777" w:rsidTr="00065F49">
        <w:tc>
          <w:tcPr>
            <w:tcW w:w="4821" w:type="dxa"/>
            <w:shd w:val="clear" w:color="auto" w:fill="auto"/>
          </w:tcPr>
          <w:p w14:paraId="1A8F70C8" w14:textId="7513EAFD" w:rsidR="002F7047" w:rsidRPr="008167E9" w:rsidRDefault="002F7047" w:rsidP="002F7047">
            <w:pPr>
              <w:rPr>
                <w:rFonts w:eastAsia="Calibri"/>
              </w:rPr>
            </w:pPr>
            <w:r w:rsidRPr="00B97F53">
              <w:t>Příspěvek pro Světový svaz oc</w:t>
            </w:r>
            <w:r>
              <w:t xml:space="preserve">hrany přírody (IUCN) </w:t>
            </w:r>
          </w:p>
        </w:tc>
        <w:tc>
          <w:tcPr>
            <w:tcW w:w="1417" w:type="dxa"/>
          </w:tcPr>
          <w:p w14:paraId="59CA2928" w14:textId="6A86AAF3" w:rsidR="002F7047" w:rsidRDefault="002F7047" w:rsidP="002F7047">
            <w:pPr>
              <w:jc w:val="center"/>
            </w:pPr>
            <w:r>
              <w:t>3 227 821</w:t>
            </w:r>
          </w:p>
        </w:tc>
        <w:tc>
          <w:tcPr>
            <w:tcW w:w="1603" w:type="dxa"/>
            <w:shd w:val="clear" w:color="auto" w:fill="auto"/>
          </w:tcPr>
          <w:p w14:paraId="0BE662BB" w14:textId="701E69B5" w:rsidR="002F7047" w:rsidRPr="008167E9" w:rsidRDefault="002F7047" w:rsidP="002F7047">
            <w:pPr>
              <w:jc w:val="center"/>
              <w:rPr>
                <w:rFonts w:eastAsia="Calibri"/>
              </w:rPr>
            </w:pPr>
            <w:r>
              <w:t>100</w:t>
            </w:r>
          </w:p>
        </w:tc>
        <w:tc>
          <w:tcPr>
            <w:tcW w:w="1941" w:type="dxa"/>
            <w:shd w:val="clear" w:color="auto" w:fill="auto"/>
          </w:tcPr>
          <w:p w14:paraId="20664AA5" w14:textId="78E6DD07" w:rsidR="002F7047" w:rsidRPr="008167E9" w:rsidRDefault="002F7047" w:rsidP="002F7047">
            <w:pPr>
              <w:jc w:val="right"/>
              <w:rPr>
                <w:rFonts w:eastAsia="Calibri"/>
              </w:rPr>
            </w:pPr>
            <w:r>
              <w:t>3 227 821</w:t>
            </w:r>
          </w:p>
        </w:tc>
      </w:tr>
      <w:tr w:rsidR="002F7047" w:rsidRPr="008167E9" w14:paraId="3AA7AB6E" w14:textId="77777777" w:rsidTr="00065F49">
        <w:tc>
          <w:tcPr>
            <w:tcW w:w="4821" w:type="dxa"/>
            <w:shd w:val="clear" w:color="auto" w:fill="auto"/>
          </w:tcPr>
          <w:p w14:paraId="33E92A1C" w14:textId="182AD5A3" w:rsidR="002F7047" w:rsidRPr="008167E9" w:rsidRDefault="002F7047" w:rsidP="002F7047">
            <w:pPr>
              <w:rPr>
                <w:rFonts w:eastAsia="Calibri"/>
              </w:rPr>
            </w:pPr>
            <w:r w:rsidRPr="00B97F53">
              <w:t xml:space="preserve">Příspěvek AOPK pro Světový svaz ochrany přírody (IUCN) </w:t>
            </w:r>
          </w:p>
        </w:tc>
        <w:tc>
          <w:tcPr>
            <w:tcW w:w="1417" w:type="dxa"/>
          </w:tcPr>
          <w:p w14:paraId="463D0FD2" w14:textId="4B592C1B" w:rsidR="002F7047" w:rsidRDefault="002F7047" w:rsidP="002F7047">
            <w:pPr>
              <w:jc w:val="center"/>
            </w:pPr>
            <w:r>
              <w:t>97 053</w:t>
            </w:r>
          </w:p>
        </w:tc>
        <w:tc>
          <w:tcPr>
            <w:tcW w:w="1603" w:type="dxa"/>
            <w:shd w:val="clear" w:color="auto" w:fill="auto"/>
          </w:tcPr>
          <w:p w14:paraId="318B3840" w14:textId="2756C129" w:rsidR="002F7047" w:rsidRPr="008167E9" w:rsidRDefault="002F7047" w:rsidP="002F7047">
            <w:pPr>
              <w:jc w:val="center"/>
              <w:rPr>
                <w:rFonts w:eastAsia="Calibri"/>
              </w:rPr>
            </w:pPr>
            <w:r>
              <w:t>100</w:t>
            </w:r>
          </w:p>
        </w:tc>
        <w:tc>
          <w:tcPr>
            <w:tcW w:w="1941" w:type="dxa"/>
            <w:shd w:val="clear" w:color="auto" w:fill="auto"/>
          </w:tcPr>
          <w:p w14:paraId="44F9B528" w14:textId="43D1F0A8" w:rsidR="002F7047" w:rsidRPr="008167E9" w:rsidRDefault="002F7047" w:rsidP="002F7047">
            <w:pPr>
              <w:jc w:val="right"/>
              <w:rPr>
                <w:rFonts w:eastAsia="Calibri"/>
              </w:rPr>
            </w:pPr>
            <w:r>
              <w:t>97 053</w:t>
            </w:r>
          </w:p>
        </w:tc>
      </w:tr>
      <w:tr w:rsidR="002F7047" w:rsidRPr="008167E9" w14:paraId="44FDB268" w14:textId="77777777" w:rsidTr="00065F49">
        <w:tc>
          <w:tcPr>
            <w:tcW w:w="4821" w:type="dxa"/>
            <w:shd w:val="clear" w:color="auto" w:fill="auto"/>
          </w:tcPr>
          <w:p w14:paraId="4D686404" w14:textId="3E528D15" w:rsidR="002F7047" w:rsidRPr="008167E9" w:rsidRDefault="002F7047" w:rsidP="002F7047">
            <w:pPr>
              <w:rPr>
                <w:rFonts w:eastAsia="Calibri"/>
              </w:rPr>
            </w:pPr>
            <w:r w:rsidRPr="00B97F53">
              <w:t xml:space="preserve">Příspěvek pro Světovou meteorologickou organizaci (WMO) </w:t>
            </w:r>
          </w:p>
        </w:tc>
        <w:tc>
          <w:tcPr>
            <w:tcW w:w="1417" w:type="dxa"/>
          </w:tcPr>
          <w:p w14:paraId="65FAD396" w14:textId="36FDDD01" w:rsidR="002F7047" w:rsidRDefault="002F7047" w:rsidP="002F7047">
            <w:pPr>
              <w:jc w:val="center"/>
            </w:pPr>
            <w:r>
              <w:t>6 267 398</w:t>
            </w:r>
          </w:p>
        </w:tc>
        <w:tc>
          <w:tcPr>
            <w:tcW w:w="1603" w:type="dxa"/>
            <w:shd w:val="clear" w:color="auto" w:fill="auto"/>
          </w:tcPr>
          <w:p w14:paraId="6369F352" w14:textId="1297D609" w:rsidR="002F7047" w:rsidRPr="008167E9" w:rsidRDefault="002F7047" w:rsidP="002F7047">
            <w:pPr>
              <w:jc w:val="center"/>
              <w:rPr>
                <w:rFonts w:eastAsia="Calibri"/>
                <w:highlight w:val="yellow"/>
              </w:rPr>
            </w:pPr>
            <w:r>
              <w:t>4</w:t>
            </w:r>
          </w:p>
        </w:tc>
        <w:tc>
          <w:tcPr>
            <w:tcW w:w="1941" w:type="dxa"/>
            <w:shd w:val="clear" w:color="auto" w:fill="auto"/>
          </w:tcPr>
          <w:p w14:paraId="72A87E2E" w14:textId="68279A5E" w:rsidR="002F7047" w:rsidRPr="008167E9" w:rsidRDefault="002F7047" w:rsidP="002F7047">
            <w:pPr>
              <w:jc w:val="right"/>
              <w:rPr>
                <w:rFonts w:eastAsia="Calibri"/>
                <w:highlight w:val="yellow"/>
              </w:rPr>
            </w:pPr>
            <w:r w:rsidRPr="005323A6">
              <w:t>250 69</w:t>
            </w:r>
            <w:r>
              <w:t>6</w:t>
            </w:r>
          </w:p>
        </w:tc>
      </w:tr>
      <w:tr w:rsidR="002F7047" w:rsidRPr="008167E9" w14:paraId="5F916EEA" w14:textId="77777777" w:rsidTr="00065F49">
        <w:tc>
          <w:tcPr>
            <w:tcW w:w="4821" w:type="dxa"/>
            <w:shd w:val="clear" w:color="auto" w:fill="auto"/>
          </w:tcPr>
          <w:p w14:paraId="53B217D2" w14:textId="7FFB2150" w:rsidR="002F7047" w:rsidRPr="008167E9" w:rsidRDefault="002F7047" w:rsidP="002F7047">
            <w:pPr>
              <w:rPr>
                <w:rFonts w:eastAsia="Calibri"/>
              </w:rPr>
            </w:pPr>
            <w:r w:rsidRPr="00B97F53">
              <w:t xml:space="preserve">Příspěvek pro Globální fond životního prostředí (GEF) </w:t>
            </w:r>
          </w:p>
        </w:tc>
        <w:tc>
          <w:tcPr>
            <w:tcW w:w="1417" w:type="dxa"/>
          </w:tcPr>
          <w:p w14:paraId="7729F32B" w14:textId="441436FF" w:rsidR="002F7047" w:rsidRPr="00031103" w:rsidRDefault="002F7047" w:rsidP="002F7047">
            <w:pPr>
              <w:jc w:val="center"/>
            </w:pPr>
            <w:r w:rsidRPr="00684246">
              <w:t>30 966 520</w:t>
            </w:r>
          </w:p>
        </w:tc>
        <w:tc>
          <w:tcPr>
            <w:tcW w:w="1603" w:type="dxa"/>
            <w:shd w:val="clear" w:color="auto" w:fill="auto"/>
          </w:tcPr>
          <w:p w14:paraId="7248BD89" w14:textId="57126142" w:rsidR="002F7047" w:rsidRPr="008167E9" w:rsidRDefault="002F7047" w:rsidP="002F7047">
            <w:pPr>
              <w:jc w:val="center"/>
              <w:rPr>
                <w:rFonts w:eastAsia="Calibri"/>
              </w:rPr>
            </w:pPr>
            <w:r w:rsidRPr="00031103">
              <w:t>100</w:t>
            </w:r>
          </w:p>
        </w:tc>
        <w:tc>
          <w:tcPr>
            <w:tcW w:w="1941" w:type="dxa"/>
            <w:shd w:val="clear" w:color="auto" w:fill="auto"/>
          </w:tcPr>
          <w:p w14:paraId="6B9C2056" w14:textId="5F02C447" w:rsidR="002F7047" w:rsidRPr="008167E9" w:rsidRDefault="002F7047" w:rsidP="002F7047">
            <w:pPr>
              <w:jc w:val="right"/>
              <w:rPr>
                <w:rFonts w:eastAsia="Calibri"/>
              </w:rPr>
            </w:pPr>
            <w:r w:rsidRPr="00786666">
              <w:t>30 966 520</w:t>
            </w:r>
          </w:p>
        </w:tc>
      </w:tr>
      <w:tr w:rsidR="002F7047" w:rsidRPr="008167E9" w14:paraId="746949DD" w14:textId="77777777" w:rsidTr="00065F49">
        <w:tc>
          <w:tcPr>
            <w:tcW w:w="4821" w:type="dxa"/>
            <w:shd w:val="clear" w:color="auto" w:fill="auto"/>
          </w:tcPr>
          <w:p w14:paraId="6958E198" w14:textId="6039ED3A" w:rsidR="002F7047" w:rsidRPr="008167E9" w:rsidRDefault="002F7047" w:rsidP="002F7047">
            <w:pPr>
              <w:rPr>
                <w:rFonts w:eastAsia="Calibri"/>
              </w:rPr>
            </w:pPr>
            <w:r w:rsidRPr="00E85DCD">
              <w:t xml:space="preserve">Příspěvek pro Úmluvu o dálkovém znečišťování ovzduší přesahujícím hranice států (CLRTAP) </w:t>
            </w:r>
          </w:p>
        </w:tc>
        <w:tc>
          <w:tcPr>
            <w:tcW w:w="1417" w:type="dxa"/>
          </w:tcPr>
          <w:p w14:paraId="040E5AB1" w14:textId="568EA0FD" w:rsidR="002F7047" w:rsidRDefault="002F7047" w:rsidP="002F7047">
            <w:pPr>
              <w:jc w:val="center"/>
            </w:pPr>
            <w:r w:rsidRPr="00E80706">
              <w:t>536 135</w:t>
            </w:r>
          </w:p>
        </w:tc>
        <w:tc>
          <w:tcPr>
            <w:tcW w:w="1603" w:type="dxa"/>
            <w:shd w:val="clear" w:color="auto" w:fill="auto"/>
          </w:tcPr>
          <w:p w14:paraId="11D37537" w14:textId="2BCD7500" w:rsidR="002F7047" w:rsidRPr="008167E9" w:rsidRDefault="002F7047" w:rsidP="002F7047">
            <w:pPr>
              <w:jc w:val="center"/>
              <w:rPr>
                <w:rFonts w:eastAsia="Calibri"/>
              </w:rPr>
            </w:pPr>
            <w:r>
              <w:t xml:space="preserve"> 58</w:t>
            </w:r>
          </w:p>
        </w:tc>
        <w:tc>
          <w:tcPr>
            <w:tcW w:w="1941" w:type="dxa"/>
            <w:shd w:val="clear" w:color="auto" w:fill="auto"/>
          </w:tcPr>
          <w:p w14:paraId="78446F28" w14:textId="4FD07D60" w:rsidR="002F7047" w:rsidRPr="008167E9" w:rsidRDefault="002F7047" w:rsidP="002F7047">
            <w:pPr>
              <w:jc w:val="right"/>
              <w:rPr>
                <w:rFonts w:eastAsia="Calibri"/>
              </w:rPr>
            </w:pPr>
            <w:r w:rsidRPr="00E80706">
              <w:t>310 958</w:t>
            </w:r>
          </w:p>
        </w:tc>
      </w:tr>
      <w:tr w:rsidR="002F7047" w:rsidRPr="008167E9" w14:paraId="7C9961BB" w14:textId="77777777" w:rsidTr="00065F49">
        <w:tc>
          <w:tcPr>
            <w:tcW w:w="4821" w:type="dxa"/>
            <w:shd w:val="clear" w:color="auto" w:fill="auto"/>
          </w:tcPr>
          <w:p w14:paraId="064398B4" w14:textId="294EAAF4" w:rsidR="002F7047" w:rsidRPr="008167E9" w:rsidRDefault="002F7047" w:rsidP="002F7047">
            <w:pPr>
              <w:rPr>
                <w:rFonts w:eastAsia="Calibri"/>
              </w:rPr>
            </w:pPr>
            <w:r w:rsidRPr="00B97F53">
              <w:t xml:space="preserve">Příspěvek pro Úmluvu o přístupu k informacím, účasti veřejnosti na rozhodování a přístupu k právní ochraně v záležitostech životního prostředí (Aarhuská úmluva) </w:t>
            </w:r>
          </w:p>
        </w:tc>
        <w:tc>
          <w:tcPr>
            <w:tcW w:w="1417" w:type="dxa"/>
          </w:tcPr>
          <w:p w14:paraId="17B74A7D" w14:textId="38C2E746" w:rsidR="002F7047" w:rsidRDefault="002F7047" w:rsidP="002F7047">
            <w:pPr>
              <w:jc w:val="center"/>
            </w:pPr>
            <w:r w:rsidRPr="00E07019">
              <w:t>120 285</w:t>
            </w:r>
          </w:p>
        </w:tc>
        <w:tc>
          <w:tcPr>
            <w:tcW w:w="1603" w:type="dxa"/>
            <w:shd w:val="clear" w:color="auto" w:fill="auto"/>
          </w:tcPr>
          <w:p w14:paraId="6A45D6C7" w14:textId="0E095966" w:rsidR="002F7047" w:rsidRPr="008167E9" w:rsidRDefault="002F7047" w:rsidP="002F7047">
            <w:pPr>
              <w:jc w:val="center"/>
              <w:rPr>
                <w:rFonts w:eastAsia="Calibri"/>
              </w:rPr>
            </w:pPr>
            <w:r>
              <w:t>58</w:t>
            </w:r>
          </w:p>
        </w:tc>
        <w:tc>
          <w:tcPr>
            <w:tcW w:w="1941" w:type="dxa"/>
            <w:shd w:val="clear" w:color="auto" w:fill="auto"/>
          </w:tcPr>
          <w:p w14:paraId="144D82A3" w14:textId="5A35008A" w:rsidR="002F7047" w:rsidRPr="008167E9" w:rsidRDefault="002F7047" w:rsidP="002F7047">
            <w:pPr>
              <w:jc w:val="right"/>
              <w:rPr>
                <w:rFonts w:eastAsia="Calibri"/>
              </w:rPr>
            </w:pPr>
            <w:r w:rsidRPr="00CE429E">
              <w:t>69 765</w:t>
            </w:r>
          </w:p>
        </w:tc>
      </w:tr>
      <w:tr w:rsidR="002F7047" w:rsidRPr="008167E9" w14:paraId="384AAC4C" w14:textId="77777777" w:rsidTr="00065F49">
        <w:tc>
          <w:tcPr>
            <w:tcW w:w="4821" w:type="dxa"/>
            <w:shd w:val="clear" w:color="auto" w:fill="auto"/>
          </w:tcPr>
          <w:p w14:paraId="15291688" w14:textId="4A012729" w:rsidR="002F7047" w:rsidRPr="008167E9" w:rsidRDefault="002F7047" w:rsidP="002F7047">
            <w:pPr>
              <w:rPr>
                <w:rFonts w:eastAsia="Calibri"/>
              </w:rPr>
            </w:pPr>
            <w:r w:rsidRPr="00B97F53">
              <w:t xml:space="preserve">Příspěvek pro Protokol o registrech úniků a přenosů znečišťujících látek (PRTR) </w:t>
            </w:r>
          </w:p>
        </w:tc>
        <w:tc>
          <w:tcPr>
            <w:tcW w:w="1417" w:type="dxa"/>
          </w:tcPr>
          <w:p w14:paraId="04BF61EB" w14:textId="282F2858" w:rsidR="002F7047" w:rsidRDefault="002F7047" w:rsidP="002F7047">
            <w:pPr>
              <w:jc w:val="center"/>
            </w:pPr>
            <w:r>
              <w:t>241 160</w:t>
            </w:r>
          </w:p>
        </w:tc>
        <w:tc>
          <w:tcPr>
            <w:tcW w:w="1603" w:type="dxa"/>
            <w:shd w:val="clear" w:color="auto" w:fill="auto"/>
          </w:tcPr>
          <w:p w14:paraId="645224B7" w14:textId="6186A045" w:rsidR="002F7047" w:rsidRPr="008167E9" w:rsidRDefault="002F7047" w:rsidP="002F7047">
            <w:pPr>
              <w:jc w:val="center"/>
              <w:rPr>
                <w:rFonts w:eastAsia="Calibri"/>
              </w:rPr>
            </w:pPr>
            <w:r>
              <w:t>58</w:t>
            </w:r>
          </w:p>
        </w:tc>
        <w:tc>
          <w:tcPr>
            <w:tcW w:w="1941" w:type="dxa"/>
            <w:shd w:val="clear" w:color="auto" w:fill="auto"/>
          </w:tcPr>
          <w:p w14:paraId="3E575AFF" w14:textId="6429D716" w:rsidR="002F7047" w:rsidRPr="008167E9" w:rsidRDefault="002F7047" w:rsidP="002F7047">
            <w:pPr>
              <w:jc w:val="right"/>
              <w:rPr>
                <w:rFonts w:eastAsia="Calibri"/>
              </w:rPr>
            </w:pPr>
            <w:r w:rsidRPr="005323A6">
              <w:t>139 87</w:t>
            </w:r>
            <w:r>
              <w:t>3</w:t>
            </w:r>
          </w:p>
        </w:tc>
      </w:tr>
      <w:tr w:rsidR="002F7047" w:rsidRPr="008167E9" w14:paraId="23C69128" w14:textId="77777777" w:rsidTr="00065F49">
        <w:tc>
          <w:tcPr>
            <w:tcW w:w="4821" w:type="dxa"/>
            <w:shd w:val="clear" w:color="auto" w:fill="auto"/>
          </w:tcPr>
          <w:p w14:paraId="732156BF" w14:textId="2948258A" w:rsidR="002F7047" w:rsidRPr="008167E9" w:rsidRDefault="002F7047" w:rsidP="002F7047">
            <w:pPr>
              <w:rPr>
                <w:rFonts w:eastAsia="Calibri"/>
              </w:rPr>
            </w:pPr>
            <w:r w:rsidRPr="00B97F53">
              <w:t xml:space="preserve">Příspěvek pro Úmluvu o posuzování vlivů na životní prostředí přesahujících hranice států (Espoo úmluva) </w:t>
            </w:r>
          </w:p>
        </w:tc>
        <w:tc>
          <w:tcPr>
            <w:tcW w:w="1417" w:type="dxa"/>
          </w:tcPr>
          <w:p w14:paraId="2BB1ACF1" w14:textId="342B8F7C" w:rsidR="002F7047" w:rsidRDefault="002F7047" w:rsidP="002F7047">
            <w:pPr>
              <w:jc w:val="center"/>
            </w:pPr>
            <w:r w:rsidRPr="00E07019">
              <w:t>120 285</w:t>
            </w:r>
          </w:p>
        </w:tc>
        <w:tc>
          <w:tcPr>
            <w:tcW w:w="1603" w:type="dxa"/>
            <w:shd w:val="clear" w:color="auto" w:fill="auto"/>
          </w:tcPr>
          <w:p w14:paraId="6109D81E" w14:textId="61022E28" w:rsidR="002F7047" w:rsidRPr="008167E9" w:rsidRDefault="002F7047" w:rsidP="002F7047">
            <w:pPr>
              <w:jc w:val="center"/>
              <w:rPr>
                <w:rFonts w:eastAsia="Calibri"/>
              </w:rPr>
            </w:pPr>
            <w:r>
              <w:t>58</w:t>
            </w:r>
          </w:p>
        </w:tc>
        <w:tc>
          <w:tcPr>
            <w:tcW w:w="1941" w:type="dxa"/>
            <w:shd w:val="clear" w:color="auto" w:fill="auto"/>
          </w:tcPr>
          <w:p w14:paraId="51B4E51E" w14:textId="489B4BDA" w:rsidR="002F7047" w:rsidRPr="008167E9" w:rsidRDefault="002F7047" w:rsidP="002F7047">
            <w:pPr>
              <w:jc w:val="right"/>
              <w:rPr>
                <w:rFonts w:eastAsia="Calibri"/>
              </w:rPr>
            </w:pPr>
            <w:r w:rsidRPr="00CE429E">
              <w:t>69 765</w:t>
            </w:r>
          </w:p>
        </w:tc>
      </w:tr>
      <w:tr w:rsidR="002F7047" w:rsidRPr="008167E9" w14:paraId="7984D108" w14:textId="77777777" w:rsidTr="00065F49">
        <w:tc>
          <w:tcPr>
            <w:tcW w:w="4821" w:type="dxa"/>
            <w:shd w:val="clear" w:color="auto" w:fill="auto"/>
          </w:tcPr>
          <w:p w14:paraId="705B76E3" w14:textId="4FD4EA36" w:rsidR="002F7047" w:rsidRPr="008167E9" w:rsidRDefault="002F7047" w:rsidP="002F7047">
            <w:pPr>
              <w:rPr>
                <w:rFonts w:eastAsia="Calibri"/>
              </w:rPr>
            </w:pPr>
            <w:r w:rsidRPr="00B97F53">
              <w:t xml:space="preserve">Příspěvek pro Úmluvu o účincích průmyslových havárií </w:t>
            </w:r>
          </w:p>
        </w:tc>
        <w:tc>
          <w:tcPr>
            <w:tcW w:w="1417" w:type="dxa"/>
          </w:tcPr>
          <w:p w14:paraId="304901CF" w14:textId="062C67E2" w:rsidR="002F7047" w:rsidRDefault="002F7047" w:rsidP="002F7047">
            <w:pPr>
              <w:jc w:val="center"/>
            </w:pPr>
            <w:r>
              <w:t>311 610</w:t>
            </w:r>
          </w:p>
        </w:tc>
        <w:tc>
          <w:tcPr>
            <w:tcW w:w="1603" w:type="dxa"/>
            <w:shd w:val="clear" w:color="auto" w:fill="auto"/>
          </w:tcPr>
          <w:p w14:paraId="7FECDB3F" w14:textId="75CC0E2E" w:rsidR="002F7047" w:rsidRPr="008167E9" w:rsidRDefault="002F7047" w:rsidP="002F7047">
            <w:pPr>
              <w:jc w:val="center"/>
              <w:rPr>
                <w:rFonts w:eastAsia="Calibri"/>
              </w:rPr>
            </w:pPr>
            <w:r>
              <w:t>58</w:t>
            </w:r>
          </w:p>
        </w:tc>
        <w:tc>
          <w:tcPr>
            <w:tcW w:w="1941" w:type="dxa"/>
            <w:shd w:val="clear" w:color="auto" w:fill="auto"/>
          </w:tcPr>
          <w:p w14:paraId="3CA3F899" w14:textId="57EA92BA" w:rsidR="002F7047" w:rsidRPr="008167E9" w:rsidRDefault="002F7047" w:rsidP="002F7047">
            <w:pPr>
              <w:jc w:val="right"/>
              <w:rPr>
                <w:rFonts w:eastAsia="Calibri"/>
              </w:rPr>
            </w:pPr>
            <w:r w:rsidRPr="005323A6">
              <w:t>180 73</w:t>
            </w:r>
            <w:r>
              <w:t>4</w:t>
            </w:r>
          </w:p>
        </w:tc>
      </w:tr>
      <w:tr w:rsidR="002F7047" w:rsidRPr="008167E9" w14:paraId="42B3A50A" w14:textId="77777777" w:rsidTr="00065F49">
        <w:tc>
          <w:tcPr>
            <w:tcW w:w="4821" w:type="dxa"/>
            <w:shd w:val="clear" w:color="auto" w:fill="auto"/>
          </w:tcPr>
          <w:p w14:paraId="23473DD1" w14:textId="3629F39B" w:rsidR="002F7047" w:rsidRPr="008167E9" w:rsidRDefault="002F7047" w:rsidP="002F7047">
            <w:pPr>
              <w:rPr>
                <w:rFonts w:eastAsia="Calibri"/>
              </w:rPr>
            </w:pPr>
            <w:r w:rsidRPr="00CE429E">
              <w:rPr>
                <w:i/>
                <w:iCs/>
              </w:rPr>
              <w:t>Příspěvek Programu OSN pro životní prostředí (UNEP)</w:t>
            </w:r>
          </w:p>
        </w:tc>
        <w:tc>
          <w:tcPr>
            <w:tcW w:w="1417" w:type="dxa"/>
          </w:tcPr>
          <w:p w14:paraId="103CC3A2" w14:textId="709A08CA" w:rsidR="002F7047" w:rsidRPr="00CE429E" w:rsidRDefault="002F7047" w:rsidP="002F7047">
            <w:pPr>
              <w:jc w:val="center"/>
              <w:rPr>
                <w:i/>
                <w:iCs/>
              </w:rPr>
            </w:pPr>
            <w:r w:rsidRPr="00CE429E">
              <w:rPr>
                <w:i/>
                <w:iCs/>
              </w:rPr>
              <w:t>8 174 280</w:t>
            </w:r>
          </w:p>
        </w:tc>
        <w:tc>
          <w:tcPr>
            <w:tcW w:w="1603" w:type="dxa"/>
            <w:shd w:val="clear" w:color="auto" w:fill="auto"/>
          </w:tcPr>
          <w:p w14:paraId="7F1B5091" w14:textId="30322EDE" w:rsidR="002F7047" w:rsidRPr="008167E9" w:rsidRDefault="002F7047" w:rsidP="002F7047">
            <w:pPr>
              <w:jc w:val="center"/>
              <w:rPr>
                <w:rFonts w:eastAsia="Calibri"/>
              </w:rPr>
            </w:pPr>
            <w:r w:rsidRPr="00CE429E">
              <w:rPr>
                <w:i/>
                <w:iCs/>
              </w:rPr>
              <w:t>100</w:t>
            </w:r>
          </w:p>
        </w:tc>
        <w:tc>
          <w:tcPr>
            <w:tcW w:w="1941" w:type="dxa"/>
            <w:shd w:val="clear" w:color="auto" w:fill="auto"/>
          </w:tcPr>
          <w:p w14:paraId="55EEBC1E" w14:textId="29C428C1" w:rsidR="002F7047" w:rsidRPr="008167E9" w:rsidRDefault="002F7047" w:rsidP="002F7047">
            <w:pPr>
              <w:jc w:val="right"/>
              <w:rPr>
                <w:rFonts w:eastAsia="Calibri"/>
              </w:rPr>
            </w:pPr>
            <w:r w:rsidRPr="00CE429E">
              <w:rPr>
                <w:i/>
                <w:iCs/>
              </w:rPr>
              <w:t>8 174 280</w:t>
            </w:r>
          </w:p>
        </w:tc>
      </w:tr>
    </w:tbl>
    <w:p w14:paraId="5CF6998E" w14:textId="77777777" w:rsidR="00C96F96" w:rsidRDefault="00C96F96">
      <w:pPr>
        <w:rPr>
          <w:rFonts w:asciiTheme="majorBidi" w:hAnsiTheme="majorBidi" w:cstheme="majorBidi"/>
          <w:b/>
        </w:rPr>
      </w:pPr>
      <w:bookmarkStart w:id="44" w:name="_Toc200633290"/>
      <w:r>
        <w:br w:type="page"/>
      </w:r>
    </w:p>
    <w:p w14:paraId="71119BD6" w14:textId="78EDFC57" w:rsidR="00B45517" w:rsidRPr="005032EA" w:rsidRDefault="00B45517" w:rsidP="00C96F96">
      <w:pPr>
        <w:pStyle w:val="Nadpis2"/>
        <w:spacing w:line="264" w:lineRule="auto"/>
      </w:pPr>
      <w:r w:rsidRPr="005032EA">
        <w:lastRenderedPageBreak/>
        <w:t>Civilní mise EU a OBSE</w:t>
      </w:r>
      <w:bookmarkEnd w:id="44"/>
      <w:r w:rsidRPr="005032EA">
        <w:t xml:space="preserve"> </w:t>
      </w:r>
    </w:p>
    <w:p w14:paraId="69BBB856" w14:textId="77777777" w:rsidR="00D02212" w:rsidRPr="00D02212" w:rsidRDefault="00D02212" w:rsidP="00C96F96">
      <w:pPr>
        <w:spacing w:line="264" w:lineRule="auto"/>
        <w:ind w:firstLine="643"/>
        <w:jc w:val="both"/>
      </w:pPr>
      <w:bookmarkStart w:id="45" w:name="_Toc200633291"/>
      <w:r w:rsidRPr="00D02212">
        <w:t xml:space="preserve">ČR se i v roce 2024 angažovala prostřednictvím vyslaných expertů </w:t>
      </w:r>
      <w:r w:rsidRPr="00D02212">
        <w:rPr>
          <w:b/>
        </w:rPr>
        <w:t>v civilních misích</w:t>
      </w:r>
      <w:r w:rsidRPr="00D02212">
        <w:t xml:space="preserve"> mezinárodních organizací, zejména </w:t>
      </w:r>
      <w:r w:rsidRPr="00D02212">
        <w:rPr>
          <w:b/>
        </w:rPr>
        <w:t>EU, OBSE, OSN</w:t>
      </w:r>
      <w:r w:rsidRPr="00D02212">
        <w:t>. Zapojení ČR do civilních misí reflektuje politické a geografické priority zahraniční bezpečnostní politiky, jež nastiňuje Koncepce zahraniční politiky schválená vládou v červenci 2015.</w:t>
      </w:r>
    </w:p>
    <w:p w14:paraId="619BAB68" w14:textId="77777777" w:rsidR="00D02212" w:rsidRPr="00D02212" w:rsidRDefault="00D02212" w:rsidP="00C96F96">
      <w:pPr>
        <w:spacing w:line="264" w:lineRule="auto"/>
        <w:ind w:firstLine="643"/>
        <w:jc w:val="both"/>
      </w:pPr>
      <w:r w:rsidRPr="00D02212">
        <w:t>Civilní mise nepoužívají pro dosažení svých cílů vojenských metod a prostředků, byť často působí v oblastech, kde bezpečnost není zajištěna. Mise se zaměřují na podporu právního státu, reformu bezpečnostních složek či budování kapacit veřejných institucí. I když jejich dopad může být omezen složitostí místního kontextu, představují důležitý nástroj EU v rámci komplexního přístupu ke krizím. V řadě případů je nasazení civilních expertních misí nejúčinnějším a zároveň ekonomicky výhodnějším nástrojem prevence, stabilizace a rozvoje krizových regionů. V postkonfliktních nebo transformačních fázích mohou vhodně doplňovat vojenské operace a přispívat k dlouhodobé stabilizaci.</w:t>
      </w:r>
    </w:p>
    <w:p w14:paraId="2C0BB1C3" w14:textId="32C10F79" w:rsidR="00D02212" w:rsidRPr="00D02212" w:rsidRDefault="00D02212" w:rsidP="00C96F96">
      <w:pPr>
        <w:spacing w:line="264" w:lineRule="auto"/>
        <w:ind w:firstLine="643"/>
        <w:jc w:val="both"/>
        <w:rPr>
          <w:b/>
        </w:rPr>
      </w:pPr>
      <w:r w:rsidRPr="00D02212">
        <w:t xml:space="preserve">MZV se podílí na využití prostředků, jimiž je financováno vysílání národních expertů do civilních misí. </w:t>
      </w:r>
      <w:r w:rsidRPr="00D02212">
        <w:rPr>
          <w:bCs/>
        </w:rPr>
        <w:t>Za rok 202</w:t>
      </w:r>
      <w:r w:rsidR="00FA3B33">
        <w:rPr>
          <w:bCs/>
        </w:rPr>
        <w:t>4</w:t>
      </w:r>
      <w:r w:rsidRPr="00D02212">
        <w:rPr>
          <w:bCs/>
        </w:rPr>
        <w:t xml:space="preserve"> dosáhl celkový objem čerpaných prostředků na vysílání národních expertů, započitatelný do ODA, částky</w:t>
      </w:r>
      <w:r w:rsidRPr="00D02212">
        <w:rPr>
          <w:b/>
        </w:rPr>
        <w:t xml:space="preserve"> 18 443 137 Kč.</w:t>
      </w:r>
      <w:r w:rsidRPr="00D02212">
        <w:t xml:space="preserve"> </w:t>
      </w:r>
    </w:p>
    <w:p w14:paraId="57AF5EC7" w14:textId="77777777" w:rsidR="00D02212" w:rsidRPr="00D02212" w:rsidRDefault="00D02212" w:rsidP="00C96F96">
      <w:pPr>
        <w:spacing w:line="264" w:lineRule="auto"/>
        <w:jc w:val="both"/>
      </w:pPr>
      <w:r w:rsidRPr="00D02212">
        <w:t xml:space="preserve">Největší podíl prostředků ve výši </w:t>
      </w:r>
      <w:r w:rsidRPr="00D02212">
        <w:rPr>
          <w:b/>
        </w:rPr>
        <w:t xml:space="preserve">15 025 201 Kč </w:t>
      </w:r>
      <w:r w:rsidRPr="00D02212">
        <w:rPr>
          <w:bCs/>
        </w:rPr>
        <w:t xml:space="preserve">byl použit k financování </w:t>
      </w:r>
      <w:r w:rsidRPr="00D02212">
        <w:rPr>
          <w:b/>
        </w:rPr>
        <w:t>civilních expertů ČR v misích Společné bezpečnostní a obranné politiky (SBOP) EU</w:t>
      </w:r>
      <w:r w:rsidRPr="00D02212">
        <w:t>. Zapojení českých expertů v misích SBOP odráží závazky, které na sebe ČR vzala v rámci nového Paktu pro civilní SBOP EU, který Rada EU přijala 22. 5. 2023. Hlavními úkoly civilních misí EU jsou podpora budování celních a pohraničních kapacit, prevence konfliktů, boj proti organizovanému zločinu a pašeráctví, reforma národních bezpečnostních sektorů nebo monitoring justičního systému a vláda práva. Konkrétně byli v loňském roce civilní experti ČR zapojeni do těchto unijních misí: EUAM Ukrajina, EUMM Gruzie, EUMA Arménie, EUBAM Moldavsko, EUPM Moldavsko, EULEX Kosovo, EUAM Irák, EUBAM Libye, EUCAP Sahel Mali, EUCAP Somálsko.</w:t>
      </w:r>
    </w:p>
    <w:p w14:paraId="7DD3E96E" w14:textId="77777777" w:rsidR="00D02212" w:rsidRPr="00D02212" w:rsidRDefault="00D02212" w:rsidP="00C96F96">
      <w:pPr>
        <w:spacing w:line="264" w:lineRule="auto"/>
        <w:ind w:firstLine="643"/>
        <w:jc w:val="both"/>
      </w:pPr>
      <w:r w:rsidRPr="00D02212">
        <w:t xml:space="preserve">Mimo unijní mise MZV přiřazuje prostředky také na vysílání národních expertů do </w:t>
      </w:r>
      <w:r w:rsidRPr="00D02212">
        <w:rPr>
          <w:b/>
          <w:bCs/>
        </w:rPr>
        <w:t>polních misí OBSE</w:t>
      </w:r>
      <w:r w:rsidRPr="00D02212">
        <w:t>. Mise OBSE podporují místní kapacity na podporu právního systému, práv menšin, legislativní reformy, právního státu a svobody médií, podporu tolerance a nediskriminace a mnoho dalších oblastí. Na </w:t>
      </w:r>
      <w:r w:rsidRPr="00D02212">
        <w:rPr>
          <w:b/>
        </w:rPr>
        <w:t xml:space="preserve">vysílání národních expertů do misí OBSE </w:t>
      </w:r>
      <w:r w:rsidRPr="00D02212">
        <w:rPr>
          <w:bCs/>
        </w:rPr>
        <w:t>Česko přispělo částkou</w:t>
      </w:r>
      <w:r w:rsidRPr="00D02212">
        <w:rPr>
          <w:b/>
        </w:rPr>
        <w:t xml:space="preserve"> 1 711 900 Kč. </w:t>
      </w:r>
      <w:r w:rsidRPr="00D02212">
        <w:t>Šlo o mise OBSE v Bosně a Hercegovině a Kosovu.</w:t>
      </w:r>
    </w:p>
    <w:p w14:paraId="45AF2BCE" w14:textId="1F3FB1D7" w:rsidR="00D02212" w:rsidRPr="00D02212" w:rsidRDefault="00D02212" w:rsidP="00C96F96">
      <w:pPr>
        <w:spacing w:line="264" w:lineRule="auto"/>
        <w:ind w:firstLine="643"/>
        <w:jc w:val="both"/>
      </w:pPr>
      <w:r w:rsidRPr="00D02212">
        <w:t>Z </w:t>
      </w:r>
      <w:r w:rsidRPr="00D02212">
        <w:rPr>
          <w:b/>
          <w:bCs/>
        </w:rPr>
        <w:t>civilních misí OSN</w:t>
      </w:r>
      <w:r w:rsidRPr="00D02212">
        <w:t xml:space="preserve"> byla ČR v roce 202</w:t>
      </w:r>
      <w:r w:rsidR="00FA3B33">
        <w:t>4</w:t>
      </w:r>
      <w:r w:rsidRPr="00D02212">
        <w:t xml:space="preserve"> zastoupena v Jižním Súdánu. V současné době zahrnuje mandát mise čtyři pilíře, a to ochranu civilistů, vytváření podmínek pro poskytování humanitární pomoci, podporu implementace Revitalizované dohody a mírového procesu a monitorování, vyšetřování a hlášení porušování lidských práv a humanitárního práva. Česko přispělo financováním </w:t>
      </w:r>
      <w:r w:rsidRPr="00D02212">
        <w:rPr>
          <w:b/>
        </w:rPr>
        <w:t>vyslání národního experta do mise OSN v Jižním Súdánu (UNMISS) ve výši 79 575.</w:t>
      </w:r>
    </w:p>
    <w:p w14:paraId="6C3047A3" w14:textId="77777777" w:rsidR="00D02212" w:rsidRPr="00D02212" w:rsidRDefault="00D02212" w:rsidP="00C96F96">
      <w:pPr>
        <w:spacing w:line="264" w:lineRule="auto"/>
        <w:ind w:firstLine="643"/>
        <w:jc w:val="both"/>
      </w:pPr>
      <w:r w:rsidRPr="00D02212">
        <w:t xml:space="preserve">Česko též přispělo částkou </w:t>
      </w:r>
      <w:r w:rsidRPr="00D02212">
        <w:rPr>
          <w:b/>
        </w:rPr>
        <w:t>1 626 461 Kč</w:t>
      </w:r>
      <w:r w:rsidRPr="00D02212">
        <w:t xml:space="preserve"> </w:t>
      </w:r>
      <w:r w:rsidRPr="00D02212">
        <w:rPr>
          <w:b/>
        </w:rPr>
        <w:t>na vyslání národního experta k posílení fungování Kanceláře vysokého představitele (OHR)</w:t>
      </w:r>
      <w:r w:rsidRPr="00D02212">
        <w:t>. OHR je dočasným mezinárodním orgánem odpovědným za dohled nad realizací civilních aspektů Mírové dohody ukončující válku v Bosně a Hercegovině. Vysoký představitel spolupracuje s obyvateli a institucemi Bosny a Hercegoviny a mezinárodní komunitou, aby zajistil mírový a demokratický rozvoj směřující k integraci do euroatlantických institucí.</w:t>
      </w:r>
    </w:p>
    <w:p w14:paraId="13393533" w14:textId="77777777" w:rsidR="00D02212" w:rsidRPr="00D02212" w:rsidRDefault="00D02212" w:rsidP="00C96F96">
      <w:pPr>
        <w:spacing w:line="264" w:lineRule="auto"/>
        <w:ind w:firstLine="643"/>
        <w:jc w:val="both"/>
      </w:pPr>
      <w:r w:rsidRPr="00D02212">
        <w:t xml:space="preserve">Vedle vysílání expertů financovala ČR v roce 2024 také několik peněžních darů na mimorozpočtové projekty OBSE zaměřené na podporu specifických potřeb členských zemí. </w:t>
      </w:r>
      <w:r w:rsidRPr="00D02212">
        <w:lastRenderedPageBreak/>
        <w:t>ČR takto podpořila humanitární odminování a chemickou ochranu na Ukrajině (1,2 mil. Kč), posilování kapacity Ukrajiny pro řešení chemických nouzových událostí (0,3 mil. Kč), projekt se zaměřením na zlepšování koordinovaného k vyšetřování závažných trestných činů, zejména co se týká pohřešovaných dětí (0,5 mil. Kč), prevenci nezákonného obchodování s kulturními statky v regionu OBSE (0,1 mil. Kč) a snižování rizik vyplývajících z nelegálního obchodu a držení malých a lehkých zbraní v Bosně a Hercegovině (0,2 mil. Kč).</w:t>
      </w:r>
    </w:p>
    <w:p w14:paraId="14BA981B" w14:textId="77777777" w:rsidR="00D02212" w:rsidRPr="00D02212" w:rsidRDefault="00D02212" w:rsidP="00C96F96">
      <w:pPr>
        <w:spacing w:line="264" w:lineRule="auto"/>
        <w:ind w:firstLine="643"/>
        <w:jc w:val="both"/>
      </w:pPr>
      <w:r w:rsidRPr="00D02212">
        <w:t>V roce 2024 vyslala ČR celkem 80 volebních pozorovatelů do volebních pozorovatelských misí OBSE, které sledovaly volby v Severní Makedonii, Srbsku, Mongolsku, Ázerbájdžánu, Bosně a Hercegovině, Moldavsku, Gruzii, Uzbekistánu a USA. Náklady na vyslání volebních pozorovatelů do misí OBSE byly 6.120.468 Kč. Do volebních pozorovatelských misí EU bylo v roce 2024 na základě doporučení MZV vybráno celkem 15 volebních pozorovatelů, kteří byli vysláni do Senegalu, Jordánska, Mosambiku a Srí Lanky, náklady na jejich vyslání hradila EU.</w:t>
      </w:r>
    </w:p>
    <w:p w14:paraId="4B946092" w14:textId="77777777" w:rsidR="00F43496" w:rsidRPr="005032EA" w:rsidRDefault="00372347" w:rsidP="00C96F96">
      <w:pPr>
        <w:pStyle w:val="Nadpis2"/>
        <w:spacing w:line="264" w:lineRule="auto"/>
      </w:pPr>
      <w:r w:rsidRPr="005032EA">
        <w:t>Pomoc uprchlíkům na území ČR</w:t>
      </w:r>
      <w:bookmarkEnd w:id="45"/>
    </w:p>
    <w:p w14:paraId="66D047D2" w14:textId="77777777" w:rsidR="009D06CF" w:rsidRPr="005032EA" w:rsidRDefault="009D06CF" w:rsidP="00C96F96">
      <w:pPr>
        <w:keepNext/>
        <w:keepLines/>
        <w:spacing w:line="264" w:lineRule="auto"/>
        <w:ind w:firstLine="567"/>
        <w:jc w:val="both"/>
        <w:rPr>
          <w:rFonts w:asciiTheme="majorBidi" w:hAnsiTheme="majorBidi" w:cstheme="majorBidi"/>
          <w:bCs/>
        </w:rPr>
      </w:pPr>
      <w:r w:rsidRPr="005032EA">
        <w:rPr>
          <w:rFonts w:asciiTheme="majorBidi" w:hAnsiTheme="majorBidi" w:cstheme="majorBidi"/>
          <w:bCs/>
        </w:rPr>
        <w:t>Náklady na azylová zařízení za rok 2024, ve kterých je Ministerstvem vnitra ČR poskytována pomoc žadatelům o azyl a uprchlíkům, se skládají zejména z těchto položek:</w:t>
      </w:r>
    </w:p>
    <w:p w14:paraId="5F6039AD" w14:textId="77777777" w:rsidR="009D06CF" w:rsidRPr="005032EA" w:rsidRDefault="009D06CF" w:rsidP="00C96F96">
      <w:pPr>
        <w:pStyle w:val="Odstavecseseznamem"/>
        <w:keepNext/>
        <w:keepLines/>
        <w:numPr>
          <w:ilvl w:val="0"/>
          <w:numId w:val="3"/>
        </w:numPr>
        <w:spacing w:line="264" w:lineRule="auto"/>
        <w:contextualSpacing/>
        <w:rPr>
          <w:rFonts w:asciiTheme="majorBidi" w:hAnsiTheme="majorBidi" w:cstheme="majorBidi"/>
        </w:rPr>
      </w:pPr>
      <w:r w:rsidRPr="005032EA">
        <w:rPr>
          <w:rFonts w:asciiTheme="majorBidi" w:hAnsiTheme="majorBidi" w:cstheme="majorBidi"/>
          <w:bCs/>
        </w:rPr>
        <w:t xml:space="preserve">Mzdové a související výdaje: </w:t>
      </w:r>
      <w:r w:rsidRPr="005032EA">
        <w:rPr>
          <w:rFonts w:asciiTheme="majorBidi" w:hAnsiTheme="majorBidi" w:cstheme="majorBidi"/>
          <w:b/>
          <w:bCs/>
        </w:rPr>
        <w:t>124 530 926 Kč</w:t>
      </w:r>
      <w:r w:rsidRPr="005032EA">
        <w:rPr>
          <w:rFonts w:asciiTheme="majorBidi" w:hAnsiTheme="majorBidi" w:cstheme="majorBidi"/>
          <w:bCs/>
        </w:rPr>
        <w:t>, z toho 51 977 186 Kč na výdaje spojené s Ukrajinou;</w:t>
      </w:r>
    </w:p>
    <w:p w14:paraId="09917B64" w14:textId="1E65E117" w:rsidR="009D06CF" w:rsidRPr="005032EA" w:rsidRDefault="009D06CF" w:rsidP="00C96F96">
      <w:pPr>
        <w:pStyle w:val="Odstavecseseznamem"/>
        <w:numPr>
          <w:ilvl w:val="0"/>
          <w:numId w:val="3"/>
        </w:numPr>
        <w:spacing w:line="264" w:lineRule="auto"/>
        <w:contextualSpacing/>
        <w:rPr>
          <w:rFonts w:asciiTheme="majorBidi" w:hAnsiTheme="majorBidi" w:cstheme="majorBidi"/>
        </w:rPr>
      </w:pPr>
      <w:r w:rsidRPr="005032EA">
        <w:rPr>
          <w:rFonts w:asciiTheme="majorBidi" w:hAnsiTheme="majorBidi" w:cstheme="majorBidi"/>
          <w:bCs/>
        </w:rPr>
        <w:t xml:space="preserve">Ostatní běžné výdaje (potraviny, nájemné, kapesné, energie, opravy): </w:t>
      </w:r>
      <w:r w:rsidRPr="005032EA">
        <w:rPr>
          <w:rFonts w:asciiTheme="majorBidi" w:hAnsiTheme="majorBidi" w:cstheme="majorBidi"/>
          <w:b/>
          <w:bCs/>
        </w:rPr>
        <w:t>74 432 661 Kč</w:t>
      </w:r>
      <w:r w:rsidRPr="005032EA">
        <w:rPr>
          <w:rFonts w:asciiTheme="majorBidi" w:hAnsiTheme="majorBidi" w:cstheme="majorBidi"/>
        </w:rPr>
        <w:t xml:space="preserve"> </w:t>
      </w:r>
      <w:r w:rsidR="00A05CAF">
        <w:rPr>
          <w:rFonts w:asciiTheme="majorBidi" w:hAnsiTheme="majorBidi" w:cstheme="majorBidi"/>
          <w:bCs/>
        </w:rPr>
        <w:t>z</w:t>
      </w:r>
      <w:r w:rsidR="00A05CAF">
        <w:rPr>
          <w:rFonts w:asciiTheme="majorBidi" w:hAnsiTheme="majorBidi" w:cstheme="majorBidi"/>
          <w:bCs/>
          <w:lang w:val="cs-CZ"/>
        </w:rPr>
        <w:t> </w:t>
      </w:r>
      <w:r w:rsidRPr="005032EA">
        <w:rPr>
          <w:rFonts w:asciiTheme="majorBidi" w:hAnsiTheme="majorBidi" w:cstheme="majorBidi"/>
          <w:bCs/>
        </w:rPr>
        <w:t>toho 29 807 911 Kč na výdaje spojené s Ukrajinou.</w:t>
      </w:r>
    </w:p>
    <w:p w14:paraId="2D376121" w14:textId="77777777" w:rsidR="009D06CF" w:rsidRPr="005032EA" w:rsidRDefault="009D06CF" w:rsidP="00C96F96">
      <w:pPr>
        <w:spacing w:line="264" w:lineRule="auto"/>
        <w:ind w:firstLine="360"/>
        <w:rPr>
          <w:rFonts w:asciiTheme="majorBidi" w:hAnsiTheme="majorBidi" w:cstheme="majorBidi"/>
        </w:rPr>
      </w:pPr>
    </w:p>
    <w:p w14:paraId="4095F280" w14:textId="0E8453EC" w:rsidR="009D06CF" w:rsidRPr="00A05CAF" w:rsidRDefault="009D06CF" w:rsidP="00C96F96">
      <w:pPr>
        <w:spacing w:line="264" w:lineRule="auto"/>
        <w:rPr>
          <w:rFonts w:asciiTheme="majorBidi" w:hAnsiTheme="majorBidi" w:cstheme="majorBidi"/>
          <w:bCs/>
        </w:rPr>
      </w:pPr>
      <w:bookmarkStart w:id="46" w:name="_Hlk190176446"/>
      <w:r w:rsidRPr="00A05CAF">
        <w:rPr>
          <w:rFonts w:asciiTheme="majorBidi" w:hAnsiTheme="majorBidi" w:cstheme="majorBidi"/>
          <w:b/>
        </w:rPr>
        <w:t>Celkem</w:t>
      </w:r>
      <w:r w:rsidRPr="00A05CAF">
        <w:rPr>
          <w:rFonts w:asciiTheme="majorBidi" w:hAnsiTheme="majorBidi" w:cstheme="majorBidi"/>
        </w:rPr>
        <w:t xml:space="preserve"> </w:t>
      </w:r>
      <w:r w:rsidRPr="00A05CAF">
        <w:rPr>
          <w:rFonts w:asciiTheme="majorBidi" w:hAnsiTheme="majorBidi" w:cstheme="majorBidi"/>
          <w:b/>
        </w:rPr>
        <w:t>na</w:t>
      </w:r>
      <w:r w:rsidRPr="00A05CAF">
        <w:rPr>
          <w:rFonts w:asciiTheme="majorBidi" w:hAnsiTheme="majorBidi" w:cstheme="majorBidi"/>
          <w:b/>
          <w:bCs/>
        </w:rPr>
        <w:t xml:space="preserve"> pomoc uprchlíkům</w:t>
      </w:r>
      <w:r w:rsidRPr="00A05CAF">
        <w:rPr>
          <w:rFonts w:asciiTheme="majorBidi" w:hAnsiTheme="majorBidi" w:cstheme="majorBidi"/>
          <w:bCs/>
        </w:rPr>
        <w:t xml:space="preserve"> na území ČR </w:t>
      </w:r>
      <w:r w:rsidR="00757455" w:rsidRPr="00A05CAF">
        <w:rPr>
          <w:rFonts w:asciiTheme="majorBidi" w:hAnsiTheme="majorBidi" w:cstheme="majorBidi"/>
          <w:bCs/>
        </w:rPr>
        <w:t>M</w:t>
      </w:r>
      <w:r w:rsidR="00D05097" w:rsidRPr="00A05CAF">
        <w:rPr>
          <w:rFonts w:asciiTheme="majorBidi" w:hAnsiTheme="majorBidi" w:cstheme="majorBidi"/>
          <w:bCs/>
        </w:rPr>
        <w:t xml:space="preserve">inisterstvo vnitra </w:t>
      </w:r>
      <w:r w:rsidRPr="00A05CAF">
        <w:rPr>
          <w:rFonts w:asciiTheme="majorBidi" w:hAnsiTheme="majorBidi" w:cstheme="majorBidi"/>
          <w:bCs/>
        </w:rPr>
        <w:t>vynalož</w:t>
      </w:r>
      <w:r w:rsidR="00D05097" w:rsidRPr="00A05CAF">
        <w:rPr>
          <w:rFonts w:asciiTheme="majorBidi" w:hAnsiTheme="majorBidi" w:cstheme="majorBidi"/>
          <w:bCs/>
        </w:rPr>
        <w:t>ilo</w:t>
      </w:r>
      <w:r w:rsidRPr="00A05CAF">
        <w:rPr>
          <w:rFonts w:asciiTheme="majorBidi" w:hAnsiTheme="majorBidi" w:cstheme="majorBidi"/>
          <w:bCs/>
        </w:rPr>
        <w:t xml:space="preserve"> </w:t>
      </w:r>
      <w:r w:rsidRPr="00A05CAF">
        <w:rPr>
          <w:rFonts w:asciiTheme="majorBidi" w:hAnsiTheme="majorBidi" w:cstheme="majorBidi"/>
          <w:b/>
          <w:bCs/>
        </w:rPr>
        <w:t xml:space="preserve">198 963 </w:t>
      </w:r>
      <w:r w:rsidRPr="00446090">
        <w:rPr>
          <w:rFonts w:asciiTheme="majorBidi" w:hAnsiTheme="majorBidi" w:cstheme="majorBidi"/>
          <w:b/>
          <w:bCs/>
        </w:rPr>
        <w:t>587 Kč.</w:t>
      </w:r>
    </w:p>
    <w:bookmarkEnd w:id="46"/>
    <w:p w14:paraId="16499663" w14:textId="77777777" w:rsidR="00F6243B" w:rsidRPr="005032EA" w:rsidRDefault="00F6243B" w:rsidP="00C96F96">
      <w:pPr>
        <w:spacing w:after="120" w:line="264" w:lineRule="auto"/>
        <w:rPr>
          <w:rFonts w:asciiTheme="majorBidi" w:hAnsiTheme="majorBidi" w:cstheme="majorBidi"/>
        </w:rPr>
      </w:pPr>
    </w:p>
    <w:p w14:paraId="7DF8C928" w14:textId="471D1C39" w:rsidR="00340815" w:rsidRDefault="00757455" w:rsidP="00C96F96">
      <w:pPr>
        <w:spacing w:line="264" w:lineRule="auto"/>
        <w:ind w:firstLine="567"/>
        <w:jc w:val="both"/>
        <w:rPr>
          <w:rFonts w:asciiTheme="majorBidi" w:hAnsiTheme="majorBidi" w:cstheme="majorBidi"/>
          <w:bCs/>
        </w:rPr>
      </w:pPr>
      <w:r w:rsidRPr="005032EA">
        <w:rPr>
          <w:rFonts w:asciiTheme="majorBidi" w:hAnsiTheme="majorBidi" w:cstheme="majorBidi"/>
          <w:bCs/>
        </w:rPr>
        <w:t xml:space="preserve">Celkové výdaje na náklady s uprchlíky v rámci oficiální rozvojové pomoci (ODA) tvořily 3,743,425,361.00 mld. Kč. Výdaje byly v souladu s pravidly OECD částečně vykazovány jako rozvojová spolupráce (pouze tzv. neintegrační komodity). Pokračoval tak sestupný trend, který nastal po mimořádném nárůstu výdajů na rozvoj v roce 2022 (válka na Ukrajině). Bližší informace v části 4 </w:t>
      </w:r>
      <w:r w:rsidRPr="005032EA">
        <w:rPr>
          <w:rFonts w:asciiTheme="majorBidi" w:hAnsiTheme="majorBidi" w:cstheme="majorBidi"/>
          <w:bCs/>
        </w:rPr>
        <w:tab/>
        <w:t>Předběžný přehled ODA za rok 2024.</w:t>
      </w:r>
    </w:p>
    <w:p w14:paraId="42D0895A" w14:textId="77777777" w:rsidR="00340815" w:rsidRDefault="00340815">
      <w:pPr>
        <w:rPr>
          <w:rFonts w:asciiTheme="majorBidi" w:hAnsiTheme="majorBidi" w:cstheme="majorBidi"/>
          <w:bCs/>
        </w:rPr>
      </w:pPr>
      <w:r>
        <w:rPr>
          <w:rFonts w:asciiTheme="majorBidi" w:hAnsiTheme="majorBidi" w:cstheme="majorBidi"/>
          <w:bCs/>
        </w:rPr>
        <w:br w:type="page"/>
      </w:r>
    </w:p>
    <w:p w14:paraId="47557318" w14:textId="77777777" w:rsidR="00BA24DB" w:rsidRPr="00B72F48" w:rsidRDefault="00F6243B" w:rsidP="00C96F96">
      <w:pPr>
        <w:pStyle w:val="Nadpis1"/>
        <w:spacing w:line="264" w:lineRule="auto"/>
      </w:pPr>
      <w:bookmarkStart w:id="47" w:name="_Toc200633292"/>
      <w:r w:rsidRPr="00B72F48">
        <w:lastRenderedPageBreak/>
        <w:t>Předběžný přehled ODA za rok 20</w:t>
      </w:r>
      <w:r w:rsidR="00C5359E" w:rsidRPr="00B72F48">
        <w:t>2</w:t>
      </w:r>
      <w:r w:rsidR="004C1836" w:rsidRPr="00B72F48">
        <w:t>4</w:t>
      </w:r>
      <w:bookmarkEnd w:id="47"/>
      <w:r w:rsidRPr="00B72F48">
        <w:t xml:space="preserve"> </w:t>
      </w:r>
    </w:p>
    <w:p w14:paraId="362EFEE2" w14:textId="3A11E06A" w:rsidR="00A923AC" w:rsidRPr="005032EA" w:rsidRDefault="00A923AC" w:rsidP="00C96F96">
      <w:pPr>
        <w:spacing w:line="264" w:lineRule="auto"/>
        <w:ind w:firstLine="567"/>
        <w:jc w:val="both"/>
        <w:rPr>
          <w:rFonts w:asciiTheme="majorBidi" w:hAnsiTheme="majorBidi" w:cstheme="majorBidi"/>
          <w:bCs/>
        </w:rPr>
      </w:pPr>
      <w:r w:rsidRPr="005032EA">
        <w:rPr>
          <w:rFonts w:asciiTheme="majorBidi" w:hAnsiTheme="majorBidi" w:cstheme="majorBidi"/>
          <w:bCs/>
        </w:rPr>
        <w:t>V roce 2024 dosáhla oficiální rozvojová pomoc (ODA) České republiky podle předběžných údajů úrovně 0,17 % hrubého národního důchodu (HND), což odpovídá 13,29</w:t>
      </w:r>
      <w:r w:rsidR="00FB254C" w:rsidRPr="005032EA">
        <w:rPr>
          <w:rFonts w:asciiTheme="majorBidi" w:hAnsiTheme="majorBidi" w:cstheme="majorBidi"/>
          <w:bCs/>
        </w:rPr>
        <w:t> </w:t>
      </w:r>
      <w:r w:rsidRPr="005032EA">
        <w:rPr>
          <w:rFonts w:asciiTheme="majorBidi" w:hAnsiTheme="majorBidi" w:cstheme="majorBidi"/>
          <w:bCs/>
        </w:rPr>
        <w:t>mld. Kč (tj. 572 mil. USD).</w:t>
      </w:r>
      <w:r w:rsidR="00EA5D86">
        <w:rPr>
          <w:rFonts w:asciiTheme="majorBidi" w:hAnsiTheme="majorBidi" w:cstheme="majorBidi"/>
          <w:bCs/>
        </w:rPr>
        <w:t xml:space="preserve"> </w:t>
      </w:r>
      <w:r w:rsidRPr="005032EA">
        <w:rPr>
          <w:rFonts w:asciiTheme="majorBidi" w:hAnsiTheme="majorBidi" w:cstheme="majorBidi"/>
          <w:bCs/>
        </w:rPr>
        <w:t>Bilaterální ODA činila 5,66 mld. Kč (243,69 mil. USD) a</w:t>
      </w:r>
      <w:r w:rsidR="00161884" w:rsidRPr="005032EA">
        <w:rPr>
          <w:rFonts w:asciiTheme="majorBidi" w:hAnsiTheme="majorBidi" w:cstheme="majorBidi"/>
          <w:bCs/>
        </w:rPr>
        <w:t> </w:t>
      </w:r>
      <w:r w:rsidRPr="005032EA">
        <w:rPr>
          <w:rFonts w:asciiTheme="majorBidi" w:hAnsiTheme="majorBidi" w:cstheme="majorBidi"/>
          <w:bCs/>
        </w:rPr>
        <w:t>multilaterální ODA dosáhla 7,63 mld. Kč (328,56 mil. USD).</w:t>
      </w:r>
    </w:p>
    <w:p w14:paraId="43F4F0E7" w14:textId="6BAB60F6" w:rsidR="00A923AC" w:rsidRPr="005032EA" w:rsidRDefault="00A923AC" w:rsidP="00C96F96">
      <w:pPr>
        <w:spacing w:line="264" w:lineRule="auto"/>
        <w:ind w:firstLine="567"/>
        <w:jc w:val="both"/>
        <w:rPr>
          <w:rFonts w:asciiTheme="majorBidi" w:hAnsiTheme="majorBidi" w:cstheme="majorBidi"/>
          <w:bCs/>
        </w:rPr>
      </w:pPr>
      <w:r w:rsidRPr="005032EA">
        <w:rPr>
          <w:rFonts w:asciiTheme="majorBidi" w:hAnsiTheme="majorBidi" w:cstheme="majorBidi"/>
          <w:bCs/>
        </w:rPr>
        <w:t>Pokračoval tak sestupný trend, který nastal po mimořádném nárůstu výdajů na rozvoj v roce 2022. Významný růst ODA v letech 2022 (</w:t>
      </w:r>
      <w:r w:rsidR="00021798">
        <w:rPr>
          <w:rFonts w:asciiTheme="majorBidi" w:hAnsiTheme="majorBidi" w:cstheme="majorBidi"/>
          <w:bCs/>
        </w:rPr>
        <w:t xml:space="preserve">24, 56 mld. Kč, </w:t>
      </w:r>
      <w:r w:rsidRPr="005032EA">
        <w:rPr>
          <w:rFonts w:asciiTheme="majorBidi" w:hAnsiTheme="majorBidi" w:cstheme="majorBidi"/>
          <w:bCs/>
        </w:rPr>
        <w:t>0,38 % HND) a 2023 (</w:t>
      </w:r>
      <w:r w:rsidR="00FC5571">
        <w:rPr>
          <w:rFonts w:asciiTheme="majorBidi" w:hAnsiTheme="majorBidi" w:cstheme="majorBidi"/>
          <w:bCs/>
        </w:rPr>
        <w:t xml:space="preserve">17,99 mld. Kč, </w:t>
      </w:r>
      <w:r w:rsidRPr="005032EA">
        <w:rPr>
          <w:rFonts w:asciiTheme="majorBidi" w:hAnsiTheme="majorBidi" w:cstheme="majorBidi"/>
          <w:bCs/>
        </w:rPr>
        <w:t>0,24 % HND) byl způsoben především náklady spojenými s přílivem uprchlíků z Ukrajiny. Tyto výdaje byly v</w:t>
      </w:r>
      <w:r w:rsidR="00161884" w:rsidRPr="005032EA">
        <w:rPr>
          <w:rFonts w:asciiTheme="majorBidi" w:hAnsiTheme="majorBidi" w:cstheme="majorBidi"/>
          <w:bCs/>
        </w:rPr>
        <w:t> </w:t>
      </w:r>
      <w:r w:rsidRPr="005032EA">
        <w:rPr>
          <w:rFonts w:asciiTheme="majorBidi" w:hAnsiTheme="majorBidi" w:cstheme="majorBidi"/>
          <w:bCs/>
        </w:rPr>
        <w:t>souladu s pravidly OECD částečně vykazovány jako rozvojová spolupráce (pouze tzv. neintegrační komodity). Bez těchto mimořádných a časově omezených výdajů by podíl ODA ve všech uvedených letech činil pouze 0,12 % HND.</w:t>
      </w:r>
    </w:p>
    <w:p w14:paraId="26CAAEBA" w14:textId="1A847B74" w:rsidR="00A923AC" w:rsidRPr="005032EA" w:rsidRDefault="00A923AC" w:rsidP="00C96F96">
      <w:pPr>
        <w:spacing w:line="264" w:lineRule="auto"/>
        <w:ind w:firstLine="567"/>
        <w:jc w:val="both"/>
        <w:rPr>
          <w:rFonts w:asciiTheme="majorBidi" w:hAnsiTheme="majorBidi" w:cstheme="majorBidi"/>
          <w:bCs/>
        </w:rPr>
      </w:pPr>
      <w:r w:rsidRPr="005032EA">
        <w:rPr>
          <w:rFonts w:asciiTheme="majorBidi" w:hAnsiTheme="majorBidi" w:cstheme="majorBidi"/>
          <w:bCs/>
        </w:rPr>
        <w:t>Pro srovnání – průměrný podíl ODA/HND mezi členskými státy Výboru pro rozvojovou pomoc (DAC) v roce 2024 činil 0,33 %.</w:t>
      </w:r>
      <w:r w:rsidR="003D1FF1">
        <w:rPr>
          <w:rFonts w:asciiTheme="majorBidi" w:hAnsiTheme="majorBidi" w:cstheme="majorBidi"/>
          <w:bCs/>
        </w:rPr>
        <w:t xml:space="preserve"> </w:t>
      </w:r>
      <w:r w:rsidRPr="005032EA">
        <w:rPr>
          <w:rFonts w:asciiTheme="majorBidi" w:hAnsiTheme="majorBidi" w:cstheme="majorBidi"/>
          <w:bCs/>
        </w:rPr>
        <w:t>Závazek vyplývající z Agendy 2030 pro udržitelný rozvoj stanoví cíl ve výši 0,7 % ODA/HND, přičemž na úrovni EU se Česká republika zavázala dosáhnout alespoň 0,33 % ODA/HND do roku 2030. Požadované úrovně OSN v současnosti dosahuje jen několik dárcovských zemí, jako jsou Dánsko, Lucembursko, Norsko a Švédsko.</w:t>
      </w:r>
    </w:p>
    <w:p w14:paraId="7600DAB3" w14:textId="0FA99E09" w:rsidR="00B72F48" w:rsidRDefault="00A923AC" w:rsidP="00C96F96">
      <w:pPr>
        <w:spacing w:line="264" w:lineRule="auto"/>
        <w:ind w:firstLine="567"/>
        <w:jc w:val="both"/>
        <w:rPr>
          <w:rFonts w:asciiTheme="majorBidi" w:hAnsiTheme="majorBidi" w:cstheme="majorBidi"/>
          <w:bCs/>
        </w:rPr>
      </w:pPr>
      <w:r w:rsidRPr="005032EA">
        <w:rPr>
          <w:rFonts w:asciiTheme="majorBidi" w:hAnsiTheme="majorBidi" w:cstheme="majorBidi"/>
          <w:bCs/>
        </w:rPr>
        <w:t>Pokles objemu pomoci v roce 2024 je v souladu s vývojem u ostatních členských států Výboru OECD pro rozvojovou pomoc (DAC) a je způsoben zejména poklesem výdajů na uprchlíky z Ukrajiny, nižšími příspěvky mezinárodním organizacím, omezením humanitární pomoci a snížením výdajů na uprchlíky v zemích dárců.</w:t>
      </w:r>
      <w:r w:rsidR="00B72F48">
        <w:rPr>
          <w:rFonts w:asciiTheme="majorBidi" w:hAnsiTheme="majorBidi" w:cstheme="majorBidi"/>
          <w:bCs/>
        </w:rPr>
        <w:br w:type="page"/>
      </w:r>
    </w:p>
    <w:p w14:paraId="46A9CD40" w14:textId="0813DC1D" w:rsidR="00F6243B" w:rsidRPr="005032EA" w:rsidRDefault="00F6243B" w:rsidP="00C96F96">
      <w:pPr>
        <w:pStyle w:val="Nadpis1"/>
        <w:spacing w:line="264" w:lineRule="auto"/>
      </w:pPr>
      <w:bookmarkStart w:id="48" w:name="_Toc200633293"/>
      <w:r w:rsidRPr="005032EA">
        <w:lastRenderedPageBreak/>
        <w:t>Závěr</w:t>
      </w:r>
      <w:bookmarkEnd w:id="48"/>
    </w:p>
    <w:p w14:paraId="65B3FC43" w14:textId="1E3A8B58" w:rsidR="00731AA7" w:rsidRPr="005032EA" w:rsidRDefault="00731AA7" w:rsidP="00C96F96">
      <w:pPr>
        <w:pStyle w:val="paragraph"/>
        <w:spacing w:before="0" w:beforeAutospacing="0" w:after="0" w:afterAutospacing="0" w:line="264" w:lineRule="auto"/>
        <w:ind w:firstLine="708"/>
        <w:contextualSpacing/>
        <w:jc w:val="both"/>
        <w:textAlignment w:val="baseline"/>
        <w:rPr>
          <w:rFonts w:asciiTheme="majorBidi" w:hAnsiTheme="majorBidi" w:cstheme="majorBidi"/>
        </w:rPr>
      </w:pPr>
      <w:r w:rsidRPr="005032EA">
        <w:rPr>
          <w:bCs/>
        </w:rPr>
        <w:t>V</w:t>
      </w:r>
      <w:r w:rsidR="00861981">
        <w:rPr>
          <w:bCs/>
        </w:rPr>
        <w:t> </w:t>
      </w:r>
      <w:r w:rsidR="00861981">
        <w:rPr>
          <w:rFonts w:asciiTheme="majorBidi" w:hAnsiTheme="majorBidi" w:cstheme="majorBidi"/>
        </w:rPr>
        <w:t xml:space="preserve">říjnu </w:t>
      </w:r>
      <w:r w:rsidRPr="005032EA">
        <w:rPr>
          <w:rFonts w:asciiTheme="majorBidi" w:hAnsiTheme="majorBidi" w:cstheme="majorBidi"/>
        </w:rPr>
        <w:t>2024 poprvé proběhlo peer rewiew statistického výkaznictví oficiální rozvojové pomoci české ZRS</w:t>
      </w:r>
      <w:r w:rsidR="00861981">
        <w:rPr>
          <w:rFonts w:asciiTheme="majorBidi" w:hAnsiTheme="majorBidi" w:cstheme="majorBidi"/>
        </w:rPr>
        <w:t xml:space="preserve">. </w:t>
      </w:r>
      <w:r w:rsidRPr="005032EA">
        <w:rPr>
          <w:rFonts w:asciiTheme="majorBidi" w:hAnsiTheme="majorBidi" w:cstheme="majorBidi"/>
        </w:rPr>
        <w:t>Hodnotitelskými zeměmi byly Nizozemsko a Portugalsko; Kazachstán se zúčastnil jako pozorovatel.</w:t>
      </w:r>
    </w:p>
    <w:p w14:paraId="1CFA4870" w14:textId="77777777" w:rsidR="00731AA7" w:rsidRPr="005032EA" w:rsidRDefault="00731AA7" w:rsidP="00C96F96">
      <w:pPr>
        <w:pStyle w:val="paragraph"/>
        <w:spacing w:before="0" w:beforeAutospacing="0" w:after="0" w:afterAutospacing="0" w:line="264" w:lineRule="auto"/>
        <w:ind w:firstLine="708"/>
        <w:contextualSpacing/>
        <w:jc w:val="both"/>
        <w:textAlignment w:val="baseline"/>
        <w:rPr>
          <w:rFonts w:asciiTheme="majorBidi" w:hAnsiTheme="majorBidi" w:cstheme="majorBidi"/>
        </w:rPr>
      </w:pPr>
      <w:r w:rsidRPr="005032EA">
        <w:rPr>
          <w:rFonts w:asciiTheme="majorBidi" w:hAnsiTheme="majorBidi" w:cstheme="majorBidi"/>
        </w:rPr>
        <w:t xml:space="preserve">Hlavním účelem peer review statistického výkaznictví oficiální rozvojové pomoci bylo zmapovat proces sběru dat, jejich následné užití, ale i poskytnout prostor pro zpětnou vazbu české straně.  </w:t>
      </w:r>
    </w:p>
    <w:p w14:paraId="48B9B89E" w14:textId="77777777" w:rsidR="00731AA7" w:rsidRPr="005032EA" w:rsidRDefault="00731AA7" w:rsidP="00C96F96">
      <w:pPr>
        <w:pStyle w:val="paragraph"/>
        <w:spacing w:before="0" w:beforeAutospacing="0" w:after="0" w:afterAutospacing="0" w:line="264" w:lineRule="auto"/>
        <w:ind w:firstLine="708"/>
        <w:contextualSpacing/>
        <w:jc w:val="both"/>
        <w:textAlignment w:val="baseline"/>
        <w:rPr>
          <w:rFonts w:asciiTheme="majorBidi" w:hAnsiTheme="majorBidi" w:cstheme="majorBidi"/>
        </w:rPr>
      </w:pPr>
      <w:r w:rsidRPr="005032EA">
        <w:rPr>
          <w:rFonts w:asciiTheme="majorBidi" w:hAnsiTheme="majorBidi" w:cstheme="majorBidi"/>
        </w:rPr>
        <w:t>Peer review pozitivně ohodnotil přístup ČR ke statistickému výkaznictví, a to zejména v těchto oblastech:</w:t>
      </w:r>
    </w:p>
    <w:p w14:paraId="17EC6DA0" w14:textId="77777777" w:rsidR="00731AA7" w:rsidRPr="005032EA" w:rsidRDefault="00731AA7" w:rsidP="00C96F96">
      <w:pPr>
        <w:pStyle w:val="Odstavecseseznamem"/>
        <w:numPr>
          <w:ilvl w:val="0"/>
          <w:numId w:val="20"/>
        </w:numPr>
        <w:spacing w:after="160" w:line="264" w:lineRule="auto"/>
        <w:contextualSpacing/>
        <w:rPr>
          <w:rFonts w:asciiTheme="majorBidi" w:hAnsiTheme="majorBidi" w:cstheme="majorBidi"/>
        </w:rPr>
      </w:pPr>
      <w:r w:rsidRPr="005032EA">
        <w:rPr>
          <w:rFonts w:asciiTheme="majorBidi" w:hAnsiTheme="majorBidi" w:cstheme="majorBidi"/>
        </w:rPr>
        <w:t>Podpora ukrajinských uprchlíků – výdaje hrazeny z oddělených rozpočtových kapitol, čímž se zabránilo nadhodnocování údajů o ODA.</w:t>
      </w:r>
    </w:p>
    <w:p w14:paraId="64366000" w14:textId="77777777" w:rsidR="00731AA7" w:rsidRPr="005032EA" w:rsidRDefault="00731AA7" w:rsidP="00C96F96">
      <w:pPr>
        <w:pStyle w:val="Odstavecseseznamem"/>
        <w:numPr>
          <w:ilvl w:val="0"/>
          <w:numId w:val="20"/>
        </w:numPr>
        <w:spacing w:after="160" w:line="264" w:lineRule="auto"/>
        <w:contextualSpacing/>
        <w:rPr>
          <w:rFonts w:asciiTheme="majorBidi" w:hAnsiTheme="majorBidi" w:cstheme="majorBidi"/>
        </w:rPr>
      </w:pPr>
      <w:r w:rsidRPr="005032EA">
        <w:rPr>
          <w:rFonts w:asciiTheme="majorBidi" w:hAnsiTheme="majorBidi" w:cstheme="majorBidi"/>
        </w:rPr>
        <w:t>Obezřetnost a transparentnost při vykazování výdajů na uprchlíky.</w:t>
      </w:r>
    </w:p>
    <w:p w14:paraId="150DC7C7" w14:textId="0B8D2467" w:rsidR="00731AA7" w:rsidRPr="005032EA" w:rsidRDefault="00731AA7" w:rsidP="00C96F96">
      <w:pPr>
        <w:pStyle w:val="Odstavecseseznamem"/>
        <w:numPr>
          <w:ilvl w:val="0"/>
          <w:numId w:val="20"/>
        </w:numPr>
        <w:spacing w:after="160" w:line="264" w:lineRule="auto"/>
        <w:contextualSpacing/>
        <w:rPr>
          <w:rFonts w:asciiTheme="majorBidi" w:hAnsiTheme="majorBidi" w:cstheme="majorBidi"/>
        </w:rPr>
      </w:pPr>
      <w:r w:rsidRPr="005032EA">
        <w:rPr>
          <w:rFonts w:asciiTheme="majorBidi" w:hAnsiTheme="majorBidi" w:cstheme="majorBidi"/>
        </w:rPr>
        <w:t>Ochrana rozpočtu na rozvojovou spolupráci – poz</w:t>
      </w:r>
      <w:r w:rsidR="00F318EB">
        <w:rPr>
          <w:rFonts w:asciiTheme="majorBidi" w:hAnsiTheme="majorBidi" w:cstheme="majorBidi"/>
        </w:rPr>
        <w:t>itivní hodnocení činnosti MZV v</w:t>
      </w:r>
      <w:r w:rsidR="00F318EB">
        <w:rPr>
          <w:rFonts w:asciiTheme="majorBidi" w:hAnsiTheme="majorBidi" w:cstheme="majorBidi"/>
          <w:lang w:val="cs-CZ"/>
        </w:rPr>
        <w:t> </w:t>
      </w:r>
      <w:r w:rsidRPr="005032EA">
        <w:rPr>
          <w:rFonts w:asciiTheme="majorBidi" w:hAnsiTheme="majorBidi" w:cstheme="majorBidi"/>
        </w:rPr>
        <w:t>této oblasti.</w:t>
      </w:r>
    </w:p>
    <w:p w14:paraId="085D6CE8" w14:textId="41B355A8" w:rsidR="005E70CF" w:rsidRDefault="005E70CF" w:rsidP="00C96F96">
      <w:pPr>
        <w:spacing w:after="120" w:line="264" w:lineRule="auto"/>
        <w:ind w:firstLine="709"/>
        <w:contextualSpacing/>
        <w:jc w:val="both"/>
        <w:rPr>
          <w:rFonts w:asciiTheme="majorBidi" w:hAnsiTheme="majorBidi" w:cstheme="majorBidi"/>
          <w:bCs/>
        </w:rPr>
      </w:pPr>
      <w:r>
        <w:t>Z hlediska celkové ODA nicméně i v roce 2024 pokračoval sestupný trend podílu ODA na HND</w:t>
      </w:r>
      <w:r w:rsidR="00976662">
        <w:t xml:space="preserve">, v roce 2024 </w:t>
      </w:r>
      <w:r w:rsidR="00143F3D">
        <w:t xml:space="preserve">tvořila ODA </w:t>
      </w:r>
      <w:r w:rsidR="00976662">
        <w:t>0,17 %</w:t>
      </w:r>
      <w:r w:rsidR="00143F3D">
        <w:t xml:space="preserve"> HND</w:t>
      </w:r>
      <w:r>
        <w:t xml:space="preserve">. Bez mimořádných výdajů spojených </w:t>
      </w:r>
      <w:r w:rsidRPr="005032EA">
        <w:rPr>
          <w:rFonts w:asciiTheme="majorBidi" w:hAnsiTheme="majorBidi" w:cstheme="majorBidi"/>
          <w:bCs/>
        </w:rPr>
        <w:t xml:space="preserve">především </w:t>
      </w:r>
      <w:r>
        <w:rPr>
          <w:rFonts w:asciiTheme="majorBidi" w:hAnsiTheme="majorBidi" w:cstheme="majorBidi"/>
          <w:bCs/>
        </w:rPr>
        <w:t xml:space="preserve">s </w:t>
      </w:r>
      <w:r w:rsidRPr="005032EA">
        <w:rPr>
          <w:rFonts w:asciiTheme="majorBidi" w:hAnsiTheme="majorBidi" w:cstheme="majorBidi"/>
          <w:bCs/>
        </w:rPr>
        <w:t>přílivem uprchlíků z</w:t>
      </w:r>
      <w:r>
        <w:rPr>
          <w:rFonts w:asciiTheme="majorBidi" w:hAnsiTheme="majorBidi" w:cstheme="majorBidi"/>
          <w:bCs/>
        </w:rPr>
        <w:t> </w:t>
      </w:r>
      <w:r w:rsidRPr="005032EA">
        <w:rPr>
          <w:rFonts w:asciiTheme="majorBidi" w:hAnsiTheme="majorBidi" w:cstheme="majorBidi"/>
          <w:bCs/>
        </w:rPr>
        <w:t>Ukrajiny</w:t>
      </w:r>
      <w:r>
        <w:rPr>
          <w:rFonts w:asciiTheme="majorBidi" w:hAnsiTheme="majorBidi" w:cstheme="majorBidi"/>
          <w:bCs/>
        </w:rPr>
        <w:t xml:space="preserve"> by podíl ODA dokonce činil pouze 0,12 % HND. Česko tak zůstává hluboko pod průměrem DAC a velmi vzdáleno dosažení závazku 0,33% podílu ODA na HND do roku 2030. Zvrácení tohoto trendu a naopak postupné navyšování ODA s cílem dosáhnout našich závazků by mělo být prioritou.</w:t>
      </w:r>
    </w:p>
    <w:p w14:paraId="3751613D" w14:textId="77777777" w:rsidR="00C83935" w:rsidRDefault="00C83935" w:rsidP="00C96F96">
      <w:pPr>
        <w:spacing w:after="120" w:line="264" w:lineRule="auto"/>
        <w:ind w:firstLine="709"/>
        <w:contextualSpacing/>
        <w:jc w:val="both"/>
        <w:rPr>
          <w:rFonts w:asciiTheme="majorBidi" w:hAnsiTheme="majorBidi" w:cstheme="majorBidi"/>
          <w:bCs/>
        </w:rPr>
      </w:pPr>
    </w:p>
    <w:p w14:paraId="5D4785BA" w14:textId="0AB66706" w:rsidR="00D925C9" w:rsidRPr="00D925C9" w:rsidRDefault="00BC045B" w:rsidP="00C96F96">
      <w:pPr>
        <w:spacing w:after="120" w:line="264" w:lineRule="auto"/>
        <w:ind w:firstLine="709"/>
        <w:contextualSpacing/>
        <w:jc w:val="both"/>
        <w:rPr>
          <w:b/>
          <w:bCs/>
        </w:rPr>
      </w:pPr>
      <w:r>
        <w:t xml:space="preserve">Výzvou nadále zůstává schopnost </w:t>
      </w:r>
      <w:r w:rsidRPr="00627D81">
        <w:rPr>
          <w:b/>
          <w:bCs/>
        </w:rPr>
        <w:t>veřejné prezentace</w:t>
      </w:r>
      <w:r>
        <w:t xml:space="preserve"> rozvojového úsilí, jeho smyslu a přínosů i pro českou veřejnost. Pozitivními kroky v tomto směru bylo uskutečnění </w:t>
      </w:r>
      <w:r w:rsidRPr="005032EA">
        <w:rPr>
          <w:b/>
          <w:bCs/>
        </w:rPr>
        <w:t>historicky první akce „Česko pomáhá – Národní rozvojový den</w:t>
      </w:r>
      <w:r w:rsidRPr="005032EA">
        <w:rPr>
          <w:bCs/>
        </w:rPr>
        <w:t>“</w:t>
      </w:r>
      <w:r>
        <w:rPr>
          <w:bCs/>
        </w:rPr>
        <w:t xml:space="preserve"> d</w:t>
      </w:r>
      <w:r w:rsidR="00EB4277" w:rsidRPr="005032EA">
        <w:rPr>
          <w:b/>
          <w:bCs/>
        </w:rPr>
        <w:t>ne 25. dubna 2024</w:t>
      </w:r>
      <w:r w:rsidR="00EB4277" w:rsidRPr="005032EA">
        <w:rPr>
          <w:bCs/>
        </w:rPr>
        <w:t>,</w:t>
      </w:r>
      <w:r w:rsidR="00EB4277" w:rsidRPr="005032EA">
        <w:t xml:space="preserve"> kterou zahájil prezident ČR. Na politickou část, které se účastnilo téměř 200 zástupců resortů, neziskových organizací, univerzit, firem a platforem a médií, navázaly tři odborné stoly. Akce by se měla stát každoroční příležitostí pro setkání politické, odborné i široké veřejnosti nad otázkami a ukázkami českého rozvojového úsilí. Během akce bylo také veřejně představeno </w:t>
      </w:r>
      <w:r w:rsidR="00EB4277" w:rsidRPr="005032EA">
        <w:rPr>
          <w:b/>
          <w:bCs/>
        </w:rPr>
        <w:t>nové zastřešující logo Czech Aid.</w:t>
      </w:r>
      <w:r w:rsidR="00FA68A0">
        <w:rPr>
          <w:b/>
          <w:bCs/>
        </w:rPr>
        <w:t xml:space="preserve"> </w:t>
      </w:r>
      <w:r w:rsidR="00FA68A0" w:rsidRPr="00FA68A0">
        <w:rPr>
          <w:bCs/>
        </w:rPr>
        <w:t xml:space="preserve">Ve vizuální podobě loga byly také vytvořeny </w:t>
      </w:r>
      <w:r w:rsidR="00FA68A0" w:rsidRPr="00FA68A0">
        <w:rPr>
          <w:b/>
          <w:bCs/>
        </w:rPr>
        <w:t>šablony</w:t>
      </w:r>
      <w:r w:rsidR="00FA68A0" w:rsidRPr="00FA68A0">
        <w:rPr>
          <w:bCs/>
        </w:rPr>
        <w:t xml:space="preserve">, které jsou společně s logem </w:t>
      </w:r>
      <w:r w:rsidR="00D925C9">
        <w:rPr>
          <w:b/>
          <w:bCs/>
        </w:rPr>
        <w:t>ke stažení na mzv.gov.cz/rozvoj.</w:t>
      </w:r>
    </w:p>
    <w:p w14:paraId="1BE0F360" w14:textId="77777777" w:rsidR="001928AD" w:rsidRPr="005032EA" w:rsidRDefault="001928AD" w:rsidP="00C96F96">
      <w:pPr>
        <w:spacing w:after="120" w:line="264" w:lineRule="auto"/>
        <w:ind w:firstLine="708"/>
        <w:contextualSpacing/>
        <w:jc w:val="both"/>
        <w:rPr>
          <w:highlight w:val="cyan"/>
        </w:rPr>
      </w:pPr>
      <w:r w:rsidRPr="005032EA">
        <w:rPr>
          <w:b/>
        </w:rPr>
        <w:t>Uplatňování českých řešení a expertních kapacit</w:t>
      </w:r>
      <w:r w:rsidRPr="005032EA">
        <w:t xml:space="preserve">, propojování geografických i tematických priorit a multiplikace vložených finančních prostředků zůstávají hlavními záměry MZV při realizaci humanitárních, transformačních a rozvojových aktivit bilaterálních i v součinnosti s dalšími zeměmi, EU a osvědčenými multilaterálními partnery. </w:t>
      </w:r>
    </w:p>
    <w:p w14:paraId="797AFB04" w14:textId="45987A01" w:rsidR="00D208F8" w:rsidRPr="005032EA" w:rsidRDefault="00D208F8" w:rsidP="00C96F96">
      <w:pPr>
        <w:spacing w:after="120" w:line="264" w:lineRule="auto"/>
        <w:ind w:firstLine="709"/>
        <w:contextualSpacing/>
        <w:jc w:val="both"/>
      </w:pPr>
      <w:r w:rsidRPr="005032EA">
        <w:t>Nové příležitosti se pro české realizátory zahraničních aktivit otevírají také v EU – v kontextu Nástroje pro Ukrajinu</w:t>
      </w:r>
      <w:r w:rsidR="001928AD" w:rsidRPr="005032EA">
        <w:t xml:space="preserve"> a nástroje NDICI-Global Europe,či </w:t>
      </w:r>
      <w:r w:rsidRPr="005032EA">
        <w:t xml:space="preserve">Strategie Global Gateway. Zejména ČRA a ZÚ ČR v prioritních zemích dvoustranné rozvojové spolupráce disponují četnými zkušenostmi z </w:t>
      </w:r>
      <w:r w:rsidRPr="005032EA">
        <w:rPr>
          <w:b/>
        </w:rPr>
        <w:t>delegované spolupráce s EU</w:t>
      </w:r>
      <w:r w:rsidRPr="005032EA">
        <w:t>, které lze ve vztahu k uvedeným nástrojům zúročit ve prospěch ještě výraznějšího</w:t>
      </w:r>
      <w:r w:rsidR="00F318EB">
        <w:t xml:space="preserve"> zapojení českých realizátorů a </w:t>
      </w:r>
      <w:r w:rsidRPr="005032EA">
        <w:t xml:space="preserve">uplatnění českého know-how. </w:t>
      </w:r>
    </w:p>
    <w:sectPr w:rsidR="00D208F8" w:rsidRPr="005032EA" w:rsidSect="00AD01FD">
      <w:footerReference w:type="default" r:id="rId16"/>
      <w:footerReference w:type="firs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D234" w14:textId="77777777" w:rsidR="007E2D32" w:rsidRDefault="007E2D32">
      <w:r>
        <w:separator/>
      </w:r>
    </w:p>
  </w:endnote>
  <w:endnote w:type="continuationSeparator" w:id="0">
    <w:p w14:paraId="08BD1C06" w14:textId="77777777" w:rsidR="007E2D32" w:rsidRDefault="007E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Georgia&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rdo">
    <w:altName w:val="Calibri"/>
    <w:charset w:val="00"/>
    <w:family w:val="auto"/>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852D" w14:textId="77777777" w:rsidR="001A2677" w:rsidRDefault="001A2677" w:rsidP="00EB1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14EEEF4" w14:textId="77777777" w:rsidR="001A2677" w:rsidRDefault="001A26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ED38" w14:textId="77777777" w:rsidR="001A2677" w:rsidRDefault="001A2677" w:rsidP="00413B75">
    <w:pPr>
      <w:pStyle w:val="Zpa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3166" w14:textId="5FDD97E9" w:rsidR="001A2677" w:rsidRDefault="001A2677" w:rsidP="00AD01FD">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0A73" w14:textId="77777777" w:rsidR="001A2677" w:rsidRDefault="001A2677" w:rsidP="00413B75">
    <w:pPr>
      <w:pStyle w:val="Zpat"/>
      <w:jc w:val="center"/>
    </w:pPr>
    <w:r>
      <w:fldChar w:fldCharType="begin"/>
    </w:r>
    <w:r>
      <w:instrText>PAGE   \* MERGEFORMAT</w:instrText>
    </w:r>
    <w:r>
      <w:fldChar w:fldCharType="separate"/>
    </w:r>
    <w:r w:rsidR="00F318EB">
      <w:rPr>
        <w:noProof/>
      </w:rPr>
      <w:t>41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090252"/>
      <w:docPartObj>
        <w:docPartGallery w:val="Page Numbers (Bottom of Page)"/>
        <w:docPartUnique/>
      </w:docPartObj>
    </w:sdtPr>
    <w:sdtContent>
      <w:p w14:paraId="260D5943" w14:textId="77777777" w:rsidR="001A2677" w:rsidRDefault="001A2677" w:rsidP="00AD01FD">
        <w:pPr>
          <w:pStyle w:val="Zpat"/>
          <w:jc w:val="center"/>
        </w:pP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2C6C" w14:textId="77777777" w:rsidR="007E2D32" w:rsidRDefault="007E2D32">
      <w:r>
        <w:separator/>
      </w:r>
    </w:p>
  </w:footnote>
  <w:footnote w:type="continuationSeparator" w:id="0">
    <w:p w14:paraId="69570CA5" w14:textId="77777777" w:rsidR="007E2D32" w:rsidRDefault="007E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1010" w14:textId="77777777" w:rsidR="001A2677" w:rsidRDefault="001A2677" w:rsidP="009E0013">
    <w:pPr>
      <w:pStyle w:val="Zhlav"/>
      <w:jc w:val="right"/>
    </w:pPr>
    <w: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402"/>
    <w:multiLevelType w:val="hybridMultilevel"/>
    <w:tmpl w:val="4B6CF4B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F648F"/>
    <w:multiLevelType w:val="hybridMultilevel"/>
    <w:tmpl w:val="FE6881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8A3E0C"/>
    <w:multiLevelType w:val="multilevel"/>
    <w:tmpl w:val="2BC81F0E"/>
    <w:lvl w:ilvl="0">
      <w:start w:val="1"/>
      <w:numFmt w:val="decimal"/>
      <w:pStyle w:val="Nadpis1"/>
      <w:lvlText w:val="%1."/>
      <w:lvlJc w:val="left"/>
      <w:pPr>
        <w:ind w:left="360" w:hanging="360"/>
      </w:pPr>
      <w:rPr>
        <w:b/>
      </w:rPr>
    </w:lvl>
    <w:lvl w:ilvl="1">
      <w:start w:val="1"/>
      <w:numFmt w:val="decimal"/>
      <w:pStyle w:val="Nadpis2"/>
      <w:lvlText w:val="%1.%2."/>
      <w:lvlJc w:val="left"/>
      <w:pPr>
        <w:ind w:left="792" w:hanging="432"/>
      </w:pPr>
      <w:rPr>
        <w:b/>
        <w:i w:val="0"/>
      </w:rPr>
    </w:lvl>
    <w:lvl w:ilvl="2">
      <w:start w:val="1"/>
      <w:numFmt w:val="decimal"/>
      <w:pStyle w:val="Nadpis3"/>
      <w:lvlText w:val="%1.%2.%3."/>
      <w:lvlJc w:val="left"/>
      <w:pPr>
        <w:ind w:left="1355"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44E56"/>
    <w:multiLevelType w:val="hybridMultilevel"/>
    <w:tmpl w:val="F7DEA0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597C7A"/>
    <w:multiLevelType w:val="multilevel"/>
    <w:tmpl w:val="FEE894D8"/>
    <w:lvl w:ilvl="0">
      <w:start w:val="2"/>
      <w:numFmt w:val="decimal"/>
      <w:lvlText w:val="%1"/>
      <w:lvlJc w:val="left"/>
      <w:pPr>
        <w:ind w:left="480" w:hanging="480"/>
      </w:pPr>
      <w:rPr>
        <w:rFonts w:hint="default"/>
        <w:b/>
      </w:rPr>
    </w:lvl>
    <w:lvl w:ilvl="1">
      <w:start w:val="3"/>
      <w:numFmt w:val="decimal"/>
      <w:lvlText w:val="%1.%2"/>
      <w:lvlJc w:val="left"/>
      <w:pPr>
        <w:ind w:left="763" w:hanging="480"/>
      </w:pPr>
      <w:rPr>
        <w:rFonts w:hint="default"/>
        <w:b/>
      </w:rPr>
    </w:lvl>
    <w:lvl w:ilvl="2">
      <w:start w:val="2"/>
      <w:numFmt w:val="decimal"/>
      <w:lvlText w:val="%1.%2.%3"/>
      <w:lvlJc w:val="left"/>
      <w:pPr>
        <w:ind w:left="862" w:hanging="720"/>
      </w:pPr>
      <w:rPr>
        <w:rFonts w:hint="default"/>
        <w:b/>
        <w:i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15:restartNumberingAfterBreak="0">
    <w:nsid w:val="3AAE6479"/>
    <w:multiLevelType w:val="hybridMultilevel"/>
    <w:tmpl w:val="F9DE3FE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E394392"/>
    <w:multiLevelType w:val="multilevel"/>
    <w:tmpl w:val="B394B4E2"/>
    <w:lvl w:ilvl="0">
      <w:start w:val="3"/>
      <w:numFmt w:val="decimal"/>
      <w:lvlText w:val="%1."/>
      <w:lvlJc w:val="left"/>
      <w:pPr>
        <w:ind w:left="360" w:hanging="360"/>
      </w:pPr>
      <w:rPr>
        <w:rFonts w:hint="default"/>
      </w:rPr>
    </w:lvl>
    <w:lvl w:ilvl="1">
      <w:start w:val="4"/>
      <w:numFmt w:val="decimal"/>
      <w:lvlText w:val="%1.%2."/>
      <w:lvlJc w:val="left"/>
      <w:pPr>
        <w:ind w:left="643" w:hanging="36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462334B"/>
    <w:multiLevelType w:val="hybridMultilevel"/>
    <w:tmpl w:val="C5803F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9B361DA"/>
    <w:multiLevelType w:val="hybridMultilevel"/>
    <w:tmpl w:val="0368F894"/>
    <w:lvl w:ilvl="0" w:tplc="FFFFFFFF">
      <w:start w:val="1"/>
      <w:numFmt w:val="bullet"/>
      <w:lvlText w:val="-"/>
      <w:lvlJc w:val="left"/>
      <w:pPr>
        <w:ind w:left="720" w:hanging="360"/>
      </w:pPr>
      <w:rPr>
        <w:rFonts w:ascii="&quot;Georgia&quot;,serif" w:hAnsi="&quot;Georgia&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EC100BD"/>
    <w:multiLevelType w:val="hybridMultilevel"/>
    <w:tmpl w:val="25547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F52D63"/>
    <w:multiLevelType w:val="hybridMultilevel"/>
    <w:tmpl w:val="905ED9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F306A9"/>
    <w:multiLevelType w:val="hybridMultilevel"/>
    <w:tmpl w:val="CDBC480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6A225709"/>
    <w:multiLevelType w:val="multilevel"/>
    <w:tmpl w:val="9D764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002CA2"/>
    <w:multiLevelType w:val="hybridMultilevel"/>
    <w:tmpl w:val="20604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FA6DF5"/>
    <w:multiLevelType w:val="multilevel"/>
    <w:tmpl w:val="F2D0C61C"/>
    <w:lvl w:ilvl="0">
      <w:start w:val="3"/>
      <w:numFmt w:val="decimal"/>
      <w:lvlText w:val="%1"/>
      <w:lvlJc w:val="left"/>
      <w:pPr>
        <w:ind w:left="360" w:hanging="360"/>
      </w:pPr>
      <w:rPr>
        <w:rFonts w:hint="default"/>
        <w:b/>
      </w:rPr>
    </w:lvl>
    <w:lvl w:ilvl="1">
      <w:start w:val="1"/>
      <w:numFmt w:val="decimal"/>
      <w:lvlText w:val="%1.%2"/>
      <w:lvlJc w:val="left"/>
      <w:pPr>
        <w:ind w:left="643" w:hanging="36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4E00449"/>
    <w:multiLevelType w:val="hybridMultilevel"/>
    <w:tmpl w:val="51CE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A3E6E"/>
    <w:multiLevelType w:val="multilevel"/>
    <w:tmpl w:val="C3A89CB6"/>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76E56DFB"/>
    <w:multiLevelType w:val="multilevel"/>
    <w:tmpl w:val="FC1674F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D25561D"/>
    <w:multiLevelType w:val="multilevel"/>
    <w:tmpl w:val="D8BEB31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59523628">
    <w:abstractNumId w:val="16"/>
  </w:num>
  <w:num w:numId="2" w16cid:durableId="79714031">
    <w:abstractNumId w:val="2"/>
  </w:num>
  <w:num w:numId="3" w16cid:durableId="409622912">
    <w:abstractNumId w:val="3"/>
  </w:num>
  <w:num w:numId="4" w16cid:durableId="266623375">
    <w:abstractNumId w:val="8"/>
  </w:num>
  <w:num w:numId="5" w16cid:durableId="407117283">
    <w:abstractNumId w:val="10"/>
  </w:num>
  <w:num w:numId="6" w16cid:durableId="1237209610">
    <w:abstractNumId w:val="4"/>
  </w:num>
  <w:num w:numId="7" w16cid:durableId="155919279">
    <w:abstractNumId w:val="14"/>
  </w:num>
  <w:num w:numId="8" w16cid:durableId="1221287016">
    <w:abstractNumId w:val="6"/>
  </w:num>
  <w:num w:numId="9" w16cid:durableId="985357577">
    <w:abstractNumId w:val="1"/>
  </w:num>
  <w:num w:numId="10" w16cid:durableId="714502218">
    <w:abstractNumId w:val="5"/>
  </w:num>
  <w:num w:numId="11" w16cid:durableId="1453671775">
    <w:abstractNumId w:val="17"/>
  </w:num>
  <w:num w:numId="12" w16cid:durableId="67503826">
    <w:abstractNumId w:val="13"/>
  </w:num>
  <w:num w:numId="13" w16cid:durableId="239412955">
    <w:abstractNumId w:val="18"/>
  </w:num>
  <w:num w:numId="14" w16cid:durableId="1519613330">
    <w:abstractNumId w:val="12"/>
  </w:num>
  <w:num w:numId="15" w16cid:durableId="1072503180">
    <w:abstractNumId w:val="9"/>
  </w:num>
  <w:num w:numId="16" w16cid:durableId="1866552498">
    <w:abstractNumId w:val="0"/>
  </w:num>
  <w:num w:numId="17" w16cid:durableId="675424329">
    <w:abstractNumId w:val="7"/>
  </w:num>
  <w:num w:numId="18" w16cid:durableId="1834296435">
    <w:abstractNumId w:val="2"/>
  </w:num>
  <w:num w:numId="19" w16cid:durableId="1002589923">
    <w:abstractNumId w:val="2"/>
  </w:num>
  <w:num w:numId="20" w16cid:durableId="1831169113">
    <w:abstractNumId w:val="15"/>
  </w:num>
  <w:num w:numId="21" w16cid:durableId="1983000343">
    <w:abstractNumId w:val="2"/>
  </w:num>
  <w:num w:numId="22" w16cid:durableId="261499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CDF"/>
    <w:rsid w:val="00000403"/>
    <w:rsid w:val="00000800"/>
    <w:rsid w:val="00000A06"/>
    <w:rsid w:val="0000115E"/>
    <w:rsid w:val="000012CE"/>
    <w:rsid w:val="000013EB"/>
    <w:rsid w:val="00001CE0"/>
    <w:rsid w:val="00001E01"/>
    <w:rsid w:val="00002021"/>
    <w:rsid w:val="00002247"/>
    <w:rsid w:val="0000232C"/>
    <w:rsid w:val="0000259C"/>
    <w:rsid w:val="000025EA"/>
    <w:rsid w:val="00003127"/>
    <w:rsid w:val="00003717"/>
    <w:rsid w:val="00004064"/>
    <w:rsid w:val="000042AF"/>
    <w:rsid w:val="00004847"/>
    <w:rsid w:val="00004F2E"/>
    <w:rsid w:val="000059FB"/>
    <w:rsid w:val="00006A29"/>
    <w:rsid w:val="0000763C"/>
    <w:rsid w:val="00007C1C"/>
    <w:rsid w:val="00010AD9"/>
    <w:rsid w:val="000120F4"/>
    <w:rsid w:val="0001251A"/>
    <w:rsid w:val="00012760"/>
    <w:rsid w:val="000155EB"/>
    <w:rsid w:val="0001566B"/>
    <w:rsid w:val="00017697"/>
    <w:rsid w:val="00017F2F"/>
    <w:rsid w:val="00020492"/>
    <w:rsid w:val="00021798"/>
    <w:rsid w:val="00021A22"/>
    <w:rsid w:val="0002398F"/>
    <w:rsid w:val="00027400"/>
    <w:rsid w:val="000310EB"/>
    <w:rsid w:val="00031C5D"/>
    <w:rsid w:val="00033A4D"/>
    <w:rsid w:val="00034521"/>
    <w:rsid w:val="00035A85"/>
    <w:rsid w:val="0003605E"/>
    <w:rsid w:val="000402B2"/>
    <w:rsid w:val="00040569"/>
    <w:rsid w:val="0004074E"/>
    <w:rsid w:val="000415D7"/>
    <w:rsid w:val="00045912"/>
    <w:rsid w:val="00046489"/>
    <w:rsid w:val="000465BA"/>
    <w:rsid w:val="000467B2"/>
    <w:rsid w:val="00050850"/>
    <w:rsid w:val="000514BA"/>
    <w:rsid w:val="00051BC3"/>
    <w:rsid w:val="00054817"/>
    <w:rsid w:val="00055F6B"/>
    <w:rsid w:val="00056D6B"/>
    <w:rsid w:val="00057303"/>
    <w:rsid w:val="00057B3E"/>
    <w:rsid w:val="00060381"/>
    <w:rsid w:val="00060F45"/>
    <w:rsid w:val="00065F49"/>
    <w:rsid w:val="00065F6C"/>
    <w:rsid w:val="00066D38"/>
    <w:rsid w:val="0007095C"/>
    <w:rsid w:val="000730B3"/>
    <w:rsid w:val="00073AEF"/>
    <w:rsid w:val="00075B36"/>
    <w:rsid w:val="00075B56"/>
    <w:rsid w:val="000765BF"/>
    <w:rsid w:val="00076A4E"/>
    <w:rsid w:val="00077796"/>
    <w:rsid w:val="00080573"/>
    <w:rsid w:val="000816E5"/>
    <w:rsid w:val="00082179"/>
    <w:rsid w:val="00082504"/>
    <w:rsid w:val="00085E96"/>
    <w:rsid w:val="000864C9"/>
    <w:rsid w:val="00087A4F"/>
    <w:rsid w:val="000916A6"/>
    <w:rsid w:val="00092B24"/>
    <w:rsid w:val="00093281"/>
    <w:rsid w:val="000A03F9"/>
    <w:rsid w:val="000A2478"/>
    <w:rsid w:val="000A2A0D"/>
    <w:rsid w:val="000A4B65"/>
    <w:rsid w:val="000A5012"/>
    <w:rsid w:val="000A73ED"/>
    <w:rsid w:val="000B02E3"/>
    <w:rsid w:val="000B0528"/>
    <w:rsid w:val="000B19E1"/>
    <w:rsid w:val="000B2B89"/>
    <w:rsid w:val="000B3D14"/>
    <w:rsid w:val="000B4F8D"/>
    <w:rsid w:val="000B53F2"/>
    <w:rsid w:val="000C0020"/>
    <w:rsid w:val="000C07FE"/>
    <w:rsid w:val="000C0C65"/>
    <w:rsid w:val="000C1157"/>
    <w:rsid w:val="000C18B4"/>
    <w:rsid w:val="000C1993"/>
    <w:rsid w:val="000C1EFF"/>
    <w:rsid w:val="000C36A1"/>
    <w:rsid w:val="000C4042"/>
    <w:rsid w:val="000C4D3A"/>
    <w:rsid w:val="000C79EE"/>
    <w:rsid w:val="000D26AE"/>
    <w:rsid w:val="000D2C6B"/>
    <w:rsid w:val="000D321D"/>
    <w:rsid w:val="000D496D"/>
    <w:rsid w:val="000D4C87"/>
    <w:rsid w:val="000D5A78"/>
    <w:rsid w:val="000D6111"/>
    <w:rsid w:val="000D61E6"/>
    <w:rsid w:val="000D71DF"/>
    <w:rsid w:val="000E03FD"/>
    <w:rsid w:val="000E0F5C"/>
    <w:rsid w:val="000E1ED4"/>
    <w:rsid w:val="000E4316"/>
    <w:rsid w:val="000E45D4"/>
    <w:rsid w:val="000E4725"/>
    <w:rsid w:val="000E5103"/>
    <w:rsid w:val="000E5D48"/>
    <w:rsid w:val="000F1C27"/>
    <w:rsid w:val="000F1D4B"/>
    <w:rsid w:val="000F2421"/>
    <w:rsid w:val="000F2580"/>
    <w:rsid w:val="000F2A4B"/>
    <w:rsid w:val="000F2BB5"/>
    <w:rsid w:val="000F2F1A"/>
    <w:rsid w:val="000F42F8"/>
    <w:rsid w:val="000F4F99"/>
    <w:rsid w:val="000F6A5F"/>
    <w:rsid w:val="001013F4"/>
    <w:rsid w:val="0010179A"/>
    <w:rsid w:val="00101883"/>
    <w:rsid w:val="001024CA"/>
    <w:rsid w:val="00102639"/>
    <w:rsid w:val="001053F6"/>
    <w:rsid w:val="001055DC"/>
    <w:rsid w:val="001059AE"/>
    <w:rsid w:val="00105D62"/>
    <w:rsid w:val="0010633A"/>
    <w:rsid w:val="001077F3"/>
    <w:rsid w:val="001079B6"/>
    <w:rsid w:val="0011032D"/>
    <w:rsid w:val="001116EE"/>
    <w:rsid w:val="00111D9F"/>
    <w:rsid w:val="0011393B"/>
    <w:rsid w:val="0011591F"/>
    <w:rsid w:val="001164B0"/>
    <w:rsid w:val="001226FD"/>
    <w:rsid w:val="00122B7F"/>
    <w:rsid w:val="00124715"/>
    <w:rsid w:val="001268A3"/>
    <w:rsid w:val="00126909"/>
    <w:rsid w:val="00126D1B"/>
    <w:rsid w:val="0013069B"/>
    <w:rsid w:val="00130C97"/>
    <w:rsid w:val="00134614"/>
    <w:rsid w:val="0013508D"/>
    <w:rsid w:val="00135299"/>
    <w:rsid w:val="0013583C"/>
    <w:rsid w:val="00135C9F"/>
    <w:rsid w:val="00135E40"/>
    <w:rsid w:val="00136404"/>
    <w:rsid w:val="00137C67"/>
    <w:rsid w:val="001405CB"/>
    <w:rsid w:val="001420BA"/>
    <w:rsid w:val="001426AF"/>
    <w:rsid w:val="00143F3D"/>
    <w:rsid w:val="00145663"/>
    <w:rsid w:val="00145689"/>
    <w:rsid w:val="0014592A"/>
    <w:rsid w:val="001461BC"/>
    <w:rsid w:val="001462A2"/>
    <w:rsid w:val="001462A3"/>
    <w:rsid w:val="00147993"/>
    <w:rsid w:val="00147C56"/>
    <w:rsid w:val="001507F3"/>
    <w:rsid w:val="00150F1B"/>
    <w:rsid w:val="001531F0"/>
    <w:rsid w:val="00153409"/>
    <w:rsid w:val="0015363B"/>
    <w:rsid w:val="001541FB"/>
    <w:rsid w:val="00154358"/>
    <w:rsid w:val="00154EFA"/>
    <w:rsid w:val="00155018"/>
    <w:rsid w:val="00155D1B"/>
    <w:rsid w:val="00156800"/>
    <w:rsid w:val="00157EBD"/>
    <w:rsid w:val="00161884"/>
    <w:rsid w:val="001623BD"/>
    <w:rsid w:val="00162517"/>
    <w:rsid w:val="0016417E"/>
    <w:rsid w:val="00165C6F"/>
    <w:rsid w:val="0017054F"/>
    <w:rsid w:val="00170920"/>
    <w:rsid w:val="00172A9B"/>
    <w:rsid w:val="001732AB"/>
    <w:rsid w:val="00174081"/>
    <w:rsid w:val="00174530"/>
    <w:rsid w:val="0017531C"/>
    <w:rsid w:val="00175EBE"/>
    <w:rsid w:val="001770EE"/>
    <w:rsid w:val="00177475"/>
    <w:rsid w:val="00177803"/>
    <w:rsid w:val="001778E4"/>
    <w:rsid w:val="00182148"/>
    <w:rsid w:val="001839E8"/>
    <w:rsid w:val="00184251"/>
    <w:rsid w:val="00187245"/>
    <w:rsid w:val="001875A9"/>
    <w:rsid w:val="001878BF"/>
    <w:rsid w:val="001919C1"/>
    <w:rsid w:val="00191BA7"/>
    <w:rsid w:val="001928AD"/>
    <w:rsid w:val="00192BFC"/>
    <w:rsid w:val="00193847"/>
    <w:rsid w:val="0019497F"/>
    <w:rsid w:val="00194AD6"/>
    <w:rsid w:val="001968AF"/>
    <w:rsid w:val="001A1854"/>
    <w:rsid w:val="001A2677"/>
    <w:rsid w:val="001A4F6C"/>
    <w:rsid w:val="001A6A8E"/>
    <w:rsid w:val="001A6C1E"/>
    <w:rsid w:val="001A6FAB"/>
    <w:rsid w:val="001A7247"/>
    <w:rsid w:val="001A7337"/>
    <w:rsid w:val="001B0C66"/>
    <w:rsid w:val="001B1A46"/>
    <w:rsid w:val="001B1EF1"/>
    <w:rsid w:val="001B247E"/>
    <w:rsid w:val="001B2595"/>
    <w:rsid w:val="001B3224"/>
    <w:rsid w:val="001B5323"/>
    <w:rsid w:val="001B53D1"/>
    <w:rsid w:val="001B5EE7"/>
    <w:rsid w:val="001B6049"/>
    <w:rsid w:val="001B6253"/>
    <w:rsid w:val="001C0882"/>
    <w:rsid w:val="001C177B"/>
    <w:rsid w:val="001C3A9E"/>
    <w:rsid w:val="001C51A8"/>
    <w:rsid w:val="001C5A55"/>
    <w:rsid w:val="001C5CCA"/>
    <w:rsid w:val="001C6338"/>
    <w:rsid w:val="001C63F9"/>
    <w:rsid w:val="001C7A7B"/>
    <w:rsid w:val="001D08D3"/>
    <w:rsid w:val="001D1161"/>
    <w:rsid w:val="001D16D8"/>
    <w:rsid w:val="001D1BB0"/>
    <w:rsid w:val="001D226E"/>
    <w:rsid w:val="001D3FF1"/>
    <w:rsid w:val="001D41A4"/>
    <w:rsid w:val="001D41BD"/>
    <w:rsid w:val="001D447B"/>
    <w:rsid w:val="001D4B3D"/>
    <w:rsid w:val="001D4DB8"/>
    <w:rsid w:val="001D6C6B"/>
    <w:rsid w:val="001D7446"/>
    <w:rsid w:val="001E0B54"/>
    <w:rsid w:val="001E0D00"/>
    <w:rsid w:val="001E3890"/>
    <w:rsid w:val="001E3EE1"/>
    <w:rsid w:val="001E5154"/>
    <w:rsid w:val="001E651B"/>
    <w:rsid w:val="001F0621"/>
    <w:rsid w:val="001F1907"/>
    <w:rsid w:val="001F2152"/>
    <w:rsid w:val="001F308D"/>
    <w:rsid w:val="001F33A0"/>
    <w:rsid w:val="001F35BE"/>
    <w:rsid w:val="001F57BF"/>
    <w:rsid w:val="001F6AA7"/>
    <w:rsid w:val="001F77E8"/>
    <w:rsid w:val="002006D6"/>
    <w:rsid w:val="00200D02"/>
    <w:rsid w:val="00201DB9"/>
    <w:rsid w:val="00202779"/>
    <w:rsid w:val="00204317"/>
    <w:rsid w:val="0020502D"/>
    <w:rsid w:val="002057AD"/>
    <w:rsid w:val="00205B25"/>
    <w:rsid w:val="002079B0"/>
    <w:rsid w:val="002113AE"/>
    <w:rsid w:val="002137EB"/>
    <w:rsid w:val="00213B3C"/>
    <w:rsid w:val="00215058"/>
    <w:rsid w:val="00215901"/>
    <w:rsid w:val="00216134"/>
    <w:rsid w:val="002168B4"/>
    <w:rsid w:val="00216E2E"/>
    <w:rsid w:val="0021727E"/>
    <w:rsid w:val="00217810"/>
    <w:rsid w:val="00217E79"/>
    <w:rsid w:val="002209FC"/>
    <w:rsid w:val="00222399"/>
    <w:rsid w:val="00222BA0"/>
    <w:rsid w:val="002232A2"/>
    <w:rsid w:val="00223A16"/>
    <w:rsid w:val="00223A60"/>
    <w:rsid w:val="00224B1E"/>
    <w:rsid w:val="00224BBD"/>
    <w:rsid w:val="00224D6A"/>
    <w:rsid w:val="00231AA2"/>
    <w:rsid w:val="0023204E"/>
    <w:rsid w:val="002326BE"/>
    <w:rsid w:val="002338C0"/>
    <w:rsid w:val="00234825"/>
    <w:rsid w:val="002414BD"/>
    <w:rsid w:val="00241514"/>
    <w:rsid w:val="00244351"/>
    <w:rsid w:val="00244423"/>
    <w:rsid w:val="002456BD"/>
    <w:rsid w:val="00245AFD"/>
    <w:rsid w:val="002465FF"/>
    <w:rsid w:val="00246EDA"/>
    <w:rsid w:val="00247698"/>
    <w:rsid w:val="00247985"/>
    <w:rsid w:val="0025356A"/>
    <w:rsid w:val="002535F5"/>
    <w:rsid w:val="00256359"/>
    <w:rsid w:val="00256F6D"/>
    <w:rsid w:val="00257191"/>
    <w:rsid w:val="00257EF3"/>
    <w:rsid w:val="00260C6B"/>
    <w:rsid w:val="00261316"/>
    <w:rsid w:val="00262878"/>
    <w:rsid w:val="002629C8"/>
    <w:rsid w:val="002630CF"/>
    <w:rsid w:val="00263CE7"/>
    <w:rsid w:val="00266B83"/>
    <w:rsid w:val="00266B9B"/>
    <w:rsid w:val="00270C4F"/>
    <w:rsid w:val="0027141B"/>
    <w:rsid w:val="002716FE"/>
    <w:rsid w:val="00271A4E"/>
    <w:rsid w:val="00272631"/>
    <w:rsid w:val="00273A1B"/>
    <w:rsid w:val="00275B47"/>
    <w:rsid w:val="0027721A"/>
    <w:rsid w:val="00277795"/>
    <w:rsid w:val="00280239"/>
    <w:rsid w:val="002809B4"/>
    <w:rsid w:val="0028304A"/>
    <w:rsid w:val="002836F2"/>
    <w:rsid w:val="00283735"/>
    <w:rsid w:val="002846CD"/>
    <w:rsid w:val="00285137"/>
    <w:rsid w:val="002851D6"/>
    <w:rsid w:val="00285FDF"/>
    <w:rsid w:val="00286003"/>
    <w:rsid w:val="002902D6"/>
    <w:rsid w:val="00290B03"/>
    <w:rsid w:val="0029311B"/>
    <w:rsid w:val="002932F4"/>
    <w:rsid w:val="002935D6"/>
    <w:rsid w:val="00293B56"/>
    <w:rsid w:val="00293BC5"/>
    <w:rsid w:val="002944E0"/>
    <w:rsid w:val="00295662"/>
    <w:rsid w:val="00296B8A"/>
    <w:rsid w:val="00296BC6"/>
    <w:rsid w:val="00297ADE"/>
    <w:rsid w:val="002A00CA"/>
    <w:rsid w:val="002A263F"/>
    <w:rsid w:val="002A2B2F"/>
    <w:rsid w:val="002A2D8C"/>
    <w:rsid w:val="002A303D"/>
    <w:rsid w:val="002A3B89"/>
    <w:rsid w:val="002A4010"/>
    <w:rsid w:val="002A4011"/>
    <w:rsid w:val="002A420D"/>
    <w:rsid w:val="002A51B4"/>
    <w:rsid w:val="002A571E"/>
    <w:rsid w:val="002A5A33"/>
    <w:rsid w:val="002B1224"/>
    <w:rsid w:val="002B185F"/>
    <w:rsid w:val="002B2063"/>
    <w:rsid w:val="002B359D"/>
    <w:rsid w:val="002B3FC6"/>
    <w:rsid w:val="002B4479"/>
    <w:rsid w:val="002B49FE"/>
    <w:rsid w:val="002B5C66"/>
    <w:rsid w:val="002B5D8A"/>
    <w:rsid w:val="002C0376"/>
    <w:rsid w:val="002C1212"/>
    <w:rsid w:val="002C230F"/>
    <w:rsid w:val="002C2E66"/>
    <w:rsid w:val="002C4311"/>
    <w:rsid w:val="002C463F"/>
    <w:rsid w:val="002C4B43"/>
    <w:rsid w:val="002D04FE"/>
    <w:rsid w:val="002D0C0F"/>
    <w:rsid w:val="002D2475"/>
    <w:rsid w:val="002D2885"/>
    <w:rsid w:val="002D39E1"/>
    <w:rsid w:val="002D50AA"/>
    <w:rsid w:val="002D5FBD"/>
    <w:rsid w:val="002E0D47"/>
    <w:rsid w:val="002E13F2"/>
    <w:rsid w:val="002E1581"/>
    <w:rsid w:val="002E1D4A"/>
    <w:rsid w:val="002E2A68"/>
    <w:rsid w:val="002E318F"/>
    <w:rsid w:val="002E3F5F"/>
    <w:rsid w:val="002E61AC"/>
    <w:rsid w:val="002E6C82"/>
    <w:rsid w:val="002E7FFB"/>
    <w:rsid w:val="002F0D17"/>
    <w:rsid w:val="002F187B"/>
    <w:rsid w:val="002F23E1"/>
    <w:rsid w:val="002F2819"/>
    <w:rsid w:val="002F2991"/>
    <w:rsid w:val="002F3EF6"/>
    <w:rsid w:val="002F458E"/>
    <w:rsid w:val="002F67CE"/>
    <w:rsid w:val="002F6EAB"/>
    <w:rsid w:val="002F7047"/>
    <w:rsid w:val="003013E1"/>
    <w:rsid w:val="00301FCD"/>
    <w:rsid w:val="00302907"/>
    <w:rsid w:val="00303246"/>
    <w:rsid w:val="00305FC4"/>
    <w:rsid w:val="00307DA6"/>
    <w:rsid w:val="00307F69"/>
    <w:rsid w:val="00310C35"/>
    <w:rsid w:val="00311499"/>
    <w:rsid w:val="003114EE"/>
    <w:rsid w:val="00311ECB"/>
    <w:rsid w:val="00312959"/>
    <w:rsid w:val="003130E0"/>
    <w:rsid w:val="00313C28"/>
    <w:rsid w:val="00314DAE"/>
    <w:rsid w:val="003167AB"/>
    <w:rsid w:val="0031703B"/>
    <w:rsid w:val="00317939"/>
    <w:rsid w:val="003207E3"/>
    <w:rsid w:val="0032151E"/>
    <w:rsid w:val="00323017"/>
    <w:rsid w:val="00323706"/>
    <w:rsid w:val="003239CE"/>
    <w:rsid w:val="003240B9"/>
    <w:rsid w:val="00324409"/>
    <w:rsid w:val="00325502"/>
    <w:rsid w:val="003260D3"/>
    <w:rsid w:val="00326574"/>
    <w:rsid w:val="00326E2B"/>
    <w:rsid w:val="0032756B"/>
    <w:rsid w:val="003325DE"/>
    <w:rsid w:val="003333C1"/>
    <w:rsid w:val="0033381E"/>
    <w:rsid w:val="00334F2D"/>
    <w:rsid w:val="00335884"/>
    <w:rsid w:val="00335A42"/>
    <w:rsid w:val="003368B2"/>
    <w:rsid w:val="003369EE"/>
    <w:rsid w:val="0033716A"/>
    <w:rsid w:val="00340815"/>
    <w:rsid w:val="00344DAF"/>
    <w:rsid w:val="003453C2"/>
    <w:rsid w:val="003459A5"/>
    <w:rsid w:val="003461F7"/>
    <w:rsid w:val="00347405"/>
    <w:rsid w:val="00347B5F"/>
    <w:rsid w:val="00347E77"/>
    <w:rsid w:val="003503A5"/>
    <w:rsid w:val="00351F65"/>
    <w:rsid w:val="00352506"/>
    <w:rsid w:val="00352697"/>
    <w:rsid w:val="00352A57"/>
    <w:rsid w:val="00353BCA"/>
    <w:rsid w:val="00355734"/>
    <w:rsid w:val="00355C3E"/>
    <w:rsid w:val="0035628E"/>
    <w:rsid w:val="00357691"/>
    <w:rsid w:val="003601BF"/>
    <w:rsid w:val="00361077"/>
    <w:rsid w:val="00361227"/>
    <w:rsid w:val="003613FB"/>
    <w:rsid w:val="0036162A"/>
    <w:rsid w:val="0036182E"/>
    <w:rsid w:val="0036188F"/>
    <w:rsid w:val="00361D2D"/>
    <w:rsid w:val="00362E1E"/>
    <w:rsid w:val="0036300F"/>
    <w:rsid w:val="00363188"/>
    <w:rsid w:val="003638DC"/>
    <w:rsid w:val="003642E4"/>
    <w:rsid w:val="00364866"/>
    <w:rsid w:val="003663BA"/>
    <w:rsid w:val="003666B0"/>
    <w:rsid w:val="0036741F"/>
    <w:rsid w:val="003702C1"/>
    <w:rsid w:val="00370435"/>
    <w:rsid w:val="00372347"/>
    <w:rsid w:val="003726E2"/>
    <w:rsid w:val="00372933"/>
    <w:rsid w:val="003729A0"/>
    <w:rsid w:val="00374740"/>
    <w:rsid w:val="003752DB"/>
    <w:rsid w:val="003753FC"/>
    <w:rsid w:val="00375C85"/>
    <w:rsid w:val="0037664A"/>
    <w:rsid w:val="003800F5"/>
    <w:rsid w:val="00382355"/>
    <w:rsid w:val="00382C9B"/>
    <w:rsid w:val="00382D54"/>
    <w:rsid w:val="00383B65"/>
    <w:rsid w:val="00384C0C"/>
    <w:rsid w:val="003852C8"/>
    <w:rsid w:val="003864D4"/>
    <w:rsid w:val="00386AF1"/>
    <w:rsid w:val="00390963"/>
    <w:rsid w:val="003918FE"/>
    <w:rsid w:val="00392655"/>
    <w:rsid w:val="0039479F"/>
    <w:rsid w:val="00397220"/>
    <w:rsid w:val="003A010A"/>
    <w:rsid w:val="003A0E05"/>
    <w:rsid w:val="003A1EAF"/>
    <w:rsid w:val="003A2E87"/>
    <w:rsid w:val="003A3F65"/>
    <w:rsid w:val="003A7095"/>
    <w:rsid w:val="003A7376"/>
    <w:rsid w:val="003A780F"/>
    <w:rsid w:val="003A7E17"/>
    <w:rsid w:val="003B0301"/>
    <w:rsid w:val="003B0303"/>
    <w:rsid w:val="003B208D"/>
    <w:rsid w:val="003B3B23"/>
    <w:rsid w:val="003B57F2"/>
    <w:rsid w:val="003B5EEA"/>
    <w:rsid w:val="003B6096"/>
    <w:rsid w:val="003C0EB6"/>
    <w:rsid w:val="003C2086"/>
    <w:rsid w:val="003C3210"/>
    <w:rsid w:val="003C3BB3"/>
    <w:rsid w:val="003C6C51"/>
    <w:rsid w:val="003C6E0C"/>
    <w:rsid w:val="003C7121"/>
    <w:rsid w:val="003D0978"/>
    <w:rsid w:val="003D1943"/>
    <w:rsid w:val="003D1FF1"/>
    <w:rsid w:val="003D4F7C"/>
    <w:rsid w:val="003D5090"/>
    <w:rsid w:val="003D519C"/>
    <w:rsid w:val="003D6584"/>
    <w:rsid w:val="003D6E43"/>
    <w:rsid w:val="003D6F43"/>
    <w:rsid w:val="003E0CCE"/>
    <w:rsid w:val="003E0DBD"/>
    <w:rsid w:val="003E2457"/>
    <w:rsid w:val="003E2A0A"/>
    <w:rsid w:val="003E499E"/>
    <w:rsid w:val="003E5528"/>
    <w:rsid w:val="003E577B"/>
    <w:rsid w:val="003E59D2"/>
    <w:rsid w:val="003E64CF"/>
    <w:rsid w:val="003E672D"/>
    <w:rsid w:val="003E682A"/>
    <w:rsid w:val="003F1D83"/>
    <w:rsid w:val="003F1EAF"/>
    <w:rsid w:val="003F2924"/>
    <w:rsid w:val="003F2C19"/>
    <w:rsid w:val="003F33AB"/>
    <w:rsid w:val="003F3B88"/>
    <w:rsid w:val="003F7E66"/>
    <w:rsid w:val="003F7F01"/>
    <w:rsid w:val="003F7FE4"/>
    <w:rsid w:val="0040003B"/>
    <w:rsid w:val="004008EF"/>
    <w:rsid w:val="00400E9E"/>
    <w:rsid w:val="004014F3"/>
    <w:rsid w:val="00401BC5"/>
    <w:rsid w:val="00401C94"/>
    <w:rsid w:val="00401F62"/>
    <w:rsid w:val="00402E63"/>
    <w:rsid w:val="00403A94"/>
    <w:rsid w:val="00406E86"/>
    <w:rsid w:val="00406F20"/>
    <w:rsid w:val="00406F50"/>
    <w:rsid w:val="00407C2C"/>
    <w:rsid w:val="00410AA5"/>
    <w:rsid w:val="00410C84"/>
    <w:rsid w:val="004115CB"/>
    <w:rsid w:val="00412787"/>
    <w:rsid w:val="004127C9"/>
    <w:rsid w:val="004130F9"/>
    <w:rsid w:val="004136EA"/>
    <w:rsid w:val="00413B75"/>
    <w:rsid w:val="00413F4B"/>
    <w:rsid w:val="00414430"/>
    <w:rsid w:val="004146D5"/>
    <w:rsid w:val="00414EEB"/>
    <w:rsid w:val="004174ED"/>
    <w:rsid w:val="00417CE4"/>
    <w:rsid w:val="0042248F"/>
    <w:rsid w:val="00424273"/>
    <w:rsid w:val="00424D70"/>
    <w:rsid w:val="0042637A"/>
    <w:rsid w:val="0042656C"/>
    <w:rsid w:val="004265E1"/>
    <w:rsid w:val="00427966"/>
    <w:rsid w:val="00431079"/>
    <w:rsid w:val="00431480"/>
    <w:rsid w:val="004324A4"/>
    <w:rsid w:val="00433514"/>
    <w:rsid w:val="004337DF"/>
    <w:rsid w:val="00433914"/>
    <w:rsid w:val="00433FC2"/>
    <w:rsid w:val="00434425"/>
    <w:rsid w:val="00434C5E"/>
    <w:rsid w:val="00435F5C"/>
    <w:rsid w:val="0043623A"/>
    <w:rsid w:val="00440556"/>
    <w:rsid w:val="0044123A"/>
    <w:rsid w:val="00441CDC"/>
    <w:rsid w:val="00442091"/>
    <w:rsid w:val="0044219A"/>
    <w:rsid w:val="00442669"/>
    <w:rsid w:val="004433E4"/>
    <w:rsid w:val="00443F76"/>
    <w:rsid w:val="00445E6E"/>
    <w:rsid w:val="00446090"/>
    <w:rsid w:val="004462C1"/>
    <w:rsid w:val="004500E2"/>
    <w:rsid w:val="00450C04"/>
    <w:rsid w:val="00452BA9"/>
    <w:rsid w:val="00453188"/>
    <w:rsid w:val="004534B9"/>
    <w:rsid w:val="0045526E"/>
    <w:rsid w:val="004575C4"/>
    <w:rsid w:val="0046083D"/>
    <w:rsid w:val="00460DEB"/>
    <w:rsid w:val="00461284"/>
    <w:rsid w:val="00464D16"/>
    <w:rsid w:val="004671C9"/>
    <w:rsid w:val="0046721E"/>
    <w:rsid w:val="00470CE0"/>
    <w:rsid w:val="00472AD4"/>
    <w:rsid w:val="0047313F"/>
    <w:rsid w:val="00473A7D"/>
    <w:rsid w:val="004750BA"/>
    <w:rsid w:val="00475BA6"/>
    <w:rsid w:val="004763D5"/>
    <w:rsid w:val="00477486"/>
    <w:rsid w:val="00477593"/>
    <w:rsid w:val="00480C9D"/>
    <w:rsid w:val="00484881"/>
    <w:rsid w:val="0048558C"/>
    <w:rsid w:val="00485760"/>
    <w:rsid w:val="00486777"/>
    <w:rsid w:val="00486AA8"/>
    <w:rsid w:val="004922CC"/>
    <w:rsid w:val="0049368C"/>
    <w:rsid w:val="00494029"/>
    <w:rsid w:val="00495698"/>
    <w:rsid w:val="00496267"/>
    <w:rsid w:val="0049631E"/>
    <w:rsid w:val="004A2AF1"/>
    <w:rsid w:val="004A42D8"/>
    <w:rsid w:val="004A49DC"/>
    <w:rsid w:val="004A4C02"/>
    <w:rsid w:val="004A60EF"/>
    <w:rsid w:val="004A643E"/>
    <w:rsid w:val="004A6E12"/>
    <w:rsid w:val="004B0052"/>
    <w:rsid w:val="004B0B9B"/>
    <w:rsid w:val="004B133F"/>
    <w:rsid w:val="004B1722"/>
    <w:rsid w:val="004B1DD0"/>
    <w:rsid w:val="004B2131"/>
    <w:rsid w:val="004B2C24"/>
    <w:rsid w:val="004B2F37"/>
    <w:rsid w:val="004B3796"/>
    <w:rsid w:val="004B7770"/>
    <w:rsid w:val="004B7BE2"/>
    <w:rsid w:val="004C04FA"/>
    <w:rsid w:val="004C1836"/>
    <w:rsid w:val="004C24D0"/>
    <w:rsid w:val="004C32E3"/>
    <w:rsid w:val="004C47EA"/>
    <w:rsid w:val="004C4B42"/>
    <w:rsid w:val="004C552C"/>
    <w:rsid w:val="004C6551"/>
    <w:rsid w:val="004C6751"/>
    <w:rsid w:val="004C7516"/>
    <w:rsid w:val="004C7C9B"/>
    <w:rsid w:val="004D00D3"/>
    <w:rsid w:val="004D0403"/>
    <w:rsid w:val="004D04B4"/>
    <w:rsid w:val="004D1867"/>
    <w:rsid w:val="004D2F7E"/>
    <w:rsid w:val="004D71EA"/>
    <w:rsid w:val="004E26AC"/>
    <w:rsid w:val="004E296C"/>
    <w:rsid w:val="004E2B3C"/>
    <w:rsid w:val="004E4086"/>
    <w:rsid w:val="004E4799"/>
    <w:rsid w:val="004E4CFC"/>
    <w:rsid w:val="004E68DF"/>
    <w:rsid w:val="004E6946"/>
    <w:rsid w:val="004E7BD1"/>
    <w:rsid w:val="004E7CA2"/>
    <w:rsid w:val="004F01BE"/>
    <w:rsid w:val="004F06FB"/>
    <w:rsid w:val="004F07E4"/>
    <w:rsid w:val="004F2CC5"/>
    <w:rsid w:val="004F4576"/>
    <w:rsid w:val="004F56D7"/>
    <w:rsid w:val="004F6036"/>
    <w:rsid w:val="004F73F9"/>
    <w:rsid w:val="004F79F8"/>
    <w:rsid w:val="00500739"/>
    <w:rsid w:val="0050093A"/>
    <w:rsid w:val="00501158"/>
    <w:rsid w:val="0050150E"/>
    <w:rsid w:val="0050163F"/>
    <w:rsid w:val="00501E9C"/>
    <w:rsid w:val="0050232C"/>
    <w:rsid w:val="00502C5C"/>
    <w:rsid w:val="005032EA"/>
    <w:rsid w:val="0050493B"/>
    <w:rsid w:val="00506154"/>
    <w:rsid w:val="0050617B"/>
    <w:rsid w:val="00506688"/>
    <w:rsid w:val="00506A97"/>
    <w:rsid w:val="00511CA4"/>
    <w:rsid w:val="00513311"/>
    <w:rsid w:val="00513B2B"/>
    <w:rsid w:val="005152E6"/>
    <w:rsid w:val="005162ED"/>
    <w:rsid w:val="00516CBA"/>
    <w:rsid w:val="00516F0B"/>
    <w:rsid w:val="00517C7A"/>
    <w:rsid w:val="005207C1"/>
    <w:rsid w:val="005233C7"/>
    <w:rsid w:val="0052402A"/>
    <w:rsid w:val="0052433E"/>
    <w:rsid w:val="0052491B"/>
    <w:rsid w:val="00525A22"/>
    <w:rsid w:val="00525AB0"/>
    <w:rsid w:val="00525EC5"/>
    <w:rsid w:val="00526059"/>
    <w:rsid w:val="00526346"/>
    <w:rsid w:val="00526818"/>
    <w:rsid w:val="00526BE2"/>
    <w:rsid w:val="00530831"/>
    <w:rsid w:val="005332C1"/>
    <w:rsid w:val="00533DBB"/>
    <w:rsid w:val="00534257"/>
    <w:rsid w:val="00534A8C"/>
    <w:rsid w:val="00534BB5"/>
    <w:rsid w:val="00534D0B"/>
    <w:rsid w:val="00535CA3"/>
    <w:rsid w:val="00536847"/>
    <w:rsid w:val="00541770"/>
    <w:rsid w:val="0054245F"/>
    <w:rsid w:val="00543D8B"/>
    <w:rsid w:val="005448C1"/>
    <w:rsid w:val="00546191"/>
    <w:rsid w:val="00546677"/>
    <w:rsid w:val="00546BE6"/>
    <w:rsid w:val="00546EDA"/>
    <w:rsid w:val="00550430"/>
    <w:rsid w:val="00550C85"/>
    <w:rsid w:val="00550CB1"/>
    <w:rsid w:val="00550E4D"/>
    <w:rsid w:val="00551534"/>
    <w:rsid w:val="00551F73"/>
    <w:rsid w:val="00552247"/>
    <w:rsid w:val="005542EE"/>
    <w:rsid w:val="00554334"/>
    <w:rsid w:val="005547F4"/>
    <w:rsid w:val="00554A29"/>
    <w:rsid w:val="00554E07"/>
    <w:rsid w:val="00556173"/>
    <w:rsid w:val="00556546"/>
    <w:rsid w:val="0056021D"/>
    <w:rsid w:val="005605D4"/>
    <w:rsid w:val="00560668"/>
    <w:rsid w:val="00560EC5"/>
    <w:rsid w:val="005612D8"/>
    <w:rsid w:val="0056216F"/>
    <w:rsid w:val="00562C0A"/>
    <w:rsid w:val="00563463"/>
    <w:rsid w:val="00564090"/>
    <w:rsid w:val="00565BFC"/>
    <w:rsid w:val="005672A5"/>
    <w:rsid w:val="005675A2"/>
    <w:rsid w:val="00567E3F"/>
    <w:rsid w:val="00573455"/>
    <w:rsid w:val="00575191"/>
    <w:rsid w:val="0057555B"/>
    <w:rsid w:val="005769C7"/>
    <w:rsid w:val="00580AF2"/>
    <w:rsid w:val="0058100E"/>
    <w:rsid w:val="00582719"/>
    <w:rsid w:val="00583605"/>
    <w:rsid w:val="00584013"/>
    <w:rsid w:val="00584F8C"/>
    <w:rsid w:val="0058561C"/>
    <w:rsid w:val="005859F5"/>
    <w:rsid w:val="00585AEF"/>
    <w:rsid w:val="005868E6"/>
    <w:rsid w:val="00591298"/>
    <w:rsid w:val="00591300"/>
    <w:rsid w:val="00592D13"/>
    <w:rsid w:val="00592DBD"/>
    <w:rsid w:val="00592DEB"/>
    <w:rsid w:val="0059303C"/>
    <w:rsid w:val="00596643"/>
    <w:rsid w:val="0059748B"/>
    <w:rsid w:val="005A02F4"/>
    <w:rsid w:val="005A0455"/>
    <w:rsid w:val="005A0F6E"/>
    <w:rsid w:val="005A16B0"/>
    <w:rsid w:val="005A1711"/>
    <w:rsid w:val="005A1C2D"/>
    <w:rsid w:val="005A229C"/>
    <w:rsid w:val="005A38A0"/>
    <w:rsid w:val="005A38BB"/>
    <w:rsid w:val="005A3CDD"/>
    <w:rsid w:val="005A5447"/>
    <w:rsid w:val="005A58E1"/>
    <w:rsid w:val="005A71A7"/>
    <w:rsid w:val="005A7411"/>
    <w:rsid w:val="005A74BA"/>
    <w:rsid w:val="005A792E"/>
    <w:rsid w:val="005A7C2F"/>
    <w:rsid w:val="005B0271"/>
    <w:rsid w:val="005B02A8"/>
    <w:rsid w:val="005B20F3"/>
    <w:rsid w:val="005B2157"/>
    <w:rsid w:val="005B26EB"/>
    <w:rsid w:val="005B2806"/>
    <w:rsid w:val="005B2BE0"/>
    <w:rsid w:val="005B4104"/>
    <w:rsid w:val="005B4CD7"/>
    <w:rsid w:val="005B6C3C"/>
    <w:rsid w:val="005B6F4A"/>
    <w:rsid w:val="005B73C6"/>
    <w:rsid w:val="005C0AC5"/>
    <w:rsid w:val="005C10AF"/>
    <w:rsid w:val="005C1F30"/>
    <w:rsid w:val="005C2594"/>
    <w:rsid w:val="005C3A8D"/>
    <w:rsid w:val="005C4DCB"/>
    <w:rsid w:val="005C5FAD"/>
    <w:rsid w:val="005C60F6"/>
    <w:rsid w:val="005C65B7"/>
    <w:rsid w:val="005D1248"/>
    <w:rsid w:val="005D1B88"/>
    <w:rsid w:val="005D1BC6"/>
    <w:rsid w:val="005D252E"/>
    <w:rsid w:val="005D326B"/>
    <w:rsid w:val="005D4C85"/>
    <w:rsid w:val="005D5ACD"/>
    <w:rsid w:val="005D752D"/>
    <w:rsid w:val="005E0AE1"/>
    <w:rsid w:val="005E2085"/>
    <w:rsid w:val="005E3957"/>
    <w:rsid w:val="005E5469"/>
    <w:rsid w:val="005E54A9"/>
    <w:rsid w:val="005E5785"/>
    <w:rsid w:val="005E5888"/>
    <w:rsid w:val="005E5F06"/>
    <w:rsid w:val="005E626D"/>
    <w:rsid w:val="005E6467"/>
    <w:rsid w:val="005E6A6F"/>
    <w:rsid w:val="005E70CF"/>
    <w:rsid w:val="005E7576"/>
    <w:rsid w:val="005F048C"/>
    <w:rsid w:val="005F0E7E"/>
    <w:rsid w:val="005F2438"/>
    <w:rsid w:val="005F2673"/>
    <w:rsid w:val="005F2E40"/>
    <w:rsid w:val="005F42C9"/>
    <w:rsid w:val="005F4824"/>
    <w:rsid w:val="005F53DC"/>
    <w:rsid w:val="005F57B7"/>
    <w:rsid w:val="005F6045"/>
    <w:rsid w:val="005F6641"/>
    <w:rsid w:val="005F6A7B"/>
    <w:rsid w:val="005F6C4C"/>
    <w:rsid w:val="00601ECA"/>
    <w:rsid w:val="00602DA7"/>
    <w:rsid w:val="00602E31"/>
    <w:rsid w:val="00603F27"/>
    <w:rsid w:val="0060515E"/>
    <w:rsid w:val="006067A6"/>
    <w:rsid w:val="00606E35"/>
    <w:rsid w:val="006079BA"/>
    <w:rsid w:val="00610AD7"/>
    <w:rsid w:val="00611A68"/>
    <w:rsid w:val="00612B19"/>
    <w:rsid w:val="00613A09"/>
    <w:rsid w:val="00613ADB"/>
    <w:rsid w:val="00613D0C"/>
    <w:rsid w:val="00614F41"/>
    <w:rsid w:val="0061561E"/>
    <w:rsid w:val="00617F40"/>
    <w:rsid w:val="00617FBF"/>
    <w:rsid w:val="00622701"/>
    <w:rsid w:val="006242E5"/>
    <w:rsid w:val="006243C3"/>
    <w:rsid w:val="006249BE"/>
    <w:rsid w:val="00624E11"/>
    <w:rsid w:val="00625197"/>
    <w:rsid w:val="00626992"/>
    <w:rsid w:val="0062707D"/>
    <w:rsid w:val="006276A6"/>
    <w:rsid w:val="00627BD6"/>
    <w:rsid w:val="00627D81"/>
    <w:rsid w:val="00627F9E"/>
    <w:rsid w:val="006306FA"/>
    <w:rsid w:val="006311D0"/>
    <w:rsid w:val="00633CD1"/>
    <w:rsid w:val="00635B07"/>
    <w:rsid w:val="00637A0B"/>
    <w:rsid w:val="00640512"/>
    <w:rsid w:val="00640B63"/>
    <w:rsid w:val="00640FC5"/>
    <w:rsid w:val="006411E8"/>
    <w:rsid w:val="00641B39"/>
    <w:rsid w:val="00641ECC"/>
    <w:rsid w:val="00642021"/>
    <w:rsid w:val="0064269D"/>
    <w:rsid w:val="006429D8"/>
    <w:rsid w:val="00645F21"/>
    <w:rsid w:val="006460EE"/>
    <w:rsid w:val="0064705C"/>
    <w:rsid w:val="00647B4F"/>
    <w:rsid w:val="00647F14"/>
    <w:rsid w:val="0065283F"/>
    <w:rsid w:val="00653D1D"/>
    <w:rsid w:val="00654C13"/>
    <w:rsid w:val="006556D3"/>
    <w:rsid w:val="00655A34"/>
    <w:rsid w:val="0065695D"/>
    <w:rsid w:val="006571F5"/>
    <w:rsid w:val="00657BCD"/>
    <w:rsid w:val="00660516"/>
    <w:rsid w:val="00660CD5"/>
    <w:rsid w:val="0066302C"/>
    <w:rsid w:val="0066342B"/>
    <w:rsid w:val="00663DF4"/>
    <w:rsid w:val="00664769"/>
    <w:rsid w:val="00666436"/>
    <w:rsid w:val="006667F4"/>
    <w:rsid w:val="00667410"/>
    <w:rsid w:val="00667ED4"/>
    <w:rsid w:val="006702F0"/>
    <w:rsid w:val="00670AC1"/>
    <w:rsid w:val="00670BF7"/>
    <w:rsid w:val="00670CB0"/>
    <w:rsid w:val="00673A8D"/>
    <w:rsid w:val="00675421"/>
    <w:rsid w:val="0067608C"/>
    <w:rsid w:val="00677406"/>
    <w:rsid w:val="00677573"/>
    <w:rsid w:val="006776AB"/>
    <w:rsid w:val="00677FD8"/>
    <w:rsid w:val="006803D4"/>
    <w:rsid w:val="00680DEF"/>
    <w:rsid w:val="006837FB"/>
    <w:rsid w:val="00683957"/>
    <w:rsid w:val="00683CE3"/>
    <w:rsid w:val="006841DD"/>
    <w:rsid w:val="00684826"/>
    <w:rsid w:val="0068649A"/>
    <w:rsid w:val="006911A4"/>
    <w:rsid w:val="00693039"/>
    <w:rsid w:val="006962A1"/>
    <w:rsid w:val="0069665C"/>
    <w:rsid w:val="006967CD"/>
    <w:rsid w:val="0069760C"/>
    <w:rsid w:val="00697CD0"/>
    <w:rsid w:val="006A0205"/>
    <w:rsid w:val="006A13EB"/>
    <w:rsid w:val="006A2118"/>
    <w:rsid w:val="006A254C"/>
    <w:rsid w:val="006A34A3"/>
    <w:rsid w:val="006A3C6F"/>
    <w:rsid w:val="006A41B6"/>
    <w:rsid w:val="006A4614"/>
    <w:rsid w:val="006A6CE3"/>
    <w:rsid w:val="006A7AEE"/>
    <w:rsid w:val="006A7B4D"/>
    <w:rsid w:val="006B078B"/>
    <w:rsid w:val="006B1F10"/>
    <w:rsid w:val="006B1F5B"/>
    <w:rsid w:val="006B21F9"/>
    <w:rsid w:val="006B3223"/>
    <w:rsid w:val="006B3D73"/>
    <w:rsid w:val="006B4CD1"/>
    <w:rsid w:val="006B54C3"/>
    <w:rsid w:val="006B5884"/>
    <w:rsid w:val="006B5CFF"/>
    <w:rsid w:val="006C0035"/>
    <w:rsid w:val="006C08DC"/>
    <w:rsid w:val="006C0D55"/>
    <w:rsid w:val="006C2BDA"/>
    <w:rsid w:val="006C323F"/>
    <w:rsid w:val="006C3617"/>
    <w:rsid w:val="006C39CA"/>
    <w:rsid w:val="006C4552"/>
    <w:rsid w:val="006C6733"/>
    <w:rsid w:val="006C71A3"/>
    <w:rsid w:val="006D0C01"/>
    <w:rsid w:val="006D0C8D"/>
    <w:rsid w:val="006D0F11"/>
    <w:rsid w:val="006D1969"/>
    <w:rsid w:val="006D19FF"/>
    <w:rsid w:val="006D26C4"/>
    <w:rsid w:val="006D359F"/>
    <w:rsid w:val="006D542A"/>
    <w:rsid w:val="006D7247"/>
    <w:rsid w:val="006D7869"/>
    <w:rsid w:val="006D7C8A"/>
    <w:rsid w:val="006E0440"/>
    <w:rsid w:val="006E1881"/>
    <w:rsid w:val="006E2630"/>
    <w:rsid w:val="006E289E"/>
    <w:rsid w:val="006E315B"/>
    <w:rsid w:val="006E4D50"/>
    <w:rsid w:val="006E51A3"/>
    <w:rsid w:val="006E544E"/>
    <w:rsid w:val="006E59FA"/>
    <w:rsid w:val="006E5ECA"/>
    <w:rsid w:val="006E5F30"/>
    <w:rsid w:val="006E5FDC"/>
    <w:rsid w:val="006E614D"/>
    <w:rsid w:val="006E6E55"/>
    <w:rsid w:val="006E7420"/>
    <w:rsid w:val="006E7ADA"/>
    <w:rsid w:val="006E7F19"/>
    <w:rsid w:val="006F077E"/>
    <w:rsid w:val="006F0D97"/>
    <w:rsid w:val="006F2041"/>
    <w:rsid w:val="006F263A"/>
    <w:rsid w:val="006F37AF"/>
    <w:rsid w:val="006F3857"/>
    <w:rsid w:val="006F39B0"/>
    <w:rsid w:val="006F5A9F"/>
    <w:rsid w:val="006F5FA2"/>
    <w:rsid w:val="0070340F"/>
    <w:rsid w:val="00703590"/>
    <w:rsid w:val="00704A85"/>
    <w:rsid w:val="0070721D"/>
    <w:rsid w:val="007077B7"/>
    <w:rsid w:val="00707DA8"/>
    <w:rsid w:val="00707E1F"/>
    <w:rsid w:val="00710778"/>
    <w:rsid w:val="007111A6"/>
    <w:rsid w:val="007117FF"/>
    <w:rsid w:val="00711847"/>
    <w:rsid w:val="00711A2E"/>
    <w:rsid w:val="00712B3C"/>
    <w:rsid w:val="00712C45"/>
    <w:rsid w:val="00715251"/>
    <w:rsid w:val="00715AB2"/>
    <w:rsid w:val="0072194F"/>
    <w:rsid w:val="00723DA7"/>
    <w:rsid w:val="00724503"/>
    <w:rsid w:val="00725CDF"/>
    <w:rsid w:val="00726512"/>
    <w:rsid w:val="0072656E"/>
    <w:rsid w:val="00726576"/>
    <w:rsid w:val="00727069"/>
    <w:rsid w:val="0072759B"/>
    <w:rsid w:val="0072789C"/>
    <w:rsid w:val="00731AA7"/>
    <w:rsid w:val="00733186"/>
    <w:rsid w:val="007335C4"/>
    <w:rsid w:val="00733AB7"/>
    <w:rsid w:val="00734613"/>
    <w:rsid w:val="00734AE4"/>
    <w:rsid w:val="00735D2F"/>
    <w:rsid w:val="0073660C"/>
    <w:rsid w:val="00736FAB"/>
    <w:rsid w:val="0074029F"/>
    <w:rsid w:val="007439FB"/>
    <w:rsid w:val="0074446E"/>
    <w:rsid w:val="00744D79"/>
    <w:rsid w:val="00745A09"/>
    <w:rsid w:val="00745B33"/>
    <w:rsid w:val="00747FD0"/>
    <w:rsid w:val="00751E67"/>
    <w:rsid w:val="007522DF"/>
    <w:rsid w:val="00752A3E"/>
    <w:rsid w:val="00753D84"/>
    <w:rsid w:val="00757455"/>
    <w:rsid w:val="007602C9"/>
    <w:rsid w:val="007609E4"/>
    <w:rsid w:val="00760FCD"/>
    <w:rsid w:val="0076124C"/>
    <w:rsid w:val="007613C1"/>
    <w:rsid w:val="00761AC1"/>
    <w:rsid w:val="00761B22"/>
    <w:rsid w:val="00763908"/>
    <w:rsid w:val="00763D6C"/>
    <w:rsid w:val="00765760"/>
    <w:rsid w:val="00765B27"/>
    <w:rsid w:val="00766A90"/>
    <w:rsid w:val="00770D76"/>
    <w:rsid w:val="00772758"/>
    <w:rsid w:val="00772E47"/>
    <w:rsid w:val="00773095"/>
    <w:rsid w:val="00773627"/>
    <w:rsid w:val="00774FC1"/>
    <w:rsid w:val="00777210"/>
    <w:rsid w:val="007801D0"/>
    <w:rsid w:val="00780AD0"/>
    <w:rsid w:val="007815C9"/>
    <w:rsid w:val="00781A4B"/>
    <w:rsid w:val="00781EB7"/>
    <w:rsid w:val="0078302D"/>
    <w:rsid w:val="007839C8"/>
    <w:rsid w:val="00785C41"/>
    <w:rsid w:val="00786246"/>
    <w:rsid w:val="007900A1"/>
    <w:rsid w:val="007907D8"/>
    <w:rsid w:val="00790B29"/>
    <w:rsid w:val="00791118"/>
    <w:rsid w:val="00792BE9"/>
    <w:rsid w:val="00792F05"/>
    <w:rsid w:val="007936D2"/>
    <w:rsid w:val="007952E8"/>
    <w:rsid w:val="007958B8"/>
    <w:rsid w:val="007979D0"/>
    <w:rsid w:val="007A05E8"/>
    <w:rsid w:val="007A41EA"/>
    <w:rsid w:val="007A5517"/>
    <w:rsid w:val="007A5C5E"/>
    <w:rsid w:val="007A5D4A"/>
    <w:rsid w:val="007A7B05"/>
    <w:rsid w:val="007B0B7B"/>
    <w:rsid w:val="007B242A"/>
    <w:rsid w:val="007B27C5"/>
    <w:rsid w:val="007B27C9"/>
    <w:rsid w:val="007B4907"/>
    <w:rsid w:val="007B5DAB"/>
    <w:rsid w:val="007B603B"/>
    <w:rsid w:val="007B699A"/>
    <w:rsid w:val="007B6F4D"/>
    <w:rsid w:val="007C1DED"/>
    <w:rsid w:val="007C270B"/>
    <w:rsid w:val="007C28B3"/>
    <w:rsid w:val="007C3158"/>
    <w:rsid w:val="007C3AF3"/>
    <w:rsid w:val="007C3F4F"/>
    <w:rsid w:val="007C523C"/>
    <w:rsid w:val="007C69A2"/>
    <w:rsid w:val="007D08DD"/>
    <w:rsid w:val="007D1651"/>
    <w:rsid w:val="007D426C"/>
    <w:rsid w:val="007D43E2"/>
    <w:rsid w:val="007D4D7C"/>
    <w:rsid w:val="007D5127"/>
    <w:rsid w:val="007D5EF7"/>
    <w:rsid w:val="007D5F20"/>
    <w:rsid w:val="007D77D4"/>
    <w:rsid w:val="007E0B9C"/>
    <w:rsid w:val="007E1495"/>
    <w:rsid w:val="007E15EF"/>
    <w:rsid w:val="007E1DD9"/>
    <w:rsid w:val="007E2D32"/>
    <w:rsid w:val="007E2F59"/>
    <w:rsid w:val="007E4BA2"/>
    <w:rsid w:val="007E4BE3"/>
    <w:rsid w:val="007E5126"/>
    <w:rsid w:val="007E582B"/>
    <w:rsid w:val="007E6805"/>
    <w:rsid w:val="007F0199"/>
    <w:rsid w:val="007F0A52"/>
    <w:rsid w:val="007F0EA2"/>
    <w:rsid w:val="007F0F98"/>
    <w:rsid w:val="007F1E6A"/>
    <w:rsid w:val="007F26DF"/>
    <w:rsid w:val="007F2F81"/>
    <w:rsid w:val="007F315B"/>
    <w:rsid w:val="007F3C30"/>
    <w:rsid w:val="007F4A5B"/>
    <w:rsid w:val="007F6BEE"/>
    <w:rsid w:val="007F6DC5"/>
    <w:rsid w:val="007F710F"/>
    <w:rsid w:val="007F771F"/>
    <w:rsid w:val="0080240A"/>
    <w:rsid w:val="008027A5"/>
    <w:rsid w:val="00803182"/>
    <w:rsid w:val="0080635B"/>
    <w:rsid w:val="0080659D"/>
    <w:rsid w:val="008066CA"/>
    <w:rsid w:val="00806773"/>
    <w:rsid w:val="008070F5"/>
    <w:rsid w:val="008072D0"/>
    <w:rsid w:val="008101DD"/>
    <w:rsid w:val="00812680"/>
    <w:rsid w:val="00812B2D"/>
    <w:rsid w:val="00812E8E"/>
    <w:rsid w:val="0081338A"/>
    <w:rsid w:val="0081380A"/>
    <w:rsid w:val="00813BA0"/>
    <w:rsid w:val="008157C0"/>
    <w:rsid w:val="008167E9"/>
    <w:rsid w:val="008168B1"/>
    <w:rsid w:val="00817008"/>
    <w:rsid w:val="008175A4"/>
    <w:rsid w:val="00823AEF"/>
    <w:rsid w:val="00825C02"/>
    <w:rsid w:val="00826597"/>
    <w:rsid w:val="00827944"/>
    <w:rsid w:val="00830A34"/>
    <w:rsid w:val="00830C1A"/>
    <w:rsid w:val="008328D8"/>
    <w:rsid w:val="00832F77"/>
    <w:rsid w:val="008330D0"/>
    <w:rsid w:val="00833425"/>
    <w:rsid w:val="00834FC4"/>
    <w:rsid w:val="0083586E"/>
    <w:rsid w:val="008360F4"/>
    <w:rsid w:val="00840090"/>
    <w:rsid w:val="008412F7"/>
    <w:rsid w:val="0084303F"/>
    <w:rsid w:val="0084603D"/>
    <w:rsid w:val="00846419"/>
    <w:rsid w:val="0085020E"/>
    <w:rsid w:val="00850A69"/>
    <w:rsid w:val="00850FCA"/>
    <w:rsid w:val="008515B7"/>
    <w:rsid w:val="00851673"/>
    <w:rsid w:val="008529CC"/>
    <w:rsid w:val="00853AB8"/>
    <w:rsid w:val="00854155"/>
    <w:rsid w:val="00854CC1"/>
    <w:rsid w:val="00854E31"/>
    <w:rsid w:val="00855B2F"/>
    <w:rsid w:val="00855E83"/>
    <w:rsid w:val="008566E8"/>
    <w:rsid w:val="00857613"/>
    <w:rsid w:val="0086049A"/>
    <w:rsid w:val="00861329"/>
    <w:rsid w:val="00861981"/>
    <w:rsid w:val="0086227B"/>
    <w:rsid w:val="0086372A"/>
    <w:rsid w:val="008644F6"/>
    <w:rsid w:val="008655F3"/>
    <w:rsid w:val="008679C0"/>
    <w:rsid w:val="008700B8"/>
    <w:rsid w:val="008724A5"/>
    <w:rsid w:val="008727DA"/>
    <w:rsid w:val="0087301A"/>
    <w:rsid w:val="008752FA"/>
    <w:rsid w:val="00875F04"/>
    <w:rsid w:val="00876541"/>
    <w:rsid w:val="008773D9"/>
    <w:rsid w:val="0087766C"/>
    <w:rsid w:val="00877D83"/>
    <w:rsid w:val="008801EB"/>
    <w:rsid w:val="00881C5D"/>
    <w:rsid w:val="00882D30"/>
    <w:rsid w:val="0088435B"/>
    <w:rsid w:val="00885700"/>
    <w:rsid w:val="008862C0"/>
    <w:rsid w:val="008866C3"/>
    <w:rsid w:val="00887774"/>
    <w:rsid w:val="00890F0A"/>
    <w:rsid w:val="00893204"/>
    <w:rsid w:val="008945E4"/>
    <w:rsid w:val="008959E9"/>
    <w:rsid w:val="00896021"/>
    <w:rsid w:val="0089618D"/>
    <w:rsid w:val="008968F2"/>
    <w:rsid w:val="00897A00"/>
    <w:rsid w:val="00897F00"/>
    <w:rsid w:val="008A00F6"/>
    <w:rsid w:val="008A0479"/>
    <w:rsid w:val="008A1173"/>
    <w:rsid w:val="008A2657"/>
    <w:rsid w:val="008A27CD"/>
    <w:rsid w:val="008A30D4"/>
    <w:rsid w:val="008A344F"/>
    <w:rsid w:val="008A40C0"/>
    <w:rsid w:val="008A647E"/>
    <w:rsid w:val="008A7FD7"/>
    <w:rsid w:val="008B0460"/>
    <w:rsid w:val="008B1EDA"/>
    <w:rsid w:val="008B299B"/>
    <w:rsid w:val="008B3354"/>
    <w:rsid w:val="008B33C1"/>
    <w:rsid w:val="008B4475"/>
    <w:rsid w:val="008B4861"/>
    <w:rsid w:val="008B4D90"/>
    <w:rsid w:val="008B5DC0"/>
    <w:rsid w:val="008B6529"/>
    <w:rsid w:val="008B66EE"/>
    <w:rsid w:val="008C2235"/>
    <w:rsid w:val="008C3E5D"/>
    <w:rsid w:val="008C4FB3"/>
    <w:rsid w:val="008C5750"/>
    <w:rsid w:val="008C61DB"/>
    <w:rsid w:val="008D0483"/>
    <w:rsid w:val="008D07C5"/>
    <w:rsid w:val="008D0986"/>
    <w:rsid w:val="008D4186"/>
    <w:rsid w:val="008D41C8"/>
    <w:rsid w:val="008D546A"/>
    <w:rsid w:val="008D55A5"/>
    <w:rsid w:val="008D5D3D"/>
    <w:rsid w:val="008D70FB"/>
    <w:rsid w:val="008E0048"/>
    <w:rsid w:val="008E17CD"/>
    <w:rsid w:val="008E26BF"/>
    <w:rsid w:val="008E2941"/>
    <w:rsid w:val="008E3F9D"/>
    <w:rsid w:val="008E49EC"/>
    <w:rsid w:val="008E5E00"/>
    <w:rsid w:val="008F310C"/>
    <w:rsid w:val="008F3ED9"/>
    <w:rsid w:val="008F504F"/>
    <w:rsid w:val="008F5F64"/>
    <w:rsid w:val="008F63CD"/>
    <w:rsid w:val="008F7760"/>
    <w:rsid w:val="008F7F31"/>
    <w:rsid w:val="009005C0"/>
    <w:rsid w:val="00903958"/>
    <w:rsid w:val="0090710B"/>
    <w:rsid w:val="00911993"/>
    <w:rsid w:val="009139E4"/>
    <w:rsid w:val="009143F9"/>
    <w:rsid w:val="00915A7F"/>
    <w:rsid w:val="00915F00"/>
    <w:rsid w:val="0091630B"/>
    <w:rsid w:val="00916B5A"/>
    <w:rsid w:val="0091734D"/>
    <w:rsid w:val="009177B9"/>
    <w:rsid w:val="00920283"/>
    <w:rsid w:val="0092294F"/>
    <w:rsid w:val="00923B51"/>
    <w:rsid w:val="009303A2"/>
    <w:rsid w:val="00932101"/>
    <w:rsid w:val="00932E60"/>
    <w:rsid w:val="00933793"/>
    <w:rsid w:val="009348E3"/>
    <w:rsid w:val="00934F06"/>
    <w:rsid w:val="00935FA1"/>
    <w:rsid w:val="009363EF"/>
    <w:rsid w:val="00937DC0"/>
    <w:rsid w:val="009400BC"/>
    <w:rsid w:val="00941217"/>
    <w:rsid w:val="009416CD"/>
    <w:rsid w:val="009422D6"/>
    <w:rsid w:val="00943106"/>
    <w:rsid w:val="0094340A"/>
    <w:rsid w:val="009435C5"/>
    <w:rsid w:val="00943612"/>
    <w:rsid w:val="00944631"/>
    <w:rsid w:val="00944F49"/>
    <w:rsid w:val="00945897"/>
    <w:rsid w:val="00946B4C"/>
    <w:rsid w:val="0094731B"/>
    <w:rsid w:val="00947704"/>
    <w:rsid w:val="00950304"/>
    <w:rsid w:val="009503D4"/>
    <w:rsid w:val="0095110C"/>
    <w:rsid w:val="00952629"/>
    <w:rsid w:val="00952FCA"/>
    <w:rsid w:val="00953DC9"/>
    <w:rsid w:val="00954D28"/>
    <w:rsid w:val="00954F28"/>
    <w:rsid w:val="00955F6E"/>
    <w:rsid w:val="0095706F"/>
    <w:rsid w:val="0095797D"/>
    <w:rsid w:val="00957BFC"/>
    <w:rsid w:val="00962055"/>
    <w:rsid w:val="00962A22"/>
    <w:rsid w:val="009632F7"/>
    <w:rsid w:val="0096369B"/>
    <w:rsid w:val="00964302"/>
    <w:rsid w:val="00965BE9"/>
    <w:rsid w:val="00965D70"/>
    <w:rsid w:val="009675DB"/>
    <w:rsid w:val="009678CF"/>
    <w:rsid w:val="00967EA0"/>
    <w:rsid w:val="00967FCB"/>
    <w:rsid w:val="009701CD"/>
    <w:rsid w:val="00974CF4"/>
    <w:rsid w:val="00976662"/>
    <w:rsid w:val="00976C21"/>
    <w:rsid w:val="00977F2A"/>
    <w:rsid w:val="00980759"/>
    <w:rsid w:val="00980B6D"/>
    <w:rsid w:val="00980CEB"/>
    <w:rsid w:val="009813CA"/>
    <w:rsid w:val="00981928"/>
    <w:rsid w:val="00981FEC"/>
    <w:rsid w:val="00983AD8"/>
    <w:rsid w:val="00983DC0"/>
    <w:rsid w:val="0098537D"/>
    <w:rsid w:val="0098598A"/>
    <w:rsid w:val="00985D95"/>
    <w:rsid w:val="00987D4B"/>
    <w:rsid w:val="00987FB9"/>
    <w:rsid w:val="0099097E"/>
    <w:rsid w:val="0099163D"/>
    <w:rsid w:val="00992A93"/>
    <w:rsid w:val="009934EF"/>
    <w:rsid w:val="00994441"/>
    <w:rsid w:val="00995257"/>
    <w:rsid w:val="00996E70"/>
    <w:rsid w:val="009971B2"/>
    <w:rsid w:val="009A11C8"/>
    <w:rsid w:val="009A1617"/>
    <w:rsid w:val="009A1BCA"/>
    <w:rsid w:val="009A26A4"/>
    <w:rsid w:val="009A4781"/>
    <w:rsid w:val="009A5580"/>
    <w:rsid w:val="009A560E"/>
    <w:rsid w:val="009A7932"/>
    <w:rsid w:val="009B342B"/>
    <w:rsid w:val="009B4C7B"/>
    <w:rsid w:val="009B5975"/>
    <w:rsid w:val="009B5B06"/>
    <w:rsid w:val="009B5C1E"/>
    <w:rsid w:val="009B6F2C"/>
    <w:rsid w:val="009C2793"/>
    <w:rsid w:val="009C50EB"/>
    <w:rsid w:val="009C5C15"/>
    <w:rsid w:val="009C7FFD"/>
    <w:rsid w:val="009D06CF"/>
    <w:rsid w:val="009D0898"/>
    <w:rsid w:val="009D0D1A"/>
    <w:rsid w:val="009D1987"/>
    <w:rsid w:val="009D35A4"/>
    <w:rsid w:val="009D3B00"/>
    <w:rsid w:val="009D6D86"/>
    <w:rsid w:val="009D72F6"/>
    <w:rsid w:val="009E0013"/>
    <w:rsid w:val="009E00CF"/>
    <w:rsid w:val="009E0A86"/>
    <w:rsid w:val="009E0C91"/>
    <w:rsid w:val="009E1632"/>
    <w:rsid w:val="009E1FF4"/>
    <w:rsid w:val="009E2065"/>
    <w:rsid w:val="009E2B15"/>
    <w:rsid w:val="009E2BC1"/>
    <w:rsid w:val="009E476C"/>
    <w:rsid w:val="009E47D8"/>
    <w:rsid w:val="009E5365"/>
    <w:rsid w:val="009F0664"/>
    <w:rsid w:val="009F09EC"/>
    <w:rsid w:val="009F1666"/>
    <w:rsid w:val="009F195E"/>
    <w:rsid w:val="009F2F48"/>
    <w:rsid w:val="009F3B34"/>
    <w:rsid w:val="009F52B6"/>
    <w:rsid w:val="009F6790"/>
    <w:rsid w:val="009F6955"/>
    <w:rsid w:val="009F75D0"/>
    <w:rsid w:val="00A0009C"/>
    <w:rsid w:val="00A0082C"/>
    <w:rsid w:val="00A00D6E"/>
    <w:rsid w:val="00A03152"/>
    <w:rsid w:val="00A0380B"/>
    <w:rsid w:val="00A046D9"/>
    <w:rsid w:val="00A05BB2"/>
    <w:rsid w:val="00A05CAF"/>
    <w:rsid w:val="00A06B8D"/>
    <w:rsid w:val="00A06C28"/>
    <w:rsid w:val="00A073CD"/>
    <w:rsid w:val="00A07FB9"/>
    <w:rsid w:val="00A10C6B"/>
    <w:rsid w:val="00A1335B"/>
    <w:rsid w:val="00A13576"/>
    <w:rsid w:val="00A13F15"/>
    <w:rsid w:val="00A1437A"/>
    <w:rsid w:val="00A16274"/>
    <w:rsid w:val="00A16AF1"/>
    <w:rsid w:val="00A177CD"/>
    <w:rsid w:val="00A1791E"/>
    <w:rsid w:val="00A17F44"/>
    <w:rsid w:val="00A204C4"/>
    <w:rsid w:val="00A20984"/>
    <w:rsid w:val="00A2136D"/>
    <w:rsid w:val="00A21A73"/>
    <w:rsid w:val="00A21F83"/>
    <w:rsid w:val="00A21FD3"/>
    <w:rsid w:val="00A2227B"/>
    <w:rsid w:val="00A2273A"/>
    <w:rsid w:val="00A22A35"/>
    <w:rsid w:val="00A23BC4"/>
    <w:rsid w:val="00A25FA3"/>
    <w:rsid w:val="00A276A7"/>
    <w:rsid w:val="00A307F8"/>
    <w:rsid w:val="00A30C51"/>
    <w:rsid w:val="00A30CF1"/>
    <w:rsid w:val="00A31D40"/>
    <w:rsid w:val="00A33BB0"/>
    <w:rsid w:val="00A340FC"/>
    <w:rsid w:val="00A3456D"/>
    <w:rsid w:val="00A347A8"/>
    <w:rsid w:val="00A34C91"/>
    <w:rsid w:val="00A34E06"/>
    <w:rsid w:val="00A363ED"/>
    <w:rsid w:val="00A367AA"/>
    <w:rsid w:val="00A41060"/>
    <w:rsid w:val="00A41D80"/>
    <w:rsid w:val="00A43F3A"/>
    <w:rsid w:val="00A445A1"/>
    <w:rsid w:val="00A4492A"/>
    <w:rsid w:val="00A45FEA"/>
    <w:rsid w:val="00A46979"/>
    <w:rsid w:val="00A472B9"/>
    <w:rsid w:val="00A5040E"/>
    <w:rsid w:val="00A504F3"/>
    <w:rsid w:val="00A51C1F"/>
    <w:rsid w:val="00A51D99"/>
    <w:rsid w:val="00A51DC2"/>
    <w:rsid w:val="00A54DD1"/>
    <w:rsid w:val="00A55B30"/>
    <w:rsid w:val="00A63868"/>
    <w:rsid w:val="00A64030"/>
    <w:rsid w:val="00A65B19"/>
    <w:rsid w:val="00A67C25"/>
    <w:rsid w:val="00A71983"/>
    <w:rsid w:val="00A719E7"/>
    <w:rsid w:val="00A73494"/>
    <w:rsid w:val="00A73521"/>
    <w:rsid w:val="00A73ACC"/>
    <w:rsid w:val="00A73FB9"/>
    <w:rsid w:val="00A749F0"/>
    <w:rsid w:val="00A74DAB"/>
    <w:rsid w:val="00A7669B"/>
    <w:rsid w:val="00A77557"/>
    <w:rsid w:val="00A80FC5"/>
    <w:rsid w:val="00A815FC"/>
    <w:rsid w:val="00A84B59"/>
    <w:rsid w:val="00A874AB"/>
    <w:rsid w:val="00A87FAC"/>
    <w:rsid w:val="00A90734"/>
    <w:rsid w:val="00A90ED8"/>
    <w:rsid w:val="00A916A7"/>
    <w:rsid w:val="00A9181A"/>
    <w:rsid w:val="00A91C90"/>
    <w:rsid w:val="00A923AC"/>
    <w:rsid w:val="00A9414A"/>
    <w:rsid w:val="00A94263"/>
    <w:rsid w:val="00A94363"/>
    <w:rsid w:val="00A9481F"/>
    <w:rsid w:val="00A95B89"/>
    <w:rsid w:val="00A974FB"/>
    <w:rsid w:val="00A97515"/>
    <w:rsid w:val="00A97706"/>
    <w:rsid w:val="00AA0731"/>
    <w:rsid w:val="00AA0EE5"/>
    <w:rsid w:val="00AA1B85"/>
    <w:rsid w:val="00AA1D0C"/>
    <w:rsid w:val="00AA24CF"/>
    <w:rsid w:val="00AA2C69"/>
    <w:rsid w:val="00AA2F08"/>
    <w:rsid w:val="00AA30FC"/>
    <w:rsid w:val="00AA3C15"/>
    <w:rsid w:val="00AA4D5B"/>
    <w:rsid w:val="00AA563A"/>
    <w:rsid w:val="00AA6489"/>
    <w:rsid w:val="00AB05F5"/>
    <w:rsid w:val="00AB0B52"/>
    <w:rsid w:val="00AB0D22"/>
    <w:rsid w:val="00AB1BDD"/>
    <w:rsid w:val="00AB208B"/>
    <w:rsid w:val="00AB234A"/>
    <w:rsid w:val="00AB4B3F"/>
    <w:rsid w:val="00AB52B3"/>
    <w:rsid w:val="00AB6249"/>
    <w:rsid w:val="00AB6EED"/>
    <w:rsid w:val="00AB7BEB"/>
    <w:rsid w:val="00AC14F6"/>
    <w:rsid w:val="00AC26F7"/>
    <w:rsid w:val="00AC2F7C"/>
    <w:rsid w:val="00AC4562"/>
    <w:rsid w:val="00AC5289"/>
    <w:rsid w:val="00AC592B"/>
    <w:rsid w:val="00AC6975"/>
    <w:rsid w:val="00AC74A7"/>
    <w:rsid w:val="00AC79D4"/>
    <w:rsid w:val="00AD01FD"/>
    <w:rsid w:val="00AD0A3B"/>
    <w:rsid w:val="00AD207F"/>
    <w:rsid w:val="00AD3050"/>
    <w:rsid w:val="00AD3EAE"/>
    <w:rsid w:val="00AD52B6"/>
    <w:rsid w:val="00AD6051"/>
    <w:rsid w:val="00AD65FF"/>
    <w:rsid w:val="00AD6929"/>
    <w:rsid w:val="00AD71E2"/>
    <w:rsid w:val="00AE12E3"/>
    <w:rsid w:val="00AE1538"/>
    <w:rsid w:val="00AE263B"/>
    <w:rsid w:val="00AE3AA3"/>
    <w:rsid w:val="00AE3ED8"/>
    <w:rsid w:val="00AE518F"/>
    <w:rsid w:val="00AE5433"/>
    <w:rsid w:val="00AE5A14"/>
    <w:rsid w:val="00AE6005"/>
    <w:rsid w:val="00AF1475"/>
    <w:rsid w:val="00AF1CEC"/>
    <w:rsid w:val="00AF28BF"/>
    <w:rsid w:val="00AF3530"/>
    <w:rsid w:val="00AF39CF"/>
    <w:rsid w:val="00AF3D87"/>
    <w:rsid w:val="00AF485F"/>
    <w:rsid w:val="00AF4D4F"/>
    <w:rsid w:val="00AF5723"/>
    <w:rsid w:val="00AF6A0E"/>
    <w:rsid w:val="00B0060E"/>
    <w:rsid w:val="00B01599"/>
    <w:rsid w:val="00B01D5E"/>
    <w:rsid w:val="00B032A2"/>
    <w:rsid w:val="00B04877"/>
    <w:rsid w:val="00B049BF"/>
    <w:rsid w:val="00B06776"/>
    <w:rsid w:val="00B07C1D"/>
    <w:rsid w:val="00B10C46"/>
    <w:rsid w:val="00B131E2"/>
    <w:rsid w:val="00B13B40"/>
    <w:rsid w:val="00B140B2"/>
    <w:rsid w:val="00B16359"/>
    <w:rsid w:val="00B20B13"/>
    <w:rsid w:val="00B212F8"/>
    <w:rsid w:val="00B21C49"/>
    <w:rsid w:val="00B227F0"/>
    <w:rsid w:val="00B229E1"/>
    <w:rsid w:val="00B23C48"/>
    <w:rsid w:val="00B249AD"/>
    <w:rsid w:val="00B257C3"/>
    <w:rsid w:val="00B269FC"/>
    <w:rsid w:val="00B26CDC"/>
    <w:rsid w:val="00B27032"/>
    <w:rsid w:val="00B271A7"/>
    <w:rsid w:val="00B303CF"/>
    <w:rsid w:val="00B31FC9"/>
    <w:rsid w:val="00B322F8"/>
    <w:rsid w:val="00B32614"/>
    <w:rsid w:val="00B32D22"/>
    <w:rsid w:val="00B35E4F"/>
    <w:rsid w:val="00B36594"/>
    <w:rsid w:val="00B423C0"/>
    <w:rsid w:val="00B45517"/>
    <w:rsid w:val="00B47A2C"/>
    <w:rsid w:val="00B501B1"/>
    <w:rsid w:val="00B50BB6"/>
    <w:rsid w:val="00B50E8B"/>
    <w:rsid w:val="00B51582"/>
    <w:rsid w:val="00B52B65"/>
    <w:rsid w:val="00B539A6"/>
    <w:rsid w:val="00B55F94"/>
    <w:rsid w:val="00B569F2"/>
    <w:rsid w:val="00B56D7C"/>
    <w:rsid w:val="00B604ED"/>
    <w:rsid w:val="00B608AB"/>
    <w:rsid w:val="00B60A4F"/>
    <w:rsid w:val="00B60E86"/>
    <w:rsid w:val="00B60F01"/>
    <w:rsid w:val="00B614EC"/>
    <w:rsid w:val="00B61D25"/>
    <w:rsid w:val="00B6264F"/>
    <w:rsid w:val="00B64FEE"/>
    <w:rsid w:val="00B653A9"/>
    <w:rsid w:val="00B65AAC"/>
    <w:rsid w:val="00B6698B"/>
    <w:rsid w:val="00B679A8"/>
    <w:rsid w:val="00B67ED9"/>
    <w:rsid w:val="00B70E27"/>
    <w:rsid w:val="00B720C8"/>
    <w:rsid w:val="00B72F48"/>
    <w:rsid w:val="00B764E9"/>
    <w:rsid w:val="00B766C2"/>
    <w:rsid w:val="00B8312F"/>
    <w:rsid w:val="00B8332D"/>
    <w:rsid w:val="00B83B70"/>
    <w:rsid w:val="00B83F61"/>
    <w:rsid w:val="00B841E2"/>
    <w:rsid w:val="00B85002"/>
    <w:rsid w:val="00B85166"/>
    <w:rsid w:val="00B8520D"/>
    <w:rsid w:val="00B90DEE"/>
    <w:rsid w:val="00B931B7"/>
    <w:rsid w:val="00B93387"/>
    <w:rsid w:val="00B93649"/>
    <w:rsid w:val="00B94C99"/>
    <w:rsid w:val="00B960E8"/>
    <w:rsid w:val="00B9616F"/>
    <w:rsid w:val="00B96D1B"/>
    <w:rsid w:val="00B96D9E"/>
    <w:rsid w:val="00B9769B"/>
    <w:rsid w:val="00B97802"/>
    <w:rsid w:val="00BA0C8D"/>
    <w:rsid w:val="00BA10E4"/>
    <w:rsid w:val="00BA13DA"/>
    <w:rsid w:val="00BA1B92"/>
    <w:rsid w:val="00BA1C48"/>
    <w:rsid w:val="00BA1C6B"/>
    <w:rsid w:val="00BA24DB"/>
    <w:rsid w:val="00BA35B2"/>
    <w:rsid w:val="00BA4451"/>
    <w:rsid w:val="00BA713B"/>
    <w:rsid w:val="00BA716B"/>
    <w:rsid w:val="00BA7F30"/>
    <w:rsid w:val="00BB0034"/>
    <w:rsid w:val="00BB097B"/>
    <w:rsid w:val="00BB19FD"/>
    <w:rsid w:val="00BB1A8C"/>
    <w:rsid w:val="00BB1ACE"/>
    <w:rsid w:val="00BB1B39"/>
    <w:rsid w:val="00BC045B"/>
    <w:rsid w:val="00BC06E9"/>
    <w:rsid w:val="00BC0956"/>
    <w:rsid w:val="00BC1CA0"/>
    <w:rsid w:val="00BC24C5"/>
    <w:rsid w:val="00BC2B59"/>
    <w:rsid w:val="00BC453A"/>
    <w:rsid w:val="00BC513C"/>
    <w:rsid w:val="00BC5E42"/>
    <w:rsid w:val="00BC5EDE"/>
    <w:rsid w:val="00BC6591"/>
    <w:rsid w:val="00BC6D90"/>
    <w:rsid w:val="00BC795E"/>
    <w:rsid w:val="00BC7B49"/>
    <w:rsid w:val="00BD001D"/>
    <w:rsid w:val="00BD215C"/>
    <w:rsid w:val="00BD2499"/>
    <w:rsid w:val="00BD3947"/>
    <w:rsid w:val="00BD42A3"/>
    <w:rsid w:val="00BD4CAF"/>
    <w:rsid w:val="00BD503D"/>
    <w:rsid w:val="00BD59B3"/>
    <w:rsid w:val="00BD655D"/>
    <w:rsid w:val="00BD6CE5"/>
    <w:rsid w:val="00BD717A"/>
    <w:rsid w:val="00BE27F7"/>
    <w:rsid w:val="00BE3E5A"/>
    <w:rsid w:val="00BE5C8D"/>
    <w:rsid w:val="00BE6580"/>
    <w:rsid w:val="00BF2C50"/>
    <w:rsid w:val="00BF3569"/>
    <w:rsid w:val="00BF43D1"/>
    <w:rsid w:val="00BF47C1"/>
    <w:rsid w:val="00BF4D07"/>
    <w:rsid w:val="00BF6D1D"/>
    <w:rsid w:val="00C0082C"/>
    <w:rsid w:val="00C01210"/>
    <w:rsid w:val="00C036B7"/>
    <w:rsid w:val="00C05371"/>
    <w:rsid w:val="00C0537B"/>
    <w:rsid w:val="00C103A1"/>
    <w:rsid w:val="00C12486"/>
    <w:rsid w:val="00C13114"/>
    <w:rsid w:val="00C15697"/>
    <w:rsid w:val="00C1606E"/>
    <w:rsid w:val="00C1666E"/>
    <w:rsid w:val="00C177F6"/>
    <w:rsid w:val="00C17B3D"/>
    <w:rsid w:val="00C2069B"/>
    <w:rsid w:val="00C227B6"/>
    <w:rsid w:val="00C22E3E"/>
    <w:rsid w:val="00C234B7"/>
    <w:rsid w:val="00C237F5"/>
    <w:rsid w:val="00C23EA4"/>
    <w:rsid w:val="00C24384"/>
    <w:rsid w:val="00C248B7"/>
    <w:rsid w:val="00C2637E"/>
    <w:rsid w:val="00C263D2"/>
    <w:rsid w:val="00C265B1"/>
    <w:rsid w:val="00C272B0"/>
    <w:rsid w:val="00C274AD"/>
    <w:rsid w:val="00C306E7"/>
    <w:rsid w:val="00C31C3B"/>
    <w:rsid w:val="00C32515"/>
    <w:rsid w:val="00C345AE"/>
    <w:rsid w:val="00C353FD"/>
    <w:rsid w:val="00C35A08"/>
    <w:rsid w:val="00C36C21"/>
    <w:rsid w:val="00C36CD3"/>
    <w:rsid w:val="00C40438"/>
    <w:rsid w:val="00C41644"/>
    <w:rsid w:val="00C431D6"/>
    <w:rsid w:val="00C436B5"/>
    <w:rsid w:val="00C453DE"/>
    <w:rsid w:val="00C46930"/>
    <w:rsid w:val="00C51657"/>
    <w:rsid w:val="00C521BC"/>
    <w:rsid w:val="00C528D0"/>
    <w:rsid w:val="00C5359E"/>
    <w:rsid w:val="00C54FDB"/>
    <w:rsid w:val="00C558B2"/>
    <w:rsid w:val="00C56808"/>
    <w:rsid w:val="00C5694A"/>
    <w:rsid w:val="00C634E9"/>
    <w:rsid w:val="00C63815"/>
    <w:rsid w:val="00C647C7"/>
    <w:rsid w:val="00C64EA0"/>
    <w:rsid w:val="00C663D9"/>
    <w:rsid w:val="00C66A2B"/>
    <w:rsid w:val="00C7043E"/>
    <w:rsid w:val="00C70ED4"/>
    <w:rsid w:val="00C724F5"/>
    <w:rsid w:val="00C74192"/>
    <w:rsid w:val="00C745BE"/>
    <w:rsid w:val="00C7512C"/>
    <w:rsid w:val="00C76A78"/>
    <w:rsid w:val="00C82FF6"/>
    <w:rsid w:val="00C83935"/>
    <w:rsid w:val="00C84255"/>
    <w:rsid w:val="00C84467"/>
    <w:rsid w:val="00C84483"/>
    <w:rsid w:val="00C84F92"/>
    <w:rsid w:val="00C86073"/>
    <w:rsid w:val="00C86C99"/>
    <w:rsid w:val="00C8712D"/>
    <w:rsid w:val="00C8761A"/>
    <w:rsid w:val="00C877DB"/>
    <w:rsid w:val="00C87EF2"/>
    <w:rsid w:val="00C901EE"/>
    <w:rsid w:val="00C914CA"/>
    <w:rsid w:val="00C92AF1"/>
    <w:rsid w:val="00C93408"/>
    <w:rsid w:val="00C94F75"/>
    <w:rsid w:val="00C96F96"/>
    <w:rsid w:val="00C96FA7"/>
    <w:rsid w:val="00C972C8"/>
    <w:rsid w:val="00C979D3"/>
    <w:rsid w:val="00CA009F"/>
    <w:rsid w:val="00CA0637"/>
    <w:rsid w:val="00CA1B1B"/>
    <w:rsid w:val="00CA340B"/>
    <w:rsid w:val="00CA4489"/>
    <w:rsid w:val="00CA4A5B"/>
    <w:rsid w:val="00CA4E00"/>
    <w:rsid w:val="00CA5B93"/>
    <w:rsid w:val="00CA6AA4"/>
    <w:rsid w:val="00CA6CAD"/>
    <w:rsid w:val="00CA7DBE"/>
    <w:rsid w:val="00CB05E6"/>
    <w:rsid w:val="00CB05F9"/>
    <w:rsid w:val="00CB17DD"/>
    <w:rsid w:val="00CB196F"/>
    <w:rsid w:val="00CB2AB3"/>
    <w:rsid w:val="00CB378E"/>
    <w:rsid w:val="00CB3D36"/>
    <w:rsid w:val="00CB3F0C"/>
    <w:rsid w:val="00CB59DE"/>
    <w:rsid w:val="00CB6504"/>
    <w:rsid w:val="00CB700F"/>
    <w:rsid w:val="00CB7340"/>
    <w:rsid w:val="00CB74B5"/>
    <w:rsid w:val="00CB7D16"/>
    <w:rsid w:val="00CB7E29"/>
    <w:rsid w:val="00CC195F"/>
    <w:rsid w:val="00CD1416"/>
    <w:rsid w:val="00CD144A"/>
    <w:rsid w:val="00CD1F39"/>
    <w:rsid w:val="00CD2304"/>
    <w:rsid w:val="00CD2800"/>
    <w:rsid w:val="00CD2BB8"/>
    <w:rsid w:val="00CD32C4"/>
    <w:rsid w:val="00CD38B2"/>
    <w:rsid w:val="00CD3D76"/>
    <w:rsid w:val="00CD3F4F"/>
    <w:rsid w:val="00CD3FF5"/>
    <w:rsid w:val="00CD4799"/>
    <w:rsid w:val="00CD4F47"/>
    <w:rsid w:val="00CD5069"/>
    <w:rsid w:val="00CD5779"/>
    <w:rsid w:val="00CD6800"/>
    <w:rsid w:val="00CD70A5"/>
    <w:rsid w:val="00CD787A"/>
    <w:rsid w:val="00CD7897"/>
    <w:rsid w:val="00CE1AA7"/>
    <w:rsid w:val="00CE2DA3"/>
    <w:rsid w:val="00CE3CA2"/>
    <w:rsid w:val="00CE4B43"/>
    <w:rsid w:val="00CE5357"/>
    <w:rsid w:val="00CE7719"/>
    <w:rsid w:val="00CE7F70"/>
    <w:rsid w:val="00CF044C"/>
    <w:rsid w:val="00CF0AD2"/>
    <w:rsid w:val="00CF2C02"/>
    <w:rsid w:val="00CF3F82"/>
    <w:rsid w:val="00CF5736"/>
    <w:rsid w:val="00CF7338"/>
    <w:rsid w:val="00CF7778"/>
    <w:rsid w:val="00CF78FF"/>
    <w:rsid w:val="00D01CC2"/>
    <w:rsid w:val="00D02212"/>
    <w:rsid w:val="00D02DB2"/>
    <w:rsid w:val="00D031FF"/>
    <w:rsid w:val="00D03286"/>
    <w:rsid w:val="00D03811"/>
    <w:rsid w:val="00D05097"/>
    <w:rsid w:val="00D06167"/>
    <w:rsid w:val="00D07B6D"/>
    <w:rsid w:val="00D07F81"/>
    <w:rsid w:val="00D11836"/>
    <w:rsid w:val="00D12438"/>
    <w:rsid w:val="00D12742"/>
    <w:rsid w:val="00D1357C"/>
    <w:rsid w:val="00D13D2A"/>
    <w:rsid w:val="00D14483"/>
    <w:rsid w:val="00D14949"/>
    <w:rsid w:val="00D1498A"/>
    <w:rsid w:val="00D14C9B"/>
    <w:rsid w:val="00D16316"/>
    <w:rsid w:val="00D166EC"/>
    <w:rsid w:val="00D17841"/>
    <w:rsid w:val="00D208F8"/>
    <w:rsid w:val="00D210A0"/>
    <w:rsid w:val="00D21DDE"/>
    <w:rsid w:val="00D22A69"/>
    <w:rsid w:val="00D2377C"/>
    <w:rsid w:val="00D2471A"/>
    <w:rsid w:val="00D2594C"/>
    <w:rsid w:val="00D265A7"/>
    <w:rsid w:val="00D26E14"/>
    <w:rsid w:val="00D30C70"/>
    <w:rsid w:val="00D30D64"/>
    <w:rsid w:val="00D318CE"/>
    <w:rsid w:val="00D31A5D"/>
    <w:rsid w:val="00D31E5D"/>
    <w:rsid w:val="00D32F23"/>
    <w:rsid w:val="00D33707"/>
    <w:rsid w:val="00D33737"/>
    <w:rsid w:val="00D337E0"/>
    <w:rsid w:val="00D33D74"/>
    <w:rsid w:val="00D34BDB"/>
    <w:rsid w:val="00D34D49"/>
    <w:rsid w:val="00D358BE"/>
    <w:rsid w:val="00D3677F"/>
    <w:rsid w:val="00D36EC5"/>
    <w:rsid w:val="00D3709B"/>
    <w:rsid w:val="00D37999"/>
    <w:rsid w:val="00D402C2"/>
    <w:rsid w:val="00D41A40"/>
    <w:rsid w:val="00D4731A"/>
    <w:rsid w:val="00D50C2C"/>
    <w:rsid w:val="00D51A7E"/>
    <w:rsid w:val="00D527EC"/>
    <w:rsid w:val="00D529F1"/>
    <w:rsid w:val="00D52C16"/>
    <w:rsid w:val="00D53110"/>
    <w:rsid w:val="00D5651E"/>
    <w:rsid w:val="00D57270"/>
    <w:rsid w:val="00D60666"/>
    <w:rsid w:val="00D606A3"/>
    <w:rsid w:val="00D62DC1"/>
    <w:rsid w:val="00D63A0A"/>
    <w:rsid w:val="00D63B78"/>
    <w:rsid w:val="00D64EE2"/>
    <w:rsid w:val="00D6574E"/>
    <w:rsid w:val="00D65CC3"/>
    <w:rsid w:val="00D6773F"/>
    <w:rsid w:val="00D70CB7"/>
    <w:rsid w:val="00D711F3"/>
    <w:rsid w:val="00D72B97"/>
    <w:rsid w:val="00D7387F"/>
    <w:rsid w:val="00D74EA1"/>
    <w:rsid w:val="00D752F9"/>
    <w:rsid w:val="00D753F0"/>
    <w:rsid w:val="00D759F3"/>
    <w:rsid w:val="00D803BE"/>
    <w:rsid w:val="00D806AF"/>
    <w:rsid w:val="00D80757"/>
    <w:rsid w:val="00D80CFF"/>
    <w:rsid w:val="00D80D5B"/>
    <w:rsid w:val="00D8214E"/>
    <w:rsid w:val="00D82BB2"/>
    <w:rsid w:val="00D8329F"/>
    <w:rsid w:val="00D83379"/>
    <w:rsid w:val="00D844DF"/>
    <w:rsid w:val="00D852AE"/>
    <w:rsid w:val="00D85886"/>
    <w:rsid w:val="00D86434"/>
    <w:rsid w:val="00D866E0"/>
    <w:rsid w:val="00D873DA"/>
    <w:rsid w:val="00D874C4"/>
    <w:rsid w:val="00D9069A"/>
    <w:rsid w:val="00D912F5"/>
    <w:rsid w:val="00D925C9"/>
    <w:rsid w:val="00D92ED3"/>
    <w:rsid w:val="00D93232"/>
    <w:rsid w:val="00D937C9"/>
    <w:rsid w:val="00D956FD"/>
    <w:rsid w:val="00D966B8"/>
    <w:rsid w:val="00D9685D"/>
    <w:rsid w:val="00D977B5"/>
    <w:rsid w:val="00DA0886"/>
    <w:rsid w:val="00DA2003"/>
    <w:rsid w:val="00DA4A8F"/>
    <w:rsid w:val="00DA573C"/>
    <w:rsid w:val="00DA5A52"/>
    <w:rsid w:val="00DA5C5B"/>
    <w:rsid w:val="00DA796C"/>
    <w:rsid w:val="00DA7B2B"/>
    <w:rsid w:val="00DB0C86"/>
    <w:rsid w:val="00DB129B"/>
    <w:rsid w:val="00DB2000"/>
    <w:rsid w:val="00DB2130"/>
    <w:rsid w:val="00DB339E"/>
    <w:rsid w:val="00DB3AD7"/>
    <w:rsid w:val="00DB414C"/>
    <w:rsid w:val="00DB637F"/>
    <w:rsid w:val="00DB6531"/>
    <w:rsid w:val="00DB6B18"/>
    <w:rsid w:val="00DB6EDC"/>
    <w:rsid w:val="00DB76D4"/>
    <w:rsid w:val="00DB775E"/>
    <w:rsid w:val="00DB79DD"/>
    <w:rsid w:val="00DB7AB1"/>
    <w:rsid w:val="00DC093C"/>
    <w:rsid w:val="00DC1C90"/>
    <w:rsid w:val="00DC4524"/>
    <w:rsid w:val="00DC4B46"/>
    <w:rsid w:val="00DC632C"/>
    <w:rsid w:val="00DC73CD"/>
    <w:rsid w:val="00DC7AF1"/>
    <w:rsid w:val="00DD00D2"/>
    <w:rsid w:val="00DD049A"/>
    <w:rsid w:val="00DD0531"/>
    <w:rsid w:val="00DD11B5"/>
    <w:rsid w:val="00DD2341"/>
    <w:rsid w:val="00DD2570"/>
    <w:rsid w:val="00DD2653"/>
    <w:rsid w:val="00DD33FC"/>
    <w:rsid w:val="00DD412F"/>
    <w:rsid w:val="00DD48E7"/>
    <w:rsid w:val="00DD5310"/>
    <w:rsid w:val="00DD5B38"/>
    <w:rsid w:val="00DD65FF"/>
    <w:rsid w:val="00DE1C63"/>
    <w:rsid w:val="00DE486C"/>
    <w:rsid w:val="00DE4D55"/>
    <w:rsid w:val="00DE5283"/>
    <w:rsid w:val="00DE52C0"/>
    <w:rsid w:val="00DE57E0"/>
    <w:rsid w:val="00DE6659"/>
    <w:rsid w:val="00DE7959"/>
    <w:rsid w:val="00DE7B04"/>
    <w:rsid w:val="00DF0019"/>
    <w:rsid w:val="00DF0CD0"/>
    <w:rsid w:val="00DF1B95"/>
    <w:rsid w:val="00DF304A"/>
    <w:rsid w:val="00DF3171"/>
    <w:rsid w:val="00DF3BAB"/>
    <w:rsid w:val="00DF44C2"/>
    <w:rsid w:val="00DF4F94"/>
    <w:rsid w:val="00DF5810"/>
    <w:rsid w:val="00DF753E"/>
    <w:rsid w:val="00DF7DD7"/>
    <w:rsid w:val="00E0096F"/>
    <w:rsid w:val="00E00FBF"/>
    <w:rsid w:val="00E02AC6"/>
    <w:rsid w:val="00E02BF5"/>
    <w:rsid w:val="00E03716"/>
    <w:rsid w:val="00E04014"/>
    <w:rsid w:val="00E04708"/>
    <w:rsid w:val="00E05009"/>
    <w:rsid w:val="00E06A40"/>
    <w:rsid w:val="00E06AD5"/>
    <w:rsid w:val="00E06D6E"/>
    <w:rsid w:val="00E10236"/>
    <w:rsid w:val="00E11104"/>
    <w:rsid w:val="00E12DB8"/>
    <w:rsid w:val="00E13271"/>
    <w:rsid w:val="00E158AF"/>
    <w:rsid w:val="00E15D70"/>
    <w:rsid w:val="00E1620D"/>
    <w:rsid w:val="00E1654F"/>
    <w:rsid w:val="00E16D60"/>
    <w:rsid w:val="00E16FD7"/>
    <w:rsid w:val="00E173CD"/>
    <w:rsid w:val="00E21063"/>
    <w:rsid w:val="00E21AF9"/>
    <w:rsid w:val="00E2216F"/>
    <w:rsid w:val="00E231CF"/>
    <w:rsid w:val="00E23B12"/>
    <w:rsid w:val="00E23F13"/>
    <w:rsid w:val="00E24B23"/>
    <w:rsid w:val="00E251DC"/>
    <w:rsid w:val="00E25D2E"/>
    <w:rsid w:val="00E27C05"/>
    <w:rsid w:val="00E31BFC"/>
    <w:rsid w:val="00E320A3"/>
    <w:rsid w:val="00E321AF"/>
    <w:rsid w:val="00E32792"/>
    <w:rsid w:val="00E32B80"/>
    <w:rsid w:val="00E32E8A"/>
    <w:rsid w:val="00E3315A"/>
    <w:rsid w:val="00E337CA"/>
    <w:rsid w:val="00E3651D"/>
    <w:rsid w:val="00E36B99"/>
    <w:rsid w:val="00E37096"/>
    <w:rsid w:val="00E41452"/>
    <w:rsid w:val="00E414CB"/>
    <w:rsid w:val="00E44D8F"/>
    <w:rsid w:val="00E45B0D"/>
    <w:rsid w:val="00E46B8E"/>
    <w:rsid w:val="00E471B4"/>
    <w:rsid w:val="00E479CC"/>
    <w:rsid w:val="00E47A73"/>
    <w:rsid w:val="00E512FC"/>
    <w:rsid w:val="00E523EA"/>
    <w:rsid w:val="00E52812"/>
    <w:rsid w:val="00E52C95"/>
    <w:rsid w:val="00E53648"/>
    <w:rsid w:val="00E54171"/>
    <w:rsid w:val="00E558A5"/>
    <w:rsid w:val="00E56A93"/>
    <w:rsid w:val="00E56BCB"/>
    <w:rsid w:val="00E60726"/>
    <w:rsid w:val="00E61A14"/>
    <w:rsid w:val="00E63839"/>
    <w:rsid w:val="00E63A0C"/>
    <w:rsid w:val="00E64F04"/>
    <w:rsid w:val="00E65371"/>
    <w:rsid w:val="00E6687A"/>
    <w:rsid w:val="00E675C9"/>
    <w:rsid w:val="00E7036A"/>
    <w:rsid w:val="00E706EC"/>
    <w:rsid w:val="00E7098C"/>
    <w:rsid w:val="00E7230C"/>
    <w:rsid w:val="00E72668"/>
    <w:rsid w:val="00E72EE9"/>
    <w:rsid w:val="00E747F5"/>
    <w:rsid w:val="00E769FD"/>
    <w:rsid w:val="00E76EF9"/>
    <w:rsid w:val="00E77115"/>
    <w:rsid w:val="00E77808"/>
    <w:rsid w:val="00E77AC6"/>
    <w:rsid w:val="00E80FFB"/>
    <w:rsid w:val="00E824B3"/>
    <w:rsid w:val="00E828D9"/>
    <w:rsid w:val="00E829C8"/>
    <w:rsid w:val="00E83B49"/>
    <w:rsid w:val="00E83E77"/>
    <w:rsid w:val="00E84432"/>
    <w:rsid w:val="00E84482"/>
    <w:rsid w:val="00E86C1A"/>
    <w:rsid w:val="00E91B56"/>
    <w:rsid w:val="00E927FF"/>
    <w:rsid w:val="00E936AB"/>
    <w:rsid w:val="00E93B1C"/>
    <w:rsid w:val="00E954EF"/>
    <w:rsid w:val="00E95729"/>
    <w:rsid w:val="00E968CC"/>
    <w:rsid w:val="00E96AB9"/>
    <w:rsid w:val="00EA117E"/>
    <w:rsid w:val="00EA142B"/>
    <w:rsid w:val="00EA15F7"/>
    <w:rsid w:val="00EA1B8A"/>
    <w:rsid w:val="00EA1E0D"/>
    <w:rsid w:val="00EA3A13"/>
    <w:rsid w:val="00EA4813"/>
    <w:rsid w:val="00EA5CD0"/>
    <w:rsid w:val="00EA5D86"/>
    <w:rsid w:val="00EA60FD"/>
    <w:rsid w:val="00EA7091"/>
    <w:rsid w:val="00EB032B"/>
    <w:rsid w:val="00EB14A7"/>
    <w:rsid w:val="00EB3E9A"/>
    <w:rsid w:val="00EB4277"/>
    <w:rsid w:val="00EB518E"/>
    <w:rsid w:val="00EB5478"/>
    <w:rsid w:val="00EB7945"/>
    <w:rsid w:val="00EC180F"/>
    <w:rsid w:val="00EC2780"/>
    <w:rsid w:val="00EC317B"/>
    <w:rsid w:val="00EC340C"/>
    <w:rsid w:val="00EC52D8"/>
    <w:rsid w:val="00EC5CEC"/>
    <w:rsid w:val="00EC6AF5"/>
    <w:rsid w:val="00EC6F6D"/>
    <w:rsid w:val="00EC7FE1"/>
    <w:rsid w:val="00ED0A21"/>
    <w:rsid w:val="00ED16BE"/>
    <w:rsid w:val="00ED29C7"/>
    <w:rsid w:val="00ED2C42"/>
    <w:rsid w:val="00ED3755"/>
    <w:rsid w:val="00ED5839"/>
    <w:rsid w:val="00ED70FD"/>
    <w:rsid w:val="00EE2C03"/>
    <w:rsid w:val="00EE2C58"/>
    <w:rsid w:val="00EE2DB1"/>
    <w:rsid w:val="00EE3223"/>
    <w:rsid w:val="00EE4D92"/>
    <w:rsid w:val="00EE4EEA"/>
    <w:rsid w:val="00EE7F73"/>
    <w:rsid w:val="00EF02DE"/>
    <w:rsid w:val="00EF209E"/>
    <w:rsid w:val="00EF27E5"/>
    <w:rsid w:val="00EF2A7E"/>
    <w:rsid w:val="00EF3BF0"/>
    <w:rsid w:val="00EF41F2"/>
    <w:rsid w:val="00EF4926"/>
    <w:rsid w:val="00EF61DC"/>
    <w:rsid w:val="00EF76A1"/>
    <w:rsid w:val="00F0055C"/>
    <w:rsid w:val="00F00580"/>
    <w:rsid w:val="00F00723"/>
    <w:rsid w:val="00F008AC"/>
    <w:rsid w:val="00F01DD4"/>
    <w:rsid w:val="00F0253C"/>
    <w:rsid w:val="00F0300B"/>
    <w:rsid w:val="00F0397B"/>
    <w:rsid w:val="00F06A5A"/>
    <w:rsid w:val="00F072AD"/>
    <w:rsid w:val="00F07698"/>
    <w:rsid w:val="00F100BB"/>
    <w:rsid w:val="00F11E07"/>
    <w:rsid w:val="00F128B0"/>
    <w:rsid w:val="00F1483B"/>
    <w:rsid w:val="00F15147"/>
    <w:rsid w:val="00F16950"/>
    <w:rsid w:val="00F16F05"/>
    <w:rsid w:val="00F17AAC"/>
    <w:rsid w:val="00F20E67"/>
    <w:rsid w:val="00F22D94"/>
    <w:rsid w:val="00F247C7"/>
    <w:rsid w:val="00F25D47"/>
    <w:rsid w:val="00F275E3"/>
    <w:rsid w:val="00F27F1B"/>
    <w:rsid w:val="00F30738"/>
    <w:rsid w:val="00F318EB"/>
    <w:rsid w:val="00F32C39"/>
    <w:rsid w:val="00F34D6A"/>
    <w:rsid w:val="00F35018"/>
    <w:rsid w:val="00F358BB"/>
    <w:rsid w:val="00F37DE5"/>
    <w:rsid w:val="00F40781"/>
    <w:rsid w:val="00F424F7"/>
    <w:rsid w:val="00F42B28"/>
    <w:rsid w:val="00F42D4A"/>
    <w:rsid w:val="00F42EA0"/>
    <w:rsid w:val="00F4338C"/>
    <w:rsid w:val="00F43496"/>
    <w:rsid w:val="00F43C87"/>
    <w:rsid w:val="00F43DEC"/>
    <w:rsid w:val="00F443C1"/>
    <w:rsid w:val="00F44A24"/>
    <w:rsid w:val="00F46A1D"/>
    <w:rsid w:val="00F474F3"/>
    <w:rsid w:val="00F50559"/>
    <w:rsid w:val="00F51171"/>
    <w:rsid w:val="00F51705"/>
    <w:rsid w:val="00F529CE"/>
    <w:rsid w:val="00F53E80"/>
    <w:rsid w:val="00F54B16"/>
    <w:rsid w:val="00F619AB"/>
    <w:rsid w:val="00F6243B"/>
    <w:rsid w:val="00F6499C"/>
    <w:rsid w:val="00F649DA"/>
    <w:rsid w:val="00F6701F"/>
    <w:rsid w:val="00F70545"/>
    <w:rsid w:val="00F7092D"/>
    <w:rsid w:val="00F71968"/>
    <w:rsid w:val="00F73EFF"/>
    <w:rsid w:val="00F74F67"/>
    <w:rsid w:val="00F75582"/>
    <w:rsid w:val="00F76158"/>
    <w:rsid w:val="00F77BF8"/>
    <w:rsid w:val="00F80FD9"/>
    <w:rsid w:val="00F8279E"/>
    <w:rsid w:val="00F82C67"/>
    <w:rsid w:val="00F837CA"/>
    <w:rsid w:val="00F8392F"/>
    <w:rsid w:val="00F842DE"/>
    <w:rsid w:val="00F84853"/>
    <w:rsid w:val="00F85141"/>
    <w:rsid w:val="00F864C7"/>
    <w:rsid w:val="00F8659E"/>
    <w:rsid w:val="00F86D89"/>
    <w:rsid w:val="00F87FA8"/>
    <w:rsid w:val="00F92B11"/>
    <w:rsid w:val="00F92F48"/>
    <w:rsid w:val="00F93042"/>
    <w:rsid w:val="00F9309F"/>
    <w:rsid w:val="00F938D3"/>
    <w:rsid w:val="00F942A4"/>
    <w:rsid w:val="00F9513C"/>
    <w:rsid w:val="00F95A05"/>
    <w:rsid w:val="00F95ACA"/>
    <w:rsid w:val="00F96096"/>
    <w:rsid w:val="00F96EED"/>
    <w:rsid w:val="00FA13EE"/>
    <w:rsid w:val="00FA1EF4"/>
    <w:rsid w:val="00FA39B2"/>
    <w:rsid w:val="00FA3B33"/>
    <w:rsid w:val="00FA4386"/>
    <w:rsid w:val="00FA514D"/>
    <w:rsid w:val="00FA518D"/>
    <w:rsid w:val="00FA68A0"/>
    <w:rsid w:val="00FA71BC"/>
    <w:rsid w:val="00FA72A9"/>
    <w:rsid w:val="00FB05D8"/>
    <w:rsid w:val="00FB0C9E"/>
    <w:rsid w:val="00FB24E5"/>
    <w:rsid w:val="00FB254C"/>
    <w:rsid w:val="00FB2955"/>
    <w:rsid w:val="00FB4494"/>
    <w:rsid w:val="00FB480B"/>
    <w:rsid w:val="00FB525E"/>
    <w:rsid w:val="00FB7CC7"/>
    <w:rsid w:val="00FB7CE8"/>
    <w:rsid w:val="00FC2C73"/>
    <w:rsid w:val="00FC2EA4"/>
    <w:rsid w:val="00FC3C33"/>
    <w:rsid w:val="00FC4B60"/>
    <w:rsid w:val="00FC5571"/>
    <w:rsid w:val="00FC5A6D"/>
    <w:rsid w:val="00FC6AEE"/>
    <w:rsid w:val="00FC730F"/>
    <w:rsid w:val="00FD07EF"/>
    <w:rsid w:val="00FD08EF"/>
    <w:rsid w:val="00FD0A9A"/>
    <w:rsid w:val="00FD4D3D"/>
    <w:rsid w:val="00FD6A36"/>
    <w:rsid w:val="00FE0BC9"/>
    <w:rsid w:val="00FE3475"/>
    <w:rsid w:val="00FE3C6C"/>
    <w:rsid w:val="00FE4164"/>
    <w:rsid w:val="00FE566B"/>
    <w:rsid w:val="00FE62A9"/>
    <w:rsid w:val="00FE6A10"/>
    <w:rsid w:val="00FE7683"/>
    <w:rsid w:val="00FE7725"/>
    <w:rsid w:val="00FE7A17"/>
    <w:rsid w:val="00FE7D5B"/>
    <w:rsid w:val="00FF07C1"/>
    <w:rsid w:val="00FF33B8"/>
    <w:rsid w:val="00FF5AE4"/>
    <w:rsid w:val="00FF6168"/>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80D1B"/>
  <w15:docId w15:val="{F06896EA-C7F5-430C-A493-634911A7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25CDF"/>
    <w:rPr>
      <w:sz w:val="24"/>
      <w:szCs w:val="24"/>
      <w:lang w:eastAsia="cs-CZ"/>
    </w:rPr>
  </w:style>
  <w:style w:type="paragraph" w:styleId="Nadpis1">
    <w:name w:val="heading 1"/>
    <w:basedOn w:val="Normln"/>
    <w:next w:val="Normln"/>
    <w:link w:val="Nadpis1Char"/>
    <w:uiPriority w:val="9"/>
    <w:qFormat/>
    <w:rsid w:val="00B72F48"/>
    <w:pPr>
      <w:numPr>
        <w:numId w:val="2"/>
      </w:numPr>
      <w:spacing w:before="480" w:after="240"/>
      <w:ind w:left="709" w:hanging="709"/>
      <w:outlineLvl w:val="0"/>
    </w:pPr>
    <w:rPr>
      <w:rFonts w:asciiTheme="majorBidi" w:hAnsiTheme="majorBidi" w:cstheme="majorBidi"/>
      <w:b/>
      <w:sz w:val="28"/>
    </w:rPr>
  </w:style>
  <w:style w:type="paragraph" w:styleId="Nadpis2">
    <w:name w:val="heading 2"/>
    <w:basedOn w:val="Normln"/>
    <w:next w:val="Normln"/>
    <w:link w:val="Nadpis2Char"/>
    <w:uiPriority w:val="9"/>
    <w:qFormat/>
    <w:rsid w:val="00DA573C"/>
    <w:pPr>
      <w:keepNext/>
      <w:keepLines/>
      <w:numPr>
        <w:ilvl w:val="1"/>
        <w:numId w:val="2"/>
      </w:numPr>
      <w:spacing w:before="360" w:after="120"/>
      <w:ind w:left="709" w:hanging="709"/>
      <w:outlineLvl w:val="1"/>
    </w:pPr>
    <w:rPr>
      <w:rFonts w:asciiTheme="majorBidi" w:hAnsiTheme="majorBidi" w:cstheme="majorBidi"/>
      <w:b/>
    </w:rPr>
  </w:style>
  <w:style w:type="paragraph" w:styleId="Nadpis3">
    <w:name w:val="heading 3"/>
    <w:basedOn w:val="Normln"/>
    <w:next w:val="Normln"/>
    <w:link w:val="Nadpis3Char"/>
    <w:uiPriority w:val="9"/>
    <w:qFormat/>
    <w:rsid w:val="00952FCA"/>
    <w:pPr>
      <w:keepNext/>
      <w:keepLines/>
      <w:numPr>
        <w:ilvl w:val="2"/>
        <w:numId w:val="2"/>
      </w:numPr>
      <w:spacing w:before="200"/>
      <w:ind w:left="709" w:hanging="709"/>
      <w:outlineLvl w:val="2"/>
    </w:pPr>
    <w:rPr>
      <w:rFonts w:asciiTheme="majorBidi" w:hAnsiTheme="majorBidi" w:cstheme="majorBidi"/>
      <w:b/>
    </w:rPr>
  </w:style>
  <w:style w:type="paragraph" w:styleId="Nadpis4">
    <w:name w:val="heading 4"/>
    <w:basedOn w:val="Nadpis3"/>
    <w:next w:val="Normln"/>
    <w:link w:val="Nadpis4Char"/>
    <w:uiPriority w:val="9"/>
    <w:qFormat/>
    <w:rsid w:val="00361D2D"/>
    <w:pPr>
      <w:numPr>
        <w:ilvl w:val="0"/>
        <w:numId w:val="0"/>
      </w:numPr>
      <w:outlineLvl w:val="3"/>
    </w:pPr>
    <w:rPr>
      <w:bCs/>
      <w:u w:val="single"/>
    </w:rPr>
  </w:style>
  <w:style w:type="paragraph" w:styleId="Nadpis5">
    <w:name w:val="heading 5"/>
    <w:aliases w:val="země"/>
    <w:basedOn w:val="Normln"/>
    <w:next w:val="Normln"/>
    <w:link w:val="Nadpis5Char"/>
    <w:uiPriority w:val="9"/>
    <w:qFormat/>
    <w:rsid w:val="00725CDF"/>
    <w:pPr>
      <w:numPr>
        <w:ilvl w:val="4"/>
        <w:numId w:val="1"/>
      </w:numPr>
      <w:spacing w:before="240" w:after="60" w:line="276" w:lineRule="auto"/>
      <w:outlineLvl w:val="4"/>
    </w:pPr>
    <w:rPr>
      <w:rFonts w:ascii="Calibri" w:eastAsia="MS Mincho" w:hAnsi="Calibri"/>
      <w:b/>
      <w:bCs/>
      <w:i/>
      <w:iCs/>
      <w:sz w:val="26"/>
      <w:szCs w:val="26"/>
      <w:lang w:eastAsia="en-US"/>
    </w:rPr>
  </w:style>
  <w:style w:type="paragraph" w:styleId="Nadpis6">
    <w:name w:val="heading 6"/>
    <w:basedOn w:val="Normln"/>
    <w:next w:val="Normln"/>
    <w:link w:val="Nadpis6Char"/>
    <w:uiPriority w:val="9"/>
    <w:qFormat/>
    <w:rsid w:val="00725CDF"/>
    <w:pPr>
      <w:numPr>
        <w:ilvl w:val="5"/>
        <w:numId w:val="1"/>
      </w:numPr>
      <w:spacing w:before="240" w:after="60" w:line="276" w:lineRule="auto"/>
      <w:outlineLvl w:val="5"/>
    </w:pPr>
    <w:rPr>
      <w:rFonts w:ascii="Calibri" w:eastAsia="MS Mincho" w:hAnsi="Calibri"/>
      <w:b/>
      <w:bCs/>
      <w:sz w:val="22"/>
      <w:szCs w:val="22"/>
      <w:lang w:eastAsia="en-US"/>
    </w:rPr>
  </w:style>
  <w:style w:type="paragraph" w:styleId="Nadpis7">
    <w:name w:val="heading 7"/>
    <w:basedOn w:val="Normln"/>
    <w:next w:val="Normln"/>
    <w:link w:val="Nadpis7Char"/>
    <w:uiPriority w:val="9"/>
    <w:qFormat/>
    <w:rsid w:val="00725CDF"/>
    <w:pPr>
      <w:numPr>
        <w:ilvl w:val="6"/>
        <w:numId w:val="1"/>
      </w:numPr>
      <w:spacing w:before="240" w:after="60" w:line="276" w:lineRule="auto"/>
      <w:outlineLvl w:val="6"/>
    </w:pPr>
    <w:rPr>
      <w:rFonts w:ascii="Calibri" w:eastAsia="MS Mincho" w:hAnsi="Calibri"/>
      <w:lang w:eastAsia="en-US"/>
    </w:rPr>
  </w:style>
  <w:style w:type="paragraph" w:styleId="Nadpis8">
    <w:name w:val="heading 8"/>
    <w:basedOn w:val="Normln"/>
    <w:next w:val="Normln"/>
    <w:link w:val="Nadpis8Char"/>
    <w:uiPriority w:val="9"/>
    <w:qFormat/>
    <w:rsid w:val="00725CDF"/>
    <w:pPr>
      <w:numPr>
        <w:ilvl w:val="7"/>
        <w:numId w:val="1"/>
      </w:numPr>
      <w:spacing w:before="240" w:after="60" w:line="276" w:lineRule="auto"/>
      <w:outlineLvl w:val="7"/>
    </w:pPr>
    <w:rPr>
      <w:rFonts w:ascii="Calibri" w:eastAsia="MS Mincho" w:hAnsi="Calibri"/>
      <w:i/>
      <w:iCs/>
      <w:lang w:eastAsia="en-US"/>
    </w:rPr>
  </w:style>
  <w:style w:type="paragraph" w:styleId="Nadpis9">
    <w:name w:val="heading 9"/>
    <w:basedOn w:val="Normln"/>
    <w:next w:val="Normln"/>
    <w:link w:val="Nadpis9Char"/>
    <w:uiPriority w:val="9"/>
    <w:qFormat/>
    <w:rsid w:val="00725CDF"/>
    <w:pPr>
      <w:numPr>
        <w:ilvl w:val="8"/>
        <w:numId w:val="1"/>
      </w:numPr>
      <w:spacing w:before="240" w:after="60" w:line="276" w:lineRule="auto"/>
      <w:outlineLvl w:val="8"/>
    </w:pPr>
    <w:rPr>
      <w:rFonts w:ascii="Calibri Light" w:eastAsia="MS Gothic" w:hAnsi="Calibri Light"/>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rsid w:val="00952FCA"/>
    <w:rPr>
      <w:rFonts w:asciiTheme="majorBidi" w:hAnsiTheme="majorBidi" w:cstheme="majorBidi"/>
      <w:b/>
      <w:sz w:val="24"/>
      <w:szCs w:val="24"/>
      <w:lang w:eastAsia="cs-CZ"/>
    </w:rPr>
  </w:style>
  <w:style w:type="paragraph" w:customStyle="1" w:styleId="big">
    <w:name w:val="big"/>
    <w:basedOn w:val="Normln"/>
    <w:rsid w:val="00725CDF"/>
    <w:pPr>
      <w:ind w:left="225" w:right="225"/>
    </w:pPr>
  </w:style>
  <w:style w:type="character" w:customStyle="1" w:styleId="st">
    <w:name w:val="st"/>
    <w:rsid w:val="00725CDF"/>
  </w:style>
  <w:style w:type="character" w:styleId="Znakapoznpodarou">
    <w:name w:val="footnote reference"/>
    <w:aliases w:val="BVI fnr Char Char Char Char Char Char Char Char,Char1 Char Char Char Char Char Char Char Char,Footnote symbol Char Char Char Char Char Char Char Char,Ref Char Char Char Char Char Char Char Char"/>
    <w:link w:val="BVIfnrCharCharCharCharCharCharChar"/>
    <w:uiPriority w:val="99"/>
    <w:rsid w:val="00725CDF"/>
    <w:rPr>
      <w:vertAlign w:val="superscript"/>
      <w:lang w:bidi="ar-SA"/>
    </w:rPr>
  </w:style>
  <w:style w:type="paragraph" w:customStyle="1" w:styleId="BVIfnrCharCharCharCharCharCharChar">
    <w:name w:val="BVI fnr Char Char Char Char Char Char Char"/>
    <w:aliases w:val="Char1 Char Char Char Char Char Char Char,Footnote symbol Char Char Char Char Char Char Char,Ref Char Char Char Char Char Char Char,de nota al pie Char Char Char Char Char Char Char Char"/>
    <w:basedOn w:val="Normln"/>
    <w:next w:val="Textpoznpodarou"/>
    <w:link w:val="Znakapoznpodarou"/>
    <w:rsid w:val="00725CDF"/>
    <w:pPr>
      <w:spacing w:after="160" w:line="240" w:lineRule="exact"/>
    </w:pPr>
    <w:rPr>
      <w:sz w:val="20"/>
      <w:szCs w:val="20"/>
      <w:vertAlign w:val="superscript"/>
      <w:lang w:val="x-none" w:eastAsia="x-none"/>
    </w:rPr>
  </w:style>
  <w:style w:type="paragraph" w:styleId="Textpoznpodarou">
    <w:name w:val="footnote text"/>
    <w:aliases w:val="Char,Char Char Char1,Char Char1,FSR footnote,Footnote Text Char1,Fußnote,Geneva 9,Plonk,Schriftart: 10 pt,Schriftart: 8 pt,Schriftart: 9 pt,Text pozn. pod čarou Char,Text pozn. pod čarou1,Text pozn. pod čarou_martin_ang,f,fn,lábléc"/>
    <w:basedOn w:val="Normln"/>
    <w:link w:val="TextpoznpodarouChar1"/>
    <w:uiPriority w:val="99"/>
    <w:semiHidden/>
    <w:rsid w:val="00725CDF"/>
    <w:rPr>
      <w:sz w:val="20"/>
      <w:szCs w:val="20"/>
    </w:rPr>
  </w:style>
  <w:style w:type="character" w:customStyle="1" w:styleId="TextpoznpodarouChar1">
    <w:name w:val="Text pozn. pod čarou Char1"/>
    <w:aliases w:val="Char Char,Char Char Char1 Char,Char Char1 Char,FSR footnote Char,Footnote Text Char1 Char,Fußnote Char,Geneva 9 Char,Plonk Char,Schriftart: 10 pt Char,Schriftart: 8 pt Char,Schriftart: 9 pt Char,Text pozn. pod čarou Char Char"/>
    <w:link w:val="Textpoznpodarou"/>
    <w:semiHidden/>
    <w:locked/>
    <w:rsid w:val="00725CDF"/>
    <w:rPr>
      <w:lang w:val="cs-CZ" w:eastAsia="cs-CZ" w:bidi="ar-SA"/>
    </w:rPr>
  </w:style>
  <w:style w:type="paragraph" w:customStyle="1" w:styleId="Nadpis30">
    <w:name w:val="Nadpis3"/>
    <w:basedOn w:val="Nadpis3"/>
    <w:rsid w:val="00725CDF"/>
    <w:pPr>
      <w:numPr>
        <w:ilvl w:val="0"/>
        <w:numId w:val="0"/>
      </w:numPr>
      <w:spacing w:after="200"/>
      <w:jc w:val="center"/>
    </w:pPr>
    <w:rPr>
      <w:rFonts w:ascii="Cambria" w:eastAsia="Calibri" w:hAnsi="Cambria"/>
      <w:sz w:val="22"/>
      <w:szCs w:val="22"/>
    </w:rPr>
  </w:style>
  <w:style w:type="character" w:styleId="Hypertextovodkaz">
    <w:name w:val="Hyperlink"/>
    <w:uiPriority w:val="99"/>
    <w:rsid w:val="00725CDF"/>
    <w:rPr>
      <w:rFonts w:cs="Times New Roman"/>
      <w:color w:val="0000FF"/>
      <w:u w:val="single"/>
    </w:rPr>
  </w:style>
  <w:style w:type="paragraph" w:styleId="Zkladntextodsazen2">
    <w:name w:val="Body Text Indent 2"/>
    <w:basedOn w:val="Normln"/>
    <w:link w:val="Zkladntextodsazen2Char"/>
    <w:unhideWhenUsed/>
    <w:rsid w:val="00725CDF"/>
    <w:pPr>
      <w:spacing w:after="120" w:line="480" w:lineRule="auto"/>
      <w:ind w:left="283"/>
    </w:pPr>
  </w:style>
  <w:style w:type="character" w:customStyle="1" w:styleId="Zkladntextodsazen2Char">
    <w:name w:val="Základní text odsazený 2 Char"/>
    <w:link w:val="Zkladntextodsazen2"/>
    <w:rsid w:val="00725CDF"/>
    <w:rPr>
      <w:sz w:val="24"/>
      <w:szCs w:val="24"/>
      <w:lang w:val="cs-CZ" w:eastAsia="cs-CZ" w:bidi="ar-SA"/>
    </w:rPr>
  </w:style>
  <w:style w:type="paragraph" w:styleId="Normlnweb">
    <w:name w:val="Normal (Web)"/>
    <w:basedOn w:val="Normln"/>
    <w:link w:val="NormlnwebChar"/>
    <w:uiPriority w:val="99"/>
    <w:unhideWhenUsed/>
    <w:rsid w:val="00725CDF"/>
    <w:pPr>
      <w:spacing w:before="100" w:beforeAutospacing="1" w:after="100" w:afterAutospacing="1"/>
    </w:pPr>
  </w:style>
  <w:style w:type="character" w:customStyle="1" w:styleId="NormlnwebChar">
    <w:name w:val="Normální (web) Char"/>
    <w:link w:val="Normlnweb"/>
    <w:uiPriority w:val="99"/>
    <w:locked/>
    <w:rsid w:val="00725CDF"/>
    <w:rPr>
      <w:sz w:val="24"/>
      <w:szCs w:val="24"/>
      <w:lang w:val="cs-CZ" w:eastAsia="cs-CZ" w:bidi="ar-SA"/>
    </w:rPr>
  </w:style>
  <w:style w:type="paragraph" w:styleId="Prosttext">
    <w:name w:val="Plain Text"/>
    <w:basedOn w:val="Normln"/>
    <w:link w:val="ProsttextChar"/>
    <w:semiHidden/>
    <w:rsid w:val="00725CDF"/>
    <w:rPr>
      <w:rFonts w:ascii="Calibri" w:hAnsi="Calibri"/>
      <w:sz w:val="22"/>
      <w:szCs w:val="21"/>
      <w:lang w:eastAsia="en-US"/>
    </w:rPr>
  </w:style>
  <w:style w:type="character" w:customStyle="1" w:styleId="ProsttextChar">
    <w:name w:val="Prostý text Char"/>
    <w:link w:val="Prosttext"/>
    <w:semiHidden/>
    <w:locked/>
    <w:rsid w:val="00725CDF"/>
    <w:rPr>
      <w:rFonts w:ascii="Calibri" w:hAnsi="Calibri"/>
      <w:sz w:val="22"/>
      <w:szCs w:val="21"/>
      <w:lang w:val="cs-CZ" w:eastAsia="en-US" w:bidi="ar-SA"/>
    </w:rPr>
  </w:style>
  <w:style w:type="paragraph" w:styleId="Nzev">
    <w:name w:val="Title"/>
    <w:basedOn w:val="Normln"/>
    <w:link w:val="NzevChar"/>
    <w:uiPriority w:val="10"/>
    <w:qFormat/>
    <w:rsid w:val="00725CDF"/>
    <w:pPr>
      <w:spacing w:before="120" w:after="120" w:line="360" w:lineRule="auto"/>
      <w:jc w:val="center"/>
    </w:pPr>
    <w:rPr>
      <w:rFonts w:ascii="Calibri" w:hAnsi="Calibri"/>
      <w:b/>
      <w:szCs w:val="20"/>
    </w:rPr>
  </w:style>
  <w:style w:type="character" w:customStyle="1" w:styleId="NzevChar">
    <w:name w:val="Název Char"/>
    <w:link w:val="Nzev"/>
    <w:uiPriority w:val="10"/>
    <w:locked/>
    <w:rsid w:val="00725CDF"/>
    <w:rPr>
      <w:rFonts w:ascii="Calibri" w:hAnsi="Calibri"/>
      <w:b/>
      <w:sz w:val="24"/>
      <w:lang w:val="cs-CZ" w:eastAsia="cs-CZ" w:bidi="ar-SA"/>
    </w:rPr>
  </w:style>
  <w:style w:type="paragraph" w:styleId="Zkladntext">
    <w:name w:val="Body Text"/>
    <w:aliases w:val="?????1,Body Text Char Char,Základní text Char1 Char Char,Základní text Char1 Char Char C,Základní text Char1 Char Char Char,Základní text Char1 Char Char Char Char,Základní text Char1 Char Char Char Char Char,b,Číslovaný seznam (i),Текст1"/>
    <w:basedOn w:val="Normln"/>
    <w:link w:val="ZkladntextChar"/>
    <w:rsid w:val="00725CDF"/>
    <w:pPr>
      <w:spacing w:after="120"/>
    </w:pPr>
  </w:style>
  <w:style w:type="character" w:customStyle="1" w:styleId="ZkladntextChar">
    <w:name w:val="Základní text Char"/>
    <w:aliases w:val="?????1 Char,Body Text Char Char Char,Základní text Char1 Char Char Char1,Základní text Char1 Char Char C Char,Základní text Char1 Char Char Char Char1,Základní text Char1 Char Char Char Char Char1,b Char,Číslovaný seznam (i) Char"/>
    <w:link w:val="Zkladntext"/>
    <w:rsid w:val="00725CDF"/>
    <w:rPr>
      <w:sz w:val="24"/>
      <w:szCs w:val="24"/>
      <w:lang w:val="cs-CZ" w:eastAsia="cs-CZ" w:bidi="ar-SA"/>
    </w:rPr>
  </w:style>
  <w:style w:type="paragraph" w:styleId="Zpat">
    <w:name w:val="footer"/>
    <w:basedOn w:val="Normln"/>
    <w:link w:val="ZpatChar"/>
    <w:uiPriority w:val="99"/>
    <w:rsid w:val="00725CDF"/>
    <w:pPr>
      <w:tabs>
        <w:tab w:val="center" w:pos="4536"/>
        <w:tab w:val="right" w:pos="9072"/>
      </w:tabs>
    </w:pPr>
  </w:style>
  <w:style w:type="character" w:styleId="slostrnky">
    <w:name w:val="page number"/>
    <w:basedOn w:val="Standardnpsmoodstavce"/>
    <w:rsid w:val="00725CDF"/>
  </w:style>
  <w:style w:type="paragraph" w:customStyle="1" w:styleId="OdstavecCOPS">
    <w:name w:val="Odstavec COPS"/>
    <w:basedOn w:val="Normln"/>
    <w:rsid w:val="00725CDF"/>
    <w:pPr>
      <w:spacing w:before="80" w:after="160"/>
    </w:pPr>
    <w:rPr>
      <w:bCs/>
    </w:rPr>
  </w:style>
  <w:style w:type="paragraph" w:styleId="Zhlav">
    <w:name w:val="header"/>
    <w:basedOn w:val="Normln"/>
    <w:link w:val="ZhlavChar"/>
    <w:uiPriority w:val="99"/>
    <w:rsid w:val="00725CDF"/>
    <w:pPr>
      <w:tabs>
        <w:tab w:val="center" w:pos="4536"/>
        <w:tab w:val="right" w:pos="9072"/>
      </w:tabs>
      <w:jc w:val="both"/>
    </w:pPr>
    <w:rPr>
      <w:szCs w:val="20"/>
      <w:lang w:val="en-GB"/>
    </w:rPr>
  </w:style>
  <w:style w:type="paragraph" w:customStyle="1" w:styleId="JVS-Normln">
    <w:name w:val="JVS - Normální"/>
    <w:basedOn w:val="Normln"/>
    <w:rsid w:val="00725CDF"/>
    <w:pPr>
      <w:suppressAutoHyphens/>
      <w:spacing w:after="120"/>
      <w:jc w:val="both"/>
    </w:pPr>
    <w:rPr>
      <w:rFonts w:ascii="Georgia" w:hAnsi="Georgia" w:cs="Georgia"/>
      <w:sz w:val="22"/>
      <w:szCs w:val="22"/>
      <w:lang w:eastAsia="ar-SA"/>
    </w:rPr>
  </w:style>
  <w:style w:type="paragraph" w:customStyle="1" w:styleId="Popisky">
    <w:name w:val="Popisky"/>
    <w:rsid w:val="00725CDF"/>
    <w:rPr>
      <w:rFonts w:ascii="Arial" w:hAnsi="Arial"/>
      <w:lang w:eastAsia="cs-CZ"/>
    </w:rPr>
  </w:style>
  <w:style w:type="paragraph" w:styleId="Titulek">
    <w:name w:val="caption"/>
    <w:basedOn w:val="Normln"/>
    <w:next w:val="Normln"/>
    <w:uiPriority w:val="35"/>
    <w:qFormat/>
    <w:rsid w:val="00725CDF"/>
    <w:rPr>
      <w:b/>
      <w:bCs/>
      <w:sz w:val="20"/>
      <w:szCs w:val="20"/>
    </w:rPr>
  </w:style>
  <w:style w:type="paragraph" w:styleId="Nadpisobsahu">
    <w:name w:val="TOC Heading"/>
    <w:basedOn w:val="Nadpis1"/>
    <w:next w:val="Normln"/>
    <w:uiPriority w:val="39"/>
    <w:qFormat/>
    <w:rsid w:val="00725CDF"/>
    <w:pPr>
      <w:keepLines/>
      <w:numPr>
        <w:numId w:val="0"/>
      </w:numPr>
      <w:spacing w:after="0"/>
      <w:outlineLvl w:val="9"/>
    </w:pPr>
    <w:rPr>
      <w:rFonts w:ascii="Cambria" w:hAnsi="Cambria"/>
      <w:color w:val="365F91"/>
      <w:szCs w:val="28"/>
    </w:rPr>
  </w:style>
  <w:style w:type="paragraph" w:styleId="Obsah1">
    <w:name w:val="toc 1"/>
    <w:basedOn w:val="Normln"/>
    <w:next w:val="Normln"/>
    <w:autoRedefine/>
    <w:uiPriority w:val="39"/>
    <w:qFormat/>
    <w:rsid w:val="004433E4"/>
    <w:pPr>
      <w:tabs>
        <w:tab w:val="left" w:pos="480"/>
        <w:tab w:val="right" w:leader="dot" w:pos="9062"/>
      </w:tabs>
    </w:pPr>
    <w:rPr>
      <w:rFonts w:cs="Arial"/>
      <w:b/>
      <w:noProof/>
    </w:rPr>
  </w:style>
  <w:style w:type="paragraph" w:styleId="Obsah2">
    <w:name w:val="toc 2"/>
    <w:basedOn w:val="Normln"/>
    <w:next w:val="Normln"/>
    <w:autoRedefine/>
    <w:uiPriority w:val="39"/>
    <w:qFormat/>
    <w:rsid w:val="008D0483"/>
    <w:pPr>
      <w:tabs>
        <w:tab w:val="left" w:pos="880"/>
        <w:tab w:val="right" w:leader="dot" w:pos="9062"/>
      </w:tabs>
      <w:ind w:left="240"/>
    </w:pPr>
    <w:rPr>
      <w:rFonts w:ascii="Arial" w:eastAsia="Calibri" w:hAnsi="Arial" w:cs="Arial"/>
      <w:noProof/>
      <w:sz w:val="22"/>
      <w:szCs w:val="22"/>
      <w:lang w:eastAsia="en-US"/>
    </w:rPr>
  </w:style>
  <w:style w:type="paragraph" w:styleId="Obsah3">
    <w:name w:val="toc 3"/>
    <w:basedOn w:val="Normln"/>
    <w:next w:val="Normln"/>
    <w:autoRedefine/>
    <w:uiPriority w:val="39"/>
    <w:qFormat/>
    <w:rsid w:val="00725CDF"/>
    <w:pPr>
      <w:ind w:left="480"/>
    </w:pPr>
  </w:style>
  <w:style w:type="paragraph" w:customStyle="1" w:styleId="footnotenumberCharChar1CharCharChar1CharCharCharCharCharChar">
    <w:name w:val="footnote number Char Char1 Char Char Char1 Char Char Char Char Char Char"/>
    <w:aliases w:val="BVI fnr Char Char Char1 Char1 Char Char Char Char Char Char,BVI fnr Char1 Char Char Char1 Char Char Char Char Char Char Char"/>
    <w:basedOn w:val="Normln"/>
    <w:next w:val="Textpoznpodarou"/>
    <w:rsid w:val="00725CDF"/>
    <w:pPr>
      <w:spacing w:after="160" w:line="240" w:lineRule="exact"/>
    </w:pPr>
    <w:rPr>
      <w:sz w:val="20"/>
      <w:szCs w:val="20"/>
      <w:vertAlign w:val="superscript"/>
    </w:rPr>
  </w:style>
  <w:style w:type="character" w:customStyle="1" w:styleId="hr-quantity">
    <w:name w:val="hr-quantity"/>
    <w:rsid w:val="00725CDF"/>
    <w:rPr>
      <w:rFonts w:cs="Times New Roman"/>
    </w:rPr>
  </w:style>
  <w:style w:type="paragraph" w:styleId="Bezmezer">
    <w:name w:val="No Spacing"/>
    <w:basedOn w:val="Normln"/>
    <w:next w:val="Normln"/>
    <w:uiPriority w:val="1"/>
    <w:qFormat/>
    <w:rsid w:val="00601ECA"/>
    <w:pPr>
      <w:autoSpaceDE w:val="0"/>
      <w:autoSpaceDN w:val="0"/>
      <w:adjustRightInd w:val="0"/>
      <w:ind w:firstLine="708"/>
      <w:jc w:val="both"/>
    </w:pPr>
    <w:rPr>
      <w:rFonts w:asciiTheme="majorBidi" w:hAnsiTheme="majorBidi" w:cstheme="majorBidi"/>
      <w:color w:val="000000"/>
    </w:rPr>
  </w:style>
  <w:style w:type="paragraph" w:customStyle="1" w:styleId="Default">
    <w:name w:val="Default"/>
    <w:rsid w:val="00725CDF"/>
    <w:pPr>
      <w:autoSpaceDE w:val="0"/>
      <w:autoSpaceDN w:val="0"/>
      <w:adjustRightInd w:val="0"/>
    </w:pPr>
    <w:rPr>
      <w:color w:val="000000"/>
      <w:sz w:val="24"/>
      <w:szCs w:val="24"/>
      <w:lang w:eastAsia="cs-CZ"/>
    </w:rPr>
  </w:style>
  <w:style w:type="paragraph" w:styleId="Textbubliny">
    <w:name w:val="Balloon Text"/>
    <w:basedOn w:val="Normln"/>
    <w:semiHidden/>
    <w:rsid w:val="004C7C9B"/>
    <w:rPr>
      <w:rFonts w:ascii="Tahoma" w:hAnsi="Tahoma" w:cs="Tahoma"/>
      <w:sz w:val="16"/>
      <w:szCs w:val="16"/>
    </w:rPr>
  </w:style>
  <w:style w:type="character" w:styleId="Odkaznakoment">
    <w:name w:val="annotation reference"/>
    <w:rsid w:val="00C23EA4"/>
    <w:rPr>
      <w:sz w:val="16"/>
      <w:szCs w:val="16"/>
    </w:rPr>
  </w:style>
  <w:style w:type="paragraph" w:styleId="Textkomente">
    <w:name w:val="annotation text"/>
    <w:basedOn w:val="Normln"/>
    <w:link w:val="TextkomenteChar"/>
    <w:rsid w:val="00C23EA4"/>
    <w:rPr>
      <w:sz w:val="20"/>
      <w:szCs w:val="20"/>
    </w:rPr>
  </w:style>
  <w:style w:type="character" w:customStyle="1" w:styleId="TextkomenteChar">
    <w:name w:val="Text komentáře Char"/>
    <w:basedOn w:val="Standardnpsmoodstavce"/>
    <w:link w:val="Textkomente"/>
    <w:rsid w:val="00C23EA4"/>
  </w:style>
  <w:style w:type="paragraph" w:styleId="Pedmtkomente">
    <w:name w:val="annotation subject"/>
    <w:basedOn w:val="Textkomente"/>
    <w:next w:val="Textkomente"/>
    <w:link w:val="PedmtkomenteChar"/>
    <w:uiPriority w:val="99"/>
    <w:rsid w:val="00C23EA4"/>
    <w:rPr>
      <w:b/>
      <w:bCs/>
      <w:lang w:val="x-none" w:eastAsia="x-none"/>
    </w:rPr>
  </w:style>
  <w:style w:type="character" w:customStyle="1" w:styleId="PedmtkomenteChar">
    <w:name w:val="Předmět komentáře Char"/>
    <w:link w:val="Pedmtkomente"/>
    <w:uiPriority w:val="99"/>
    <w:rsid w:val="00C23EA4"/>
    <w:rPr>
      <w:b/>
      <w:bCs/>
    </w:rPr>
  </w:style>
  <w:style w:type="paragraph" w:styleId="Odstavecseseznamem">
    <w:name w:val="List Paragraph"/>
    <w:aliases w:val="3,Dot pt,Fiche List Paragraph,Indicator Text,LISTA,List Paragraph Char Char Char,List Paragraph à moi,Listaszerű bekezdés1,Listaszerű bekezdés2,Listaszerű bekezdés3,Numbered Para 1,Odsek zoznamu4,Odstavec se seznamem2,List Paragraph"/>
    <w:basedOn w:val="Normln"/>
    <w:link w:val="OdstavecseseznamemChar"/>
    <w:uiPriority w:val="34"/>
    <w:qFormat/>
    <w:rsid w:val="00FE6A10"/>
    <w:pPr>
      <w:ind w:left="708"/>
    </w:pPr>
    <w:rPr>
      <w:lang w:val="x-none" w:eastAsia="x-none"/>
    </w:rPr>
  </w:style>
  <w:style w:type="paragraph" w:customStyle="1" w:styleId="BVIfnrCharCharChar">
    <w:name w:val="BVI fnr Char Char Char"/>
    <w:basedOn w:val="Normln"/>
    <w:next w:val="Textpoznpodarou"/>
    <w:rsid w:val="00CE1AA7"/>
    <w:pPr>
      <w:spacing w:after="160" w:line="240" w:lineRule="exact"/>
    </w:pPr>
    <w:rPr>
      <w:sz w:val="20"/>
      <w:szCs w:val="20"/>
      <w:vertAlign w:val="superscript"/>
      <w:lang w:val="x-none" w:eastAsia="x-none"/>
    </w:rPr>
  </w:style>
  <w:style w:type="paragraph" w:styleId="Zkladntext2">
    <w:name w:val="Body Text 2"/>
    <w:basedOn w:val="Normln"/>
    <w:rsid w:val="00D03811"/>
    <w:pPr>
      <w:spacing w:after="120" w:line="480" w:lineRule="auto"/>
    </w:pPr>
  </w:style>
  <w:style w:type="paragraph" w:customStyle="1" w:styleId="msonormalcxsplast">
    <w:name w:val="msonormalcxsplast"/>
    <w:basedOn w:val="Normln"/>
    <w:rsid w:val="0044219A"/>
    <w:pPr>
      <w:spacing w:before="100" w:beforeAutospacing="1" w:after="100" w:afterAutospacing="1"/>
    </w:pPr>
  </w:style>
  <w:style w:type="paragraph" w:customStyle="1" w:styleId="Odstavecseseznamem1">
    <w:name w:val="Odstavec se seznamem1"/>
    <w:basedOn w:val="Normln"/>
    <w:rsid w:val="00EB032B"/>
    <w:pPr>
      <w:spacing w:after="200" w:line="276" w:lineRule="auto"/>
      <w:ind w:left="720"/>
      <w:contextualSpacing/>
    </w:pPr>
    <w:rPr>
      <w:rFonts w:ascii="Calibri" w:hAnsi="Calibri"/>
      <w:sz w:val="22"/>
      <w:szCs w:val="22"/>
      <w:lang w:eastAsia="en-US"/>
    </w:rPr>
  </w:style>
  <w:style w:type="paragraph" w:customStyle="1" w:styleId="Zaznam">
    <w:name w:val="Zaznam"/>
    <w:basedOn w:val="Zhlav"/>
    <w:rsid w:val="001268A3"/>
    <w:pPr>
      <w:tabs>
        <w:tab w:val="clear" w:pos="4536"/>
        <w:tab w:val="clear" w:pos="9072"/>
      </w:tabs>
      <w:spacing w:before="20" w:after="40"/>
      <w:jc w:val="left"/>
    </w:pPr>
    <w:rPr>
      <w:szCs w:val="24"/>
      <w:lang w:val="cs-CZ"/>
    </w:rPr>
  </w:style>
  <w:style w:type="character" w:customStyle="1" w:styleId="OdstavecseseznamemChar">
    <w:name w:val="Odstavec se seznamem Char"/>
    <w:aliases w:val="3 Char,Dot pt Char,Fiche List Paragraph Char,Indicator Text Char,LISTA Char,List Paragraph Char Char Char Char,List Paragraph à moi Char,Listaszerű bekezdés1 Char,Listaszerű bekezdés2 Char,Listaszerű bekezdés3 Char"/>
    <w:link w:val="Odstavecseseznamem"/>
    <w:uiPriority w:val="34"/>
    <w:qFormat/>
    <w:locked/>
    <w:rsid w:val="00DF44C2"/>
    <w:rPr>
      <w:sz w:val="24"/>
      <w:szCs w:val="24"/>
    </w:rPr>
  </w:style>
  <w:style w:type="character" w:customStyle="1" w:styleId="norm00e1ln00edchar1">
    <w:name w:val="norm_00e1ln_00ed__char1"/>
    <w:rsid w:val="003A7E17"/>
    <w:rPr>
      <w:rFonts w:ascii="Times New Roman" w:hAnsi="Times New Roman" w:cs="Times New Roman" w:hint="default"/>
      <w:sz w:val="24"/>
      <w:szCs w:val="24"/>
    </w:rPr>
  </w:style>
  <w:style w:type="paragraph" w:customStyle="1" w:styleId="Text">
    <w:name w:val="Text"/>
    <w:basedOn w:val="Normln"/>
    <w:rsid w:val="00AB234A"/>
    <w:pPr>
      <w:spacing w:before="80" w:after="80"/>
      <w:ind w:left="454"/>
      <w:jc w:val="both"/>
    </w:pPr>
    <w:rPr>
      <w:color w:val="FF0000"/>
      <w:szCs w:val="20"/>
    </w:rPr>
  </w:style>
  <w:style w:type="paragraph" w:styleId="Revize">
    <w:name w:val="Revision"/>
    <w:hidden/>
    <w:uiPriority w:val="99"/>
    <w:semiHidden/>
    <w:rsid w:val="00AA2C69"/>
    <w:rPr>
      <w:sz w:val="24"/>
      <w:szCs w:val="24"/>
      <w:lang w:eastAsia="cs-CZ"/>
    </w:rPr>
  </w:style>
  <w:style w:type="paragraph" w:customStyle="1" w:styleId="Styl1-Nzevmaterilu">
    <w:name w:val="Styl1 - Název materiálu"/>
    <w:basedOn w:val="Normln"/>
    <w:link w:val="Styl1-NzevmateriluChar"/>
    <w:qFormat/>
    <w:rsid w:val="007F0199"/>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7F0199"/>
    <w:rPr>
      <w:rFonts w:ascii="Arial" w:hAnsi="Arial" w:cs="Arial"/>
      <w:b/>
      <w:noProof/>
      <w:sz w:val="22"/>
      <w:szCs w:val="24"/>
    </w:rPr>
  </w:style>
  <w:style w:type="character" w:customStyle="1" w:styleId="normaltextrun">
    <w:name w:val="normaltextrun"/>
    <w:rsid w:val="002F23E1"/>
  </w:style>
  <w:style w:type="character" w:customStyle="1" w:styleId="eop">
    <w:name w:val="eop"/>
    <w:rsid w:val="002F23E1"/>
  </w:style>
  <w:style w:type="table" w:styleId="Mkatabulky">
    <w:name w:val="Table Grid"/>
    <w:basedOn w:val="Normlntabulka"/>
    <w:uiPriority w:val="39"/>
    <w:rsid w:val="002F23E1"/>
    <w:rPr>
      <w:rFonts w:ascii="Calibri" w:eastAsia="Calibri" w:hAnsi="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ln"/>
    <w:rsid w:val="00DD48E7"/>
    <w:pPr>
      <w:spacing w:before="100" w:beforeAutospacing="1" w:after="100" w:afterAutospacing="1"/>
    </w:pPr>
  </w:style>
  <w:style w:type="character" w:customStyle="1" w:styleId="spellingerror">
    <w:name w:val="spellingerror"/>
    <w:rsid w:val="00DD48E7"/>
  </w:style>
  <w:style w:type="table" w:customStyle="1" w:styleId="Mkatabulky1">
    <w:name w:val="Mřížka tabulky1"/>
    <w:basedOn w:val="Normlntabulka"/>
    <w:next w:val="Mkatabulky"/>
    <w:uiPriority w:val="59"/>
    <w:rsid w:val="00424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9"/>
    <w:rsid w:val="00361D2D"/>
    <w:rPr>
      <w:rFonts w:asciiTheme="majorBidi" w:hAnsiTheme="majorBidi" w:cstheme="majorBidi"/>
      <w:b/>
      <w:bCs/>
      <w:sz w:val="24"/>
      <w:szCs w:val="24"/>
      <w:u w:val="single"/>
      <w:lang w:eastAsia="cs-CZ"/>
    </w:rPr>
  </w:style>
  <w:style w:type="character" w:customStyle="1" w:styleId="rynqvb">
    <w:name w:val="rynqvb"/>
    <w:basedOn w:val="Standardnpsmoodstavce"/>
    <w:rsid w:val="005672A5"/>
  </w:style>
  <w:style w:type="character" w:customStyle="1" w:styleId="Nevyeenzmnka1">
    <w:name w:val="Nevyřešená zmínka1"/>
    <w:uiPriority w:val="99"/>
    <w:semiHidden/>
    <w:unhideWhenUsed/>
    <w:rsid w:val="001507F3"/>
    <w:rPr>
      <w:color w:val="605E5C"/>
      <w:shd w:val="clear" w:color="auto" w:fill="E1DFDD"/>
    </w:rPr>
  </w:style>
  <w:style w:type="character" w:customStyle="1" w:styleId="ZpatChar">
    <w:name w:val="Zápatí Char"/>
    <w:link w:val="Zpat"/>
    <w:uiPriority w:val="99"/>
    <w:rsid w:val="00413B75"/>
    <w:rPr>
      <w:sz w:val="24"/>
      <w:szCs w:val="24"/>
    </w:rPr>
  </w:style>
  <w:style w:type="numbering" w:customStyle="1" w:styleId="Bezseznamu1">
    <w:name w:val="Bez seznamu1"/>
    <w:next w:val="Bezseznamu"/>
    <w:uiPriority w:val="99"/>
    <w:semiHidden/>
    <w:unhideWhenUsed/>
    <w:rsid w:val="004A49DC"/>
  </w:style>
  <w:style w:type="character" w:customStyle="1" w:styleId="Nadpis1Char">
    <w:name w:val="Nadpis 1 Char"/>
    <w:basedOn w:val="Standardnpsmoodstavce"/>
    <w:link w:val="Nadpis1"/>
    <w:uiPriority w:val="9"/>
    <w:rsid w:val="00B72F48"/>
    <w:rPr>
      <w:rFonts w:asciiTheme="majorBidi" w:hAnsiTheme="majorBidi" w:cstheme="majorBidi"/>
      <w:b/>
      <w:sz w:val="28"/>
      <w:szCs w:val="24"/>
      <w:lang w:eastAsia="cs-CZ"/>
    </w:rPr>
  </w:style>
  <w:style w:type="character" w:customStyle="1" w:styleId="Nadpis2Char">
    <w:name w:val="Nadpis 2 Char"/>
    <w:basedOn w:val="Standardnpsmoodstavce"/>
    <w:link w:val="Nadpis2"/>
    <w:uiPriority w:val="9"/>
    <w:rsid w:val="00DA573C"/>
    <w:rPr>
      <w:rFonts w:asciiTheme="majorBidi" w:hAnsiTheme="majorBidi" w:cstheme="majorBidi"/>
      <w:b/>
      <w:sz w:val="24"/>
      <w:szCs w:val="24"/>
      <w:lang w:eastAsia="cs-CZ"/>
    </w:rPr>
  </w:style>
  <w:style w:type="character" w:customStyle="1" w:styleId="Nadpis5Char">
    <w:name w:val="Nadpis 5 Char"/>
    <w:aliases w:val="země Char"/>
    <w:basedOn w:val="Standardnpsmoodstavce"/>
    <w:link w:val="Nadpis5"/>
    <w:uiPriority w:val="9"/>
    <w:rsid w:val="004A49DC"/>
    <w:rPr>
      <w:rFonts w:ascii="Calibri" w:eastAsia="MS Mincho" w:hAnsi="Calibri"/>
      <w:b/>
      <w:bCs/>
      <w:i/>
      <w:iCs/>
      <w:sz w:val="26"/>
      <w:szCs w:val="26"/>
      <w:lang w:eastAsia="en-US"/>
    </w:rPr>
  </w:style>
  <w:style w:type="character" w:customStyle="1" w:styleId="Nadpis6Char">
    <w:name w:val="Nadpis 6 Char"/>
    <w:basedOn w:val="Standardnpsmoodstavce"/>
    <w:link w:val="Nadpis6"/>
    <w:uiPriority w:val="9"/>
    <w:rsid w:val="004A49DC"/>
    <w:rPr>
      <w:rFonts w:ascii="Calibri" w:eastAsia="MS Mincho" w:hAnsi="Calibri"/>
      <w:b/>
      <w:bCs/>
      <w:sz w:val="22"/>
      <w:szCs w:val="22"/>
      <w:lang w:eastAsia="en-US"/>
    </w:rPr>
  </w:style>
  <w:style w:type="character" w:customStyle="1" w:styleId="Nadpis7Char">
    <w:name w:val="Nadpis 7 Char"/>
    <w:basedOn w:val="Standardnpsmoodstavce"/>
    <w:link w:val="Nadpis7"/>
    <w:uiPriority w:val="9"/>
    <w:rsid w:val="004A49DC"/>
    <w:rPr>
      <w:rFonts w:ascii="Calibri" w:eastAsia="MS Mincho" w:hAnsi="Calibri"/>
      <w:sz w:val="24"/>
      <w:szCs w:val="24"/>
      <w:lang w:eastAsia="en-US"/>
    </w:rPr>
  </w:style>
  <w:style w:type="character" w:customStyle="1" w:styleId="Nadpis8Char">
    <w:name w:val="Nadpis 8 Char"/>
    <w:basedOn w:val="Standardnpsmoodstavce"/>
    <w:link w:val="Nadpis8"/>
    <w:uiPriority w:val="9"/>
    <w:rsid w:val="004A49DC"/>
    <w:rPr>
      <w:rFonts w:ascii="Calibri" w:eastAsia="MS Mincho" w:hAnsi="Calibri"/>
      <w:i/>
      <w:iCs/>
      <w:sz w:val="24"/>
      <w:szCs w:val="24"/>
      <w:lang w:eastAsia="en-US"/>
    </w:rPr>
  </w:style>
  <w:style w:type="character" w:customStyle="1" w:styleId="Nadpis9Char">
    <w:name w:val="Nadpis 9 Char"/>
    <w:basedOn w:val="Standardnpsmoodstavce"/>
    <w:link w:val="Nadpis9"/>
    <w:uiPriority w:val="9"/>
    <w:rsid w:val="004A49DC"/>
    <w:rPr>
      <w:rFonts w:ascii="Calibri Light" w:eastAsia="MS Gothic" w:hAnsi="Calibri Light"/>
      <w:sz w:val="22"/>
      <w:szCs w:val="22"/>
      <w:lang w:eastAsia="en-US"/>
    </w:rPr>
  </w:style>
  <w:style w:type="paragraph" w:customStyle="1" w:styleId="Podnadpis1">
    <w:name w:val="Podnadpis1"/>
    <w:basedOn w:val="Normln"/>
    <w:next w:val="Normln"/>
    <w:uiPriority w:val="11"/>
    <w:qFormat/>
    <w:rsid w:val="004A49DC"/>
    <w:pPr>
      <w:numPr>
        <w:ilvl w:val="1"/>
      </w:numPr>
      <w:spacing w:line="276" w:lineRule="auto"/>
      <w:jc w:val="both"/>
    </w:pPr>
    <w:rPr>
      <w:rFonts w:ascii="Georgia" w:eastAsia="DengXian Light" w:hAnsi="Georgia"/>
      <w:color w:val="595959"/>
      <w:spacing w:val="15"/>
      <w:sz w:val="28"/>
      <w:szCs w:val="28"/>
    </w:rPr>
  </w:style>
  <w:style w:type="character" w:customStyle="1" w:styleId="PodnadpisChar">
    <w:name w:val="Podnadpis Char"/>
    <w:basedOn w:val="Standardnpsmoodstavce"/>
    <w:link w:val="Podnadpis"/>
    <w:uiPriority w:val="11"/>
    <w:rsid w:val="004A49DC"/>
    <w:rPr>
      <w:rFonts w:eastAsia="DengXian Light" w:cs="Times New Roman"/>
      <w:color w:val="595959"/>
      <w:spacing w:val="15"/>
      <w:sz w:val="28"/>
      <w:szCs w:val="28"/>
    </w:rPr>
  </w:style>
  <w:style w:type="paragraph" w:customStyle="1" w:styleId="Citt1">
    <w:name w:val="Citát1"/>
    <w:basedOn w:val="Normln"/>
    <w:next w:val="Normln"/>
    <w:uiPriority w:val="29"/>
    <w:qFormat/>
    <w:rsid w:val="004A49DC"/>
    <w:pPr>
      <w:spacing w:before="160" w:line="276" w:lineRule="auto"/>
      <w:jc w:val="center"/>
    </w:pPr>
    <w:rPr>
      <w:rFonts w:ascii="Georgia" w:hAnsi="Georgia"/>
      <w:i/>
      <w:iCs/>
      <w:color w:val="404040"/>
      <w:sz w:val="22"/>
    </w:rPr>
  </w:style>
  <w:style w:type="character" w:customStyle="1" w:styleId="CittChar">
    <w:name w:val="Citát Char"/>
    <w:basedOn w:val="Standardnpsmoodstavce"/>
    <w:link w:val="Citt"/>
    <w:uiPriority w:val="29"/>
    <w:rsid w:val="004A49DC"/>
    <w:rPr>
      <w:i/>
      <w:iCs/>
      <w:color w:val="404040"/>
    </w:rPr>
  </w:style>
  <w:style w:type="character" w:customStyle="1" w:styleId="Zdraznnintenzivn1">
    <w:name w:val="Zdůraznění – intenzivní1"/>
    <w:basedOn w:val="Standardnpsmoodstavce"/>
    <w:uiPriority w:val="21"/>
    <w:qFormat/>
    <w:rsid w:val="004A49DC"/>
    <w:rPr>
      <w:i/>
      <w:iCs/>
      <w:color w:val="0F4761"/>
    </w:rPr>
  </w:style>
  <w:style w:type="paragraph" w:customStyle="1" w:styleId="Vrazncitt1">
    <w:name w:val="Výrazný citát1"/>
    <w:basedOn w:val="Normln"/>
    <w:next w:val="Normln"/>
    <w:uiPriority w:val="30"/>
    <w:qFormat/>
    <w:rsid w:val="004A49DC"/>
    <w:pPr>
      <w:pBdr>
        <w:top w:val="single" w:sz="4" w:space="10" w:color="0F4761"/>
        <w:bottom w:val="single" w:sz="4" w:space="10" w:color="0F4761"/>
      </w:pBdr>
      <w:spacing w:before="360" w:after="360" w:line="276" w:lineRule="auto"/>
      <w:ind w:left="864" w:right="864"/>
      <w:jc w:val="center"/>
    </w:pPr>
    <w:rPr>
      <w:rFonts w:ascii="Georgia" w:hAnsi="Georgia"/>
      <w:i/>
      <w:iCs/>
      <w:color w:val="0F4761"/>
      <w:sz w:val="22"/>
    </w:rPr>
  </w:style>
  <w:style w:type="character" w:customStyle="1" w:styleId="VrazncittChar">
    <w:name w:val="Výrazný citát Char"/>
    <w:basedOn w:val="Standardnpsmoodstavce"/>
    <w:link w:val="Vrazncitt"/>
    <w:uiPriority w:val="30"/>
    <w:rsid w:val="004A49DC"/>
    <w:rPr>
      <w:i/>
      <w:iCs/>
      <w:color w:val="0F4761"/>
    </w:rPr>
  </w:style>
  <w:style w:type="character" w:customStyle="1" w:styleId="Odkazintenzivn1">
    <w:name w:val="Odkaz – intenzivní1"/>
    <w:basedOn w:val="Standardnpsmoodstavce"/>
    <w:uiPriority w:val="32"/>
    <w:qFormat/>
    <w:rsid w:val="004A49DC"/>
    <w:rPr>
      <w:b/>
      <w:bCs/>
      <w:smallCaps/>
      <w:color w:val="0F4761"/>
      <w:spacing w:val="5"/>
    </w:rPr>
  </w:style>
  <w:style w:type="character" w:customStyle="1" w:styleId="ZhlavChar">
    <w:name w:val="Záhlaví Char"/>
    <w:basedOn w:val="Standardnpsmoodstavce"/>
    <w:link w:val="Zhlav"/>
    <w:uiPriority w:val="99"/>
    <w:rsid w:val="004A49DC"/>
    <w:rPr>
      <w:sz w:val="24"/>
      <w:lang w:val="en-GB" w:eastAsia="cs-CZ"/>
    </w:rPr>
  </w:style>
  <w:style w:type="paragraph" w:customStyle="1" w:styleId="wnd-align-justify">
    <w:name w:val="wnd-align-justify"/>
    <w:basedOn w:val="Normln"/>
    <w:rsid w:val="004A49DC"/>
    <w:pPr>
      <w:spacing w:before="100" w:beforeAutospacing="1" w:after="100" w:afterAutospacing="1"/>
    </w:pPr>
    <w:rPr>
      <w:lang w:eastAsia="zh-CN"/>
    </w:rPr>
  </w:style>
  <w:style w:type="character" w:customStyle="1" w:styleId="relative">
    <w:name w:val="relative"/>
    <w:basedOn w:val="Standardnpsmoodstavce"/>
    <w:rsid w:val="004A49DC"/>
  </w:style>
  <w:style w:type="character" w:customStyle="1" w:styleId="apple-converted-space">
    <w:name w:val="apple-converted-space"/>
    <w:basedOn w:val="Standardnpsmoodstavce"/>
    <w:rsid w:val="004A49DC"/>
  </w:style>
  <w:style w:type="paragraph" w:styleId="Podnadpis">
    <w:name w:val="Subtitle"/>
    <w:basedOn w:val="Normln"/>
    <w:next w:val="Normln"/>
    <w:link w:val="PodnadpisChar"/>
    <w:uiPriority w:val="11"/>
    <w:qFormat/>
    <w:rsid w:val="004A49DC"/>
    <w:pPr>
      <w:numPr>
        <w:ilvl w:val="1"/>
      </w:numPr>
      <w:spacing w:after="160"/>
    </w:pPr>
    <w:rPr>
      <w:rFonts w:eastAsia="DengXian Light"/>
      <w:color w:val="595959"/>
      <w:spacing w:val="15"/>
      <w:sz w:val="28"/>
      <w:szCs w:val="28"/>
      <w:lang w:eastAsia="zh-TW"/>
    </w:rPr>
  </w:style>
  <w:style w:type="character" w:customStyle="1" w:styleId="PodnadpisChar1">
    <w:name w:val="Podnadpis Char1"/>
    <w:basedOn w:val="Standardnpsmoodstavce"/>
    <w:rsid w:val="004A49DC"/>
    <w:rPr>
      <w:rFonts w:asciiTheme="minorHAnsi" w:eastAsiaTheme="minorEastAsia" w:hAnsiTheme="minorHAnsi" w:cstheme="minorBidi"/>
      <w:color w:val="5A5A5A" w:themeColor="text1" w:themeTint="A5"/>
      <w:spacing w:val="15"/>
      <w:sz w:val="22"/>
      <w:szCs w:val="22"/>
      <w:lang w:eastAsia="cs-CZ"/>
    </w:rPr>
  </w:style>
  <w:style w:type="paragraph" w:styleId="Citt">
    <w:name w:val="Quote"/>
    <w:basedOn w:val="Normln"/>
    <w:next w:val="Normln"/>
    <w:link w:val="CittChar"/>
    <w:uiPriority w:val="29"/>
    <w:qFormat/>
    <w:rsid w:val="004A49DC"/>
    <w:pPr>
      <w:spacing w:before="200" w:after="160"/>
      <w:ind w:left="864" w:right="864"/>
      <w:jc w:val="center"/>
    </w:pPr>
    <w:rPr>
      <w:i/>
      <w:iCs/>
      <w:color w:val="404040"/>
      <w:sz w:val="20"/>
      <w:szCs w:val="20"/>
      <w:lang w:eastAsia="zh-TW"/>
    </w:rPr>
  </w:style>
  <w:style w:type="character" w:customStyle="1" w:styleId="CittChar1">
    <w:name w:val="Citát Char1"/>
    <w:basedOn w:val="Standardnpsmoodstavce"/>
    <w:uiPriority w:val="29"/>
    <w:rsid w:val="004A49DC"/>
    <w:rPr>
      <w:i/>
      <w:iCs/>
      <w:color w:val="404040" w:themeColor="text1" w:themeTint="BF"/>
      <w:sz w:val="24"/>
      <w:szCs w:val="24"/>
      <w:lang w:eastAsia="cs-CZ"/>
    </w:rPr>
  </w:style>
  <w:style w:type="character" w:styleId="Zdraznnintenzivn">
    <w:name w:val="Intense Emphasis"/>
    <w:basedOn w:val="Standardnpsmoodstavce"/>
    <w:uiPriority w:val="21"/>
    <w:qFormat/>
    <w:rsid w:val="004A49DC"/>
    <w:rPr>
      <w:i/>
      <w:iCs/>
      <w:color w:val="156082" w:themeColor="accent1"/>
    </w:rPr>
  </w:style>
  <w:style w:type="paragraph" w:styleId="Vrazncitt">
    <w:name w:val="Intense Quote"/>
    <w:basedOn w:val="Normln"/>
    <w:next w:val="Normln"/>
    <w:link w:val="VrazncittChar"/>
    <w:uiPriority w:val="30"/>
    <w:qFormat/>
    <w:rsid w:val="004A49DC"/>
    <w:pPr>
      <w:pBdr>
        <w:top w:val="single" w:sz="4" w:space="10" w:color="156082" w:themeColor="accent1"/>
        <w:bottom w:val="single" w:sz="4" w:space="10" w:color="156082" w:themeColor="accent1"/>
      </w:pBdr>
      <w:spacing w:before="360" w:after="360"/>
      <w:ind w:left="864" w:right="864"/>
      <w:jc w:val="center"/>
    </w:pPr>
    <w:rPr>
      <w:i/>
      <w:iCs/>
      <w:color w:val="0F4761"/>
      <w:sz w:val="20"/>
      <w:szCs w:val="20"/>
      <w:lang w:eastAsia="zh-TW"/>
    </w:rPr>
  </w:style>
  <w:style w:type="character" w:customStyle="1" w:styleId="VrazncittChar1">
    <w:name w:val="Výrazný citát Char1"/>
    <w:basedOn w:val="Standardnpsmoodstavce"/>
    <w:uiPriority w:val="30"/>
    <w:rsid w:val="004A49DC"/>
    <w:rPr>
      <w:i/>
      <w:iCs/>
      <w:color w:val="156082" w:themeColor="accent1"/>
      <w:sz w:val="24"/>
      <w:szCs w:val="24"/>
      <w:lang w:eastAsia="cs-CZ"/>
    </w:rPr>
  </w:style>
  <w:style w:type="character" w:styleId="Odkazintenzivn">
    <w:name w:val="Intense Reference"/>
    <w:basedOn w:val="Standardnpsmoodstavce"/>
    <w:uiPriority w:val="32"/>
    <w:qFormat/>
    <w:rsid w:val="004A49DC"/>
    <w:rPr>
      <w:b/>
      <w:bCs/>
      <w:smallCaps/>
      <w:color w:val="156082" w:themeColor="accent1"/>
      <w:spacing w:val="5"/>
    </w:rPr>
  </w:style>
  <w:style w:type="character" w:styleId="Sledovanodkaz">
    <w:name w:val="FollowedHyperlink"/>
    <w:basedOn w:val="Standardnpsmoodstavce"/>
    <w:rsid w:val="0014592A"/>
    <w:rPr>
      <w:color w:val="96607D" w:themeColor="followedHyperlink"/>
      <w:u w:val="single"/>
    </w:rPr>
  </w:style>
  <w:style w:type="paragraph" w:styleId="Zkladntextodsazen">
    <w:name w:val="Body Text Indent"/>
    <w:basedOn w:val="Normln"/>
    <w:link w:val="ZkladntextodsazenChar"/>
    <w:rsid w:val="00311499"/>
    <w:pPr>
      <w:spacing w:after="120"/>
      <w:ind w:left="283"/>
    </w:pPr>
  </w:style>
  <w:style w:type="character" w:customStyle="1" w:styleId="ZkladntextodsazenChar">
    <w:name w:val="Základní text odsazený Char"/>
    <w:basedOn w:val="Standardnpsmoodstavce"/>
    <w:link w:val="Zkladntextodsazen"/>
    <w:rsid w:val="00311499"/>
    <w:rPr>
      <w:sz w:val="24"/>
      <w:szCs w:val="24"/>
      <w:lang w:eastAsia="cs-CZ"/>
    </w:rPr>
  </w:style>
  <w:style w:type="character" w:styleId="Siln">
    <w:name w:val="Strong"/>
    <w:qFormat/>
    <w:rsid w:val="00B94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3051">
      <w:bodyDiv w:val="1"/>
      <w:marLeft w:val="0"/>
      <w:marRight w:val="0"/>
      <w:marTop w:val="0"/>
      <w:marBottom w:val="0"/>
      <w:divBdr>
        <w:top w:val="none" w:sz="0" w:space="0" w:color="auto"/>
        <w:left w:val="none" w:sz="0" w:space="0" w:color="auto"/>
        <w:bottom w:val="none" w:sz="0" w:space="0" w:color="auto"/>
        <w:right w:val="none" w:sz="0" w:space="0" w:color="auto"/>
      </w:divBdr>
    </w:div>
    <w:div w:id="63644904">
      <w:bodyDiv w:val="1"/>
      <w:marLeft w:val="0"/>
      <w:marRight w:val="0"/>
      <w:marTop w:val="0"/>
      <w:marBottom w:val="0"/>
      <w:divBdr>
        <w:top w:val="none" w:sz="0" w:space="0" w:color="auto"/>
        <w:left w:val="none" w:sz="0" w:space="0" w:color="auto"/>
        <w:bottom w:val="none" w:sz="0" w:space="0" w:color="auto"/>
        <w:right w:val="none" w:sz="0" w:space="0" w:color="auto"/>
      </w:divBdr>
    </w:div>
    <w:div w:id="202452270">
      <w:bodyDiv w:val="1"/>
      <w:marLeft w:val="0"/>
      <w:marRight w:val="0"/>
      <w:marTop w:val="0"/>
      <w:marBottom w:val="0"/>
      <w:divBdr>
        <w:top w:val="none" w:sz="0" w:space="0" w:color="auto"/>
        <w:left w:val="none" w:sz="0" w:space="0" w:color="auto"/>
        <w:bottom w:val="none" w:sz="0" w:space="0" w:color="auto"/>
        <w:right w:val="none" w:sz="0" w:space="0" w:color="auto"/>
      </w:divBdr>
    </w:div>
    <w:div w:id="302584925">
      <w:bodyDiv w:val="1"/>
      <w:marLeft w:val="0"/>
      <w:marRight w:val="0"/>
      <w:marTop w:val="0"/>
      <w:marBottom w:val="0"/>
      <w:divBdr>
        <w:top w:val="none" w:sz="0" w:space="0" w:color="auto"/>
        <w:left w:val="none" w:sz="0" w:space="0" w:color="auto"/>
        <w:bottom w:val="none" w:sz="0" w:space="0" w:color="auto"/>
        <w:right w:val="none" w:sz="0" w:space="0" w:color="auto"/>
      </w:divBdr>
    </w:div>
    <w:div w:id="310911585">
      <w:bodyDiv w:val="1"/>
      <w:marLeft w:val="0"/>
      <w:marRight w:val="0"/>
      <w:marTop w:val="0"/>
      <w:marBottom w:val="0"/>
      <w:divBdr>
        <w:top w:val="none" w:sz="0" w:space="0" w:color="auto"/>
        <w:left w:val="none" w:sz="0" w:space="0" w:color="auto"/>
        <w:bottom w:val="none" w:sz="0" w:space="0" w:color="auto"/>
        <w:right w:val="none" w:sz="0" w:space="0" w:color="auto"/>
      </w:divBdr>
    </w:div>
    <w:div w:id="359472145">
      <w:bodyDiv w:val="1"/>
      <w:marLeft w:val="0"/>
      <w:marRight w:val="0"/>
      <w:marTop w:val="0"/>
      <w:marBottom w:val="0"/>
      <w:divBdr>
        <w:top w:val="none" w:sz="0" w:space="0" w:color="auto"/>
        <w:left w:val="none" w:sz="0" w:space="0" w:color="auto"/>
        <w:bottom w:val="none" w:sz="0" w:space="0" w:color="auto"/>
        <w:right w:val="none" w:sz="0" w:space="0" w:color="auto"/>
      </w:divBdr>
    </w:div>
    <w:div w:id="390547174">
      <w:bodyDiv w:val="1"/>
      <w:marLeft w:val="0"/>
      <w:marRight w:val="0"/>
      <w:marTop w:val="0"/>
      <w:marBottom w:val="0"/>
      <w:divBdr>
        <w:top w:val="none" w:sz="0" w:space="0" w:color="auto"/>
        <w:left w:val="none" w:sz="0" w:space="0" w:color="auto"/>
        <w:bottom w:val="none" w:sz="0" w:space="0" w:color="auto"/>
        <w:right w:val="none" w:sz="0" w:space="0" w:color="auto"/>
      </w:divBdr>
    </w:div>
    <w:div w:id="406079218">
      <w:bodyDiv w:val="1"/>
      <w:marLeft w:val="0"/>
      <w:marRight w:val="0"/>
      <w:marTop w:val="0"/>
      <w:marBottom w:val="0"/>
      <w:divBdr>
        <w:top w:val="none" w:sz="0" w:space="0" w:color="auto"/>
        <w:left w:val="none" w:sz="0" w:space="0" w:color="auto"/>
        <w:bottom w:val="none" w:sz="0" w:space="0" w:color="auto"/>
        <w:right w:val="none" w:sz="0" w:space="0" w:color="auto"/>
      </w:divBdr>
    </w:div>
    <w:div w:id="412051042">
      <w:bodyDiv w:val="1"/>
      <w:marLeft w:val="0"/>
      <w:marRight w:val="0"/>
      <w:marTop w:val="0"/>
      <w:marBottom w:val="0"/>
      <w:divBdr>
        <w:top w:val="none" w:sz="0" w:space="0" w:color="auto"/>
        <w:left w:val="none" w:sz="0" w:space="0" w:color="auto"/>
        <w:bottom w:val="none" w:sz="0" w:space="0" w:color="auto"/>
        <w:right w:val="none" w:sz="0" w:space="0" w:color="auto"/>
      </w:divBdr>
    </w:div>
    <w:div w:id="465783071">
      <w:bodyDiv w:val="1"/>
      <w:marLeft w:val="0"/>
      <w:marRight w:val="0"/>
      <w:marTop w:val="0"/>
      <w:marBottom w:val="0"/>
      <w:divBdr>
        <w:top w:val="none" w:sz="0" w:space="0" w:color="auto"/>
        <w:left w:val="none" w:sz="0" w:space="0" w:color="auto"/>
        <w:bottom w:val="none" w:sz="0" w:space="0" w:color="auto"/>
        <w:right w:val="none" w:sz="0" w:space="0" w:color="auto"/>
      </w:divBdr>
    </w:div>
    <w:div w:id="481233223">
      <w:bodyDiv w:val="1"/>
      <w:marLeft w:val="0"/>
      <w:marRight w:val="0"/>
      <w:marTop w:val="0"/>
      <w:marBottom w:val="0"/>
      <w:divBdr>
        <w:top w:val="none" w:sz="0" w:space="0" w:color="auto"/>
        <w:left w:val="none" w:sz="0" w:space="0" w:color="auto"/>
        <w:bottom w:val="none" w:sz="0" w:space="0" w:color="auto"/>
        <w:right w:val="none" w:sz="0" w:space="0" w:color="auto"/>
      </w:divBdr>
    </w:div>
    <w:div w:id="661589423">
      <w:bodyDiv w:val="1"/>
      <w:marLeft w:val="0"/>
      <w:marRight w:val="0"/>
      <w:marTop w:val="0"/>
      <w:marBottom w:val="0"/>
      <w:divBdr>
        <w:top w:val="none" w:sz="0" w:space="0" w:color="auto"/>
        <w:left w:val="none" w:sz="0" w:space="0" w:color="auto"/>
        <w:bottom w:val="none" w:sz="0" w:space="0" w:color="auto"/>
        <w:right w:val="none" w:sz="0" w:space="0" w:color="auto"/>
      </w:divBdr>
    </w:div>
    <w:div w:id="709695010">
      <w:bodyDiv w:val="1"/>
      <w:marLeft w:val="0"/>
      <w:marRight w:val="0"/>
      <w:marTop w:val="0"/>
      <w:marBottom w:val="0"/>
      <w:divBdr>
        <w:top w:val="none" w:sz="0" w:space="0" w:color="auto"/>
        <w:left w:val="none" w:sz="0" w:space="0" w:color="auto"/>
        <w:bottom w:val="none" w:sz="0" w:space="0" w:color="auto"/>
        <w:right w:val="none" w:sz="0" w:space="0" w:color="auto"/>
      </w:divBdr>
    </w:div>
    <w:div w:id="766073669">
      <w:bodyDiv w:val="1"/>
      <w:marLeft w:val="0"/>
      <w:marRight w:val="0"/>
      <w:marTop w:val="0"/>
      <w:marBottom w:val="0"/>
      <w:divBdr>
        <w:top w:val="none" w:sz="0" w:space="0" w:color="auto"/>
        <w:left w:val="none" w:sz="0" w:space="0" w:color="auto"/>
        <w:bottom w:val="none" w:sz="0" w:space="0" w:color="auto"/>
        <w:right w:val="none" w:sz="0" w:space="0" w:color="auto"/>
      </w:divBdr>
    </w:div>
    <w:div w:id="771239609">
      <w:bodyDiv w:val="1"/>
      <w:marLeft w:val="0"/>
      <w:marRight w:val="0"/>
      <w:marTop w:val="0"/>
      <w:marBottom w:val="0"/>
      <w:divBdr>
        <w:top w:val="none" w:sz="0" w:space="0" w:color="auto"/>
        <w:left w:val="none" w:sz="0" w:space="0" w:color="auto"/>
        <w:bottom w:val="none" w:sz="0" w:space="0" w:color="auto"/>
        <w:right w:val="none" w:sz="0" w:space="0" w:color="auto"/>
      </w:divBdr>
    </w:div>
    <w:div w:id="847210046">
      <w:bodyDiv w:val="1"/>
      <w:marLeft w:val="0"/>
      <w:marRight w:val="0"/>
      <w:marTop w:val="0"/>
      <w:marBottom w:val="0"/>
      <w:divBdr>
        <w:top w:val="none" w:sz="0" w:space="0" w:color="auto"/>
        <w:left w:val="none" w:sz="0" w:space="0" w:color="auto"/>
        <w:bottom w:val="none" w:sz="0" w:space="0" w:color="auto"/>
        <w:right w:val="none" w:sz="0" w:space="0" w:color="auto"/>
      </w:divBdr>
    </w:div>
    <w:div w:id="881333679">
      <w:bodyDiv w:val="1"/>
      <w:marLeft w:val="0"/>
      <w:marRight w:val="0"/>
      <w:marTop w:val="0"/>
      <w:marBottom w:val="0"/>
      <w:divBdr>
        <w:top w:val="none" w:sz="0" w:space="0" w:color="auto"/>
        <w:left w:val="none" w:sz="0" w:space="0" w:color="auto"/>
        <w:bottom w:val="none" w:sz="0" w:space="0" w:color="auto"/>
        <w:right w:val="none" w:sz="0" w:space="0" w:color="auto"/>
      </w:divBdr>
    </w:div>
    <w:div w:id="947390632">
      <w:bodyDiv w:val="1"/>
      <w:marLeft w:val="0"/>
      <w:marRight w:val="0"/>
      <w:marTop w:val="0"/>
      <w:marBottom w:val="0"/>
      <w:divBdr>
        <w:top w:val="none" w:sz="0" w:space="0" w:color="auto"/>
        <w:left w:val="none" w:sz="0" w:space="0" w:color="auto"/>
        <w:bottom w:val="none" w:sz="0" w:space="0" w:color="auto"/>
        <w:right w:val="none" w:sz="0" w:space="0" w:color="auto"/>
      </w:divBdr>
    </w:div>
    <w:div w:id="952631686">
      <w:bodyDiv w:val="1"/>
      <w:marLeft w:val="0"/>
      <w:marRight w:val="0"/>
      <w:marTop w:val="0"/>
      <w:marBottom w:val="0"/>
      <w:divBdr>
        <w:top w:val="none" w:sz="0" w:space="0" w:color="auto"/>
        <w:left w:val="none" w:sz="0" w:space="0" w:color="auto"/>
        <w:bottom w:val="none" w:sz="0" w:space="0" w:color="auto"/>
        <w:right w:val="none" w:sz="0" w:space="0" w:color="auto"/>
      </w:divBdr>
    </w:div>
    <w:div w:id="959649048">
      <w:bodyDiv w:val="1"/>
      <w:marLeft w:val="0"/>
      <w:marRight w:val="0"/>
      <w:marTop w:val="0"/>
      <w:marBottom w:val="0"/>
      <w:divBdr>
        <w:top w:val="none" w:sz="0" w:space="0" w:color="auto"/>
        <w:left w:val="none" w:sz="0" w:space="0" w:color="auto"/>
        <w:bottom w:val="none" w:sz="0" w:space="0" w:color="auto"/>
        <w:right w:val="none" w:sz="0" w:space="0" w:color="auto"/>
      </w:divBdr>
    </w:div>
    <w:div w:id="1000890100">
      <w:bodyDiv w:val="1"/>
      <w:marLeft w:val="0"/>
      <w:marRight w:val="0"/>
      <w:marTop w:val="0"/>
      <w:marBottom w:val="0"/>
      <w:divBdr>
        <w:top w:val="none" w:sz="0" w:space="0" w:color="auto"/>
        <w:left w:val="none" w:sz="0" w:space="0" w:color="auto"/>
        <w:bottom w:val="none" w:sz="0" w:space="0" w:color="auto"/>
        <w:right w:val="none" w:sz="0" w:space="0" w:color="auto"/>
      </w:divBdr>
    </w:div>
    <w:div w:id="1014385100">
      <w:bodyDiv w:val="1"/>
      <w:marLeft w:val="0"/>
      <w:marRight w:val="0"/>
      <w:marTop w:val="0"/>
      <w:marBottom w:val="0"/>
      <w:divBdr>
        <w:top w:val="none" w:sz="0" w:space="0" w:color="auto"/>
        <w:left w:val="none" w:sz="0" w:space="0" w:color="auto"/>
        <w:bottom w:val="none" w:sz="0" w:space="0" w:color="auto"/>
        <w:right w:val="none" w:sz="0" w:space="0" w:color="auto"/>
      </w:divBdr>
    </w:div>
    <w:div w:id="1049379858">
      <w:bodyDiv w:val="1"/>
      <w:marLeft w:val="0"/>
      <w:marRight w:val="0"/>
      <w:marTop w:val="0"/>
      <w:marBottom w:val="0"/>
      <w:divBdr>
        <w:top w:val="none" w:sz="0" w:space="0" w:color="auto"/>
        <w:left w:val="none" w:sz="0" w:space="0" w:color="auto"/>
        <w:bottom w:val="none" w:sz="0" w:space="0" w:color="auto"/>
        <w:right w:val="none" w:sz="0" w:space="0" w:color="auto"/>
      </w:divBdr>
    </w:div>
    <w:div w:id="1095631014">
      <w:bodyDiv w:val="1"/>
      <w:marLeft w:val="0"/>
      <w:marRight w:val="0"/>
      <w:marTop w:val="0"/>
      <w:marBottom w:val="0"/>
      <w:divBdr>
        <w:top w:val="none" w:sz="0" w:space="0" w:color="auto"/>
        <w:left w:val="none" w:sz="0" w:space="0" w:color="auto"/>
        <w:bottom w:val="none" w:sz="0" w:space="0" w:color="auto"/>
        <w:right w:val="none" w:sz="0" w:space="0" w:color="auto"/>
      </w:divBdr>
    </w:div>
    <w:div w:id="1287421699">
      <w:bodyDiv w:val="1"/>
      <w:marLeft w:val="0"/>
      <w:marRight w:val="0"/>
      <w:marTop w:val="0"/>
      <w:marBottom w:val="0"/>
      <w:divBdr>
        <w:top w:val="none" w:sz="0" w:space="0" w:color="auto"/>
        <w:left w:val="none" w:sz="0" w:space="0" w:color="auto"/>
        <w:bottom w:val="none" w:sz="0" w:space="0" w:color="auto"/>
        <w:right w:val="none" w:sz="0" w:space="0" w:color="auto"/>
      </w:divBdr>
    </w:div>
    <w:div w:id="1370180896">
      <w:bodyDiv w:val="1"/>
      <w:marLeft w:val="0"/>
      <w:marRight w:val="0"/>
      <w:marTop w:val="0"/>
      <w:marBottom w:val="0"/>
      <w:divBdr>
        <w:top w:val="none" w:sz="0" w:space="0" w:color="auto"/>
        <w:left w:val="none" w:sz="0" w:space="0" w:color="auto"/>
        <w:bottom w:val="none" w:sz="0" w:space="0" w:color="auto"/>
        <w:right w:val="none" w:sz="0" w:space="0" w:color="auto"/>
      </w:divBdr>
    </w:div>
    <w:div w:id="1371420503">
      <w:bodyDiv w:val="1"/>
      <w:marLeft w:val="0"/>
      <w:marRight w:val="0"/>
      <w:marTop w:val="0"/>
      <w:marBottom w:val="0"/>
      <w:divBdr>
        <w:top w:val="none" w:sz="0" w:space="0" w:color="auto"/>
        <w:left w:val="none" w:sz="0" w:space="0" w:color="auto"/>
        <w:bottom w:val="none" w:sz="0" w:space="0" w:color="auto"/>
        <w:right w:val="none" w:sz="0" w:space="0" w:color="auto"/>
      </w:divBdr>
    </w:div>
    <w:div w:id="1476683264">
      <w:bodyDiv w:val="1"/>
      <w:marLeft w:val="0"/>
      <w:marRight w:val="0"/>
      <w:marTop w:val="0"/>
      <w:marBottom w:val="0"/>
      <w:divBdr>
        <w:top w:val="none" w:sz="0" w:space="0" w:color="auto"/>
        <w:left w:val="none" w:sz="0" w:space="0" w:color="auto"/>
        <w:bottom w:val="none" w:sz="0" w:space="0" w:color="auto"/>
        <w:right w:val="none" w:sz="0" w:space="0" w:color="auto"/>
      </w:divBdr>
    </w:div>
    <w:div w:id="1487816187">
      <w:bodyDiv w:val="1"/>
      <w:marLeft w:val="0"/>
      <w:marRight w:val="0"/>
      <w:marTop w:val="0"/>
      <w:marBottom w:val="0"/>
      <w:divBdr>
        <w:top w:val="none" w:sz="0" w:space="0" w:color="auto"/>
        <w:left w:val="none" w:sz="0" w:space="0" w:color="auto"/>
        <w:bottom w:val="none" w:sz="0" w:space="0" w:color="auto"/>
        <w:right w:val="none" w:sz="0" w:space="0" w:color="auto"/>
      </w:divBdr>
    </w:div>
    <w:div w:id="1553929665">
      <w:bodyDiv w:val="1"/>
      <w:marLeft w:val="0"/>
      <w:marRight w:val="0"/>
      <w:marTop w:val="0"/>
      <w:marBottom w:val="0"/>
      <w:divBdr>
        <w:top w:val="none" w:sz="0" w:space="0" w:color="auto"/>
        <w:left w:val="none" w:sz="0" w:space="0" w:color="auto"/>
        <w:bottom w:val="none" w:sz="0" w:space="0" w:color="auto"/>
        <w:right w:val="none" w:sz="0" w:space="0" w:color="auto"/>
      </w:divBdr>
    </w:div>
    <w:div w:id="1591620440">
      <w:bodyDiv w:val="1"/>
      <w:marLeft w:val="0"/>
      <w:marRight w:val="0"/>
      <w:marTop w:val="0"/>
      <w:marBottom w:val="0"/>
      <w:divBdr>
        <w:top w:val="none" w:sz="0" w:space="0" w:color="auto"/>
        <w:left w:val="none" w:sz="0" w:space="0" w:color="auto"/>
        <w:bottom w:val="none" w:sz="0" w:space="0" w:color="auto"/>
        <w:right w:val="none" w:sz="0" w:space="0" w:color="auto"/>
      </w:divBdr>
    </w:div>
    <w:div w:id="1601645147">
      <w:bodyDiv w:val="1"/>
      <w:marLeft w:val="0"/>
      <w:marRight w:val="0"/>
      <w:marTop w:val="0"/>
      <w:marBottom w:val="0"/>
      <w:divBdr>
        <w:top w:val="none" w:sz="0" w:space="0" w:color="auto"/>
        <w:left w:val="none" w:sz="0" w:space="0" w:color="auto"/>
        <w:bottom w:val="none" w:sz="0" w:space="0" w:color="auto"/>
        <w:right w:val="none" w:sz="0" w:space="0" w:color="auto"/>
      </w:divBdr>
    </w:div>
    <w:div w:id="1678801884">
      <w:bodyDiv w:val="1"/>
      <w:marLeft w:val="0"/>
      <w:marRight w:val="0"/>
      <w:marTop w:val="0"/>
      <w:marBottom w:val="0"/>
      <w:divBdr>
        <w:top w:val="none" w:sz="0" w:space="0" w:color="auto"/>
        <w:left w:val="none" w:sz="0" w:space="0" w:color="auto"/>
        <w:bottom w:val="none" w:sz="0" w:space="0" w:color="auto"/>
        <w:right w:val="none" w:sz="0" w:space="0" w:color="auto"/>
      </w:divBdr>
    </w:div>
    <w:div w:id="1703287336">
      <w:bodyDiv w:val="1"/>
      <w:marLeft w:val="0"/>
      <w:marRight w:val="0"/>
      <w:marTop w:val="0"/>
      <w:marBottom w:val="0"/>
      <w:divBdr>
        <w:top w:val="none" w:sz="0" w:space="0" w:color="auto"/>
        <w:left w:val="none" w:sz="0" w:space="0" w:color="auto"/>
        <w:bottom w:val="none" w:sz="0" w:space="0" w:color="auto"/>
        <w:right w:val="none" w:sz="0" w:space="0" w:color="auto"/>
      </w:divBdr>
    </w:div>
    <w:div w:id="1764763681">
      <w:bodyDiv w:val="1"/>
      <w:marLeft w:val="0"/>
      <w:marRight w:val="0"/>
      <w:marTop w:val="0"/>
      <w:marBottom w:val="0"/>
      <w:divBdr>
        <w:top w:val="none" w:sz="0" w:space="0" w:color="auto"/>
        <w:left w:val="none" w:sz="0" w:space="0" w:color="auto"/>
        <w:bottom w:val="none" w:sz="0" w:space="0" w:color="auto"/>
        <w:right w:val="none" w:sz="0" w:space="0" w:color="auto"/>
      </w:divBdr>
    </w:div>
    <w:div w:id="1791707921">
      <w:bodyDiv w:val="1"/>
      <w:marLeft w:val="0"/>
      <w:marRight w:val="0"/>
      <w:marTop w:val="0"/>
      <w:marBottom w:val="0"/>
      <w:divBdr>
        <w:top w:val="none" w:sz="0" w:space="0" w:color="auto"/>
        <w:left w:val="none" w:sz="0" w:space="0" w:color="auto"/>
        <w:bottom w:val="none" w:sz="0" w:space="0" w:color="auto"/>
        <w:right w:val="none" w:sz="0" w:space="0" w:color="auto"/>
      </w:divBdr>
    </w:div>
    <w:div w:id="1820532632">
      <w:bodyDiv w:val="1"/>
      <w:marLeft w:val="0"/>
      <w:marRight w:val="0"/>
      <w:marTop w:val="0"/>
      <w:marBottom w:val="0"/>
      <w:divBdr>
        <w:top w:val="none" w:sz="0" w:space="0" w:color="auto"/>
        <w:left w:val="none" w:sz="0" w:space="0" w:color="auto"/>
        <w:bottom w:val="none" w:sz="0" w:space="0" w:color="auto"/>
        <w:right w:val="none" w:sz="0" w:space="0" w:color="auto"/>
      </w:divBdr>
    </w:div>
    <w:div w:id="1831631934">
      <w:bodyDiv w:val="1"/>
      <w:marLeft w:val="0"/>
      <w:marRight w:val="0"/>
      <w:marTop w:val="0"/>
      <w:marBottom w:val="0"/>
      <w:divBdr>
        <w:top w:val="none" w:sz="0" w:space="0" w:color="auto"/>
        <w:left w:val="none" w:sz="0" w:space="0" w:color="auto"/>
        <w:bottom w:val="none" w:sz="0" w:space="0" w:color="auto"/>
        <w:right w:val="none" w:sz="0" w:space="0" w:color="auto"/>
      </w:divBdr>
    </w:div>
    <w:div w:id="1861317718">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49504056">
      <w:bodyDiv w:val="1"/>
      <w:marLeft w:val="0"/>
      <w:marRight w:val="0"/>
      <w:marTop w:val="0"/>
      <w:marBottom w:val="0"/>
      <w:divBdr>
        <w:top w:val="none" w:sz="0" w:space="0" w:color="auto"/>
        <w:left w:val="none" w:sz="0" w:space="0" w:color="auto"/>
        <w:bottom w:val="none" w:sz="0" w:space="0" w:color="auto"/>
        <w:right w:val="none" w:sz="0" w:space="0" w:color="auto"/>
      </w:divBdr>
    </w:div>
    <w:div w:id="1965429857">
      <w:bodyDiv w:val="1"/>
      <w:marLeft w:val="0"/>
      <w:marRight w:val="0"/>
      <w:marTop w:val="0"/>
      <w:marBottom w:val="0"/>
      <w:divBdr>
        <w:top w:val="none" w:sz="0" w:space="0" w:color="auto"/>
        <w:left w:val="none" w:sz="0" w:space="0" w:color="auto"/>
        <w:bottom w:val="none" w:sz="0" w:space="0" w:color="auto"/>
        <w:right w:val="none" w:sz="0" w:space="0" w:color="auto"/>
      </w:divBdr>
    </w:div>
    <w:div w:id="2042440776">
      <w:bodyDiv w:val="1"/>
      <w:marLeft w:val="0"/>
      <w:marRight w:val="0"/>
      <w:marTop w:val="0"/>
      <w:marBottom w:val="0"/>
      <w:divBdr>
        <w:top w:val="none" w:sz="0" w:space="0" w:color="auto"/>
        <w:left w:val="none" w:sz="0" w:space="0" w:color="auto"/>
        <w:bottom w:val="none" w:sz="0" w:space="0" w:color="auto"/>
        <w:right w:val="none" w:sz="0" w:space="0" w:color="auto"/>
      </w:divBdr>
    </w:div>
    <w:div w:id="2048556217">
      <w:bodyDiv w:val="1"/>
      <w:marLeft w:val="0"/>
      <w:marRight w:val="0"/>
      <w:marTop w:val="0"/>
      <w:marBottom w:val="0"/>
      <w:divBdr>
        <w:top w:val="none" w:sz="0" w:space="0" w:color="auto"/>
        <w:left w:val="none" w:sz="0" w:space="0" w:color="auto"/>
        <w:bottom w:val="none" w:sz="0" w:space="0" w:color="auto"/>
        <w:right w:val="none" w:sz="0" w:space="0" w:color="auto"/>
      </w:divBdr>
    </w:div>
    <w:div w:id="2069573294">
      <w:bodyDiv w:val="1"/>
      <w:marLeft w:val="0"/>
      <w:marRight w:val="0"/>
      <w:marTop w:val="0"/>
      <w:marBottom w:val="0"/>
      <w:divBdr>
        <w:top w:val="none" w:sz="0" w:space="0" w:color="auto"/>
        <w:left w:val="none" w:sz="0" w:space="0" w:color="auto"/>
        <w:bottom w:val="none" w:sz="0" w:space="0" w:color="auto"/>
        <w:right w:val="none" w:sz="0" w:space="0" w:color="auto"/>
      </w:divBdr>
    </w:div>
    <w:div w:id="2076388151">
      <w:bodyDiv w:val="1"/>
      <w:marLeft w:val="0"/>
      <w:marRight w:val="0"/>
      <w:marTop w:val="0"/>
      <w:marBottom w:val="0"/>
      <w:divBdr>
        <w:top w:val="none" w:sz="0" w:space="0" w:color="auto"/>
        <w:left w:val="none" w:sz="0" w:space="0" w:color="auto"/>
        <w:bottom w:val="none" w:sz="0" w:space="0" w:color="auto"/>
        <w:right w:val="none" w:sz="0" w:space="0" w:color="auto"/>
      </w:divBdr>
    </w:div>
    <w:div w:id="2112818211">
      <w:bodyDiv w:val="1"/>
      <w:marLeft w:val="0"/>
      <w:marRight w:val="0"/>
      <w:marTop w:val="0"/>
      <w:marBottom w:val="0"/>
      <w:divBdr>
        <w:top w:val="none" w:sz="0" w:space="0" w:color="auto"/>
        <w:left w:val="none" w:sz="0" w:space="0" w:color="auto"/>
        <w:bottom w:val="none" w:sz="0" w:space="0" w:color="auto"/>
        <w:right w:val="none" w:sz="0" w:space="0" w:color="auto"/>
      </w:divBdr>
    </w:div>
    <w:div w:id="2119988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zechaid.cz"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zv.gov.cz/rozvoj"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khalex\Desktop\C&#780;RA\info%20zpr.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mzvcze-my.sharepoint.com/personal/lukas_svatek_mzv_gov_cz/Documents/Desktop/Pracovni/2_informace%20o%20ZRS/Final/Meziresort/Pripominky/&#268;RA_SDG_2024_sanitized_.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Počet projektů dle sektorového zaměření</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cs-CZ"/>
        </a:p>
      </c:txPr>
    </c:title>
    <c:autoTitleDeleted val="0"/>
    <c:plotArea>
      <c:layout>
        <c:manualLayout>
          <c:layoutTarget val="inner"/>
          <c:xMode val="edge"/>
          <c:yMode val="edge"/>
          <c:x val="3.2750288132802591E-2"/>
          <c:y val="0.1466961573623522"/>
          <c:w val="0.40418494736128457"/>
          <c:h val="0.81335378021567528"/>
        </c:manualLayout>
      </c:layout>
      <c:pieChart>
        <c:varyColors val="1"/>
        <c:ser>
          <c:idx val="0"/>
          <c:order val="0"/>
          <c:tx>
            <c:strRef>
              <c:f>sektory!$B$5</c:f>
              <c:strCache>
                <c:ptCount val="1"/>
                <c:pt idx="0">
                  <c:v>Počet projektů</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7A-4D9F-840A-FD975FE245E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37A-4D9F-840A-FD975FE245E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37A-4D9F-840A-FD975FE245E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37A-4D9F-840A-FD975FE245E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37A-4D9F-840A-FD975FE245E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37A-4D9F-840A-FD975FE245E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37A-4D9F-840A-FD975FE245E5}"/>
              </c:ext>
            </c:extLst>
          </c:dPt>
          <c:dLbls>
            <c:dLbl>
              <c:idx val="1"/>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37A-4D9F-840A-FD975FE245E5}"/>
                </c:ext>
              </c:extLst>
            </c:dLbl>
            <c:dLbl>
              <c:idx val="4"/>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37A-4D9F-840A-FD975FE245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sektory!$A$6:$A$12</c:f>
              <c:strCache>
                <c:ptCount val="7"/>
                <c:pt idx="0">
                  <c:v>zemědělství a lesnictví</c:v>
                </c:pt>
                <c:pt idx="1">
                  <c:v>veřejná správa a občanská společnost</c:v>
                </c:pt>
                <c:pt idx="2">
                  <c:v>voda a sanitace</c:v>
                </c:pt>
                <c:pt idx="3">
                  <c:v>ostatní sociální infrastruktura a služby </c:v>
                </c:pt>
                <c:pt idx="4">
                  <c:v>zdravotnictví</c:v>
                </c:pt>
                <c:pt idx="5">
                  <c:v>vzdělávání</c:v>
                </c:pt>
                <c:pt idx="6">
                  <c:v>výroba a dodávky energie</c:v>
                </c:pt>
              </c:strCache>
            </c:strRef>
          </c:cat>
          <c:val>
            <c:numRef>
              <c:f>sektory!$B$6:$B$12</c:f>
              <c:numCache>
                <c:formatCode>General</c:formatCode>
                <c:ptCount val="7"/>
                <c:pt idx="0">
                  <c:v>33</c:v>
                </c:pt>
                <c:pt idx="1">
                  <c:v>19</c:v>
                </c:pt>
                <c:pt idx="2">
                  <c:v>12</c:v>
                </c:pt>
                <c:pt idx="3">
                  <c:v>10</c:v>
                </c:pt>
                <c:pt idx="4">
                  <c:v>10</c:v>
                </c:pt>
                <c:pt idx="5">
                  <c:v>4</c:v>
                </c:pt>
                <c:pt idx="6">
                  <c:v>4</c:v>
                </c:pt>
              </c:numCache>
            </c:numRef>
          </c:val>
          <c:extLst>
            <c:ext xmlns:c16="http://schemas.microsoft.com/office/drawing/2014/chart" uri="{C3380CC4-5D6E-409C-BE32-E72D297353CC}">
              <c16:uniqueId val="{0000000E-837A-4D9F-840A-FD975FE245E5}"/>
            </c:ext>
          </c:extLst>
        </c:ser>
        <c:ser>
          <c:idx val="1"/>
          <c:order val="1"/>
          <c:tx>
            <c:strRef>
              <c:f>sektory!$C$5</c:f>
              <c:strCache>
                <c:ptCount val="1"/>
                <c:pt idx="0">
                  <c:v>Čerpáno (Kč)</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0-837A-4D9F-840A-FD975FE245E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2-837A-4D9F-840A-FD975FE245E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4-837A-4D9F-840A-FD975FE245E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6-837A-4D9F-840A-FD975FE245E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8-837A-4D9F-840A-FD975FE245E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A-837A-4D9F-840A-FD975FE245E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C-837A-4D9F-840A-FD975FE245E5}"/>
              </c:ext>
            </c:extLst>
          </c:dPt>
          <c:cat>
            <c:strRef>
              <c:f>sektory!$A$6:$A$12</c:f>
              <c:strCache>
                <c:ptCount val="7"/>
                <c:pt idx="0">
                  <c:v>zemědělství a lesnictví</c:v>
                </c:pt>
                <c:pt idx="1">
                  <c:v>veřejná správa a občanská společnost</c:v>
                </c:pt>
                <c:pt idx="2">
                  <c:v>voda a sanitace</c:v>
                </c:pt>
                <c:pt idx="3">
                  <c:v>ostatní sociální infrastruktura a služby </c:v>
                </c:pt>
                <c:pt idx="4">
                  <c:v>zdravotnictví</c:v>
                </c:pt>
                <c:pt idx="5">
                  <c:v>vzdělávání</c:v>
                </c:pt>
                <c:pt idx="6">
                  <c:v>výroba a dodávky energie</c:v>
                </c:pt>
              </c:strCache>
            </c:strRef>
          </c:cat>
          <c:val>
            <c:numRef>
              <c:f>sektory!$C$6:$C$12</c:f>
              <c:numCache>
                <c:formatCode>#,##0.00</c:formatCode>
                <c:ptCount val="7"/>
                <c:pt idx="0">
                  <c:v>160653584.21000001</c:v>
                </c:pt>
                <c:pt idx="1">
                  <c:v>57741077.75</c:v>
                </c:pt>
                <c:pt idx="2">
                  <c:v>57283739.590000004</c:v>
                </c:pt>
                <c:pt idx="3">
                  <c:v>57435828.399999999</c:v>
                </c:pt>
                <c:pt idx="4">
                  <c:v>59616704.93</c:v>
                </c:pt>
                <c:pt idx="5">
                  <c:v>13380000</c:v>
                </c:pt>
                <c:pt idx="6">
                  <c:v>15032338.49</c:v>
                </c:pt>
              </c:numCache>
            </c:numRef>
          </c:val>
          <c:extLst>
            <c:ext xmlns:c16="http://schemas.microsoft.com/office/drawing/2014/chart" uri="{C3380CC4-5D6E-409C-BE32-E72D297353CC}">
              <c16:uniqueId val="{0000001D-837A-4D9F-840A-FD975FE245E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45991776625191477"/>
          <c:y val="0.19568327323570536"/>
          <c:w val="0.51804036440837387"/>
          <c:h val="0.7385295661571715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Počet projektů</a:t>
            </a:r>
            <a:r>
              <a:rPr lang="cs-CZ" b="1">
                <a:solidFill>
                  <a:sysClr val="windowText" lastClr="000000"/>
                </a:solidFill>
                <a:latin typeface="Times New Roman" panose="02020603050405020304" pitchFamily="18" charset="0"/>
                <a:cs typeface="Times New Roman" panose="02020603050405020304" pitchFamily="18" charset="0"/>
              </a:rPr>
              <a:t> se zaměřením na daný SDG</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1"/>
          <c:order val="1"/>
          <c:tx>
            <c:strRef>
              <c:f>List1!$C$1</c:f>
              <c:strCache>
                <c:ptCount val="1"/>
                <c:pt idx="0">
                  <c:v>Počet projektů</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16-40EE-AAB1-F33C9689A4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16-40EE-AAB1-F33C9689A4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16-40EE-AAB1-F33C9689A4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16-40EE-AAB1-F33C9689A4F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B16-40EE-AAB1-F33C9689A4F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B16-40EE-AAB1-F33C9689A4F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B16-40EE-AAB1-F33C9689A4F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B16-40EE-AAB1-F33C9689A4F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B16-40EE-AAB1-F33C9689A4F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B16-40EE-AAB1-F33C9689A4F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EB16-40EE-AAB1-F33C9689A4F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EB16-40EE-AAB1-F33C9689A4F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EB16-40EE-AAB1-F33C9689A4FA}"/>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EB16-40EE-AAB1-F33C9689A4FA}"/>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EB16-40EE-AAB1-F33C9689A4FA}"/>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EB16-40EE-AAB1-F33C9689A4FA}"/>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EB16-40EE-AAB1-F33C9689A4FA}"/>
              </c:ext>
            </c:extLst>
          </c:dPt>
          <c:dLbls>
            <c:dLbl>
              <c:idx val="0"/>
              <c:layout>
                <c:manualLayout>
                  <c:x val="-4.5068081591324007E-2"/>
                  <c:y val="0.12186391026964326"/>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B16-40EE-AAB1-F33C9689A4FA}"/>
                </c:ext>
              </c:extLst>
            </c:dLbl>
            <c:dLbl>
              <c:idx val="1"/>
              <c:layout>
                <c:manualLayout>
                  <c:x val="-8.9595240950211166E-2"/>
                  <c:y val="9.92892742339791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B16-40EE-AAB1-F33C9689A4FA}"/>
                </c:ext>
              </c:extLst>
            </c:dLbl>
            <c:dLbl>
              <c:idx val="2"/>
              <c:layout>
                <c:manualLayout>
                  <c:x val="-0.11025820376513858"/>
                  <c:y val="2.98659647881093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B16-40EE-AAB1-F33C9689A4FA}"/>
                </c:ext>
              </c:extLst>
            </c:dLbl>
            <c:dLbl>
              <c:idx val="3"/>
              <c:layout>
                <c:manualLayout>
                  <c:x val="-8.5896551953848405E-2"/>
                  <c:y val="-1.359447344362853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B16-40EE-AAB1-F33C9689A4FA}"/>
                </c:ext>
              </c:extLst>
            </c:dLbl>
            <c:dLbl>
              <c:idx val="4"/>
              <c:layout>
                <c:manualLayout>
                  <c:x val="-9.8970282585235297E-2"/>
                  <c:y val="-4.100460054852705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B16-40EE-AAB1-F33C9689A4FA}"/>
                </c:ext>
              </c:extLst>
            </c:dLbl>
            <c:dLbl>
              <c:idx val="5"/>
              <c:layout>
                <c:manualLayout>
                  <c:x val="-6.8537411567208925E-2"/>
                  <c:y val="-7.310497704640864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B16-40EE-AAB1-F33C9689A4FA}"/>
                </c:ext>
              </c:extLst>
            </c:dLbl>
            <c:dLbl>
              <c:idx val="6"/>
              <c:layout>
                <c:manualLayout>
                  <c:x val="-1.124711885633593E-2"/>
                  <c:y val="-1.896055127940479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B16-40EE-AAB1-F33C9689A4FA}"/>
                </c:ext>
              </c:extLst>
            </c:dLbl>
            <c:dLbl>
              <c:idx val="7"/>
              <c:layout>
                <c:manualLayout>
                  <c:x val="-1.0723037935907878E-2"/>
                  <c:y val="-1.922050640157976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B16-40EE-AAB1-F33C9689A4FA}"/>
                </c:ext>
              </c:extLst>
            </c:dLbl>
            <c:dLbl>
              <c:idx val="8"/>
              <c:layout>
                <c:manualLayout>
                  <c:x val="2.3818231477410502E-2"/>
                  <c:y val="-7.7376212804860069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B16-40EE-AAB1-F33C9689A4FA}"/>
                </c:ext>
              </c:extLst>
            </c:dLbl>
            <c:dLbl>
              <c:idx val="9"/>
              <c:layout>
                <c:manualLayout>
                  <c:x val="6.8454641139400335E-3"/>
                  <c:y val="-7.0664621978432469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EB16-40EE-AAB1-F33C9689A4FA}"/>
                </c:ext>
              </c:extLst>
            </c:dLbl>
            <c:dLbl>
              <c:idx val="10"/>
              <c:layout>
                <c:manualLayout>
                  <c:x val="-6.6038144343632558E-3"/>
                  <c:y val="-3.140734514927218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EB16-40EE-AAB1-F33C9689A4FA}"/>
                </c:ext>
              </c:extLst>
            </c:dLbl>
            <c:dLbl>
              <c:idx val="11"/>
              <c:layout>
                <c:manualLayout>
                  <c:x val="8.1451929866634645E-2"/>
                  <c:y val="-7.520766364878547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EB16-40EE-AAB1-F33C9689A4FA}"/>
                </c:ext>
              </c:extLst>
            </c:dLbl>
            <c:dLbl>
              <c:idx val="12"/>
              <c:layout>
                <c:manualLayout>
                  <c:x val="0.10179646801763993"/>
                  <c:y val="-3.922901491246178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EB16-40EE-AAB1-F33C9689A4FA}"/>
                </c:ext>
              </c:extLst>
            </c:dLbl>
            <c:dLbl>
              <c:idx val="13"/>
              <c:layout>
                <c:manualLayout>
                  <c:x val="1.6639021010698535E-3"/>
                  <c:y val="5.8342426297830648E-4"/>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EB16-40EE-AAB1-F33C9689A4FA}"/>
                </c:ext>
              </c:extLst>
            </c:dLbl>
            <c:dLbl>
              <c:idx val="14"/>
              <c:layout>
                <c:manualLayout>
                  <c:x val="9.1767923045152355E-2"/>
                  <c:y val="5.473350241332192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EB16-40EE-AAB1-F33C9689A4FA}"/>
                </c:ext>
              </c:extLst>
            </c:dLbl>
            <c:dLbl>
              <c:idx val="15"/>
              <c:layout>
                <c:manualLayout>
                  <c:x val="6.3425629854643797E-2"/>
                  <c:y val="8.7723023386121673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F-EB16-40EE-AAB1-F33C9689A4FA}"/>
                </c:ext>
              </c:extLst>
            </c:dLbl>
            <c:dLbl>
              <c:idx val="16"/>
              <c:layout>
                <c:manualLayout>
                  <c:x val="2.7909622020597678E-2"/>
                  <c:y val="0.1001956216147138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1-EB16-40EE-AAB1-F33C9689A4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List1!$C$2:$C$18</c:f>
              <c:numCache>
                <c:formatCode>General</c:formatCode>
                <c:ptCount val="17"/>
                <c:pt idx="0">
                  <c:v>30</c:v>
                </c:pt>
                <c:pt idx="1">
                  <c:v>37</c:v>
                </c:pt>
                <c:pt idx="2">
                  <c:v>25</c:v>
                </c:pt>
                <c:pt idx="3">
                  <c:v>12</c:v>
                </c:pt>
                <c:pt idx="4">
                  <c:v>26</c:v>
                </c:pt>
                <c:pt idx="5">
                  <c:v>25</c:v>
                </c:pt>
                <c:pt idx="6">
                  <c:v>9</c:v>
                </c:pt>
                <c:pt idx="7">
                  <c:v>23</c:v>
                </c:pt>
                <c:pt idx="8">
                  <c:v>13</c:v>
                </c:pt>
                <c:pt idx="9">
                  <c:v>13</c:v>
                </c:pt>
                <c:pt idx="10">
                  <c:v>10</c:v>
                </c:pt>
                <c:pt idx="11">
                  <c:v>23</c:v>
                </c:pt>
                <c:pt idx="12">
                  <c:v>27</c:v>
                </c:pt>
                <c:pt idx="13">
                  <c:v>2</c:v>
                </c:pt>
                <c:pt idx="14">
                  <c:v>43</c:v>
                </c:pt>
                <c:pt idx="15">
                  <c:v>20</c:v>
                </c:pt>
                <c:pt idx="16">
                  <c:v>22</c:v>
                </c:pt>
              </c:numCache>
            </c:numRef>
          </c:val>
          <c:extLst>
            <c:ext xmlns:c16="http://schemas.microsoft.com/office/drawing/2014/chart" uri="{C3380CC4-5D6E-409C-BE32-E72D297353CC}">
              <c16:uniqueId val="{00000022-EB16-40EE-AAB1-F33C9689A4FA}"/>
            </c:ext>
          </c:extLst>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List1!$B$1</c15:sqref>
                        </c15:formulaRef>
                      </c:ext>
                    </c:extLst>
                    <c:strCache>
                      <c:ptCount val="1"/>
                      <c:pt idx="0">
                        <c:v>SDG</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24-EB16-40EE-AAB1-F33C9689A4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26-EB16-40EE-AAB1-F33C9689A4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8-EB16-40EE-AAB1-F33C9689A4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A-EB16-40EE-AAB1-F33C9689A4F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C-EB16-40EE-AAB1-F33C9689A4F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E-EB16-40EE-AAB1-F33C9689A4F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30-EB16-40EE-AAB1-F33C9689A4F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32-EB16-40EE-AAB1-F33C9689A4F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34-EB16-40EE-AAB1-F33C9689A4F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36-EB16-40EE-AAB1-F33C9689A4F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8-EB16-40EE-AAB1-F33C9689A4F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A-EB16-40EE-AAB1-F33C9689A4F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3C-EB16-40EE-AAB1-F33C9689A4FA}"/>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3E-EB16-40EE-AAB1-F33C9689A4FA}"/>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40-EB16-40EE-AAB1-F33C9689A4FA}"/>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42-EB16-40EE-AAB1-F33C9689A4FA}"/>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44-EB16-40EE-AAB1-F33C9689A4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val>
                  <c:numRef>
                    <c:extLst>
                      <c:ext uri="{02D57815-91ED-43cb-92C2-25804820EDAC}">
                        <c15:formulaRef>
                          <c15:sqref>List1!$B$2:$B$18</c15:sqref>
                        </c15:formulaRef>
                      </c:ext>
                    </c:extLst>
                    <c:numCache>
                      <c:formatCode>0</c:formatCode>
                      <c:ptCount val="17"/>
                      <c:pt idx="0">
                        <c:v>1</c:v>
                      </c:pt>
                      <c:pt idx="1">
                        <c:v>2</c:v>
                      </c:pt>
                      <c:pt idx="2">
                        <c:v>3</c:v>
                      </c:pt>
                      <c:pt idx="3">
                        <c:v>4</c:v>
                      </c:pt>
                      <c:pt idx="4">
                        <c:v>5</c:v>
                      </c:pt>
                      <c:pt idx="5">
                        <c:v>6</c:v>
                      </c:pt>
                      <c:pt idx="6" formatCode="General">
                        <c:v>7</c:v>
                      </c:pt>
                      <c:pt idx="7">
                        <c:v>8</c:v>
                      </c:pt>
                      <c:pt idx="8" formatCode="General">
                        <c:v>9</c:v>
                      </c:pt>
                      <c:pt idx="9">
                        <c:v>10</c:v>
                      </c:pt>
                      <c:pt idx="10" formatCode="General">
                        <c:v>11</c:v>
                      </c:pt>
                      <c:pt idx="11" formatCode="General">
                        <c:v>12</c:v>
                      </c:pt>
                      <c:pt idx="12" formatCode="General">
                        <c:v>13</c:v>
                      </c:pt>
                      <c:pt idx="13" formatCode="General">
                        <c:v>14</c:v>
                      </c:pt>
                      <c:pt idx="14" formatCode="General">
                        <c:v>15</c:v>
                      </c:pt>
                      <c:pt idx="15" formatCode="General">
                        <c:v>16</c:v>
                      </c:pt>
                      <c:pt idx="16" formatCode="General">
                        <c:v>17</c:v>
                      </c:pt>
                    </c:numCache>
                  </c:numRef>
                </c:val>
                <c:extLst>
                  <c:ext xmlns:c16="http://schemas.microsoft.com/office/drawing/2014/chart" uri="{C3380CC4-5D6E-409C-BE32-E72D297353CC}">
                    <c16:uniqueId val="{00000045-EB16-40EE-AAB1-F33C9689A4FA}"/>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2F96-0FDC-407C-81DF-AA007B2C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18041</Words>
  <Characters>106447</Characters>
  <Application>Microsoft Office Word</Application>
  <DocSecurity>0</DocSecurity>
  <Lines>887</Lines>
  <Paragraphs>248</Paragraphs>
  <ScaleCrop>false</ScaleCrop>
  <HeadingPairs>
    <vt:vector size="2" baseType="variant">
      <vt:variant>
        <vt:lpstr>Název</vt:lpstr>
      </vt:variant>
      <vt:variant>
        <vt:i4>1</vt:i4>
      </vt:variant>
    </vt:vector>
  </HeadingPairs>
  <TitlesOfParts>
    <vt:vector size="1" baseType="lpstr">
      <vt:lpstr>II</vt:lpstr>
    </vt:vector>
  </TitlesOfParts>
  <Company>MZV</Company>
  <LinksUpToDate>false</LinksUpToDate>
  <CharactersWithSpaces>124240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PCHAD58P</dc:creator>
  <cp:keywords/>
  <cp:lastModifiedBy>Lukáš SVATEK</cp:lastModifiedBy>
  <cp:revision>699</cp:revision>
  <cp:lastPrinted>2019-05-21T05:41:00Z</cp:lastPrinted>
  <dcterms:created xsi:type="dcterms:W3CDTF">2025-06-05T11:31:00Z</dcterms:created>
  <dcterms:modified xsi:type="dcterms:W3CDTF">2025-07-16T09:54:00Z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2025-06-05T11:32:57Z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6667d293-3099-4d88-9407-a46028e0bf30</vt:lpwstr>
  </property>
  <property fmtid="{D5CDD505-2E9C-101B-9397-08002B2CF9AE}" pid="8" name="MSIP_Label_b3564849-fbfc-4795-ad59-055bb350645f_ContentBits">
    <vt:lpwstr>0</vt:lpwstr>
  </property>
</Properties>
</file>