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2.xml" ContentType="application/vnd.openxmlformats-officedocument.themeOverride+xml"/>
  <Override PartName="/word/charts/chart13.xml" ContentType="application/vnd.openxmlformats-officedocument.drawingml.chart+xml"/>
  <Override PartName="/word/theme/themeOverride3.xml" ContentType="application/vnd.openxmlformats-officedocument.themeOverrid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AEDB4" w14:textId="77777777" w:rsidR="003612F6" w:rsidRDefault="003612F6" w:rsidP="00F60E3F">
      <w:pPr>
        <w:jc w:val="center"/>
        <w:rPr>
          <w:b/>
          <w:sz w:val="36"/>
          <w:szCs w:val="36"/>
        </w:rPr>
      </w:pPr>
      <w:bookmarkStart w:id="0" w:name="_Hlk61202319"/>
      <w:bookmarkEnd w:id="0"/>
    </w:p>
    <w:p w14:paraId="690DEC3A" w14:textId="77777777" w:rsidR="00F60E3F" w:rsidRPr="00062F41" w:rsidRDefault="00F60E3F" w:rsidP="00F60E3F">
      <w:pPr>
        <w:jc w:val="center"/>
        <w:rPr>
          <w:b/>
          <w:sz w:val="36"/>
          <w:szCs w:val="36"/>
        </w:rPr>
      </w:pPr>
      <w:r w:rsidRPr="00062F41">
        <w:rPr>
          <w:b/>
          <w:sz w:val="36"/>
          <w:szCs w:val="36"/>
        </w:rPr>
        <w:t xml:space="preserve">Pokles cen ropy: </w:t>
      </w:r>
      <w:r w:rsidR="006E20D0">
        <w:rPr>
          <w:b/>
          <w:sz w:val="36"/>
          <w:szCs w:val="36"/>
        </w:rPr>
        <w:t>Analýza d</w:t>
      </w:r>
      <w:r w:rsidRPr="00062F41">
        <w:rPr>
          <w:b/>
          <w:sz w:val="36"/>
          <w:szCs w:val="36"/>
        </w:rPr>
        <w:t>opadů na producentské státy v</w:t>
      </w:r>
      <w:r>
        <w:rPr>
          <w:b/>
          <w:sz w:val="36"/>
          <w:szCs w:val="36"/>
        </w:rPr>
        <w:t> </w:t>
      </w:r>
      <w:r w:rsidRPr="00062F41">
        <w:rPr>
          <w:b/>
          <w:sz w:val="36"/>
          <w:szCs w:val="36"/>
        </w:rPr>
        <w:t>sousedství EU</w:t>
      </w:r>
    </w:p>
    <w:p w14:paraId="562C651B" w14:textId="77777777" w:rsidR="005F24CA" w:rsidRDefault="00C11FAE" w:rsidP="00F60E3F">
      <w:pPr>
        <w:pBdr>
          <w:bottom w:val="single" w:sz="4" w:space="1" w:color="auto"/>
        </w:pBdr>
        <w:tabs>
          <w:tab w:val="left" w:pos="3823"/>
          <w:tab w:val="right" w:pos="9638"/>
        </w:tabs>
        <w:spacing w:before="200"/>
        <w:jc w:val="center"/>
        <w:rPr>
          <w:b/>
          <w:sz w:val="36"/>
        </w:rPr>
      </w:pPr>
      <w:r>
        <w:rPr>
          <w:b/>
          <w:sz w:val="36"/>
        </w:rPr>
        <w:t>(</w:t>
      </w:r>
      <w:r w:rsidR="00F60E3F">
        <w:rPr>
          <w:b/>
          <w:sz w:val="36"/>
        </w:rPr>
        <w:t>Výzkumná zpráva</w:t>
      </w:r>
      <w:r>
        <w:rPr>
          <w:b/>
          <w:sz w:val="36"/>
        </w:rPr>
        <w:t>)</w:t>
      </w:r>
    </w:p>
    <w:p w14:paraId="002F9634" w14:textId="77777777" w:rsidR="00494673" w:rsidRDefault="00494673" w:rsidP="00494673">
      <w:pPr>
        <w:pStyle w:val="Zhlav"/>
        <w:ind w:left="3252"/>
        <w:jc w:val="right"/>
        <w:rPr>
          <w:b/>
        </w:rPr>
      </w:pPr>
    </w:p>
    <w:p w14:paraId="3CA1F0C1" w14:textId="77777777" w:rsidR="003612F6" w:rsidRDefault="003612F6" w:rsidP="00494673">
      <w:pPr>
        <w:pStyle w:val="Zhlav"/>
        <w:ind w:left="3252"/>
        <w:jc w:val="right"/>
        <w:rPr>
          <w:b/>
        </w:rPr>
      </w:pPr>
    </w:p>
    <w:p w14:paraId="2B9DE7DE" w14:textId="77777777" w:rsidR="003612F6" w:rsidRDefault="003612F6" w:rsidP="00494673">
      <w:pPr>
        <w:pStyle w:val="Zhlav"/>
        <w:ind w:left="3252"/>
        <w:jc w:val="right"/>
        <w:rPr>
          <w:b/>
        </w:rPr>
      </w:pPr>
    </w:p>
    <w:p w14:paraId="63D50A03" w14:textId="77777777" w:rsidR="003612F6" w:rsidRDefault="003612F6" w:rsidP="00494673">
      <w:pPr>
        <w:pStyle w:val="Zhlav"/>
        <w:ind w:left="3252"/>
        <w:jc w:val="right"/>
        <w:rPr>
          <w:b/>
        </w:rPr>
      </w:pPr>
    </w:p>
    <w:p w14:paraId="7EEDF12C" w14:textId="77777777" w:rsidR="003612F6" w:rsidRDefault="003612F6" w:rsidP="00494673">
      <w:pPr>
        <w:pStyle w:val="Zhlav"/>
        <w:ind w:left="3252"/>
        <w:jc w:val="right"/>
        <w:rPr>
          <w:b/>
        </w:rPr>
      </w:pPr>
    </w:p>
    <w:p w14:paraId="094A2E42" w14:textId="77777777" w:rsidR="003612F6" w:rsidRDefault="003612F6" w:rsidP="00494673">
      <w:pPr>
        <w:pStyle w:val="Zhlav"/>
        <w:ind w:left="3252"/>
        <w:jc w:val="right"/>
        <w:rPr>
          <w:b/>
        </w:rPr>
      </w:pPr>
    </w:p>
    <w:p w14:paraId="7DDD4475" w14:textId="77777777" w:rsidR="003612F6" w:rsidRDefault="003612F6" w:rsidP="00494673">
      <w:pPr>
        <w:pStyle w:val="Zhlav"/>
        <w:ind w:left="3252"/>
        <w:jc w:val="right"/>
        <w:rPr>
          <w:b/>
        </w:rPr>
      </w:pPr>
    </w:p>
    <w:p w14:paraId="2C983C55" w14:textId="77777777" w:rsidR="00494673" w:rsidRDefault="00494673" w:rsidP="00494673">
      <w:pPr>
        <w:pStyle w:val="Zhlav"/>
        <w:ind w:left="3252"/>
        <w:jc w:val="right"/>
      </w:pPr>
    </w:p>
    <w:p w14:paraId="674F5E38" w14:textId="77777777" w:rsidR="003612F6" w:rsidRDefault="00494673" w:rsidP="003612F6">
      <w:pPr>
        <w:pStyle w:val="Zhlav"/>
        <w:ind w:left="3252"/>
        <w:jc w:val="right"/>
        <w:rPr>
          <w:b/>
        </w:rPr>
      </w:pPr>
      <w:r w:rsidRPr="00010205">
        <w:t>Konečný uživatel výsledků:</w:t>
      </w:r>
      <w:r w:rsidRPr="00010205">
        <w:rPr>
          <w:b/>
        </w:rPr>
        <w:tab/>
      </w:r>
      <w:r w:rsidR="00C745E5">
        <w:rPr>
          <w:b/>
        </w:rPr>
        <w:t xml:space="preserve"> </w:t>
      </w:r>
      <w:r w:rsidR="00F60E3F">
        <w:rPr>
          <w:b/>
        </w:rPr>
        <w:t xml:space="preserve">Ministerstvo zahraničních věcí </w:t>
      </w:r>
    </w:p>
    <w:p w14:paraId="6ADE8646" w14:textId="77777777" w:rsidR="00DA5E66" w:rsidRPr="00010205" w:rsidRDefault="00F60E3F" w:rsidP="003612F6">
      <w:pPr>
        <w:pStyle w:val="Zhlav"/>
        <w:ind w:left="3252"/>
        <w:jc w:val="right"/>
        <w:rPr>
          <w:b/>
        </w:rPr>
      </w:pPr>
      <w:r>
        <w:rPr>
          <w:b/>
        </w:rPr>
        <w:t>Č</w:t>
      </w:r>
      <w:r w:rsidR="00C745E5">
        <w:rPr>
          <w:b/>
        </w:rPr>
        <w:t xml:space="preserve">eské </w:t>
      </w:r>
      <w:r w:rsidR="003612F6">
        <w:rPr>
          <w:b/>
        </w:rPr>
        <w:t>republiky</w:t>
      </w:r>
    </w:p>
    <w:p w14:paraId="75D215E6" w14:textId="77777777" w:rsidR="00C745E5" w:rsidRPr="00C745E5" w:rsidRDefault="00C745E5" w:rsidP="003612F6">
      <w:pPr>
        <w:spacing w:after="0" w:line="240" w:lineRule="auto"/>
        <w:jc w:val="right"/>
        <w:rPr>
          <w:rFonts w:ascii="Times New Roman" w:eastAsia="Times New Roman" w:hAnsi="Times New Roman" w:cs="Times New Roman"/>
          <w:sz w:val="24"/>
          <w:szCs w:val="24"/>
          <w:lang w:eastAsia="cs-CZ"/>
        </w:rPr>
      </w:pPr>
      <w:r w:rsidRPr="00C745E5">
        <w:rPr>
          <w:rFonts w:eastAsia="Times New Roman" w:cs="Times New Roman"/>
          <w:b/>
          <w:bCs/>
          <w:color w:val="000000"/>
          <w:shd w:val="clear" w:color="auto" w:fill="FFFFFF"/>
          <w:lang w:eastAsia="cs-CZ"/>
        </w:rPr>
        <w:t>Loretánské náměstí 5</w:t>
      </w:r>
      <w:r w:rsidRPr="00C745E5">
        <w:rPr>
          <w:rFonts w:eastAsia="Times New Roman" w:cs="Times New Roman"/>
          <w:b/>
          <w:bCs/>
          <w:color w:val="000000"/>
          <w:lang w:eastAsia="cs-CZ"/>
        </w:rPr>
        <w:br/>
      </w:r>
      <w:r w:rsidRPr="00C745E5">
        <w:rPr>
          <w:rFonts w:eastAsia="Times New Roman" w:cs="Times New Roman"/>
          <w:b/>
          <w:bCs/>
          <w:color w:val="000000"/>
          <w:shd w:val="clear" w:color="auto" w:fill="FFFFFF"/>
          <w:lang w:eastAsia="cs-CZ"/>
        </w:rPr>
        <w:t>118 00 Praha 1 – Hradčany</w:t>
      </w:r>
    </w:p>
    <w:p w14:paraId="179F1D1B" w14:textId="77777777" w:rsidR="00DA5E66" w:rsidRPr="00010205" w:rsidRDefault="00DA5E66" w:rsidP="00F26C93">
      <w:pPr>
        <w:spacing w:before="120" w:after="0"/>
        <w:rPr>
          <w:b/>
        </w:rPr>
      </w:pPr>
    </w:p>
    <w:p w14:paraId="4E2C54B9" w14:textId="77777777" w:rsidR="00DA5E66" w:rsidRDefault="00DA5E66" w:rsidP="00F26C93">
      <w:pPr>
        <w:spacing w:before="120" w:after="0"/>
        <w:rPr>
          <w:b/>
        </w:rPr>
      </w:pPr>
    </w:p>
    <w:p w14:paraId="15BB14BA" w14:textId="77777777" w:rsidR="003612F6" w:rsidRDefault="003612F6" w:rsidP="00F26C93">
      <w:pPr>
        <w:spacing w:before="120" w:after="0"/>
        <w:rPr>
          <w:b/>
        </w:rPr>
      </w:pPr>
    </w:p>
    <w:p w14:paraId="4516DD0A" w14:textId="77777777" w:rsidR="003612F6" w:rsidRPr="00010205" w:rsidRDefault="003612F6" w:rsidP="00F26C93">
      <w:pPr>
        <w:spacing w:before="120" w:after="0"/>
        <w:rPr>
          <w:b/>
        </w:rPr>
      </w:pPr>
    </w:p>
    <w:p w14:paraId="192AAEB0" w14:textId="77777777" w:rsidR="00DA5E66" w:rsidRDefault="00DA5E66" w:rsidP="00F26C93">
      <w:pPr>
        <w:spacing w:before="120" w:after="0"/>
        <w:rPr>
          <w:b/>
        </w:rPr>
      </w:pPr>
    </w:p>
    <w:p w14:paraId="157C588D" w14:textId="77777777" w:rsidR="003612F6" w:rsidRDefault="003612F6" w:rsidP="00F26C93">
      <w:pPr>
        <w:spacing w:before="120" w:after="0"/>
        <w:rPr>
          <w:b/>
        </w:rPr>
      </w:pPr>
    </w:p>
    <w:p w14:paraId="5E5DDF0E" w14:textId="77777777" w:rsidR="003612F6" w:rsidRPr="00010205" w:rsidRDefault="003612F6" w:rsidP="00F26C93">
      <w:pPr>
        <w:spacing w:before="120" w:after="0"/>
        <w:rPr>
          <w:b/>
        </w:rPr>
      </w:pPr>
    </w:p>
    <w:p w14:paraId="52430103" w14:textId="77777777" w:rsidR="00F60E3F" w:rsidRPr="00F60E3F" w:rsidRDefault="00CB0300" w:rsidP="00F60E3F">
      <w:pPr>
        <w:spacing w:after="0"/>
        <w:rPr>
          <w:rFonts w:eastAsia="Times New Roman" w:cs="Times New Roman"/>
          <w:lang w:eastAsia="cs-CZ"/>
        </w:rPr>
      </w:pPr>
      <w:r w:rsidRPr="00F60E3F">
        <w:rPr>
          <w:b/>
        </w:rPr>
        <w:t xml:space="preserve">Název projektu: </w:t>
      </w:r>
      <w:r w:rsidR="00F60E3F" w:rsidRPr="00F60E3F">
        <w:rPr>
          <w:rFonts w:eastAsia="Times New Roman" w:cs="Times New Roman"/>
          <w:b/>
          <w:bCs/>
          <w:color w:val="333333"/>
          <w:lang w:eastAsia="cs-CZ"/>
        </w:rPr>
        <w:t>Pokles cen ropy: Výzkum dopadů na producentské státy v sousedství EU</w:t>
      </w:r>
    </w:p>
    <w:p w14:paraId="6F8AC3A0" w14:textId="77777777" w:rsidR="00F60E3F" w:rsidRPr="00F60E3F" w:rsidRDefault="002268E6" w:rsidP="00F60E3F">
      <w:pPr>
        <w:spacing w:after="0"/>
        <w:rPr>
          <w:rFonts w:eastAsia="Times New Roman" w:cs="Times New Roman"/>
          <w:lang w:eastAsia="cs-CZ"/>
        </w:rPr>
      </w:pPr>
      <w:r w:rsidRPr="00F60E3F">
        <w:rPr>
          <w:b/>
        </w:rPr>
        <w:t>Číslo projektu</w:t>
      </w:r>
      <w:r w:rsidR="00DA5E66" w:rsidRPr="00F60E3F">
        <w:rPr>
          <w:b/>
        </w:rPr>
        <w:t>:</w:t>
      </w:r>
      <w:r w:rsidR="00010205" w:rsidRPr="00F60E3F">
        <w:rPr>
          <w:b/>
        </w:rPr>
        <w:t xml:space="preserve"> </w:t>
      </w:r>
      <w:r w:rsidR="00F60E3F" w:rsidRPr="00F60E3F">
        <w:rPr>
          <w:rFonts w:eastAsia="Times New Roman" w:cs="Times New Roman"/>
          <w:b/>
          <w:bCs/>
          <w:color w:val="333333"/>
          <w:lang w:eastAsia="cs-CZ"/>
        </w:rPr>
        <w:t>TITDMZV930MT01</w:t>
      </w:r>
    </w:p>
    <w:p w14:paraId="397FD4C6" w14:textId="77777777" w:rsidR="00C60B8D" w:rsidRDefault="00C60B8D" w:rsidP="00F26C93">
      <w:pPr>
        <w:spacing w:before="120" w:after="0"/>
        <w:rPr>
          <w:b/>
        </w:rPr>
      </w:pPr>
    </w:p>
    <w:p w14:paraId="78128F4F" w14:textId="77777777" w:rsidR="003612F6" w:rsidRDefault="006F2F3B" w:rsidP="003612F6">
      <w:pPr>
        <w:spacing w:after="0" w:line="240" w:lineRule="auto"/>
      </w:pPr>
      <w:r>
        <w:rPr>
          <w:b/>
        </w:rPr>
        <w:t>Ř</w:t>
      </w:r>
      <w:r w:rsidR="002268E6" w:rsidRPr="00DA5E66">
        <w:rPr>
          <w:b/>
        </w:rPr>
        <w:t>ešitel projektu</w:t>
      </w:r>
      <w:r w:rsidR="002268E6">
        <w:t xml:space="preserve">: Vysoká škola </w:t>
      </w:r>
      <w:r w:rsidR="00F60E3F">
        <w:t>ekonomická</w:t>
      </w:r>
      <w:r w:rsidR="003612F6">
        <w:t xml:space="preserve"> v Praze</w:t>
      </w:r>
    </w:p>
    <w:p w14:paraId="7B10D2AA" w14:textId="77777777" w:rsidR="003612F6" w:rsidRDefault="003612F6" w:rsidP="003612F6">
      <w:pPr>
        <w:spacing w:after="0" w:line="240" w:lineRule="auto"/>
        <w:ind w:left="708" w:firstLine="708"/>
      </w:pPr>
      <w:r>
        <w:t xml:space="preserve">       Fakulta mezinárodních vztahů </w:t>
      </w:r>
    </w:p>
    <w:p w14:paraId="4F6EC575" w14:textId="77777777" w:rsidR="0056676D" w:rsidRDefault="003612F6" w:rsidP="003612F6">
      <w:pPr>
        <w:spacing w:after="0" w:line="240" w:lineRule="auto"/>
      </w:pPr>
      <w:r>
        <w:t xml:space="preserve">                                    náměstí W. Churchilla 4, 130 67 Praha 3</w:t>
      </w:r>
    </w:p>
    <w:p w14:paraId="679A0386" w14:textId="77777777" w:rsidR="00DA5E66" w:rsidRDefault="00DA5E66" w:rsidP="00F26C93">
      <w:pPr>
        <w:spacing w:before="120" w:after="0"/>
      </w:pPr>
      <w:r w:rsidRPr="00DA5E66">
        <w:rPr>
          <w:b/>
        </w:rPr>
        <w:t>Doba řešení:</w:t>
      </w:r>
      <w:r>
        <w:t xml:space="preserve"> 1.</w:t>
      </w:r>
      <w:r w:rsidR="00494673">
        <w:t xml:space="preserve"> </w:t>
      </w:r>
      <w:r>
        <w:t>10.</w:t>
      </w:r>
      <w:r w:rsidR="00494673">
        <w:t xml:space="preserve"> </w:t>
      </w:r>
      <w:r>
        <w:t>20</w:t>
      </w:r>
      <w:r w:rsidR="00F60E3F">
        <w:t>20</w:t>
      </w:r>
      <w:r>
        <w:t xml:space="preserve"> – </w:t>
      </w:r>
      <w:r w:rsidR="00F60E3F">
        <w:t>31</w:t>
      </w:r>
      <w:r>
        <w:t>.</w:t>
      </w:r>
      <w:r w:rsidR="00494673">
        <w:t xml:space="preserve"> </w:t>
      </w:r>
      <w:r w:rsidR="00FE1E90">
        <w:t>12</w:t>
      </w:r>
      <w:r>
        <w:t>.</w:t>
      </w:r>
      <w:r w:rsidR="00494673">
        <w:t xml:space="preserve"> </w:t>
      </w:r>
      <w:r>
        <w:t>20</w:t>
      </w:r>
      <w:r w:rsidR="00FE1E90">
        <w:t>20</w:t>
      </w:r>
    </w:p>
    <w:p w14:paraId="1A862CB5" w14:textId="77777777" w:rsidR="00DA5E66" w:rsidRDefault="008F547C" w:rsidP="00F26C93">
      <w:pPr>
        <w:spacing w:before="120" w:after="0"/>
      </w:pPr>
      <w:r w:rsidRPr="004B5295">
        <w:rPr>
          <w:b/>
        </w:rPr>
        <w:t>Důvěrnost a dostupnost</w:t>
      </w:r>
      <w:r w:rsidR="00010205">
        <w:t xml:space="preserve">: </w:t>
      </w:r>
      <w:r w:rsidR="006E20D0">
        <w:t>neklasifikováno</w:t>
      </w:r>
    </w:p>
    <w:p w14:paraId="286DED5A" w14:textId="77777777" w:rsidR="008F547C" w:rsidRDefault="008F547C" w:rsidP="00F26C93">
      <w:pPr>
        <w:spacing w:before="120" w:after="0"/>
      </w:pPr>
    </w:p>
    <w:p w14:paraId="1C37681E" w14:textId="77777777" w:rsidR="00DA5E66" w:rsidRDefault="00DA5E66" w:rsidP="00F26C93">
      <w:pPr>
        <w:spacing w:before="120" w:after="0"/>
      </w:pPr>
    </w:p>
    <w:p w14:paraId="14A2193F" w14:textId="77777777" w:rsidR="00DA5E66" w:rsidRDefault="00DA5E66" w:rsidP="00F26C93">
      <w:pPr>
        <w:spacing w:before="120" w:after="0"/>
      </w:pPr>
    </w:p>
    <w:p w14:paraId="29AF5144" w14:textId="77777777" w:rsidR="001071ED" w:rsidRDefault="001071ED" w:rsidP="00F26C93">
      <w:pPr>
        <w:spacing w:before="120" w:after="0"/>
      </w:pPr>
    </w:p>
    <w:p w14:paraId="45CD6D34" w14:textId="77777777" w:rsidR="00DA5E66" w:rsidRDefault="00DA5E66" w:rsidP="00F26C93">
      <w:pPr>
        <w:spacing w:before="120" w:after="0"/>
      </w:pPr>
    </w:p>
    <w:p w14:paraId="74E33303" w14:textId="77777777" w:rsidR="00DA5E66" w:rsidRDefault="00DA5E66" w:rsidP="00F26C93">
      <w:pPr>
        <w:spacing w:before="120" w:after="0"/>
      </w:pPr>
    </w:p>
    <w:p w14:paraId="4B28F319" w14:textId="77777777" w:rsidR="00DA5E66" w:rsidRDefault="00DA5E66" w:rsidP="00F26C93">
      <w:pPr>
        <w:spacing w:before="120" w:after="0"/>
      </w:pPr>
    </w:p>
    <w:p w14:paraId="7D02ED68" w14:textId="77777777" w:rsidR="00DA5E66" w:rsidRDefault="00DA5E66" w:rsidP="00F26C93">
      <w:pPr>
        <w:spacing w:before="120" w:after="0"/>
      </w:pPr>
    </w:p>
    <w:p w14:paraId="745A9B20" w14:textId="77777777" w:rsidR="00DA5E66" w:rsidRDefault="00DA5E66" w:rsidP="00F26C93">
      <w:pPr>
        <w:spacing w:before="120" w:after="0"/>
      </w:pPr>
    </w:p>
    <w:p w14:paraId="52FE0DA4" w14:textId="77777777" w:rsidR="00DA5E66" w:rsidRDefault="00DA5E66" w:rsidP="00F26C93">
      <w:pPr>
        <w:spacing w:before="120" w:after="0"/>
      </w:pPr>
    </w:p>
    <w:p w14:paraId="775E1F85" w14:textId="77777777" w:rsidR="00DA5E66" w:rsidRDefault="00DA5E66" w:rsidP="00F26C93">
      <w:pPr>
        <w:spacing w:before="120" w:after="0"/>
      </w:pPr>
    </w:p>
    <w:p w14:paraId="70EC3470" w14:textId="77777777" w:rsidR="00DA5E66" w:rsidRDefault="00DA5E66" w:rsidP="00F26C93">
      <w:pPr>
        <w:spacing w:before="120" w:after="0"/>
      </w:pPr>
    </w:p>
    <w:p w14:paraId="30A4A818" w14:textId="77777777" w:rsidR="00DA5E66" w:rsidRDefault="00DA5E66" w:rsidP="00F26C93">
      <w:pPr>
        <w:spacing w:before="120" w:after="0"/>
      </w:pPr>
    </w:p>
    <w:p w14:paraId="37D180DA" w14:textId="77777777" w:rsidR="00DA5E66" w:rsidRDefault="00DA5E66" w:rsidP="00F26C93">
      <w:pPr>
        <w:spacing w:before="120" w:after="0"/>
      </w:pPr>
    </w:p>
    <w:p w14:paraId="7B4906C1" w14:textId="77777777" w:rsidR="00DA5E66" w:rsidRDefault="00DA5E66" w:rsidP="00F26C93">
      <w:pPr>
        <w:spacing w:before="120" w:after="0"/>
      </w:pPr>
    </w:p>
    <w:p w14:paraId="3B9518F8" w14:textId="77777777" w:rsidR="00DA5E66" w:rsidRDefault="00DA5E66" w:rsidP="00F26C93">
      <w:pPr>
        <w:spacing w:before="120" w:after="0"/>
      </w:pPr>
    </w:p>
    <w:p w14:paraId="61EBA980" w14:textId="77777777" w:rsidR="00494673" w:rsidRDefault="00494673">
      <w:r>
        <w:br w:type="page"/>
      </w:r>
    </w:p>
    <w:p w14:paraId="28D27150" w14:textId="77777777" w:rsidR="00DA5E66" w:rsidRPr="003612F6" w:rsidRDefault="00DA5E66" w:rsidP="00F26C93">
      <w:pPr>
        <w:spacing w:before="120" w:after="0"/>
        <w:rPr>
          <w:b/>
        </w:rPr>
      </w:pPr>
      <w:r w:rsidRPr="0087743C">
        <w:rPr>
          <w:b/>
        </w:rPr>
        <w:lastRenderedPageBreak/>
        <w:t>Informace o autorském týmu</w:t>
      </w:r>
      <w:r w:rsidR="004B5295" w:rsidRPr="0087743C">
        <w:rPr>
          <w:b/>
        </w:rPr>
        <w:t>:</w:t>
      </w:r>
    </w:p>
    <w:p w14:paraId="2C51CD6D" w14:textId="77777777" w:rsidR="003612F6" w:rsidRDefault="003612F6" w:rsidP="003612F6">
      <w:pPr>
        <w:spacing w:before="120" w:after="0"/>
        <w:jc w:val="right"/>
      </w:pPr>
      <w:r>
        <w:rPr>
          <w:noProof/>
          <w:lang w:eastAsia="cs-CZ"/>
        </w:rPr>
        <w:drawing>
          <wp:inline distT="0" distB="0" distL="0" distR="0" wp14:anchorId="3A264CF6" wp14:editId="6A635274">
            <wp:extent cx="1501606" cy="1480457"/>
            <wp:effectExtent l="0" t="0" r="0" b="571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V_black_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1534185" cy="1512577"/>
                    </a:xfrm>
                    <a:prstGeom prst="rect">
                      <a:avLst/>
                    </a:prstGeom>
                  </pic:spPr>
                </pic:pic>
              </a:graphicData>
            </a:graphic>
          </wp:inline>
        </w:drawing>
      </w:r>
    </w:p>
    <w:p w14:paraId="59428D63" w14:textId="77777777" w:rsidR="00FE1E90" w:rsidRDefault="00FE1E90" w:rsidP="00F26C93">
      <w:pPr>
        <w:spacing w:before="120" w:after="0"/>
        <w:rPr>
          <w:noProof/>
        </w:rPr>
      </w:pPr>
    </w:p>
    <w:p w14:paraId="6936F10B" w14:textId="77777777" w:rsidR="00DA5E66" w:rsidRDefault="00FE1E90" w:rsidP="00F26C93">
      <w:pPr>
        <w:spacing w:before="120" w:after="0"/>
        <w:rPr>
          <w:noProof/>
          <w:lang w:eastAsia="cs-CZ"/>
        </w:rPr>
      </w:pPr>
      <w:r>
        <w:rPr>
          <w:noProof/>
        </w:rPr>
        <w:t>doc. Mgr. Ing. Štěpánka Zemanová, Ph.D.</w:t>
      </w:r>
      <w:r w:rsidR="001E4C24" w:rsidRPr="001E4C24">
        <w:rPr>
          <w:noProof/>
          <w:lang w:eastAsia="cs-CZ"/>
        </w:rPr>
        <w:t xml:space="preserve"> </w:t>
      </w:r>
      <w:r>
        <w:rPr>
          <w:noProof/>
          <w:lang w:eastAsia="cs-CZ"/>
        </w:rPr>
        <w:t>(vedoucí autorského týmu)</w:t>
      </w:r>
    </w:p>
    <w:p w14:paraId="7BCA2A47" w14:textId="77777777" w:rsidR="00FE1E90" w:rsidRDefault="00FE1E90" w:rsidP="00F26C93">
      <w:pPr>
        <w:spacing w:before="120" w:after="0"/>
        <w:rPr>
          <w:noProof/>
          <w:lang w:eastAsia="cs-CZ"/>
        </w:rPr>
      </w:pPr>
      <w:r>
        <w:rPr>
          <w:noProof/>
          <w:lang w:eastAsia="cs-CZ"/>
        </w:rPr>
        <w:t>Ing. Zbyněk Dubký, Ph.D.</w:t>
      </w:r>
    </w:p>
    <w:p w14:paraId="15C4EC98" w14:textId="77777777" w:rsidR="00FE1E90" w:rsidRDefault="00FE1E90" w:rsidP="00F26C93">
      <w:pPr>
        <w:spacing w:before="120" w:after="0"/>
        <w:rPr>
          <w:noProof/>
          <w:lang w:eastAsia="cs-CZ"/>
        </w:rPr>
      </w:pPr>
      <w:r>
        <w:rPr>
          <w:noProof/>
          <w:lang w:eastAsia="cs-CZ"/>
        </w:rPr>
        <w:t>doc. Ing. Martina Jiránková, Ph.D.</w:t>
      </w:r>
    </w:p>
    <w:p w14:paraId="3EB52E01" w14:textId="17F0F90C" w:rsidR="00FE1E90" w:rsidRDefault="00FE1E90" w:rsidP="00F26C93">
      <w:pPr>
        <w:spacing w:before="120" w:after="0"/>
        <w:rPr>
          <w:noProof/>
          <w:lang w:eastAsia="cs-CZ"/>
        </w:rPr>
      </w:pPr>
      <w:r>
        <w:rPr>
          <w:noProof/>
          <w:lang w:eastAsia="cs-CZ"/>
        </w:rPr>
        <w:t xml:space="preserve">Mgr. </w:t>
      </w:r>
      <w:r w:rsidR="00F650E6">
        <w:rPr>
          <w:noProof/>
          <w:lang w:eastAsia="cs-CZ"/>
        </w:rPr>
        <w:t xml:space="preserve">et Mgr. </w:t>
      </w:r>
      <w:r>
        <w:rPr>
          <w:noProof/>
          <w:lang w:eastAsia="cs-CZ"/>
        </w:rPr>
        <w:t>Lukáš Tichý, Ph.D.</w:t>
      </w:r>
    </w:p>
    <w:p w14:paraId="47B2AB56" w14:textId="77777777" w:rsidR="00FE1E90" w:rsidRDefault="00FE1E90" w:rsidP="00F26C93">
      <w:pPr>
        <w:spacing w:before="120" w:after="0"/>
        <w:rPr>
          <w:noProof/>
          <w:lang w:eastAsia="cs-CZ"/>
        </w:rPr>
      </w:pPr>
      <w:r>
        <w:rPr>
          <w:noProof/>
          <w:lang w:eastAsia="cs-CZ"/>
        </w:rPr>
        <w:t>Ayaz Zeynalov, M. A., Ph.D.</w:t>
      </w:r>
    </w:p>
    <w:p w14:paraId="2C63ED51" w14:textId="77777777" w:rsidR="00FE1E90" w:rsidRDefault="00FE1E90" w:rsidP="00F26C93">
      <w:pPr>
        <w:spacing w:before="120" w:after="0"/>
        <w:rPr>
          <w:noProof/>
        </w:rPr>
      </w:pPr>
    </w:p>
    <w:p w14:paraId="1094058F" w14:textId="77777777" w:rsidR="00DA5E66" w:rsidRDefault="00DA5E66" w:rsidP="00F26C93">
      <w:pPr>
        <w:spacing w:before="120" w:after="0"/>
        <w:rPr>
          <w:noProof/>
        </w:rPr>
      </w:pPr>
    </w:p>
    <w:p w14:paraId="19A5FD38" w14:textId="77777777" w:rsidR="00DA5E66" w:rsidRDefault="00DA5E66" w:rsidP="00F26C93">
      <w:pPr>
        <w:spacing w:before="120" w:after="0"/>
      </w:pPr>
    </w:p>
    <w:p w14:paraId="0FEFFEA6" w14:textId="77777777" w:rsidR="00DA5E66" w:rsidRDefault="00DA5E66" w:rsidP="00F26C93">
      <w:pPr>
        <w:spacing w:before="120" w:after="0"/>
      </w:pPr>
    </w:p>
    <w:p w14:paraId="0508EDB7" w14:textId="77777777" w:rsidR="00DA5E66" w:rsidRDefault="00DA5E66" w:rsidP="00F26C93">
      <w:pPr>
        <w:spacing w:before="120" w:after="0"/>
      </w:pPr>
    </w:p>
    <w:p w14:paraId="42943CED" w14:textId="77777777" w:rsidR="00DA5E66" w:rsidRDefault="00DA5E66" w:rsidP="00F26C93">
      <w:pPr>
        <w:spacing w:before="120" w:after="0"/>
      </w:pPr>
    </w:p>
    <w:p w14:paraId="4BF239D2" w14:textId="77777777" w:rsidR="00DA5E66" w:rsidRDefault="00010205" w:rsidP="00F26C93">
      <w:pPr>
        <w:spacing w:before="120" w:after="0"/>
        <w:rPr>
          <w:b/>
        </w:rPr>
      </w:pPr>
      <w:r>
        <w:rPr>
          <w:b/>
        </w:rPr>
        <w:t>Další inf</w:t>
      </w:r>
      <w:r w:rsidR="00DA5E66" w:rsidRPr="0087743C">
        <w:rPr>
          <w:b/>
        </w:rPr>
        <w:t>ormace</w:t>
      </w:r>
      <w:r w:rsidR="0028282F">
        <w:rPr>
          <w:b/>
        </w:rPr>
        <w:t xml:space="preserve"> o projektu</w:t>
      </w:r>
      <w:r w:rsidR="00494673" w:rsidRPr="0087743C">
        <w:rPr>
          <w:b/>
        </w:rPr>
        <w:t>:</w:t>
      </w:r>
    </w:p>
    <w:p w14:paraId="26A11272" w14:textId="4FDA4489" w:rsidR="005B31F1" w:rsidRPr="00637B24" w:rsidRDefault="005B31F1" w:rsidP="005B31F1">
      <w:pPr>
        <w:autoSpaceDE w:val="0"/>
        <w:autoSpaceDN w:val="0"/>
        <w:adjustRightInd w:val="0"/>
        <w:spacing w:after="0"/>
        <w:ind w:firstLine="708"/>
        <w:jc w:val="both"/>
        <w:rPr>
          <w:rStyle w:val="tlid-translation"/>
          <w:rFonts w:cs="Times New Roman"/>
        </w:rPr>
      </w:pPr>
      <w:r w:rsidRPr="00637B24">
        <w:rPr>
          <w:rFonts w:eastAsia="TimesCE-Roman" w:cs="Times New Roman"/>
        </w:rPr>
        <w:t xml:space="preserve">Cílem řešení projektu </w:t>
      </w:r>
      <w:r w:rsidR="00637B24">
        <w:rPr>
          <w:rFonts w:eastAsia="TimesCE-Roman" w:cs="Times New Roman"/>
        </w:rPr>
        <w:t>je</w:t>
      </w:r>
      <w:r w:rsidRPr="00637B24">
        <w:rPr>
          <w:rFonts w:eastAsia="TimesCE-Roman" w:cs="Times New Roman"/>
        </w:rPr>
        <w:t xml:space="preserve"> identifikace pravděpodobných politických, ekonomických, případně sociálních dopadů vývoje trhu s ropou (resp. poklesu ceny ropy) na ekonomiky těch států v okolí EU, které jsou závislé na vývozu energetických surovin na evropský kontinent. S ohledem na specifické potřeby české zahraniční politiky </w:t>
      </w:r>
      <w:r w:rsidR="00637B24">
        <w:rPr>
          <w:rFonts w:eastAsia="TimesCE-Roman" w:cs="Times New Roman"/>
        </w:rPr>
        <w:t>je</w:t>
      </w:r>
      <w:r w:rsidRPr="00637B24">
        <w:rPr>
          <w:rFonts w:eastAsia="TimesCE-Roman" w:cs="Times New Roman"/>
        </w:rPr>
        <w:t xml:space="preserve"> důraz kladen zejména klíčové regiony Blízkého východu a severní Afriky (MENA), Ruské federace a Střední </w:t>
      </w:r>
      <w:r w:rsidR="00914AB1" w:rsidRPr="00637B24">
        <w:rPr>
          <w:rFonts w:eastAsia="TimesCE-Roman" w:cs="Times New Roman"/>
        </w:rPr>
        <w:t>Asi</w:t>
      </w:r>
      <w:r w:rsidR="00914AB1">
        <w:rPr>
          <w:rFonts w:eastAsia="TimesCE-Roman" w:cs="Times New Roman"/>
        </w:rPr>
        <w:t>e</w:t>
      </w:r>
      <w:r w:rsidRPr="00637B24">
        <w:rPr>
          <w:rFonts w:eastAsia="TimesCE-Roman" w:cs="Times New Roman"/>
        </w:rPr>
        <w:t xml:space="preserve">. Podrobnější analýza </w:t>
      </w:r>
      <w:r w:rsidR="00637B24">
        <w:rPr>
          <w:rFonts w:eastAsia="TimesCE-Roman" w:cs="Times New Roman"/>
        </w:rPr>
        <w:t>je</w:t>
      </w:r>
      <w:r w:rsidRPr="00637B24">
        <w:rPr>
          <w:rFonts w:eastAsia="TimesCE-Roman" w:cs="Times New Roman"/>
        </w:rPr>
        <w:t xml:space="preserve"> provedena pro Ruskou federaci a Ázerbájdžán, jakožto hlavní partnery České republiky v dovozu ropy, jejichž (ne)stabilita má současně signifikantní dopady na evropský kontinent. Z časového hlediska </w:t>
      </w:r>
      <w:r w:rsidR="00637B24">
        <w:rPr>
          <w:rFonts w:eastAsia="TimesCE-Roman" w:cs="Times New Roman"/>
        </w:rPr>
        <w:t>projekt sleduje</w:t>
      </w:r>
      <w:r w:rsidRPr="00637B24">
        <w:rPr>
          <w:rFonts w:eastAsia="TimesCE-Roman" w:cs="Times New Roman"/>
        </w:rPr>
        <w:t xml:space="preserve"> </w:t>
      </w:r>
      <w:r w:rsidR="00637B24">
        <w:rPr>
          <w:rFonts w:eastAsia="TimesCE-Roman" w:cs="Times New Roman"/>
        </w:rPr>
        <w:t>výlučně</w:t>
      </w:r>
      <w:r w:rsidRPr="00637B24">
        <w:rPr>
          <w:rFonts w:eastAsia="TimesCE-Roman" w:cs="Times New Roman"/>
        </w:rPr>
        <w:t xml:space="preserve"> důsledky poklesu c</w:t>
      </w:r>
      <w:r w:rsidRPr="00637B24">
        <w:rPr>
          <w:rStyle w:val="tlid-translation"/>
          <w:rFonts w:cs="Times New Roman"/>
        </w:rPr>
        <w:t xml:space="preserve">eny ropy v roce 2020, způsobené dvěma významnými silami: cenovou válkou mezi Ruskem a Saúdskou Arábií na straně nabídky a prudkým globálním ekonomickým poklesem vyvolaným mimo jiné pandemií COVID-19 na straně poptávky. </w:t>
      </w:r>
    </w:p>
    <w:p w14:paraId="0C4D5B23" w14:textId="77777777" w:rsidR="004B5295" w:rsidRDefault="004B5295" w:rsidP="00F26C93">
      <w:pPr>
        <w:spacing w:before="120" w:after="0"/>
      </w:pPr>
    </w:p>
    <w:p w14:paraId="0EADF847" w14:textId="77777777" w:rsidR="004B5295" w:rsidRDefault="004B5295" w:rsidP="00F26C93">
      <w:pPr>
        <w:spacing w:before="120" w:after="0"/>
      </w:pPr>
    </w:p>
    <w:p w14:paraId="431A75DD" w14:textId="77777777" w:rsidR="00BB30B9" w:rsidRDefault="00BB30B9" w:rsidP="00F26C93">
      <w:pPr>
        <w:spacing w:before="120" w:after="0"/>
        <w:rPr>
          <w:b/>
        </w:rPr>
      </w:pPr>
    </w:p>
    <w:p w14:paraId="6928705B" w14:textId="77777777" w:rsidR="0028282F" w:rsidRDefault="0028282F" w:rsidP="00F26C93">
      <w:pPr>
        <w:spacing w:before="120" w:after="0"/>
      </w:pPr>
    </w:p>
    <w:p w14:paraId="4F6B416D" w14:textId="77777777" w:rsidR="00BB30B9" w:rsidRDefault="00BB30B9" w:rsidP="00F26C93">
      <w:pPr>
        <w:spacing w:before="120" w:after="0"/>
      </w:pPr>
    </w:p>
    <w:p w14:paraId="60B9E1CA" w14:textId="77777777" w:rsidR="00BB30B9" w:rsidRDefault="00BB30B9" w:rsidP="00F26C93">
      <w:pPr>
        <w:spacing w:before="120" w:after="0"/>
      </w:pPr>
    </w:p>
    <w:p w14:paraId="5617F180" w14:textId="77777777" w:rsidR="00BB30B9" w:rsidRDefault="00BB30B9" w:rsidP="00F26C93">
      <w:pPr>
        <w:spacing w:before="120" w:after="0"/>
      </w:pPr>
    </w:p>
    <w:p w14:paraId="6F98A3A6" w14:textId="77777777" w:rsidR="00BB30B9" w:rsidRDefault="00BB30B9" w:rsidP="00F26C93">
      <w:pPr>
        <w:spacing w:before="120" w:after="0"/>
      </w:pPr>
    </w:p>
    <w:p w14:paraId="4DCB0393" w14:textId="77777777" w:rsidR="00BB30B9" w:rsidRDefault="00BB30B9" w:rsidP="00F26C93">
      <w:pPr>
        <w:spacing w:before="120" w:after="0"/>
      </w:pPr>
    </w:p>
    <w:p w14:paraId="00550A61" w14:textId="77777777" w:rsidR="00BB30B9" w:rsidRDefault="00BB30B9" w:rsidP="00F26C93">
      <w:pPr>
        <w:spacing w:before="120" w:after="0"/>
      </w:pPr>
    </w:p>
    <w:p w14:paraId="597BD4E6" w14:textId="77777777" w:rsidR="00BB30B9" w:rsidRDefault="00BB30B9" w:rsidP="0087743C">
      <w:pPr>
        <w:spacing w:before="120" w:after="0"/>
      </w:pPr>
    </w:p>
    <w:p w14:paraId="7EA35518" w14:textId="77777777" w:rsidR="00010205" w:rsidRDefault="00010205" w:rsidP="0087743C">
      <w:pPr>
        <w:spacing w:before="120" w:after="0"/>
      </w:pPr>
    </w:p>
    <w:p w14:paraId="5B046444" w14:textId="77777777" w:rsidR="0087743C" w:rsidRDefault="0087743C" w:rsidP="0087743C">
      <w:pPr>
        <w:spacing w:before="120" w:after="0"/>
      </w:pPr>
    </w:p>
    <w:p w14:paraId="528769EE" w14:textId="77777777" w:rsidR="0087743C" w:rsidRDefault="0087743C" w:rsidP="0087743C">
      <w:pPr>
        <w:spacing w:before="120" w:after="0"/>
      </w:pPr>
    </w:p>
    <w:p w14:paraId="2FF7B883" w14:textId="77777777" w:rsidR="0087743C" w:rsidRDefault="0087743C" w:rsidP="006F2F3B">
      <w:pPr>
        <w:spacing w:before="120" w:after="0"/>
      </w:pPr>
    </w:p>
    <w:p w14:paraId="4D6E4664" w14:textId="77777777" w:rsidR="00010205" w:rsidRDefault="00010205" w:rsidP="00F26C93">
      <w:pPr>
        <w:spacing w:before="120" w:after="0"/>
      </w:pPr>
    </w:p>
    <w:p w14:paraId="1A8F4B23" w14:textId="77777777" w:rsidR="00BB30B9" w:rsidRDefault="006B69B0" w:rsidP="0028282F">
      <w:r>
        <w:rPr>
          <w:noProof/>
          <w:lang w:eastAsia="cs-CZ"/>
        </w:rPr>
        <w:drawing>
          <wp:anchor distT="0" distB="0" distL="114300" distR="114300" simplePos="0" relativeHeight="251664384" behindDoc="0" locked="0" layoutInCell="1" allowOverlap="1" wp14:anchorId="7F5F2B37" wp14:editId="0109DF96">
            <wp:simplePos x="0" y="0"/>
            <wp:positionH relativeFrom="margin">
              <wp:posOffset>51435</wp:posOffset>
            </wp:positionH>
            <wp:positionV relativeFrom="margin">
              <wp:posOffset>7232015</wp:posOffset>
            </wp:positionV>
            <wp:extent cx="647700" cy="647700"/>
            <wp:effectExtent l="0" t="0" r="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d_wh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Pr>
          <w:noProof/>
          <w:lang w:eastAsia="cs-CZ"/>
        </w:rPr>
        <mc:AlternateContent>
          <mc:Choice Requires="wps">
            <w:drawing>
              <wp:anchor distT="0" distB="0" distL="114300" distR="114300" simplePos="0" relativeHeight="251663360" behindDoc="0" locked="0" layoutInCell="1" allowOverlap="1" wp14:anchorId="72D321AE" wp14:editId="28C00627">
                <wp:simplePos x="0" y="0"/>
                <wp:positionH relativeFrom="column">
                  <wp:posOffset>918210</wp:posOffset>
                </wp:positionH>
                <wp:positionV relativeFrom="paragraph">
                  <wp:posOffset>353060</wp:posOffset>
                </wp:positionV>
                <wp:extent cx="5238750" cy="942975"/>
                <wp:effectExtent l="0" t="0" r="0" b="9525"/>
                <wp:wrapNone/>
                <wp:docPr id="3" name="Textové pole 3"/>
                <wp:cNvGraphicFramePr/>
                <a:graphic xmlns:a="http://schemas.openxmlformats.org/drawingml/2006/main">
                  <a:graphicData uri="http://schemas.microsoft.com/office/word/2010/wordprocessingShape">
                    <wps:wsp>
                      <wps:cNvSpPr txBox="1"/>
                      <wps:spPr>
                        <a:xfrm>
                          <a:off x="0" y="0"/>
                          <a:ext cx="5238750" cy="942975"/>
                        </a:xfrm>
                        <a:prstGeom prst="rect">
                          <a:avLst/>
                        </a:prstGeom>
                        <a:solidFill>
                          <a:schemeClr val="lt1"/>
                        </a:solidFill>
                        <a:ln w="6350">
                          <a:noFill/>
                        </a:ln>
                      </wps:spPr>
                      <wps:txbx>
                        <w:txbxContent>
                          <w:p w14:paraId="5C73625D" w14:textId="77777777" w:rsidR="00DA5BF3" w:rsidRPr="009D68AC" w:rsidRDefault="00DA5BF3" w:rsidP="0028282F">
                            <w:pPr>
                              <w:pStyle w:val="BodyTextLeftJustifyBODYTEXT"/>
                              <w:spacing w:line="240" w:lineRule="auto"/>
                              <w:rPr>
                                <w:rFonts w:ascii="Cambria" w:hAnsi="Cambria" w:cs="HurmeGeometricSans4 Regular"/>
                                <w:sz w:val="21"/>
                                <w:szCs w:val="21"/>
                                <w:lang w:val="cs-CZ"/>
                              </w:rPr>
                            </w:pPr>
                            <w:r w:rsidRPr="009D68AC">
                              <w:rPr>
                                <w:rFonts w:ascii="Cambria" w:hAnsi="Cambria" w:cs="HurmeGeometricSans4 Regular"/>
                                <w:sz w:val="21"/>
                                <w:szCs w:val="21"/>
                                <w:lang w:val="cs-CZ"/>
                              </w:rPr>
                              <w:t xml:space="preserve">Program veřejných zakázek v aplikovaném výzkumu a inovacích pro potřeby státní správy BETA2 byl schválen usnesením vlády České republiky č. 278 ze dne 30. 3. 2016 </w:t>
                            </w:r>
                            <w:r w:rsidRPr="009D68AC">
                              <w:rPr>
                                <w:rFonts w:ascii="Cambria" w:hAnsi="Cambria" w:cs="HurmeGeometricSans4 Regular"/>
                                <w:sz w:val="21"/>
                                <w:szCs w:val="21"/>
                                <w:lang w:val="cs-CZ"/>
                              </w:rPr>
                              <w:br/>
                              <w:t>a je zaměřen na podporu aplikovaného výzkumu a inovací pro potřeby orgánů státní správy. Poskytovatelem finančních prostředků je Technologická agentura ČR.</w:t>
                            </w:r>
                          </w:p>
                          <w:p w14:paraId="51916B0B" w14:textId="77777777" w:rsidR="00DA5BF3" w:rsidRDefault="00DA5B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D321AE" id="_x0000_t202" coordsize="21600,21600" o:spt="202" path="m,l,21600r21600,l21600,xe">
                <v:stroke joinstyle="miter"/>
                <v:path gradientshapeok="t" o:connecttype="rect"/>
              </v:shapetype>
              <v:shape id="Textové pole 3" o:spid="_x0000_s1026" type="#_x0000_t202" style="position:absolute;margin-left:72.3pt;margin-top:27.8pt;width:412.5pt;height:7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" fillcolor="white [3201]" stroked="f" strokeweight=".5pt">
                <v:textbox>
                  <w:txbxContent>
                    <w:p w14:paraId="5C73625D" w14:textId="77777777" w:rsidR="00DA5BF3" w:rsidRPr="009D68AC" w:rsidRDefault="00DA5BF3" w:rsidP="0028282F">
                      <w:pPr>
                        <w:pStyle w:val="BodyTextLeftJustifyBODYTEXT"/>
                        <w:spacing w:line="240" w:lineRule="auto"/>
                        <w:rPr>
                          <w:rFonts w:ascii="Cambria" w:hAnsi="Cambria" w:cs="HurmeGeometricSans4 Regular"/>
                          <w:sz w:val="21"/>
                          <w:szCs w:val="21"/>
                          <w:lang w:val="cs-CZ"/>
                        </w:rPr>
                      </w:pPr>
                      <w:r w:rsidRPr="009D68AC">
                        <w:rPr>
                          <w:rFonts w:ascii="Cambria" w:hAnsi="Cambria" w:cs="HurmeGeometricSans4 Regular"/>
                          <w:sz w:val="21"/>
                          <w:szCs w:val="21"/>
                          <w:lang w:val="cs-CZ"/>
                        </w:rPr>
                        <w:t xml:space="preserve">Program veřejných zakázek v aplikovaném výzkumu a inovacích pro potřeby státní správy BETA2 byl schválen usnesením vlády České republiky č. 278 ze dne 30. 3. 2016 </w:t>
                      </w:r>
                      <w:r w:rsidRPr="009D68AC">
                        <w:rPr>
                          <w:rFonts w:ascii="Cambria" w:hAnsi="Cambria" w:cs="HurmeGeometricSans4 Regular"/>
                          <w:sz w:val="21"/>
                          <w:szCs w:val="21"/>
                          <w:lang w:val="cs-CZ"/>
                        </w:rPr>
                        <w:br/>
                        <w:t>a je zaměřen na podporu aplikovaného výzkumu a inovací pro potřeby orgánů státní správy. Poskytovatelem finančních prostředků je Technologická agentura ČR.</w:t>
                      </w:r>
                    </w:p>
                    <w:p w14:paraId="51916B0B" w14:textId="77777777" w:rsidR="00DA5BF3" w:rsidRDefault="00DA5BF3"/>
                  </w:txbxContent>
                </v:textbox>
              </v:shape>
            </w:pict>
          </mc:Fallback>
        </mc:AlternateContent>
      </w:r>
      <w:r w:rsidR="00BB30B9">
        <w:br w:type="page"/>
      </w:r>
    </w:p>
    <w:p w14:paraId="773B5C39" w14:textId="77777777" w:rsidR="0065593E" w:rsidRPr="0082653F" w:rsidRDefault="0065593E" w:rsidP="00DA5BF3">
      <w:pPr>
        <w:pStyle w:val="Nadpis2"/>
        <w:spacing w:before="0" w:after="100" w:afterAutospacing="1"/>
      </w:pPr>
      <w:r w:rsidRPr="0082653F">
        <w:lastRenderedPageBreak/>
        <w:t>Exekutivní shrnutí</w:t>
      </w:r>
    </w:p>
    <w:p w14:paraId="77872308" w14:textId="4C8191D7" w:rsidR="00AF13BB" w:rsidRPr="00DC5835" w:rsidRDefault="00AF13BB" w:rsidP="008975FE">
      <w:pPr>
        <w:pStyle w:val="Odstavecseseznamem"/>
        <w:spacing w:after="100" w:afterAutospacing="1" w:line="240" w:lineRule="auto"/>
        <w:ind w:left="0"/>
        <w:jc w:val="both"/>
        <w:rPr>
          <w:rFonts w:ascii="Cambria" w:hAnsi="Cambria" w:cstheme="minorHAnsi"/>
          <w:sz w:val="24"/>
          <w:szCs w:val="24"/>
        </w:rPr>
      </w:pPr>
      <w:r w:rsidRPr="00DC5835">
        <w:rPr>
          <w:rFonts w:ascii="Cambria" w:hAnsi="Cambria" w:cstheme="minorHAnsi"/>
          <w:sz w:val="24"/>
          <w:szCs w:val="24"/>
        </w:rPr>
        <w:t>Na jaře roku 2020 došlo v důsledku unikátní kombinace výrazné nadprodukce ropy a poptávkového šoku k největšímu propadu ceny ropy na světových trzích od roku 1991.</w:t>
      </w:r>
      <w:r w:rsidR="0099425B" w:rsidRPr="00DC5835">
        <w:rPr>
          <w:rFonts w:ascii="Cambria" w:hAnsi="Cambria" w:cstheme="minorHAnsi"/>
          <w:sz w:val="24"/>
          <w:szCs w:val="24"/>
        </w:rPr>
        <w:t xml:space="preserve"> Efekt tohoto propadu byl dále posílen restriktivními opatřeními zaváděnými v důsledku pandemie COVID-19, která zpomalovala ekonomický růst a brzdila i poptávku po ropě. Studie sleduje pravděpodobné politické, ekonomické, případně sociálních dopady související s tímto vývojem. S ohledem na specifické potřeby ČR se soustředí zejména na klíčové producentské regiony Blízkého východu a severní Afriky (MENA), Ruské federace a Střední Asie. Přitom využívá kombinaci různých teoretických a metodologických přístupů, jakož i metod kvalitativního a kvantitativního výzkumu.</w:t>
      </w:r>
    </w:p>
    <w:p w14:paraId="02B1CCA4" w14:textId="7E9021CD" w:rsidR="0099425B" w:rsidRPr="00DC5835" w:rsidRDefault="0099425B" w:rsidP="00DC5835">
      <w:pPr>
        <w:spacing w:after="100" w:afterAutospacing="1" w:line="240" w:lineRule="auto"/>
        <w:ind w:firstLine="708"/>
        <w:jc w:val="both"/>
        <w:rPr>
          <w:rFonts w:cstheme="minorHAnsi"/>
          <w:sz w:val="24"/>
          <w:szCs w:val="24"/>
        </w:rPr>
      </w:pPr>
      <w:r w:rsidRPr="00DC5835">
        <w:rPr>
          <w:rFonts w:ascii="Cambria" w:hAnsi="Cambria"/>
          <w:color w:val="000000" w:themeColor="text1"/>
          <w:sz w:val="24"/>
          <w:szCs w:val="24"/>
          <w:shd w:val="clear" w:color="auto" w:fill="FFFFFF"/>
        </w:rPr>
        <w:t xml:space="preserve">Ukazuje, že v rámci regionu MENA </w:t>
      </w:r>
      <w:r w:rsidR="00336952" w:rsidRPr="00DC5835">
        <w:rPr>
          <w:rFonts w:ascii="Cambria" w:hAnsi="Cambria"/>
          <w:color w:val="000000" w:themeColor="text1"/>
          <w:sz w:val="24"/>
          <w:szCs w:val="24"/>
          <w:shd w:val="clear" w:color="auto" w:fill="FFFFFF"/>
        </w:rPr>
        <w:t>jsou v případě zemí produkujících ropu efekty</w:t>
      </w:r>
      <w:r w:rsidRPr="00DC5835">
        <w:rPr>
          <w:rFonts w:ascii="Cambria" w:hAnsi="Cambria"/>
          <w:color w:val="000000" w:themeColor="text1"/>
          <w:sz w:val="24"/>
          <w:szCs w:val="24"/>
          <w:shd w:val="clear" w:color="auto" w:fill="FFFFFF"/>
        </w:rPr>
        <w:t xml:space="preserve"> dle očekávání negativní</w:t>
      </w:r>
      <w:r w:rsidR="00336952" w:rsidRPr="00DC5835">
        <w:rPr>
          <w:rFonts w:ascii="Cambria" w:hAnsi="Cambria"/>
          <w:color w:val="000000" w:themeColor="text1"/>
          <w:sz w:val="24"/>
          <w:szCs w:val="24"/>
          <w:shd w:val="clear" w:color="auto" w:fill="FFFFFF"/>
        </w:rPr>
        <w:t xml:space="preserve"> a </w:t>
      </w:r>
      <w:r w:rsidR="00336952" w:rsidRPr="00DC5835">
        <w:rPr>
          <w:rFonts w:ascii="Cambria" w:hAnsi="Cambria"/>
          <w:sz w:val="24"/>
          <w:szCs w:val="24"/>
        </w:rPr>
        <w:t xml:space="preserve">makroekonomická nestabilita </w:t>
      </w:r>
      <w:r w:rsidR="004248E4">
        <w:rPr>
          <w:rFonts w:ascii="Cambria" w:hAnsi="Cambria"/>
          <w:sz w:val="24"/>
          <w:szCs w:val="24"/>
        </w:rPr>
        <w:t>může mít</w:t>
      </w:r>
      <w:r w:rsidR="00336952" w:rsidRPr="00DC5835">
        <w:rPr>
          <w:rFonts w:ascii="Cambria" w:hAnsi="Cambria"/>
          <w:sz w:val="24"/>
          <w:szCs w:val="24"/>
        </w:rPr>
        <w:t xml:space="preserve"> tendenci se přelévat do nestability politické a sociální.</w:t>
      </w:r>
      <w:r w:rsidR="00336952" w:rsidRPr="00DC5835">
        <w:rPr>
          <w:rFonts w:ascii="Cambria" w:hAnsi="Cambria"/>
          <w:color w:val="000000" w:themeColor="text1"/>
          <w:sz w:val="24"/>
          <w:szCs w:val="24"/>
          <w:shd w:val="clear" w:color="auto" w:fill="FFFFFF"/>
        </w:rPr>
        <w:t xml:space="preserve"> </w:t>
      </w:r>
      <w:r w:rsidRPr="00DC5835">
        <w:rPr>
          <w:rFonts w:ascii="Cambria" w:hAnsi="Cambria"/>
          <w:color w:val="000000" w:themeColor="text1"/>
          <w:sz w:val="24"/>
          <w:szCs w:val="24"/>
          <w:shd w:val="clear" w:color="auto" w:fill="FFFFFF"/>
        </w:rPr>
        <w:t xml:space="preserve">Mezi </w:t>
      </w:r>
      <w:r w:rsidR="00336952" w:rsidRPr="00DC5835">
        <w:rPr>
          <w:rFonts w:ascii="Cambria" w:hAnsi="Cambria"/>
          <w:color w:val="000000" w:themeColor="text1"/>
          <w:sz w:val="24"/>
          <w:szCs w:val="24"/>
          <w:shd w:val="clear" w:color="auto" w:fill="FFFFFF"/>
        </w:rPr>
        <w:t>státy</w:t>
      </w:r>
      <w:r w:rsidRPr="00DC5835">
        <w:rPr>
          <w:rFonts w:ascii="Cambria" w:hAnsi="Cambria"/>
          <w:color w:val="000000" w:themeColor="text1"/>
          <w:sz w:val="24"/>
          <w:szCs w:val="24"/>
          <w:shd w:val="clear" w:color="auto" w:fill="FFFFFF"/>
        </w:rPr>
        <w:t xml:space="preserve"> však existují podstatné rozdíly</w:t>
      </w:r>
      <w:r w:rsidR="008975FE">
        <w:rPr>
          <w:rFonts w:ascii="Cambria" w:hAnsi="Cambria"/>
          <w:color w:val="000000" w:themeColor="text1"/>
          <w:sz w:val="24"/>
          <w:szCs w:val="24"/>
          <w:shd w:val="clear" w:color="auto" w:fill="FFFFFF"/>
        </w:rPr>
        <w:t>. D</w:t>
      </w:r>
      <w:r w:rsidR="00336952" w:rsidRPr="00DC5835">
        <w:rPr>
          <w:rFonts w:ascii="Cambria" w:hAnsi="Cambria"/>
          <w:color w:val="000000" w:themeColor="text1"/>
          <w:sz w:val="24"/>
          <w:szCs w:val="24"/>
          <w:shd w:val="clear" w:color="auto" w:fill="FFFFFF"/>
        </w:rPr>
        <w:t>opad poklesu</w:t>
      </w:r>
      <w:r w:rsidRPr="00DC5835">
        <w:rPr>
          <w:rFonts w:ascii="Cambria" w:hAnsi="Cambria"/>
          <w:color w:val="000000" w:themeColor="text1"/>
          <w:sz w:val="24"/>
          <w:szCs w:val="24"/>
          <w:shd w:val="clear" w:color="auto" w:fill="FFFFFF"/>
        </w:rPr>
        <w:t xml:space="preserve"> cen ropy </w:t>
      </w:r>
      <w:r w:rsidR="008975FE">
        <w:rPr>
          <w:rFonts w:ascii="Cambria" w:hAnsi="Cambria"/>
          <w:color w:val="000000" w:themeColor="text1"/>
          <w:sz w:val="24"/>
          <w:szCs w:val="24"/>
          <w:shd w:val="clear" w:color="auto" w:fill="FFFFFF"/>
        </w:rPr>
        <w:t>se odvíjí od</w:t>
      </w:r>
      <w:r w:rsidRPr="00DC5835">
        <w:rPr>
          <w:rFonts w:ascii="Cambria" w:hAnsi="Cambria"/>
          <w:color w:val="000000" w:themeColor="text1"/>
          <w:sz w:val="24"/>
          <w:szCs w:val="24"/>
          <w:shd w:val="clear" w:color="auto" w:fill="FFFFFF"/>
        </w:rPr>
        <w:t xml:space="preserve"> stupn</w:t>
      </w:r>
      <w:r w:rsidR="008975FE">
        <w:rPr>
          <w:rFonts w:ascii="Cambria" w:hAnsi="Cambria"/>
          <w:color w:val="000000" w:themeColor="text1"/>
          <w:sz w:val="24"/>
          <w:szCs w:val="24"/>
          <w:shd w:val="clear" w:color="auto" w:fill="FFFFFF"/>
        </w:rPr>
        <w:t>ě</w:t>
      </w:r>
      <w:r w:rsidRPr="00DC5835">
        <w:rPr>
          <w:rFonts w:ascii="Cambria" w:hAnsi="Cambria"/>
          <w:color w:val="000000" w:themeColor="text1"/>
          <w:sz w:val="24"/>
          <w:szCs w:val="24"/>
          <w:shd w:val="clear" w:color="auto" w:fill="FFFFFF"/>
        </w:rPr>
        <w:t xml:space="preserve"> závislosti země na vývozech ropy a dále </w:t>
      </w:r>
      <w:r w:rsidR="008975FE">
        <w:rPr>
          <w:rFonts w:ascii="Cambria" w:hAnsi="Cambria"/>
          <w:color w:val="000000" w:themeColor="text1"/>
          <w:sz w:val="24"/>
          <w:szCs w:val="24"/>
          <w:shd w:val="clear" w:color="auto" w:fill="FFFFFF"/>
        </w:rPr>
        <w:t>od toho</w:t>
      </w:r>
      <w:r w:rsidRPr="00DC5835">
        <w:rPr>
          <w:rFonts w:ascii="Cambria" w:hAnsi="Cambria"/>
          <w:color w:val="000000" w:themeColor="text1"/>
          <w:sz w:val="24"/>
          <w:szCs w:val="24"/>
          <w:shd w:val="clear" w:color="auto" w:fill="FFFFFF"/>
        </w:rPr>
        <w:t xml:space="preserve">, jaká část příjmů z ropy </w:t>
      </w:r>
      <w:r w:rsidR="00336952" w:rsidRPr="00DC5835">
        <w:rPr>
          <w:rFonts w:ascii="Cambria" w:hAnsi="Cambria"/>
          <w:color w:val="000000" w:themeColor="text1"/>
          <w:sz w:val="24"/>
          <w:szCs w:val="24"/>
          <w:shd w:val="clear" w:color="auto" w:fill="FFFFFF"/>
        </w:rPr>
        <w:t>připadá státu</w:t>
      </w:r>
      <w:r w:rsidR="008975FE">
        <w:rPr>
          <w:rFonts w:ascii="Cambria" w:hAnsi="Cambria"/>
          <w:color w:val="000000" w:themeColor="text1"/>
          <w:sz w:val="24"/>
          <w:szCs w:val="24"/>
          <w:shd w:val="clear" w:color="auto" w:fill="FFFFFF"/>
        </w:rPr>
        <w:t>.</w:t>
      </w:r>
      <w:r w:rsidR="00336952" w:rsidRPr="00DC5835">
        <w:rPr>
          <w:rFonts w:ascii="Cambria" w:hAnsi="Cambria"/>
          <w:color w:val="000000" w:themeColor="text1"/>
          <w:sz w:val="24"/>
          <w:szCs w:val="24"/>
          <w:shd w:val="clear" w:color="auto" w:fill="FFFFFF"/>
        </w:rPr>
        <w:t xml:space="preserve"> </w:t>
      </w:r>
      <w:r w:rsidR="008975FE">
        <w:rPr>
          <w:rFonts w:ascii="Cambria" w:hAnsi="Cambria"/>
          <w:color w:val="000000" w:themeColor="text1"/>
          <w:sz w:val="24"/>
          <w:szCs w:val="24"/>
          <w:shd w:val="clear" w:color="auto" w:fill="FFFFFF"/>
        </w:rPr>
        <w:t>T</w:t>
      </w:r>
      <w:r w:rsidR="00336952" w:rsidRPr="00DC5835">
        <w:rPr>
          <w:rFonts w:ascii="Cambria" w:hAnsi="Cambria"/>
          <w:color w:val="000000" w:themeColor="text1"/>
          <w:sz w:val="24"/>
          <w:szCs w:val="24"/>
          <w:shd w:val="clear" w:color="auto" w:fill="FFFFFF"/>
        </w:rPr>
        <w:t>oto</w:t>
      </w:r>
      <w:r w:rsidR="008975FE">
        <w:rPr>
          <w:rFonts w:ascii="Cambria" w:hAnsi="Cambria"/>
          <w:color w:val="000000" w:themeColor="text1"/>
          <w:sz w:val="24"/>
          <w:szCs w:val="24"/>
          <w:shd w:val="clear" w:color="auto" w:fill="FFFFFF"/>
        </w:rPr>
        <w:t xml:space="preserve"> studie</w:t>
      </w:r>
      <w:r w:rsidRPr="00DC5835">
        <w:rPr>
          <w:rFonts w:ascii="Cambria" w:hAnsi="Cambria"/>
          <w:color w:val="000000" w:themeColor="text1"/>
          <w:sz w:val="24"/>
          <w:szCs w:val="24"/>
          <w:shd w:val="clear" w:color="auto" w:fill="FFFFFF"/>
        </w:rPr>
        <w:t xml:space="preserve"> ilustr</w:t>
      </w:r>
      <w:r w:rsidR="00336952" w:rsidRPr="00DC5835">
        <w:rPr>
          <w:rFonts w:ascii="Cambria" w:hAnsi="Cambria"/>
          <w:color w:val="000000" w:themeColor="text1"/>
          <w:sz w:val="24"/>
          <w:szCs w:val="24"/>
          <w:shd w:val="clear" w:color="auto" w:fill="FFFFFF"/>
        </w:rPr>
        <w:t>uje mj. prostřednictvím</w:t>
      </w:r>
      <w:r w:rsidRPr="00DC5835">
        <w:rPr>
          <w:rFonts w:ascii="Cambria" w:hAnsi="Cambria"/>
          <w:color w:val="000000" w:themeColor="text1"/>
          <w:sz w:val="24"/>
          <w:szCs w:val="24"/>
          <w:shd w:val="clear" w:color="auto" w:fill="FFFFFF"/>
        </w:rPr>
        <w:t xml:space="preserve"> ceny vnějšího a fiskálního zvratu. </w:t>
      </w:r>
      <w:r w:rsidR="00336952" w:rsidRPr="00DC5835">
        <w:rPr>
          <w:rFonts w:ascii="Cambria" w:hAnsi="Cambria"/>
          <w:color w:val="000000" w:themeColor="text1"/>
          <w:sz w:val="24"/>
          <w:szCs w:val="24"/>
          <w:shd w:val="clear" w:color="auto" w:fill="FFFFFF"/>
        </w:rPr>
        <w:t xml:space="preserve">Paralelně lze </w:t>
      </w:r>
      <w:r w:rsidR="00336952" w:rsidRPr="00DC5835">
        <w:rPr>
          <w:rFonts w:cstheme="minorHAnsi"/>
          <w:sz w:val="24"/>
          <w:szCs w:val="24"/>
        </w:rPr>
        <w:t>pozorovat silné destabilizační vlivy (</w:t>
      </w:r>
      <w:r w:rsidR="00336952" w:rsidRPr="00DC5835">
        <w:rPr>
          <w:sz w:val="24"/>
          <w:szCs w:val="24"/>
        </w:rPr>
        <w:t xml:space="preserve">Libye, Irák, Alžírsko, Sýrie) i zrychlování odklonu od fosilních paliv (Katar, Omán, Saudská Arábie). Přitom je pravděpodobné, že </w:t>
      </w:r>
      <w:r w:rsidR="00336952" w:rsidRPr="00DC5835">
        <w:rPr>
          <w:rFonts w:cstheme="minorHAnsi"/>
          <w:sz w:val="24"/>
          <w:szCs w:val="24"/>
        </w:rPr>
        <w:t xml:space="preserve">efekt cenového šoku však bude prodloužen dopady pandemie COVID-19, </w:t>
      </w:r>
      <w:r w:rsidR="008975FE">
        <w:rPr>
          <w:rFonts w:cstheme="minorHAnsi"/>
          <w:sz w:val="24"/>
          <w:szCs w:val="24"/>
        </w:rPr>
        <w:t>jakož</w:t>
      </w:r>
      <w:r w:rsidR="00336952" w:rsidRPr="00DC5835">
        <w:rPr>
          <w:rFonts w:cstheme="minorHAnsi"/>
          <w:sz w:val="24"/>
          <w:szCs w:val="24"/>
        </w:rPr>
        <w:t xml:space="preserve"> i </w:t>
      </w:r>
      <w:r w:rsidR="008975FE">
        <w:rPr>
          <w:rFonts w:cstheme="minorHAnsi"/>
          <w:sz w:val="24"/>
          <w:szCs w:val="24"/>
        </w:rPr>
        <w:t>prolínáním s</w:t>
      </w:r>
      <w:r w:rsidR="00336952" w:rsidRPr="00DC5835">
        <w:rPr>
          <w:rFonts w:cstheme="minorHAnsi"/>
          <w:sz w:val="24"/>
          <w:szCs w:val="24"/>
        </w:rPr>
        <w:t xml:space="preserve"> </w:t>
      </w:r>
      <w:r w:rsidR="004248E4">
        <w:rPr>
          <w:rFonts w:cstheme="minorHAnsi"/>
          <w:sz w:val="24"/>
          <w:szCs w:val="24"/>
        </w:rPr>
        <w:t>nast</w:t>
      </w:r>
      <w:r w:rsidR="008975FE">
        <w:rPr>
          <w:rFonts w:cstheme="minorHAnsi"/>
          <w:sz w:val="24"/>
          <w:szCs w:val="24"/>
        </w:rPr>
        <w:t>upujícími</w:t>
      </w:r>
      <w:r w:rsidR="00336952" w:rsidRPr="00DC5835">
        <w:rPr>
          <w:rFonts w:cstheme="minorHAnsi"/>
          <w:sz w:val="24"/>
          <w:szCs w:val="24"/>
        </w:rPr>
        <w:t xml:space="preserve"> trend</w:t>
      </w:r>
      <w:r w:rsidR="008975FE">
        <w:rPr>
          <w:rFonts w:cstheme="minorHAnsi"/>
          <w:sz w:val="24"/>
          <w:szCs w:val="24"/>
        </w:rPr>
        <w:t>y</w:t>
      </w:r>
      <w:r w:rsidR="00336952" w:rsidRPr="00DC5835">
        <w:rPr>
          <w:rFonts w:cstheme="minorHAnsi"/>
          <w:sz w:val="24"/>
          <w:szCs w:val="24"/>
        </w:rPr>
        <w:t xml:space="preserve"> v energetickém sektoru i mimo </w:t>
      </w:r>
      <w:r w:rsidR="004248E4">
        <w:rPr>
          <w:rFonts w:cstheme="minorHAnsi"/>
          <w:sz w:val="24"/>
          <w:szCs w:val="24"/>
        </w:rPr>
        <w:t>něj</w:t>
      </w:r>
      <w:r w:rsidR="00336952" w:rsidRPr="00DC5835">
        <w:rPr>
          <w:rFonts w:cstheme="minorHAnsi"/>
          <w:sz w:val="24"/>
          <w:szCs w:val="24"/>
        </w:rPr>
        <w:t>. V energetické</w:t>
      </w:r>
      <w:r w:rsidR="008975FE">
        <w:rPr>
          <w:rFonts w:cstheme="minorHAnsi"/>
          <w:sz w:val="24"/>
          <w:szCs w:val="24"/>
        </w:rPr>
        <w:t>m</w:t>
      </w:r>
      <w:r w:rsidR="00336952" w:rsidRPr="00DC5835">
        <w:rPr>
          <w:rFonts w:cstheme="minorHAnsi"/>
          <w:sz w:val="24"/>
          <w:szCs w:val="24"/>
        </w:rPr>
        <w:t xml:space="preserve"> sektoru jde zejména o rostoucí důraz na udržitelnost</w:t>
      </w:r>
      <w:r w:rsidR="008975FE">
        <w:rPr>
          <w:rFonts w:cstheme="minorHAnsi"/>
          <w:sz w:val="24"/>
          <w:szCs w:val="24"/>
        </w:rPr>
        <w:t>,</w:t>
      </w:r>
      <w:r w:rsidR="00336952" w:rsidRPr="00DC5835">
        <w:rPr>
          <w:rFonts w:cstheme="minorHAnsi"/>
          <w:sz w:val="24"/>
          <w:szCs w:val="24"/>
        </w:rPr>
        <w:t xml:space="preserve"> cíle spojené s dekarbonizací a </w:t>
      </w:r>
      <w:r w:rsidR="008975FE">
        <w:rPr>
          <w:rFonts w:cstheme="minorHAnsi"/>
          <w:sz w:val="24"/>
          <w:szCs w:val="24"/>
        </w:rPr>
        <w:t>zintenzivňující se</w:t>
      </w:r>
      <w:r w:rsidR="00336952" w:rsidRPr="00DC5835">
        <w:rPr>
          <w:rFonts w:cstheme="minorHAnsi"/>
          <w:sz w:val="24"/>
          <w:szCs w:val="24"/>
        </w:rPr>
        <w:t xml:space="preserve"> aktivitu EU v této oblasti. Mimo energetický sektor pak o komplex faktorů na vnitrostátní, regionální i širší mezinárodní úrovni, který je pro každý producentský stát jedinečný. </w:t>
      </w:r>
    </w:p>
    <w:p w14:paraId="187673FD" w14:textId="72217154" w:rsidR="008221EB" w:rsidRPr="00DC5835" w:rsidRDefault="008221EB" w:rsidP="008221EB">
      <w:pPr>
        <w:spacing w:after="100" w:afterAutospacing="1" w:line="240" w:lineRule="auto"/>
        <w:ind w:firstLine="709"/>
        <w:jc w:val="both"/>
        <w:rPr>
          <w:rFonts w:cstheme="minorHAnsi"/>
          <w:sz w:val="24"/>
          <w:szCs w:val="24"/>
        </w:rPr>
      </w:pPr>
      <w:r w:rsidRPr="00DC5835">
        <w:rPr>
          <w:rFonts w:cstheme="minorHAnsi"/>
          <w:sz w:val="24"/>
          <w:szCs w:val="24"/>
        </w:rPr>
        <w:t xml:space="preserve">V případě Ruska se </w:t>
      </w:r>
      <w:r w:rsidR="00970DFA" w:rsidRPr="00DC5835">
        <w:rPr>
          <w:rFonts w:cstheme="minorHAnsi"/>
          <w:sz w:val="24"/>
          <w:szCs w:val="24"/>
        </w:rPr>
        <w:t>prolíná</w:t>
      </w:r>
      <w:r w:rsidRPr="00DC5835">
        <w:rPr>
          <w:rFonts w:cstheme="minorHAnsi"/>
          <w:sz w:val="24"/>
          <w:szCs w:val="24"/>
        </w:rPr>
        <w:t xml:space="preserve"> pokles domácí ekonomické aktivity v průběhu ostré fáze epidemie a snížení příjmů z exportu komodit s dlouhodobějším trendem energetické transformace podporované EU. Přestože ruská ekonomika negativní dopady cenového šoku pravděpodob</w:t>
      </w:r>
      <w:r w:rsidR="00970DFA" w:rsidRPr="00DC5835">
        <w:rPr>
          <w:rFonts w:cstheme="minorHAnsi"/>
          <w:sz w:val="24"/>
          <w:szCs w:val="24"/>
        </w:rPr>
        <w:t>n</w:t>
      </w:r>
      <w:r w:rsidRPr="00DC5835">
        <w:rPr>
          <w:rFonts w:cstheme="minorHAnsi"/>
          <w:sz w:val="24"/>
          <w:szCs w:val="24"/>
        </w:rPr>
        <w:t>ě ustojí,</w:t>
      </w:r>
      <w:r w:rsidR="00970DFA" w:rsidRPr="00DC5835">
        <w:rPr>
          <w:rFonts w:cstheme="minorHAnsi"/>
          <w:sz w:val="24"/>
          <w:szCs w:val="24"/>
        </w:rPr>
        <w:t xml:space="preserve"> zhoršují se sociální nálady, klesá důvěra v prezidenta a stoupá i riziko růstu napětí v regionech. V zahraniční politice se pak </w:t>
      </w:r>
      <w:r w:rsidRPr="00DC5835">
        <w:rPr>
          <w:rFonts w:cstheme="minorHAnsi"/>
          <w:sz w:val="24"/>
          <w:szCs w:val="24"/>
        </w:rPr>
        <w:t>projevují problémy v mocenských kapacitách a lze očekávat rostoucí snah</w:t>
      </w:r>
      <w:r w:rsidR="008975FE">
        <w:rPr>
          <w:rFonts w:cstheme="minorHAnsi"/>
          <w:sz w:val="24"/>
          <w:szCs w:val="24"/>
        </w:rPr>
        <w:t>y</w:t>
      </w:r>
      <w:r w:rsidRPr="00DC5835">
        <w:rPr>
          <w:rFonts w:cstheme="minorHAnsi"/>
          <w:sz w:val="24"/>
          <w:szCs w:val="24"/>
        </w:rPr>
        <w:t xml:space="preserve"> o udržení a rozšíření strategické hloubky, </w:t>
      </w:r>
      <w:r w:rsidR="008975FE">
        <w:rPr>
          <w:rFonts w:cstheme="minorHAnsi"/>
          <w:sz w:val="24"/>
          <w:szCs w:val="24"/>
        </w:rPr>
        <w:t xml:space="preserve">úsilí o </w:t>
      </w:r>
      <w:r w:rsidRPr="00DC5835">
        <w:rPr>
          <w:rFonts w:cstheme="minorHAnsi"/>
          <w:sz w:val="24"/>
          <w:szCs w:val="24"/>
        </w:rPr>
        <w:t>vytěs</w:t>
      </w:r>
      <w:r w:rsidR="008975FE">
        <w:rPr>
          <w:rFonts w:cstheme="minorHAnsi"/>
          <w:sz w:val="24"/>
          <w:szCs w:val="24"/>
        </w:rPr>
        <w:t>ňování</w:t>
      </w:r>
      <w:r w:rsidRPr="00DC5835">
        <w:rPr>
          <w:rFonts w:cstheme="minorHAnsi"/>
          <w:sz w:val="24"/>
          <w:szCs w:val="24"/>
        </w:rPr>
        <w:t xml:space="preserve"> Západ</w:t>
      </w:r>
      <w:r w:rsidR="008975FE">
        <w:rPr>
          <w:rFonts w:cstheme="minorHAnsi"/>
          <w:sz w:val="24"/>
          <w:szCs w:val="24"/>
        </w:rPr>
        <w:t>u</w:t>
      </w:r>
      <w:r w:rsidRPr="00DC5835">
        <w:rPr>
          <w:rFonts w:cstheme="minorHAnsi"/>
          <w:sz w:val="24"/>
          <w:szCs w:val="24"/>
        </w:rPr>
        <w:t xml:space="preserve"> (EU a USA) z postsovětského prostoru, ale i rostoucí aktivitu v Africe a na Blízkém východě. </w:t>
      </w:r>
      <w:r w:rsidR="00970DFA" w:rsidRPr="00DC5835">
        <w:rPr>
          <w:rFonts w:cstheme="minorHAnsi"/>
          <w:sz w:val="24"/>
          <w:szCs w:val="24"/>
        </w:rPr>
        <w:t>Konfrontace se Západem</w:t>
      </w:r>
      <w:r w:rsidR="009B0B76">
        <w:rPr>
          <w:rFonts w:cstheme="minorHAnsi"/>
          <w:sz w:val="24"/>
          <w:szCs w:val="24"/>
        </w:rPr>
        <w:t>/NATO</w:t>
      </w:r>
      <w:r w:rsidR="00970DFA" w:rsidRPr="00DC5835">
        <w:rPr>
          <w:rFonts w:cstheme="minorHAnsi"/>
          <w:sz w:val="24"/>
          <w:szCs w:val="24"/>
        </w:rPr>
        <w:t xml:space="preserve"> je vnímána jako hlavní bezpečností výzva</w:t>
      </w:r>
      <w:r w:rsidR="00040512" w:rsidRPr="00DC5835">
        <w:rPr>
          <w:rFonts w:cstheme="minorHAnsi"/>
          <w:sz w:val="24"/>
          <w:szCs w:val="24"/>
        </w:rPr>
        <w:t xml:space="preserve">. </w:t>
      </w:r>
      <w:proofErr w:type="spellStart"/>
      <w:r w:rsidR="00040512" w:rsidRPr="00DC5835">
        <w:rPr>
          <w:rFonts w:cstheme="minorHAnsi"/>
          <w:sz w:val="24"/>
          <w:szCs w:val="24"/>
        </w:rPr>
        <w:t>Sekuritizována</w:t>
      </w:r>
      <w:proofErr w:type="spellEnd"/>
      <w:r w:rsidR="00040512" w:rsidRPr="00DC5835">
        <w:rPr>
          <w:rFonts w:cstheme="minorHAnsi"/>
          <w:sz w:val="24"/>
          <w:szCs w:val="24"/>
        </w:rPr>
        <w:t xml:space="preserve"> je i klimaticko-energetická politika EU. </w:t>
      </w:r>
    </w:p>
    <w:p w14:paraId="1B05318B" w14:textId="7C7D3C01" w:rsidR="008221EB" w:rsidRPr="00DC5835" w:rsidRDefault="005C4860" w:rsidP="00DC5835">
      <w:pPr>
        <w:spacing w:after="100" w:afterAutospacing="1" w:line="240" w:lineRule="auto"/>
        <w:ind w:firstLine="708"/>
        <w:jc w:val="both"/>
        <w:rPr>
          <w:sz w:val="24"/>
          <w:szCs w:val="24"/>
        </w:rPr>
      </w:pPr>
      <w:r w:rsidRPr="00DC5835">
        <w:rPr>
          <w:sz w:val="24"/>
          <w:szCs w:val="24"/>
        </w:rPr>
        <w:t>Ázerbájdžán</w:t>
      </w:r>
      <w:r w:rsidR="00800125" w:rsidRPr="00DC5835">
        <w:rPr>
          <w:sz w:val="24"/>
          <w:szCs w:val="24"/>
        </w:rPr>
        <w:t xml:space="preserve"> </w:t>
      </w:r>
      <w:r w:rsidR="0095443E" w:rsidRPr="00DC5835">
        <w:rPr>
          <w:sz w:val="24"/>
          <w:szCs w:val="24"/>
        </w:rPr>
        <w:t>j</w:t>
      </w:r>
      <w:r w:rsidRPr="00DC5835">
        <w:rPr>
          <w:sz w:val="24"/>
          <w:szCs w:val="24"/>
        </w:rPr>
        <w:t xml:space="preserve">ako země </w:t>
      </w:r>
      <w:r w:rsidR="00800125" w:rsidRPr="00DC5835">
        <w:rPr>
          <w:sz w:val="24"/>
          <w:szCs w:val="24"/>
        </w:rPr>
        <w:t>vysoce</w:t>
      </w:r>
      <w:r w:rsidRPr="00DC5835">
        <w:rPr>
          <w:sz w:val="24"/>
          <w:szCs w:val="24"/>
        </w:rPr>
        <w:t xml:space="preserve"> závisl</w:t>
      </w:r>
      <w:r w:rsidR="00800125" w:rsidRPr="00DC5835">
        <w:rPr>
          <w:sz w:val="24"/>
          <w:szCs w:val="24"/>
        </w:rPr>
        <w:t>á</w:t>
      </w:r>
      <w:r w:rsidRPr="00DC5835">
        <w:rPr>
          <w:sz w:val="24"/>
          <w:szCs w:val="24"/>
        </w:rPr>
        <w:t xml:space="preserve"> na příjmech z</w:t>
      </w:r>
      <w:r w:rsidR="00800125" w:rsidRPr="00DC5835">
        <w:rPr>
          <w:sz w:val="24"/>
          <w:szCs w:val="24"/>
        </w:rPr>
        <w:t> </w:t>
      </w:r>
      <w:r w:rsidRPr="00DC5835">
        <w:rPr>
          <w:sz w:val="24"/>
          <w:szCs w:val="24"/>
        </w:rPr>
        <w:t>ropy</w:t>
      </w:r>
      <w:r w:rsidR="00800125" w:rsidRPr="00DC5835">
        <w:rPr>
          <w:sz w:val="24"/>
          <w:szCs w:val="24"/>
        </w:rPr>
        <w:t xml:space="preserve"> </w:t>
      </w:r>
      <w:r w:rsidR="0095443E" w:rsidRPr="00DC5835">
        <w:rPr>
          <w:sz w:val="24"/>
          <w:szCs w:val="24"/>
        </w:rPr>
        <w:t>bude</w:t>
      </w:r>
      <w:r w:rsidR="00800125" w:rsidRPr="00DC5835">
        <w:rPr>
          <w:sz w:val="24"/>
          <w:szCs w:val="24"/>
        </w:rPr>
        <w:t xml:space="preserve"> čelit rostoucím výzvám v delším časovém horizontu.</w:t>
      </w:r>
      <w:r w:rsidR="0095443E" w:rsidRPr="00DC5835">
        <w:rPr>
          <w:sz w:val="24"/>
          <w:szCs w:val="24"/>
        </w:rPr>
        <w:t xml:space="preserve"> Bezprostřední dopady cenového šoku byl</w:t>
      </w:r>
      <w:r w:rsidR="008975FE">
        <w:rPr>
          <w:sz w:val="24"/>
          <w:szCs w:val="24"/>
        </w:rPr>
        <w:t>y</w:t>
      </w:r>
      <w:r w:rsidR="0095443E" w:rsidRPr="00DC5835">
        <w:rPr>
          <w:sz w:val="24"/>
          <w:szCs w:val="24"/>
        </w:rPr>
        <w:t xml:space="preserve"> zmírn</w:t>
      </w:r>
      <w:r w:rsidR="008975FE">
        <w:rPr>
          <w:sz w:val="24"/>
          <w:szCs w:val="24"/>
        </w:rPr>
        <w:t>ěny</w:t>
      </w:r>
      <w:r w:rsidR="0095443E" w:rsidRPr="00DC5835">
        <w:rPr>
          <w:sz w:val="24"/>
          <w:szCs w:val="24"/>
        </w:rPr>
        <w:t xml:space="preserve"> využitím státního suverénního fondu, </w:t>
      </w:r>
      <w:r w:rsidR="00561D19" w:rsidRPr="00DC5835">
        <w:rPr>
          <w:sz w:val="24"/>
          <w:szCs w:val="24"/>
        </w:rPr>
        <w:t>v dalším období však ekonomick</w:t>
      </w:r>
      <w:r w:rsidR="008975FE">
        <w:rPr>
          <w:sz w:val="24"/>
          <w:szCs w:val="24"/>
        </w:rPr>
        <w:t>ou</w:t>
      </w:r>
      <w:r w:rsidR="00561D19" w:rsidRPr="00DC5835">
        <w:rPr>
          <w:sz w:val="24"/>
          <w:szCs w:val="24"/>
        </w:rPr>
        <w:t xml:space="preserve"> stabilit</w:t>
      </w:r>
      <w:r w:rsidR="008975FE">
        <w:rPr>
          <w:sz w:val="24"/>
          <w:szCs w:val="24"/>
        </w:rPr>
        <w:t xml:space="preserve">u </w:t>
      </w:r>
      <w:r w:rsidR="00A1449A">
        <w:rPr>
          <w:sz w:val="24"/>
          <w:szCs w:val="24"/>
        </w:rPr>
        <w:t>bude</w:t>
      </w:r>
      <w:r w:rsidR="00561D19" w:rsidRPr="00DC5835">
        <w:rPr>
          <w:sz w:val="24"/>
          <w:szCs w:val="24"/>
        </w:rPr>
        <w:t xml:space="preserve"> silně </w:t>
      </w:r>
      <w:r w:rsidR="00A1449A">
        <w:rPr>
          <w:sz w:val="24"/>
          <w:szCs w:val="24"/>
        </w:rPr>
        <w:t>ovlivňovat</w:t>
      </w:r>
      <w:r w:rsidR="00561D19" w:rsidRPr="00DC5835">
        <w:rPr>
          <w:sz w:val="24"/>
          <w:szCs w:val="24"/>
        </w:rPr>
        <w:t xml:space="preserve"> temp</w:t>
      </w:r>
      <w:r w:rsidR="00A1449A">
        <w:rPr>
          <w:sz w:val="24"/>
          <w:szCs w:val="24"/>
        </w:rPr>
        <w:t>o</w:t>
      </w:r>
      <w:r w:rsidR="00561D19" w:rsidRPr="00DC5835">
        <w:rPr>
          <w:sz w:val="24"/>
          <w:szCs w:val="24"/>
        </w:rPr>
        <w:t xml:space="preserve"> rozvoje sektoru</w:t>
      </w:r>
      <w:r w:rsidR="009B0B76">
        <w:rPr>
          <w:sz w:val="24"/>
          <w:szCs w:val="24"/>
        </w:rPr>
        <w:t xml:space="preserve"> těžby plynu</w:t>
      </w:r>
      <w:r w:rsidR="00561D19" w:rsidRPr="00DC5835">
        <w:rPr>
          <w:sz w:val="24"/>
          <w:szCs w:val="24"/>
        </w:rPr>
        <w:t xml:space="preserve">. Ohrožena je sociální stabilita. Situace je (podobně jako </w:t>
      </w:r>
      <w:r w:rsidR="00E453AA">
        <w:rPr>
          <w:sz w:val="24"/>
          <w:szCs w:val="24"/>
        </w:rPr>
        <w:t xml:space="preserve">při </w:t>
      </w:r>
      <w:r w:rsidR="00561D19" w:rsidRPr="00DC5835">
        <w:rPr>
          <w:sz w:val="24"/>
          <w:szCs w:val="24"/>
        </w:rPr>
        <w:t>předchozí</w:t>
      </w:r>
      <w:r w:rsidR="00E453AA">
        <w:rPr>
          <w:sz w:val="24"/>
          <w:szCs w:val="24"/>
        </w:rPr>
        <w:t>m</w:t>
      </w:r>
      <w:r w:rsidR="00561D19" w:rsidRPr="00DC5835">
        <w:rPr>
          <w:sz w:val="24"/>
          <w:szCs w:val="24"/>
        </w:rPr>
        <w:t xml:space="preserve"> </w:t>
      </w:r>
      <w:r w:rsidR="00E453AA" w:rsidRPr="00DC5835">
        <w:rPr>
          <w:sz w:val="24"/>
          <w:szCs w:val="24"/>
        </w:rPr>
        <w:t>cenov</w:t>
      </w:r>
      <w:r w:rsidR="00E453AA">
        <w:rPr>
          <w:sz w:val="24"/>
          <w:szCs w:val="24"/>
        </w:rPr>
        <w:t>ém</w:t>
      </w:r>
      <w:r w:rsidR="00E453AA" w:rsidRPr="00DC5835">
        <w:rPr>
          <w:sz w:val="24"/>
          <w:szCs w:val="24"/>
        </w:rPr>
        <w:t xml:space="preserve"> </w:t>
      </w:r>
      <w:r w:rsidR="00561D19" w:rsidRPr="00DC5835">
        <w:rPr>
          <w:sz w:val="24"/>
          <w:szCs w:val="24"/>
        </w:rPr>
        <w:t>šok</w:t>
      </w:r>
      <w:r w:rsidR="00E453AA">
        <w:rPr>
          <w:sz w:val="24"/>
          <w:szCs w:val="24"/>
        </w:rPr>
        <w:t>u</w:t>
      </w:r>
      <w:r w:rsidR="00561D19" w:rsidRPr="00DC5835">
        <w:rPr>
          <w:sz w:val="24"/>
          <w:szCs w:val="24"/>
        </w:rPr>
        <w:t xml:space="preserve"> v letech 2015</w:t>
      </w:r>
      <w:r w:rsidR="00A1449A">
        <w:rPr>
          <w:sz w:val="24"/>
          <w:szCs w:val="24"/>
        </w:rPr>
        <w:t>–</w:t>
      </w:r>
      <w:r w:rsidR="00561D19" w:rsidRPr="00DC5835">
        <w:rPr>
          <w:sz w:val="24"/>
          <w:szCs w:val="24"/>
        </w:rPr>
        <w:t xml:space="preserve">16) využívána vládnoucí elitou k utužení režimu a zjevně ovlivňuje i její postup v otázce Náhorního Karabachu. </w:t>
      </w:r>
    </w:p>
    <w:p w14:paraId="404DC33C" w14:textId="1F93BF87" w:rsidR="00DC5835" w:rsidRPr="00DC5835" w:rsidRDefault="00561D19" w:rsidP="00DC5835">
      <w:pPr>
        <w:spacing w:after="100" w:afterAutospacing="1" w:line="240" w:lineRule="auto"/>
        <w:ind w:firstLine="708"/>
        <w:jc w:val="both"/>
        <w:rPr>
          <w:rFonts w:cstheme="minorHAnsi"/>
          <w:sz w:val="24"/>
          <w:szCs w:val="24"/>
        </w:rPr>
      </w:pPr>
      <w:r w:rsidRPr="00DC5835">
        <w:rPr>
          <w:sz w:val="24"/>
          <w:szCs w:val="24"/>
        </w:rPr>
        <w:t xml:space="preserve">Z perspektivy ČR jako čistého odběratele ropy, přináší vývoj nastartovaný cenovým výkyvem jak rizika, tak i některé příležitosti. Vzhledem ke komplexnosti </w:t>
      </w:r>
      <w:r w:rsidR="00DC5835" w:rsidRPr="00DC5835">
        <w:rPr>
          <w:sz w:val="24"/>
          <w:szCs w:val="24"/>
        </w:rPr>
        <w:t xml:space="preserve">dopadů vzniklé situace je třeba, aby na </w:t>
      </w:r>
      <w:r w:rsidR="00A1449A">
        <w:rPr>
          <w:sz w:val="24"/>
          <w:szCs w:val="24"/>
        </w:rPr>
        <w:t>ni</w:t>
      </w:r>
      <w:r w:rsidR="00DC5835" w:rsidRPr="00DC5835">
        <w:rPr>
          <w:sz w:val="24"/>
          <w:szCs w:val="24"/>
        </w:rPr>
        <w:t xml:space="preserve"> reagovala diferenciovaně, a to nejen ve vztahu k jednotlivým zemím, ale i v širší mezinárodněpolitické perspektivě. S ohledem na specifické potřeby ČR lze formulovat </w:t>
      </w:r>
      <w:r w:rsidR="00DC5835" w:rsidRPr="00DC5835">
        <w:rPr>
          <w:sz w:val="24"/>
          <w:szCs w:val="24"/>
        </w:rPr>
        <w:lastRenderedPageBreak/>
        <w:t xml:space="preserve">následující doporučení ve vztahu k EU, producentům ropy v okolí EU a Rusku a Ázerbájdžánu, jako klíčovým dodavatelům ropy pro ČR: </w:t>
      </w:r>
    </w:p>
    <w:p w14:paraId="19B5F2E8" w14:textId="2AC7712E" w:rsidR="0065593E" w:rsidRPr="00DC5835" w:rsidRDefault="0065593E" w:rsidP="00DC5835">
      <w:pPr>
        <w:spacing w:after="0" w:line="240" w:lineRule="auto"/>
        <w:jc w:val="both"/>
        <w:rPr>
          <w:rFonts w:cstheme="minorHAnsi"/>
          <w:sz w:val="24"/>
          <w:szCs w:val="24"/>
        </w:rPr>
      </w:pPr>
      <w:r w:rsidRPr="00DC5835">
        <w:rPr>
          <w:b/>
          <w:i/>
          <w:iCs/>
          <w:sz w:val="24"/>
          <w:szCs w:val="24"/>
        </w:rPr>
        <w:t>Ve vztahu k EU</w:t>
      </w:r>
    </w:p>
    <w:p w14:paraId="74347323" w14:textId="59A3323C" w:rsidR="0065593E" w:rsidRPr="00DC5835" w:rsidRDefault="00B67184"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Z</w:t>
      </w:r>
      <w:r w:rsidR="0065593E" w:rsidRPr="00DC5835">
        <w:rPr>
          <w:rFonts w:asciiTheme="majorHAnsi" w:hAnsiTheme="majorHAnsi"/>
          <w:sz w:val="24"/>
          <w:szCs w:val="24"/>
        </w:rPr>
        <w:t xml:space="preserve">aměřit pozornost na </w:t>
      </w:r>
      <w:r w:rsidR="009B0B76">
        <w:rPr>
          <w:rFonts w:asciiTheme="majorHAnsi" w:hAnsiTheme="majorHAnsi"/>
          <w:sz w:val="24"/>
          <w:szCs w:val="24"/>
        </w:rPr>
        <w:t xml:space="preserve">výsledky </w:t>
      </w:r>
      <w:r w:rsidR="0065593E" w:rsidRPr="00DC5835">
        <w:rPr>
          <w:rFonts w:asciiTheme="majorHAnsi" w:hAnsiTheme="majorHAnsi"/>
          <w:sz w:val="24"/>
          <w:szCs w:val="24"/>
        </w:rPr>
        <w:t>německé</w:t>
      </w:r>
      <w:r w:rsidR="009B0B76">
        <w:rPr>
          <w:rFonts w:asciiTheme="majorHAnsi" w:hAnsiTheme="majorHAnsi"/>
          <w:sz w:val="24"/>
          <w:szCs w:val="24"/>
        </w:rPr>
        <w:t>ho</w:t>
      </w:r>
      <w:r w:rsidR="0065593E" w:rsidRPr="00DC5835">
        <w:rPr>
          <w:rFonts w:asciiTheme="majorHAnsi" w:hAnsiTheme="majorHAnsi"/>
          <w:sz w:val="24"/>
          <w:szCs w:val="24"/>
        </w:rPr>
        <w:t xml:space="preserve"> předsednictví v Radě EU</w:t>
      </w:r>
      <w:r w:rsidR="00A1449A">
        <w:rPr>
          <w:rFonts w:asciiTheme="majorHAnsi" w:hAnsiTheme="majorHAnsi"/>
          <w:sz w:val="24"/>
          <w:szCs w:val="24"/>
        </w:rPr>
        <w:t>,</w:t>
      </w:r>
      <w:r w:rsidR="0065593E" w:rsidRPr="00DC5835">
        <w:rPr>
          <w:rFonts w:asciiTheme="majorHAnsi" w:hAnsiTheme="majorHAnsi"/>
          <w:sz w:val="24"/>
          <w:szCs w:val="24"/>
        </w:rPr>
        <w:t xml:space="preserve"> realizaci jeho priorit v energetice a možné dopad</w:t>
      </w:r>
      <w:r w:rsidR="00A1449A">
        <w:rPr>
          <w:rFonts w:asciiTheme="majorHAnsi" w:hAnsiTheme="majorHAnsi"/>
          <w:sz w:val="24"/>
          <w:szCs w:val="24"/>
        </w:rPr>
        <w:t>y</w:t>
      </w:r>
      <w:r w:rsidR="0065593E" w:rsidRPr="00DC5835">
        <w:rPr>
          <w:rFonts w:asciiTheme="majorHAnsi" w:hAnsiTheme="majorHAnsi"/>
          <w:sz w:val="24"/>
          <w:szCs w:val="24"/>
        </w:rPr>
        <w:t xml:space="preserve"> na vnější energetické vztahy.</w:t>
      </w:r>
    </w:p>
    <w:p w14:paraId="1B320326" w14:textId="49F4FAA6" w:rsidR="0065593E" w:rsidRPr="00DC5835" w:rsidRDefault="00B67184"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A</w:t>
      </w:r>
      <w:r w:rsidR="0065593E" w:rsidRPr="00DC5835">
        <w:rPr>
          <w:rFonts w:asciiTheme="majorHAnsi" w:hAnsiTheme="majorHAnsi"/>
          <w:sz w:val="24"/>
          <w:szCs w:val="24"/>
        </w:rPr>
        <w:t>nalyzovat reakci EU na vývoj ohledně snížených nákladů na ropu/fosilní paliva.</w:t>
      </w:r>
    </w:p>
    <w:p w14:paraId="68AF7EFA" w14:textId="4A38C5C0" w:rsidR="0065593E" w:rsidRPr="00DC5835" w:rsidRDefault="00B67184"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S</w:t>
      </w:r>
      <w:r w:rsidR="0065593E" w:rsidRPr="00DC5835">
        <w:rPr>
          <w:rFonts w:asciiTheme="majorHAnsi" w:hAnsiTheme="majorHAnsi"/>
          <w:sz w:val="24"/>
          <w:szCs w:val="24"/>
        </w:rPr>
        <w:t>ledovat vývoj ohledně zvyšující se snahy EU podporovat u zemí vyvážejících ropu proces dekarbonizace</w:t>
      </w:r>
      <w:r w:rsidRPr="00DC5835">
        <w:rPr>
          <w:rFonts w:asciiTheme="majorHAnsi" w:hAnsiTheme="majorHAnsi"/>
          <w:sz w:val="24"/>
          <w:szCs w:val="24"/>
        </w:rPr>
        <w:t xml:space="preserve"> jako impulz pro vznik</w:t>
      </w:r>
      <w:r w:rsidR="0065593E" w:rsidRPr="00DC5835">
        <w:rPr>
          <w:rFonts w:asciiTheme="majorHAnsi" w:hAnsiTheme="majorHAnsi"/>
          <w:sz w:val="24"/>
          <w:szCs w:val="24"/>
        </w:rPr>
        <w:t xml:space="preserve"> nov</w:t>
      </w:r>
      <w:r w:rsidRPr="00DC5835">
        <w:rPr>
          <w:rFonts w:asciiTheme="majorHAnsi" w:hAnsiTheme="majorHAnsi"/>
          <w:sz w:val="24"/>
          <w:szCs w:val="24"/>
        </w:rPr>
        <w:t>ých</w:t>
      </w:r>
      <w:r w:rsidR="0065593E" w:rsidRPr="00DC5835">
        <w:rPr>
          <w:rFonts w:asciiTheme="majorHAnsi" w:hAnsiTheme="majorHAnsi"/>
          <w:sz w:val="24"/>
          <w:szCs w:val="24"/>
        </w:rPr>
        <w:t xml:space="preserve"> příležitostí pro české investice</w:t>
      </w:r>
      <w:r w:rsidRPr="00DC5835">
        <w:rPr>
          <w:rFonts w:asciiTheme="majorHAnsi" w:hAnsiTheme="majorHAnsi"/>
          <w:sz w:val="24"/>
          <w:szCs w:val="24"/>
        </w:rPr>
        <w:t>.</w:t>
      </w:r>
    </w:p>
    <w:p w14:paraId="39FD2D78" w14:textId="5237041C" w:rsidR="0065593E" w:rsidRDefault="00B67184"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S</w:t>
      </w:r>
      <w:r w:rsidR="0065593E" w:rsidRPr="00DC5835">
        <w:rPr>
          <w:rFonts w:asciiTheme="majorHAnsi" w:hAnsiTheme="majorHAnsi"/>
          <w:sz w:val="24"/>
          <w:szCs w:val="24"/>
        </w:rPr>
        <w:t xml:space="preserve">ledovat diskusi o zavedení uhlíkového </w:t>
      </w:r>
      <w:r w:rsidR="004031C6">
        <w:rPr>
          <w:rFonts w:asciiTheme="majorHAnsi" w:hAnsiTheme="majorHAnsi"/>
          <w:sz w:val="24"/>
          <w:szCs w:val="24"/>
        </w:rPr>
        <w:t>cla</w:t>
      </w:r>
      <w:r w:rsidR="0065593E" w:rsidRPr="00DC5835">
        <w:rPr>
          <w:rFonts w:asciiTheme="majorHAnsi" w:hAnsiTheme="majorHAnsi"/>
          <w:sz w:val="24"/>
          <w:szCs w:val="24"/>
        </w:rPr>
        <w:t xml:space="preserve">, </w:t>
      </w:r>
      <w:r w:rsidRPr="00DC5835">
        <w:rPr>
          <w:rFonts w:asciiTheme="majorHAnsi" w:hAnsiTheme="majorHAnsi"/>
          <w:sz w:val="24"/>
          <w:szCs w:val="24"/>
        </w:rPr>
        <w:t>včetně dopadů</w:t>
      </w:r>
      <w:r w:rsidR="0065593E" w:rsidRPr="00DC5835">
        <w:rPr>
          <w:rFonts w:asciiTheme="majorHAnsi" w:hAnsiTheme="majorHAnsi"/>
          <w:sz w:val="24"/>
          <w:szCs w:val="24"/>
        </w:rPr>
        <w:t xml:space="preserve"> na ČR</w:t>
      </w:r>
      <w:r w:rsidRPr="00DC5835">
        <w:rPr>
          <w:rFonts w:asciiTheme="majorHAnsi" w:hAnsiTheme="majorHAnsi"/>
          <w:sz w:val="24"/>
          <w:szCs w:val="24"/>
        </w:rPr>
        <w:t xml:space="preserve"> i na</w:t>
      </w:r>
      <w:r w:rsidR="0065593E" w:rsidRPr="00DC5835">
        <w:rPr>
          <w:rFonts w:asciiTheme="majorHAnsi" w:hAnsiTheme="majorHAnsi"/>
          <w:sz w:val="24"/>
          <w:szCs w:val="24"/>
        </w:rPr>
        <w:t xml:space="preserve"> třetí země.</w:t>
      </w:r>
    </w:p>
    <w:p w14:paraId="3AACC8B8" w14:textId="77777777" w:rsidR="00DC5835" w:rsidRPr="00DC5835" w:rsidRDefault="00DC5835" w:rsidP="00DC5835">
      <w:pPr>
        <w:pStyle w:val="Odstavecseseznamem"/>
        <w:spacing w:after="0" w:line="240" w:lineRule="auto"/>
        <w:jc w:val="both"/>
        <w:rPr>
          <w:rFonts w:asciiTheme="majorHAnsi" w:hAnsiTheme="majorHAnsi"/>
          <w:sz w:val="24"/>
          <w:szCs w:val="24"/>
        </w:rPr>
      </w:pPr>
    </w:p>
    <w:p w14:paraId="40C6304E" w14:textId="77777777" w:rsidR="0065593E" w:rsidRPr="00DC5835" w:rsidRDefault="0065593E" w:rsidP="00DC5835">
      <w:pPr>
        <w:spacing w:after="0" w:line="240" w:lineRule="auto"/>
        <w:rPr>
          <w:b/>
          <w:i/>
          <w:iCs/>
          <w:sz w:val="24"/>
          <w:szCs w:val="24"/>
        </w:rPr>
      </w:pPr>
      <w:r w:rsidRPr="00DC5835">
        <w:rPr>
          <w:b/>
          <w:i/>
          <w:iCs/>
          <w:sz w:val="24"/>
          <w:szCs w:val="24"/>
        </w:rPr>
        <w:t>Ve vztahu k producentům ropy v okolí Evropy (zejména státy MENA)</w:t>
      </w:r>
    </w:p>
    <w:p w14:paraId="0E3806C4" w14:textId="362FF0C1" w:rsidR="0065593E" w:rsidRPr="00DC5835" w:rsidRDefault="00B67184"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S</w:t>
      </w:r>
      <w:r w:rsidR="0065593E" w:rsidRPr="00DC5835">
        <w:rPr>
          <w:rFonts w:asciiTheme="majorHAnsi" w:hAnsiTheme="majorHAnsi"/>
          <w:sz w:val="24"/>
          <w:szCs w:val="24"/>
        </w:rPr>
        <w:t xml:space="preserve">ledovat dopady výpadků z příjmů z ropy v producentských státech na jejich makroekonomickou a sociální stabilitu, </w:t>
      </w:r>
      <w:r w:rsidRPr="00DC5835">
        <w:rPr>
          <w:rFonts w:asciiTheme="majorHAnsi" w:hAnsiTheme="majorHAnsi"/>
          <w:sz w:val="24"/>
          <w:szCs w:val="24"/>
        </w:rPr>
        <w:t>jakož i</w:t>
      </w:r>
      <w:r w:rsidR="0065593E" w:rsidRPr="00DC5835">
        <w:rPr>
          <w:rFonts w:asciiTheme="majorHAnsi" w:hAnsiTheme="majorHAnsi"/>
          <w:sz w:val="24"/>
          <w:szCs w:val="24"/>
        </w:rPr>
        <w:t xml:space="preserve"> reakci formou krátkodobých a dlouhodobých opatření na straně jednotlivých vlád.</w:t>
      </w:r>
    </w:p>
    <w:p w14:paraId="16684C4C" w14:textId="1AA7CE2B" w:rsidR="0065593E" w:rsidRPr="00DC5835" w:rsidRDefault="00B67184"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I</w:t>
      </w:r>
      <w:r w:rsidR="0065593E" w:rsidRPr="00DC5835">
        <w:rPr>
          <w:rFonts w:asciiTheme="majorHAnsi" w:hAnsiTheme="majorHAnsi"/>
          <w:sz w:val="24"/>
          <w:szCs w:val="24"/>
        </w:rPr>
        <w:t xml:space="preserve">dentifikovat státy, </w:t>
      </w:r>
      <w:r w:rsidRPr="00DC5835">
        <w:rPr>
          <w:rFonts w:asciiTheme="majorHAnsi" w:hAnsiTheme="majorHAnsi"/>
          <w:sz w:val="24"/>
          <w:szCs w:val="24"/>
        </w:rPr>
        <w:t xml:space="preserve">kde může dojít ke </w:t>
      </w:r>
      <w:r w:rsidR="0065593E" w:rsidRPr="00DC5835">
        <w:rPr>
          <w:rFonts w:asciiTheme="majorHAnsi" w:hAnsiTheme="majorHAnsi"/>
          <w:sz w:val="24"/>
          <w:szCs w:val="24"/>
        </w:rPr>
        <w:t>zrychlení odklonu závislosti na fosilních palivech (Katar, Omán, Saudská Arábie)</w:t>
      </w:r>
      <w:r w:rsidRPr="00DC5835">
        <w:rPr>
          <w:rFonts w:asciiTheme="majorHAnsi" w:hAnsiTheme="majorHAnsi"/>
          <w:sz w:val="24"/>
          <w:szCs w:val="24"/>
        </w:rPr>
        <w:t xml:space="preserve"> a</w:t>
      </w:r>
      <w:r w:rsidR="00A1449A">
        <w:rPr>
          <w:rFonts w:asciiTheme="majorHAnsi" w:hAnsiTheme="majorHAnsi"/>
          <w:sz w:val="24"/>
          <w:szCs w:val="24"/>
        </w:rPr>
        <w:t xml:space="preserve"> růstu</w:t>
      </w:r>
      <w:r w:rsidRPr="00DC5835">
        <w:rPr>
          <w:rFonts w:asciiTheme="majorHAnsi" w:hAnsiTheme="majorHAnsi"/>
          <w:sz w:val="24"/>
          <w:szCs w:val="24"/>
        </w:rPr>
        <w:t xml:space="preserve"> </w:t>
      </w:r>
      <w:r w:rsidR="0065593E" w:rsidRPr="00DC5835">
        <w:rPr>
          <w:rFonts w:asciiTheme="majorHAnsi" w:hAnsiTheme="majorHAnsi"/>
          <w:sz w:val="24"/>
          <w:szCs w:val="24"/>
        </w:rPr>
        <w:t>potenciál</w:t>
      </w:r>
      <w:r w:rsidR="00A1449A">
        <w:rPr>
          <w:rFonts w:asciiTheme="majorHAnsi" w:hAnsiTheme="majorHAnsi"/>
          <w:sz w:val="24"/>
          <w:szCs w:val="24"/>
        </w:rPr>
        <w:t xml:space="preserve">u, resp. </w:t>
      </w:r>
      <w:r w:rsidR="0065593E" w:rsidRPr="00DC5835">
        <w:rPr>
          <w:rFonts w:asciiTheme="majorHAnsi" w:hAnsiTheme="majorHAnsi"/>
          <w:sz w:val="24"/>
          <w:szCs w:val="24"/>
        </w:rPr>
        <w:t>otevřenosti pro investice.</w:t>
      </w:r>
    </w:p>
    <w:p w14:paraId="3A43B0D7" w14:textId="3D775DCA" w:rsidR="0065593E" w:rsidRPr="00DC5835" w:rsidRDefault="0065593E"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Monitorovat vývoj ve státech, kde lze očekávat pokračování destabilizačních tendencí (zejména Libye, Irák, Alžírsko, Sýrie) včetně možných dopadů na region i evropský prostor</w:t>
      </w:r>
      <w:r w:rsidR="00B67184" w:rsidRPr="00DC5835">
        <w:rPr>
          <w:rFonts w:asciiTheme="majorHAnsi" w:hAnsiTheme="majorHAnsi"/>
          <w:sz w:val="24"/>
          <w:szCs w:val="24"/>
        </w:rPr>
        <w:t>, hledat možnou shodu pro společný postup EU</w:t>
      </w:r>
      <w:r w:rsidR="00A03147">
        <w:rPr>
          <w:rFonts w:asciiTheme="majorHAnsi" w:hAnsiTheme="majorHAnsi"/>
          <w:sz w:val="24"/>
          <w:szCs w:val="24"/>
        </w:rPr>
        <w:t>.</w:t>
      </w:r>
      <w:r w:rsidRPr="00DC5835">
        <w:rPr>
          <w:rFonts w:asciiTheme="majorHAnsi" w:hAnsiTheme="majorHAnsi"/>
          <w:sz w:val="24"/>
          <w:szCs w:val="24"/>
        </w:rPr>
        <w:t xml:space="preserve"> </w:t>
      </w:r>
    </w:p>
    <w:p w14:paraId="51E3E88B" w14:textId="25812475" w:rsidR="0065593E" w:rsidRDefault="0065593E"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Monitorovat rostoucí vliv a politiku důležitých regionálních a globálních hráčů v této oblasti.</w:t>
      </w:r>
    </w:p>
    <w:p w14:paraId="6660567F" w14:textId="77777777" w:rsidR="00DC5835" w:rsidRPr="00DC5835" w:rsidRDefault="00DC5835" w:rsidP="00DC5835">
      <w:pPr>
        <w:pStyle w:val="Odstavecseseznamem"/>
        <w:spacing w:after="0" w:line="240" w:lineRule="auto"/>
        <w:jc w:val="both"/>
        <w:rPr>
          <w:rFonts w:asciiTheme="majorHAnsi" w:hAnsiTheme="majorHAnsi"/>
          <w:sz w:val="24"/>
          <w:szCs w:val="24"/>
        </w:rPr>
      </w:pPr>
    </w:p>
    <w:p w14:paraId="2F5CFE6E" w14:textId="77777777" w:rsidR="0065593E" w:rsidRPr="00DC5835" w:rsidRDefault="0065593E" w:rsidP="00DC5835">
      <w:pPr>
        <w:spacing w:after="0" w:line="240" w:lineRule="auto"/>
        <w:rPr>
          <w:b/>
          <w:i/>
          <w:iCs/>
          <w:sz w:val="24"/>
          <w:szCs w:val="24"/>
        </w:rPr>
      </w:pPr>
      <w:r w:rsidRPr="00DC5835">
        <w:rPr>
          <w:b/>
          <w:i/>
          <w:iCs/>
          <w:sz w:val="24"/>
          <w:szCs w:val="24"/>
        </w:rPr>
        <w:t>Ve vztahu k Rusku</w:t>
      </w:r>
    </w:p>
    <w:p w14:paraId="1D9984F3" w14:textId="7B353559" w:rsidR="0065593E" w:rsidRPr="00DC5835" w:rsidRDefault="0065593E"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Sledovat reakce Kremlu na snížení ratingu prezidenta.</w:t>
      </w:r>
    </w:p>
    <w:p w14:paraId="258E2097" w14:textId="5456B759" w:rsidR="0065593E" w:rsidRPr="00DC5835" w:rsidRDefault="0065593E"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 xml:space="preserve">Sledovat </w:t>
      </w:r>
      <w:r w:rsidR="00B05219">
        <w:rPr>
          <w:rFonts w:asciiTheme="majorHAnsi" w:hAnsiTheme="majorHAnsi"/>
          <w:sz w:val="24"/>
          <w:szCs w:val="24"/>
        </w:rPr>
        <w:t>ú</w:t>
      </w:r>
      <w:r w:rsidR="00B05219" w:rsidRPr="00DC5835">
        <w:rPr>
          <w:rFonts w:asciiTheme="majorHAnsi" w:hAnsiTheme="majorHAnsi"/>
          <w:sz w:val="24"/>
          <w:szCs w:val="24"/>
        </w:rPr>
        <w:t xml:space="preserve">pravy </w:t>
      </w:r>
      <w:r w:rsidRPr="00DC5835">
        <w:rPr>
          <w:rFonts w:asciiTheme="majorHAnsi" w:hAnsiTheme="majorHAnsi"/>
          <w:sz w:val="24"/>
          <w:szCs w:val="24"/>
        </w:rPr>
        <w:t xml:space="preserve">rozpočtů ruských regionů s ohledem na výpadek příjmů z ropy a </w:t>
      </w:r>
      <w:r w:rsidR="00CB741D" w:rsidRPr="00DC5835">
        <w:rPr>
          <w:rFonts w:asciiTheme="majorHAnsi" w:hAnsiTheme="majorHAnsi"/>
          <w:sz w:val="24"/>
          <w:szCs w:val="24"/>
        </w:rPr>
        <w:t>v</w:t>
      </w:r>
      <w:r w:rsidR="00CB741D">
        <w:rPr>
          <w:rFonts w:asciiTheme="majorHAnsi" w:hAnsiTheme="majorHAnsi"/>
          <w:sz w:val="24"/>
          <w:szCs w:val="24"/>
        </w:rPr>
        <w:t>ý</w:t>
      </w:r>
      <w:r w:rsidR="00CB741D" w:rsidRPr="00DC5835">
        <w:rPr>
          <w:rFonts w:asciiTheme="majorHAnsi" w:hAnsiTheme="majorHAnsi"/>
          <w:sz w:val="24"/>
          <w:szCs w:val="24"/>
        </w:rPr>
        <w:t>v</w:t>
      </w:r>
      <w:r w:rsidR="00CB741D">
        <w:rPr>
          <w:rFonts w:asciiTheme="majorHAnsi" w:hAnsiTheme="majorHAnsi"/>
          <w:sz w:val="24"/>
          <w:szCs w:val="24"/>
        </w:rPr>
        <w:t xml:space="preserve">oj </w:t>
      </w:r>
      <w:r w:rsidRPr="00DC5835">
        <w:rPr>
          <w:rFonts w:asciiTheme="majorHAnsi" w:hAnsiTheme="majorHAnsi"/>
          <w:sz w:val="24"/>
          <w:szCs w:val="24"/>
        </w:rPr>
        <w:t xml:space="preserve">nálad v těchto regionech v souvislosti se změnami </w:t>
      </w:r>
      <w:proofErr w:type="spellStart"/>
      <w:r w:rsidRPr="00DC5835">
        <w:rPr>
          <w:rFonts w:asciiTheme="majorHAnsi" w:hAnsiTheme="majorHAnsi"/>
          <w:sz w:val="24"/>
          <w:szCs w:val="24"/>
        </w:rPr>
        <w:t>mezirozpočtových</w:t>
      </w:r>
      <w:proofErr w:type="spellEnd"/>
      <w:r w:rsidRPr="00DC5835">
        <w:rPr>
          <w:rFonts w:asciiTheme="majorHAnsi" w:hAnsiTheme="majorHAnsi"/>
          <w:sz w:val="24"/>
          <w:szCs w:val="24"/>
        </w:rPr>
        <w:t xml:space="preserve"> transferů.</w:t>
      </w:r>
    </w:p>
    <w:p w14:paraId="5885112D" w14:textId="23A57E24" w:rsidR="0065593E" w:rsidRPr="00DC5835" w:rsidRDefault="0065593E"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 xml:space="preserve">Sledovat dopady antidumpingových opatření EU, případné zavedení </w:t>
      </w:r>
      <w:r w:rsidR="004031C6">
        <w:rPr>
          <w:rFonts w:asciiTheme="majorHAnsi" w:hAnsiTheme="majorHAnsi"/>
          <w:sz w:val="24"/>
          <w:szCs w:val="24"/>
        </w:rPr>
        <w:t>uhlíkového</w:t>
      </w:r>
      <w:r w:rsidR="004031C6" w:rsidRPr="00DC5835">
        <w:rPr>
          <w:rFonts w:asciiTheme="majorHAnsi" w:hAnsiTheme="majorHAnsi"/>
          <w:sz w:val="24"/>
          <w:szCs w:val="24"/>
        </w:rPr>
        <w:t xml:space="preserve"> </w:t>
      </w:r>
      <w:r w:rsidRPr="00DC5835">
        <w:rPr>
          <w:rFonts w:asciiTheme="majorHAnsi" w:hAnsiTheme="majorHAnsi"/>
          <w:sz w:val="24"/>
          <w:szCs w:val="24"/>
        </w:rPr>
        <w:t>cla na energetický sektor Ruska a související opatření na straně Ruska.</w:t>
      </w:r>
    </w:p>
    <w:p w14:paraId="03F0E0C4" w14:textId="18E3369B" w:rsidR="0065593E" w:rsidRDefault="0065593E"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Sledovat dopady energetické transformace Německa na jeho vztahy s Ruskem.</w:t>
      </w:r>
    </w:p>
    <w:p w14:paraId="5FB2A46F" w14:textId="77777777" w:rsidR="00DC5835" w:rsidRPr="00DC5835" w:rsidRDefault="00DC5835" w:rsidP="00DC5835">
      <w:pPr>
        <w:pStyle w:val="Odstavecseseznamem"/>
        <w:spacing w:after="0" w:line="240" w:lineRule="auto"/>
        <w:jc w:val="both"/>
        <w:rPr>
          <w:rFonts w:asciiTheme="majorHAnsi" w:hAnsiTheme="majorHAnsi"/>
          <w:sz w:val="24"/>
          <w:szCs w:val="24"/>
        </w:rPr>
      </w:pPr>
    </w:p>
    <w:p w14:paraId="4AEB6484" w14:textId="77777777" w:rsidR="0065593E" w:rsidRPr="00DC5835" w:rsidRDefault="0065593E" w:rsidP="00DC5835">
      <w:pPr>
        <w:spacing w:after="0" w:line="240" w:lineRule="auto"/>
        <w:rPr>
          <w:b/>
          <w:i/>
          <w:iCs/>
          <w:sz w:val="24"/>
          <w:szCs w:val="24"/>
        </w:rPr>
      </w:pPr>
      <w:r w:rsidRPr="00DC5835">
        <w:rPr>
          <w:b/>
          <w:i/>
          <w:iCs/>
          <w:sz w:val="24"/>
          <w:szCs w:val="24"/>
        </w:rPr>
        <w:t>Ve vztahu k Ázerbájdžánu</w:t>
      </w:r>
    </w:p>
    <w:p w14:paraId="437C0753" w14:textId="1E89EFC5" w:rsidR="0065593E" w:rsidRPr="00DC5835" w:rsidRDefault="0065593E"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Analyzovat energetické a politické vztahy Ázerbájdžánu s Tureckem a Íránem (popřípadě i s</w:t>
      </w:r>
      <w:r w:rsidR="00A1449A">
        <w:rPr>
          <w:rFonts w:asciiTheme="majorHAnsi" w:hAnsiTheme="majorHAnsi"/>
          <w:sz w:val="24"/>
          <w:szCs w:val="24"/>
        </w:rPr>
        <w:t> </w:t>
      </w:r>
      <w:r w:rsidRPr="00DC5835">
        <w:rPr>
          <w:rFonts w:asciiTheme="majorHAnsi" w:hAnsiTheme="majorHAnsi"/>
          <w:sz w:val="24"/>
          <w:szCs w:val="24"/>
        </w:rPr>
        <w:t>Turkmenistánem</w:t>
      </w:r>
      <w:r w:rsidR="00A1449A">
        <w:rPr>
          <w:rFonts w:asciiTheme="majorHAnsi" w:hAnsiTheme="majorHAnsi"/>
          <w:sz w:val="24"/>
          <w:szCs w:val="24"/>
        </w:rPr>
        <w:t>)</w:t>
      </w:r>
      <w:r w:rsidRPr="00DC5835">
        <w:rPr>
          <w:rFonts w:asciiTheme="majorHAnsi" w:hAnsiTheme="majorHAnsi"/>
          <w:sz w:val="24"/>
          <w:szCs w:val="24"/>
        </w:rPr>
        <w:t>.</w:t>
      </w:r>
    </w:p>
    <w:p w14:paraId="0831E029" w14:textId="2E444DDB" w:rsidR="0065593E" w:rsidRPr="00DC5835" w:rsidRDefault="0065593E" w:rsidP="00DC5835">
      <w:pPr>
        <w:pStyle w:val="Odstavecseseznamem"/>
        <w:numPr>
          <w:ilvl w:val="0"/>
          <w:numId w:val="9"/>
        </w:numPr>
        <w:spacing w:after="0" w:line="240" w:lineRule="auto"/>
        <w:jc w:val="both"/>
        <w:rPr>
          <w:rFonts w:asciiTheme="majorHAnsi" w:hAnsiTheme="majorHAnsi"/>
          <w:sz w:val="24"/>
          <w:szCs w:val="24"/>
        </w:rPr>
      </w:pPr>
      <w:r w:rsidRPr="00DC5835">
        <w:rPr>
          <w:rFonts w:asciiTheme="majorHAnsi" w:hAnsiTheme="majorHAnsi"/>
          <w:sz w:val="24"/>
          <w:szCs w:val="24"/>
        </w:rPr>
        <w:t>Zjistit, jak západní energetické společnosti mění a budou měnit své investiční aktivity v Ázerbájdžánu s ohledem na energetickou transformaci.</w:t>
      </w:r>
    </w:p>
    <w:p w14:paraId="7C7132AC" w14:textId="24BFA881" w:rsidR="0065593E" w:rsidRPr="00DC5835" w:rsidRDefault="0065593E" w:rsidP="00DC5835">
      <w:pPr>
        <w:pStyle w:val="Odstavecseseznamem"/>
        <w:numPr>
          <w:ilvl w:val="0"/>
          <w:numId w:val="9"/>
        </w:numPr>
        <w:spacing w:after="0" w:line="240" w:lineRule="auto"/>
        <w:jc w:val="both"/>
        <w:rPr>
          <w:rFonts w:asciiTheme="majorHAnsi" w:hAnsiTheme="majorHAnsi"/>
          <w:b/>
          <w:bCs/>
          <w:sz w:val="24"/>
          <w:szCs w:val="24"/>
        </w:rPr>
      </w:pPr>
      <w:r w:rsidRPr="00DC5835">
        <w:rPr>
          <w:rFonts w:asciiTheme="majorHAnsi" w:hAnsiTheme="majorHAnsi"/>
          <w:sz w:val="24"/>
          <w:szCs w:val="24"/>
        </w:rPr>
        <w:t>Analyzovat efektivitu diverzifikace ázerbájdžánské ekonomiky včetně investic do neenergetického sektoru.</w:t>
      </w:r>
    </w:p>
    <w:p w14:paraId="1DB1F004" w14:textId="148AC2B2" w:rsidR="0065593E" w:rsidRPr="008513FE" w:rsidRDefault="0065593E" w:rsidP="0065593E">
      <w:pPr>
        <w:pStyle w:val="Odstavecseseznamem"/>
        <w:numPr>
          <w:ilvl w:val="0"/>
          <w:numId w:val="9"/>
        </w:numPr>
        <w:spacing w:before="240"/>
        <w:jc w:val="both"/>
        <w:rPr>
          <w:rFonts w:asciiTheme="majorHAnsi" w:hAnsiTheme="majorHAnsi"/>
          <w:b/>
          <w:bCs/>
          <w:sz w:val="24"/>
          <w:szCs w:val="24"/>
        </w:rPr>
      </w:pPr>
      <w:r w:rsidRPr="00DC5835">
        <w:rPr>
          <w:rFonts w:asciiTheme="majorHAnsi" w:hAnsiTheme="majorHAnsi"/>
          <w:sz w:val="24"/>
          <w:szCs w:val="24"/>
        </w:rPr>
        <w:t xml:space="preserve">Monitorovat, </w:t>
      </w:r>
      <w:r w:rsidR="003020C4">
        <w:rPr>
          <w:rFonts w:asciiTheme="majorHAnsi" w:hAnsiTheme="majorHAnsi"/>
          <w:sz w:val="24"/>
          <w:szCs w:val="24"/>
        </w:rPr>
        <w:t>které</w:t>
      </w:r>
      <w:r w:rsidR="003020C4" w:rsidRPr="00DC5835">
        <w:rPr>
          <w:rFonts w:asciiTheme="majorHAnsi" w:hAnsiTheme="majorHAnsi"/>
          <w:sz w:val="24"/>
          <w:szCs w:val="24"/>
        </w:rPr>
        <w:t xml:space="preserve"> </w:t>
      </w:r>
      <w:r w:rsidRPr="00DC5835">
        <w:rPr>
          <w:rFonts w:asciiTheme="majorHAnsi" w:hAnsiTheme="majorHAnsi"/>
          <w:sz w:val="24"/>
          <w:szCs w:val="24"/>
        </w:rPr>
        <w:t xml:space="preserve">společnosti a </w:t>
      </w:r>
      <w:r w:rsidR="003020C4">
        <w:rPr>
          <w:rFonts w:asciiTheme="majorHAnsi" w:hAnsiTheme="majorHAnsi"/>
          <w:sz w:val="24"/>
          <w:szCs w:val="24"/>
        </w:rPr>
        <w:t>která</w:t>
      </w:r>
      <w:r w:rsidR="00840FB4">
        <w:rPr>
          <w:rFonts w:asciiTheme="majorHAnsi" w:hAnsiTheme="majorHAnsi"/>
          <w:sz w:val="24"/>
          <w:szCs w:val="24"/>
        </w:rPr>
        <w:t xml:space="preserve"> </w:t>
      </w:r>
      <w:r w:rsidRPr="00DC5835">
        <w:rPr>
          <w:rFonts w:asciiTheme="majorHAnsi" w:hAnsiTheme="majorHAnsi"/>
          <w:sz w:val="24"/>
          <w:szCs w:val="24"/>
        </w:rPr>
        <w:t xml:space="preserve">ekonomická odvětví ovládají rozdílné klany ázerbájdžánské elity. </w:t>
      </w:r>
    </w:p>
    <w:p w14:paraId="2A5BD1E6" w14:textId="6E61B86C" w:rsidR="008513FE" w:rsidRDefault="008513FE" w:rsidP="008513FE">
      <w:pPr>
        <w:spacing w:before="240"/>
        <w:jc w:val="both"/>
        <w:rPr>
          <w:b/>
          <w:bCs/>
          <w:sz w:val="24"/>
          <w:szCs w:val="24"/>
        </w:rPr>
      </w:pPr>
    </w:p>
    <w:p w14:paraId="35ECEB1D" w14:textId="77777777" w:rsidR="008513FE" w:rsidRPr="008513FE" w:rsidRDefault="008513FE" w:rsidP="008513FE">
      <w:pPr>
        <w:spacing w:before="240"/>
        <w:jc w:val="both"/>
        <w:rPr>
          <w:b/>
          <w:bCs/>
          <w:sz w:val="24"/>
          <w:szCs w:val="24"/>
        </w:rPr>
      </w:pPr>
    </w:p>
    <w:p w14:paraId="7F729B63" w14:textId="1DB10899" w:rsidR="008513FE" w:rsidRDefault="0065593E" w:rsidP="008513FE">
      <w:pPr>
        <w:pStyle w:val="Nadpis2"/>
      </w:pPr>
      <w:bookmarkStart w:id="1" w:name="__Toc61261288"/>
      <w:bookmarkStart w:id="2" w:name="__Toc61261283"/>
      <w:bookmarkStart w:id="3" w:name="__Toc61261286"/>
      <w:bookmarkStart w:id="4" w:name="___Toc61261288"/>
      <w:bookmarkEnd w:id="1"/>
      <w:bookmarkEnd w:id="2"/>
      <w:bookmarkEnd w:id="3"/>
      <w:bookmarkEnd w:id="4"/>
      <w:r>
        <w:br w:type="page"/>
      </w:r>
      <w:bookmarkStart w:id="5" w:name="_Toc61261164"/>
      <w:bookmarkStart w:id="6" w:name="_Toc61261281"/>
      <w:bookmarkStart w:id="7" w:name="_Toc61262030"/>
      <w:bookmarkStart w:id="8" w:name="_Toc61262154"/>
      <w:r w:rsidR="008513FE">
        <w:lastRenderedPageBreak/>
        <w:t>Obsah</w:t>
      </w:r>
      <w:bookmarkEnd w:id="5"/>
      <w:bookmarkEnd w:id="6"/>
      <w:bookmarkEnd w:id="7"/>
      <w:bookmarkEnd w:id="8"/>
    </w:p>
    <w:p w14:paraId="64CA8181" w14:textId="4AAEDE6F" w:rsidR="008513FE" w:rsidRPr="006128E2" w:rsidRDefault="008513FE" w:rsidP="006128E2">
      <w:pPr>
        <w:pStyle w:val="Obsah2"/>
        <w:rPr>
          <w:rFonts w:asciiTheme="minorHAnsi" w:eastAsiaTheme="minorEastAsia" w:hAnsiTheme="minorHAnsi"/>
          <w:sz w:val="24"/>
          <w:szCs w:val="24"/>
          <w:lang w:eastAsia="cs-CZ"/>
        </w:rPr>
      </w:pPr>
      <w:r>
        <w:fldChar w:fldCharType="begin"/>
      </w:r>
      <w:r>
        <w:instrText xml:space="preserve"> TOC \o "1-2" \h \z \u </w:instrText>
      </w:r>
      <w:r>
        <w:fldChar w:fldCharType="separate"/>
      </w:r>
    </w:p>
    <w:p w14:paraId="47D72939" w14:textId="2B172346" w:rsidR="008513FE" w:rsidRPr="006128E2" w:rsidRDefault="00136BAD" w:rsidP="006128E2">
      <w:pPr>
        <w:pStyle w:val="Obsah2"/>
        <w:rPr>
          <w:rFonts w:asciiTheme="minorHAnsi" w:eastAsiaTheme="minorEastAsia" w:hAnsiTheme="minorHAnsi"/>
          <w:b w:val="0"/>
          <w:bCs w:val="0"/>
          <w:sz w:val="24"/>
          <w:szCs w:val="24"/>
          <w:lang w:eastAsia="cs-CZ"/>
        </w:rPr>
      </w:pPr>
      <w:hyperlink w:anchor="_Toc61261165" w:history="1">
        <w:r w:rsidR="008513FE" w:rsidRPr="006128E2">
          <w:rPr>
            <w:rStyle w:val="Hypertextovodkaz"/>
            <w:b w:val="0"/>
            <w:bCs w:val="0"/>
            <w:color w:val="000000" w:themeColor="text1"/>
            <w:sz w:val="24"/>
            <w:szCs w:val="24"/>
            <w:u w:val="none"/>
          </w:rPr>
          <w:t>Úvod</w:t>
        </w:r>
        <w:r w:rsidR="008513FE" w:rsidRPr="006128E2">
          <w:rPr>
            <w:b w:val="0"/>
            <w:bCs w:val="0"/>
            <w:webHidden/>
            <w:sz w:val="24"/>
            <w:szCs w:val="24"/>
          </w:rPr>
          <w:tab/>
        </w:r>
        <w:r w:rsidR="008513FE" w:rsidRPr="006128E2">
          <w:rPr>
            <w:b w:val="0"/>
            <w:bCs w:val="0"/>
            <w:webHidden/>
            <w:sz w:val="24"/>
            <w:szCs w:val="24"/>
          </w:rPr>
          <w:fldChar w:fldCharType="begin"/>
        </w:r>
        <w:r w:rsidR="008513FE" w:rsidRPr="006128E2">
          <w:rPr>
            <w:b w:val="0"/>
            <w:bCs w:val="0"/>
            <w:webHidden/>
            <w:sz w:val="24"/>
            <w:szCs w:val="24"/>
          </w:rPr>
          <w:instrText xml:space="preserve"> PAGEREF _Toc61261165 \h </w:instrText>
        </w:r>
        <w:r w:rsidR="008513FE" w:rsidRPr="006128E2">
          <w:rPr>
            <w:b w:val="0"/>
            <w:bCs w:val="0"/>
            <w:webHidden/>
            <w:sz w:val="24"/>
            <w:szCs w:val="24"/>
          </w:rPr>
        </w:r>
        <w:r w:rsidR="008513FE" w:rsidRPr="006128E2">
          <w:rPr>
            <w:b w:val="0"/>
            <w:bCs w:val="0"/>
            <w:webHidden/>
            <w:sz w:val="24"/>
            <w:szCs w:val="24"/>
          </w:rPr>
          <w:fldChar w:fldCharType="separate"/>
        </w:r>
        <w:r w:rsidR="00F650E6">
          <w:rPr>
            <w:b w:val="0"/>
            <w:bCs w:val="0"/>
            <w:webHidden/>
            <w:sz w:val="24"/>
            <w:szCs w:val="24"/>
          </w:rPr>
          <w:t>8</w:t>
        </w:r>
        <w:r w:rsidR="008513FE" w:rsidRPr="006128E2">
          <w:rPr>
            <w:b w:val="0"/>
            <w:bCs w:val="0"/>
            <w:webHidden/>
            <w:sz w:val="24"/>
            <w:szCs w:val="24"/>
          </w:rPr>
          <w:fldChar w:fldCharType="end"/>
        </w:r>
      </w:hyperlink>
    </w:p>
    <w:p w14:paraId="2455571C" w14:textId="53145F77" w:rsidR="008513FE" w:rsidRPr="006128E2" w:rsidRDefault="006128E2" w:rsidP="006128E2">
      <w:pPr>
        <w:pStyle w:val="Obsah2"/>
        <w:rPr>
          <w:rFonts w:asciiTheme="minorHAnsi" w:eastAsiaTheme="minorEastAsia" w:hAnsiTheme="minorHAnsi"/>
          <w:b w:val="0"/>
          <w:bCs w:val="0"/>
          <w:sz w:val="24"/>
          <w:szCs w:val="24"/>
          <w:lang w:eastAsia="cs-CZ"/>
        </w:rPr>
      </w:pPr>
      <w:r w:rsidRPr="006128E2">
        <w:rPr>
          <w:rStyle w:val="Hypertextovodkaz"/>
          <w:b w:val="0"/>
          <w:bCs w:val="0"/>
          <w:color w:val="000000" w:themeColor="text1"/>
          <w:sz w:val="24"/>
          <w:szCs w:val="24"/>
          <w:u w:val="none"/>
        </w:rPr>
        <w:t xml:space="preserve">1. </w:t>
      </w:r>
      <w:hyperlink w:anchor="_Toc61261166" w:history="1">
        <w:r w:rsidR="008513FE" w:rsidRPr="006128E2">
          <w:rPr>
            <w:rStyle w:val="Hypertextovodkaz"/>
            <w:b w:val="0"/>
            <w:bCs w:val="0"/>
            <w:color w:val="000000" w:themeColor="text1"/>
            <w:sz w:val="24"/>
            <w:szCs w:val="24"/>
            <w:u w:val="none"/>
          </w:rPr>
          <w:t>Metodologie</w:t>
        </w:r>
        <w:r w:rsidR="008513FE" w:rsidRPr="006128E2">
          <w:rPr>
            <w:b w:val="0"/>
            <w:bCs w:val="0"/>
            <w:webHidden/>
            <w:sz w:val="24"/>
            <w:szCs w:val="24"/>
          </w:rPr>
          <w:tab/>
        </w:r>
        <w:r w:rsidR="008513FE" w:rsidRPr="006128E2">
          <w:rPr>
            <w:b w:val="0"/>
            <w:bCs w:val="0"/>
            <w:webHidden/>
            <w:sz w:val="24"/>
            <w:szCs w:val="24"/>
          </w:rPr>
          <w:fldChar w:fldCharType="begin"/>
        </w:r>
        <w:r w:rsidR="008513FE" w:rsidRPr="006128E2">
          <w:rPr>
            <w:b w:val="0"/>
            <w:bCs w:val="0"/>
            <w:webHidden/>
            <w:sz w:val="24"/>
            <w:szCs w:val="24"/>
          </w:rPr>
          <w:instrText xml:space="preserve"> PAGEREF _Toc61261166 \h </w:instrText>
        </w:r>
        <w:r w:rsidR="008513FE" w:rsidRPr="006128E2">
          <w:rPr>
            <w:b w:val="0"/>
            <w:bCs w:val="0"/>
            <w:webHidden/>
            <w:sz w:val="24"/>
            <w:szCs w:val="24"/>
          </w:rPr>
        </w:r>
        <w:r w:rsidR="008513FE" w:rsidRPr="006128E2">
          <w:rPr>
            <w:b w:val="0"/>
            <w:bCs w:val="0"/>
            <w:webHidden/>
            <w:sz w:val="24"/>
            <w:szCs w:val="24"/>
          </w:rPr>
          <w:fldChar w:fldCharType="separate"/>
        </w:r>
        <w:r w:rsidR="00F650E6">
          <w:rPr>
            <w:b w:val="0"/>
            <w:bCs w:val="0"/>
            <w:webHidden/>
            <w:sz w:val="24"/>
            <w:szCs w:val="24"/>
          </w:rPr>
          <w:t>11</w:t>
        </w:r>
        <w:r w:rsidR="008513FE" w:rsidRPr="006128E2">
          <w:rPr>
            <w:b w:val="0"/>
            <w:bCs w:val="0"/>
            <w:webHidden/>
            <w:sz w:val="24"/>
            <w:szCs w:val="24"/>
          </w:rPr>
          <w:fldChar w:fldCharType="end"/>
        </w:r>
      </w:hyperlink>
    </w:p>
    <w:p w14:paraId="78FB9A1F" w14:textId="3C53FD13" w:rsidR="008513FE" w:rsidRPr="006128E2" w:rsidRDefault="006128E2" w:rsidP="006128E2">
      <w:pPr>
        <w:pStyle w:val="Obsah2"/>
        <w:rPr>
          <w:rFonts w:asciiTheme="minorHAnsi" w:eastAsiaTheme="minorEastAsia" w:hAnsiTheme="minorHAnsi"/>
          <w:b w:val="0"/>
          <w:bCs w:val="0"/>
          <w:sz w:val="24"/>
          <w:szCs w:val="24"/>
          <w:lang w:eastAsia="cs-CZ"/>
        </w:rPr>
      </w:pPr>
      <w:r w:rsidRPr="006128E2">
        <w:rPr>
          <w:rStyle w:val="Hypertextovodkaz"/>
          <w:b w:val="0"/>
          <w:bCs w:val="0"/>
          <w:color w:val="000000" w:themeColor="text1"/>
          <w:sz w:val="24"/>
          <w:szCs w:val="24"/>
          <w:u w:val="none"/>
        </w:rPr>
        <w:t xml:space="preserve">2. </w:t>
      </w:r>
      <w:hyperlink w:anchor="_Toc61261167" w:history="1">
        <w:r w:rsidR="008513FE" w:rsidRPr="006128E2">
          <w:rPr>
            <w:rStyle w:val="Hypertextovodkaz"/>
            <w:b w:val="0"/>
            <w:bCs w:val="0"/>
            <w:color w:val="000000" w:themeColor="text1"/>
            <w:sz w:val="24"/>
            <w:szCs w:val="24"/>
            <w:u w:val="none"/>
          </w:rPr>
          <w:t>Vývoj trhu s ropou a dopady poklesu ceny ropy na oblast MENA, Rusko a Střední Asii</w:t>
        </w:r>
        <w:r w:rsidR="008513FE" w:rsidRPr="006128E2">
          <w:rPr>
            <w:b w:val="0"/>
            <w:bCs w:val="0"/>
            <w:webHidden/>
            <w:sz w:val="24"/>
            <w:szCs w:val="24"/>
          </w:rPr>
          <w:tab/>
        </w:r>
        <w:r w:rsidR="008513FE" w:rsidRPr="006128E2">
          <w:rPr>
            <w:b w:val="0"/>
            <w:bCs w:val="0"/>
            <w:webHidden/>
            <w:sz w:val="24"/>
            <w:szCs w:val="24"/>
          </w:rPr>
          <w:fldChar w:fldCharType="begin"/>
        </w:r>
        <w:r w:rsidR="008513FE" w:rsidRPr="006128E2">
          <w:rPr>
            <w:b w:val="0"/>
            <w:bCs w:val="0"/>
            <w:webHidden/>
            <w:sz w:val="24"/>
            <w:szCs w:val="24"/>
          </w:rPr>
          <w:instrText xml:space="preserve"> PAGEREF _Toc61261167 \h </w:instrText>
        </w:r>
        <w:r w:rsidR="008513FE" w:rsidRPr="006128E2">
          <w:rPr>
            <w:b w:val="0"/>
            <w:bCs w:val="0"/>
            <w:webHidden/>
            <w:sz w:val="24"/>
            <w:szCs w:val="24"/>
          </w:rPr>
        </w:r>
        <w:r w:rsidR="008513FE" w:rsidRPr="006128E2">
          <w:rPr>
            <w:b w:val="0"/>
            <w:bCs w:val="0"/>
            <w:webHidden/>
            <w:sz w:val="24"/>
            <w:szCs w:val="24"/>
          </w:rPr>
          <w:fldChar w:fldCharType="separate"/>
        </w:r>
        <w:r w:rsidR="00F650E6">
          <w:rPr>
            <w:b w:val="0"/>
            <w:bCs w:val="0"/>
            <w:webHidden/>
            <w:sz w:val="24"/>
            <w:szCs w:val="24"/>
          </w:rPr>
          <w:t>14</w:t>
        </w:r>
        <w:r w:rsidR="008513FE" w:rsidRPr="006128E2">
          <w:rPr>
            <w:b w:val="0"/>
            <w:bCs w:val="0"/>
            <w:webHidden/>
            <w:sz w:val="24"/>
            <w:szCs w:val="24"/>
          </w:rPr>
          <w:fldChar w:fldCharType="end"/>
        </w:r>
      </w:hyperlink>
    </w:p>
    <w:p w14:paraId="67548601" w14:textId="78416466" w:rsidR="008513FE" w:rsidRPr="006128E2" w:rsidRDefault="006128E2" w:rsidP="006128E2">
      <w:pPr>
        <w:pStyle w:val="Obsah2"/>
        <w:rPr>
          <w:rFonts w:asciiTheme="minorHAnsi" w:eastAsiaTheme="minorEastAsia" w:hAnsiTheme="minorHAnsi"/>
          <w:b w:val="0"/>
          <w:bCs w:val="0"/>
          <w:sz w:val="24"/>
          <w:szCs w:val="24"/>
          <w:lang w:eastAsia="cs-CZ"/>
        </w:rPr>
      </w:pPr>
      <w:r w:rsidRPr="006128E2">
        <w:rPr>
          <w:rStyle w:val="Hypertextovodkaz"/>
          <w:b w:val="0"/>
          <w:bCs w:val="0"/>
          <w:color w:val="000000" w:themeColor="text1"/>
          <w:sz w:val="24"/>
          <w:szCs w:val="24"/>
          <w:u w:val="none"/>
        </w:rPr>
        <w:t xml:space="preserve">3. </w:t>
      </w:r>
      <w:hyperlink w:anchor="_Toc61261168" w:history="1">
        <w:r w:rsidR="008513FE" w:rsidRPr="006128E2">
          <w:rPr>
            <w:rStyle w:val="Hypertextovodkaz"/>
            <w:b w:val="0"/>
            <w:bCs w:val="0"/>
            <w:color w:val="000000" w:themeColor="text1"/>
            <w:sz w:val="24"/>
            <w:szCs w:val="24"/>
            <w:u w:val="none"/>
          </w:rPr>
          <w:t>Dopady poklesu cen ropy na Rusko</w:t>
        </w:r>
        <w:r w:rsidR="008513FE" w:rsidRPr="006128E2">
          <w:rPr>
            <w:b w:val="0"/>
            <w:bCs w:val="0"/>
            <w:webHidden/>
            <w:sz w:val="24"/>
            <w:szCs w:val="24"/>
          </w:rPr>
          <w:tab/>
        </w:r>
        <w:r w:rsidR="008513FE" w:rsidRPr="006128E2">
          <w:rPr>
            <w:b w:val="0"/>
            <w:bCs w:val="0"/>
            <w:webHidden/>
            <w:sz w:val="24"/>
            <w:szCs w:val="24"/>
          </w:rPr>
          <w:fldChar w:fldCharType="begin"/>
        </w:r>
        <w:r w:rsidR="008513FE" w:rsidRPr="006128E2">
          <w:rPr>
            <w:b w:val="0"/>
            <w:bCs w:val="0"/>
            <w:webHidden/>
            <w:sz w:val="24"/>
            <w:szCs w:val="24"/>
          </w:rPr>
          <w:instrText xml:space="preserve"> PAGEREF _Toc61261168 \h </w:instrText>
        </w:r>
        <w:r w:rsidR="008513FE" w:rsidRPr="006128E2">
          <w:rPr>
            <w:b w:val="0"/>
            <w:bCs w:val="0"/>
            <w:webHidden/>
            <w:sz w:val="24"/>
            <w:szCs w:val="24"/>
          </w:rPr>
        </w:r>
        <w:r w:rsidR="008513FE" w:rsidRPr="006128E2">
          <w:rPr>
            <w:b w:val="0"/>
            <w:bCs w:val="0"/>
            <w:webHidden/>
            <w:sz w:val="24"/>
            <w:szCs w:val="24"/>
          </w:rPr>
          <w:fldChar w:fldCharType="separate"/>
        </w:r>
        <w:r w:rsidR="00F650E6">
          <w:rPr>
            <w:b w:val="0"/>
            <w:bCs w:val="0"/>
            <w:webHidden/>
            <w:sz w:val="24"/>
            <w:szCs w:val="24"/>
          </w:rPr>
          <w:t>25</w:t>
        </w:r>
        <w:r w:rsidR="008513FE" w:rsidRPr="006128E2">
          <w:rPr>
            <w:b w:val="0"/>
            <w:bCs w:val="0"/>
            <w:webHidden/>
            <w:sz w:val="24"/>
            <w:szCs w:val="24"/>
          </w:rPr>
          <w:fldChar w:fldCharType="end"/>
        </w:r>
      </w:hyperlink>
    </w:p>
    <w:p w14:paraId="30A5C030" w14:textId="087FB89C" w:rsidR="008513FE" w:rsidRPr="006128E2" w:rsidRDefault="006128E2" w:rsidP="006128E2">
      <w:pPr>
        <w:pStyle w:val="Obsah2"/>
        <w:rPr>
          <w:rFonts w:asciiTheme="minorHAnsi" w:eastAsiaTheme="minorEastAsia" w:hAnsiTheme="minorHAnsi"/>
          <w:b w:val="0"/>
          <w:bCs w:val="0"/>
          <w:sz w:val="24"/>
          <w:szCs w:val="24"/>
          <w:lang w:eastAsia="cs-CZ"/>
        </w:rPr>
      </w:pPr>
      <w:r w:rsidRPr="006128E2">
        <w:rPr>
          <w:rStyle w:val="Hypertextovodkaz"/>
          <w:b w:val="0"/>
          <w:bCs w:val="0"/>
          <w:color w:val="000000" w:themeColor="text1"/>
          <w:sz w:val="24"/>
          <w:szCs w:val="24"/>
          <w:u w:val="none"/>
        </w:rPr>
        <w:t xml:space="preserve">4. </w:t>
      </w:r>
      <w:hyperlink w:anchor="_Toc61261169" w:history="1">
        <w:r w:rsidR="008513FE" w:rsidRPr="006128E2">
          <w:rPr>
            <w:rStyle w:val="Hypertextovodkaz"/>
            <w:b w:val="0"/>
            <w:bCs w:val="0"/>
            <w:color w:val="000000" w:themeColor="text1"/>
            <w:sz w:val="24"/>
            <w:szCs w:val="24"/>
            <w:u w:val="none"/>
          </w:rPr>
          <w:t>Dopady poklesu cen ropy na Ázerbájdžán</w:t>
        </w:r>
        <w:r w:rsidR="008513FE" w:rsidRPr="006128E2">
          <w:rPr>
            <w:b w:val="0"/>
            <w:bCs w:val="0"/>
            <w:webHidden/>
            <w:sz w:val="24"/>
            <w:szCs w:val="24"/>
          </w:rPr>
          <w:tab/>
        </w:r>
        <w:r w:rsidR="008513FE" w:rsidRPr="006128E2">
          <w:rPr>
            <w:b w:val="0"/>
            <w:bCs w:val="0"/>
            <w:webHidden/>
            <w:sz w:val="24"/>
            <w:szCs w:val="24"/>
          </w:rPr>
          <w:fldChar w:fldCharType="begin"/>
        </w:r>
        <w:r w:rsidR="008513FE" w:rsidRPr="006128E2">
          <w:rPr>
            <w:b w:val="0"/>
            <w:bCs w:val="0"/>
            <w:webHidden/>
            <w:sz w:val="24"/>
            <w:szCs w:val="24"/>
          </w:rPr>
          <w:instrText xml:space="preserve"> PAGEREF _Toc61261169 \h </w:instrText>
        </w:r>
        <w:r w:rsidR="008513FE" w:rsidRPr="006128E2">
          <w:rPr>
            <w:b w:val="0"/>
            <w:bCs w:val="0"/>
            <w:webHidden/>
            <w:sz w:val="24"/>
            <w:szCs w:val="24"/>
          </w:rPr>
        </w:r>
        <w:r w:rsidR="008513FE" w:rsidRPr="006128E2">
          <w:rPr>
            <w:b w:val="0"/>
            <w:bCs w:val="0"/>
            <w:webHidden/>
            <w:sz w:val="24"/>
            <w:szCs w:val="24"/>
          </w:rPr>
          <w:fldChar w:fldCharType="separate"/>
        </w:r>
        <w:r w:rsidR="00F650E6">
          <w:rPr>
            <w:b w:val="0"/>
            <w:bCs w:val="0"/>
            <w:webHidden/>
            <w:sz w:val="24"/>
            <w:szCs w:val="24"/>
          </w:rPr>
          <w:t>35</w:t>
        </w:r>
        <w:r w:rsidR="008513FE" w:rsidRPr="006128E2">
          <w:rPr>
            <w:b w:val="0"/>
            <w:bCs w:val="0"/>
            <w:webHidden/>
            <w:sz w:val="24"/>
            <w:szCs w:val="24"/>
          </w:rPr>
          <w:fldChar w:fldCharType="end"/>
        </w:r>
      </w:hyperlink>
    </w:p>
    <w:p w14:paraId="61CAB386" w14:textId="537186F8" w:rsidR="008513FE" w:rsidRPr="006128E2" w:rsidRDefault="006128E2" w:rsidP="006128E2">
      <w:pPr>
        <w:pStyle w:val="Obsah2"/>
        <w:rPr>
          <w:rFonts w:asciiTheme="minorHAnsi" w:eastAsiaTheme="minorEastAsia" w:hAnsiTheme="minorHAnsi"/>
          <w:b w:val="0"/>
          <w:bCs w:val="0"/>
          <w:sz w:val="24"/>
          <w:szCs w:val="24"/>
          <w:lang w:eastAsia="cs-CZ"/>
        </w:rPr>
      </w:pPr>
      <w:r w:rsidRPr="006128E2">
        <w:rPr>
          <w:rStyle w:val="Hypertextovodkaz"/>
          <w:b w:val="0"/>
          <w:bCs w:val="0"/>
          <w:color w:val="000000" w:themeColor="text1"/>
          <w:sz w:val="24"/>
          <w:szCs w:val="24"/>
          <w:u w:val="none"/>
        </w:rPr>
        <w:t xml:space="preserve">5. </w:t>
      </w:r>
      <w:hyperlink w:anchor="_Toc61261170" w:history="1">
        <w:r w:rsidR="008513FE" w:rsidRPr="006128E2">
          <w:rPr>
            <w:rStyle w:val="Hypertextovodkaz"/>
            <w:b w:val="0"/>
            <w:bCs w:val="0"/>
            <w:color w:val="000000" w:themeColor="text1"/>
            <w:sz w:val="24"/>
            <w:szCs w:val="24"/>
            <w:u w:val="none"/>
          </w:rPr>
          <w:t>Dopady a příležitosti pro ČR</w:t>
        </w:r>
        <w:r w:rsidR="008513FE" w:rsidRPr="006128E2">
          <w:rPr>
            <w:b w:val="0"/>
            <w:bCs w:val="0"/>
            <w:webHidden/>
            <w:sz w:val="24"/>
            <w:szCs w:val="24"/>
          </w:rPr>
          <w:tab/>
        </w:r>
        <w:r w:rsidR="008513FE" w:rsidRPr="006128E2">
          <w:rPr>
            <w:b w:val="0"/>
            <w:bCs w:val="0"/>
            <w:webHidden/>
            <w:sz w:val="24"/>
            <w:szCs w:val="24"/>
          </w:rPr>
          <w:fldChar w:fldCharType="begin"/>
        </w:r>
        <w:r w:rsidR="008513FE" w:rsidRPr="006128E2">
          <w:rPr>
            <w:b w:val="0"/>
            <w:bCs w:val="0"/>
            <w:webHidden/>
            <w:sz w:val="24"/>
            <w:szCs w:val="24"/>
          </w:rPr>
          <w:instrText xml:space="preserve"> PAGEREF _Toc61261170 \h </w:instrText>
        </w:r>
        <w:r w:rsidR="008513FE" w:rsidRPr="006128E2">
          <w:rPr>
            <w:b w:val="0"/>
            <w:bCs w:val="0"/>
            <w:webHidden/>
            <w:sz w:val="24"/>
            <w:szCs w:val="24"/>
          </w:rPr>
        </w:r>
        <w:r w:rsidR="008513FE" w:rsidRPr="006128E2">
          <w:rPr>
            <w:b w:val="0"/>
            <w:bCs w:val="0"/>
            <w:webHidden/>
            <w:sz w:val="24"/>
            <w:szCs w:val="24"/>
          </w:rPr>
          <w:fldChar w:fldCharType="separate"/>
        </w:r>
        <w:r w:rsidR="00F650E6">
          <w:rPr>
            <w:b w:val="0"/>
            <w:bCs w:val="0"/>
            <w:webHidden/>
            <w:sz w:val="24"/>
            <w:szCs w:val="24"/>
          </w:rPr>
          <w:t>41</w:t>
        </w:r>
        <w:r w:rsidR="008513FE" w:rsidRPr="006128E2">
          <w:rPr>
            <w:b w:val="0"/>
            <w:bCs w:val="0"/>
            <w:webHidden/>
            <w:sz w:val="24"/>
            <w:szCs w:val="24"/>
          </w:rPr>
          <w:fldChar w:fldCharType="end"/>
        </w:r>
      </w:hyperlink>
    </w:p>
    <w:p w14:paraId="55E97347" w14:textId="730292BC" w:rsidR="008513FE" w:rsidRPr="006128E2" w:rsidRDefault="00136BAD" w:rsidP="006128E2">
      <w:pPr>
        <w:pStyle w:val="Obsah2"/>
        <w:rPr>
          <w:rFonts w:asciiTheme="minorHAnsi" w:eastAsiaTheme="minorEastAsia" w:hAnsiTheme="minorHAnsi"/>
          <w:b w:val="0"/>
          <w:bCs w:val="0"/>
          <w:sz w:val="24"/>
          <w:szCs w:val="24"/>
          <w:lang w:eastAsia="cs-CZ"/>
        </w:rPr>
      </w:pPr>
      <w:hyperlink w:anchor="_Toc61261172" w:history="1">
        <w:r w:rsidR="008513FE" w:rsidRPr="006128E2">
          <w:rPr>
            <w:rStyle w:val="Hypertextovodkaz"/>
            <w:b w:val="0"/>
            <w:bCs w:val="0"/>
            <w:color w:val="000000" w:themeColor="text1"/>
            <w:sz w:val="24"/>
            <w:szCs w:val="24"/>
            <w:u w:val="none"/>
          </w:rPr>
          <w:t>Závěr a doporučení pro ČR</w:t>
        </w:r>
        <w:r w:rsidR="008513FE" w:rsidRPr="006128E2">
          <w:rPr>
            <w:b w:val="0"/>
            <w:bCs w:val="0"/>
            <w:webHidden/>
            <w:sz w:val="24"/>
            <w:szCs w:val="24"/>
          </w:rPr>
          <w:tab/>
        </w:r>
        <w:r w:rsidR="008513FE" w:rsidRPr="006128E2">
          <w:rPr>
            <w:b w:val="0"/>
            <w:bCs w:val="0"/>
            <w:webHidden/>
            <w:sz w:val="24"/>
            <w:szCs w:val="24"/>
          </w:rPr>
          <w:fldChar w:fldCharType="begin"/>
        </w:r>
        <w:r w:rsidR="008513FE" w:rsidRPr="006128E2">
          <w:rPr>
            <w:b w:val="0"/>
            <w:bCs w:val="0"/>
            <w:webHidden/>
            <w:sz w:val="24"/>
            <w:szCs w:val="24"/>
          </w:rPr>
          <w:instrText xml:space="preserve"> PAGEREF _Toc61261172 \h </w:instrText>
        </w:r>
        <w:r w:rsidR="008513FE" w:rsidRPr="006128E2">
          <w:rPr>
            <w:b w:val="0"/>
            <w:bCs w:val="0"/>
            <w:webHidden/>
            <w:sz w:val="24"/>
            <w:szCs w:val="24"/>
          </w:rPr>
        </w:r>
        <w:r w:rsidR="008513FE" w:rsidRPr="006128E2">
          <w:rPr>
            <w:b w:val="0"/>
            <w:bCs w:val="0"/>
            <w:webHidden/>
            <w:sz w:val="24"/>
            <w:szCs w:val="24"/>
          </w:rPr>
          <w:fldChar w:fldCharType="separate"/>
        </w:r>
        <w:r w:rsidR="00F650E6">
          <w:rPr>
            <w:b w:val="0"/>
            <w:bCs w:val="0"/>
            <w:webHidden/>
            <w:sz w:val="24"/>
            <w:szCs w:val="24"/>
          </w:rPr>
          <w:t>45</w:t>
        </w:r>
        <w:r w:rsidR="008513FE" w:rsidRPr="006128E2">
          <w:rPr>
            <w:b w:val="0"/>
            <w:bCs w:val="0"/>
            <w:webHidden/>
            <w:sz w:val="24"/>
            <w:szCs w:val="24"/>
          </w:rPr>
          <w:fldChar w:fldCharType="end"/>
        </w:r>
      </w:hyperlink>
    </w:p>
    <w:p w14:paraId="77F85BB5" w14:textId="52456134" w:rsidR="008513FE" w:rsidRPr="006128E2" w:rsidRDefault="00136BAD" w:rsidP="006128E2">
      <w:pPr>
        <w:pStyle w:val="Obsah2"/>
        <w:rPr>
          <w:rFonts w:asciiTheme="minorHAnsi" w:eastAsiaTheme="minorEastAsia" w:hAnsiTheme="minorHAnsi"/>
          <w:b w:val="0"/>
          <w:bCs w:val="0"/>
          <w:sz w:val="24"/>
          <w:szCs w:val="24"/>
          <w:lang w:eastAsia="cs-CZ"/>
        </w:rPr>
      </w:pPr>
      <w:hyperlink w:anchor="_Toc61261173" w:history="1">
        <w:r w:rsidR="008513FE" w:rsidRPr="006128E2">
          <w:rPr>
            <w:rStyle w:val="Hypertextovodkaz"/>
            <w:b w:val="0"/>
            <w:bCs w:val="0"/>
            <w:color w:val="000000" w:themeColor="text1"/>
            <w:sz w:val="24"/>
            <w:szCs w:val="24"/>
            <w:u w:val="none"/>
            <w:shd w:val="clear" w:color="auto" w:fill="FFFFFF"/>
            <w:lang w:val="en-US"/>
          </w:rPr>
          <w:t>Příloha</w:t>
        </w:r>
        <w:r w:rsidR="008513FE" w:rsidRPr="006128E2">
          <w:rPr>
            <w:b w:val="0"/>
            <w:bCs w:val="0"/>
            <w:webHidden/>
            <w:sz w:val="24"/>
            <w:szCs w:val="24"/>
          </w:rPr>
          <w:tab/>
        </w:r>
        <w:r w:rsidR="008513FE" w:rsidRPr="006128E2">
          <w:rPr>
            <w:b w:val="0"/>
            <w:bCs w:val="0"/>
            <w:webHidden/>
            <w:sz w:val="24"/>
            <w:szCs w:val="24"/>
          </w:rPr>
          <w:fldChar w:fldCharType="begin"/>
        </w:r>
        <w:r w:rsidR="008513FE" w:rsidRPr="006128E2">
          <w:rPr>
            <w:b w:val="0"/>
            <w:bCs w:val="0"/>
            <w:webHidden/>
            <w:sz w:val="24"/>
            <w:szCs w:val="24"/>
          </w:rPr>
          <w:instrText xml:space="preserve"> PAGEREF _Toc61261173 \h </w:instrText>
        </w:r>
        <w:r w:rsidR="008513FE" w:rsidRPr="006128E2">
          <w:rPr>
            <w:b w:val="0"/>
            <w:bCs w:val="0"/>
            <w:webHidden/>
            <w:sz w:val="24"/>
            <w:szCs w:val="24"/>
          </w:rPr>
        </w:r>
        <w:r w:rsidR="008513FE" w:rsidRPr="006128E2">
          <w:rPr>
            <w:b w:val="0"/>
            <w:bCs w:val="0"/>
            <w:webHidden/>
            <w:sz w:val="24"/>
            <w:szCs w:val="24"/>
          </w:rPr>
          <w:fldChar w:fldCharType="separate"/>
        </w:r>
        <w:r w:rsidR="00F650E6">
          <w:rPr>
            <w:b w:val="0"/>
            <w:bCs w:val="0"/>
            <w:webHidden/>
            <w:sz w:val="24"/>
            <w:szCs w:val="24"/>
          </w:rPr>
          <w:t>59</w:t>
        </w:r>
        <w:r w:rsidR="008513FE" w:rsidRPr="006128E2">
          <w:rPr>
            <w:b w:val="0"/>
            <w:bCs w:val="0"/>
            <w:webHidden/>
            <w:sz w:val="24"/>
            <w:szCs w:val="24"/>
          </w:rPr>
          <w:fldChar w:fldCharType="end"/>
        </w:r>
      </w:hyperlink>
    </w:p>
    <w:p w14:paraId="2BA39E6A" w14:textId="02B51BEB" w:rsidR="008513FE" w:rsidRDefault="008513FE" w:rsidP="008513FE">
      <w:r>
        <w:fldChar w:fldCharType="end"/>
      </w:r>
    </w:p>
    <w:p w14:paraId="78FCB725" w14:textId="639B9A20" w:rsidR="008513FE" w:rsidRDefault="008513FE" w:rsidP="00311D9D">
      <w:pPr>
        <w:pStyle w:val="Nadpis2"/>
      </w:pPr>
      <w:bookmarkStart w:id="9" w:name="_Toc61262031"/>
      <w:bookmarkStart w:id="10" w:name="_Toc61262155"/>
      <w:r>
        <w:t>Objekty v</w:t>
      </w:r>
      <w:r w:rsidR="00311D9D">
        <w:t> </w:t>
      </w:r>
      <w:r>
        <w:t>textu</w:t>
      </w:r>
      <w:bookmarkEnd w:id="9"/>
      <w:bookmarkEnd w:id="10"/>
    </w:p>
    <w:p w14:paraId="454236B2" w14:textId="77777777" w:rsidR="00311D9D" w:rsidRPr="00311D9D" w:rsidRDefault="00311D9D" w:rsidP="00311D9D"/>
    <w:p w14:paraId="3010230D" w14:textId="2BF4F355" w:rsidR="008513FE" w:rsidRPr="006128E2" w:rsidRDefault="00136BAD" w:rsidP="00311D9D">
      <w:pPr>
        <w:pStyle w:val="Obsah3"/>
        <w:rPr>
          <w:noProof/>
          <w:sz w:val="24"/>
          <w:szCs w:val="24"/>
        </w:rPr>
      </w:pPr>
      <w:hyperlink w:anchor="__Toc61261283" w:history="1">
        <w:r w:rsidR="008513FE" w:rsidRPr="006128E2">
          <w:rPr>
            <w:rStyle w:val="Hypertextovodkaz"/>
            <w:noProof/>
            <w:color w:val="000000" w:themeColor="text1"/>
            <w:sz w:val="24"/>
            <w:szCs w:val="24"/>
            <w:u w:val="none"/>
          </w:rPr>
          <w:t>Graf 1: Ceny surové ropy: Brent – Evropa, 2020 (denně)</w:t>
        </w:r>
        <w:r w:rsidR="008513FE" w:rsidRPr="006128E2">
          <w:rPr>
            <w:noProof/>
            <w:webHidden/>
            <w:sz w:val="24"/>
            <w:szCs w:val="24"/>
          </w:rPr>
          <w:tab/>
        </w:r>
        <w:r w:rsidR="008513FE" w:rsidRPr="006128E2">
          <w:rPr>
            <w:noProof/>
            <w:webHidden/>
            <w:sz w:val="24"/>
            <w:szCs w:val="24"/>
          </w:rPr>
          <w:fldChar w:fldCharType="begin"/>
        </w:r>
        <w:r w:rsidR="008513FE" w:rsidRPr="006128E2">
          <w:rPr>
            <w:noProof/>
            <w:webHidden/>
            <w:sz w:val="24"/>
            <w:szCs w:val="24"/>
          </w:rPr>
          <w:instrText xml:space="preserve"> PAGEREF _Toc61261283 \h </w:instrText>
        </w:r>
        <w:r w:rsidR="008513FE" w:rsidRPr="006128E2">
          <w:rPr>
            <w:noProof/>
            <w:webHidden/>
            <w:sz w:val="24"/>
            <w:szCs w:val="24"/>
          </w:rPr>
        </w:r>
        <w:r w:rsidR="008513FE" w:rsidRPr="006128E2">
          <w:rPr>
            <w:noProof/>
            <w:webHidden/>
            <w:sz w:val="24"/>
            <w:szCs w:val="24"/>
          </w:rPr>
          <w:fldChar w:fldCharType="separate"/>
        </w:r>
        <w:r w:rsidR="00F650E6">
          <w:rPr>
            <w:noProof/>
            <w:webHidden/>
            <w:sz w:val="24"/>
            <w:szCs w:val="24"/>
          </w:rPr>
          <w:t>8</w:t>
        </w:r>
        <w:r w:rsidR="008513FE" w:rsidRPr="006128E2">
          <w:rPr>
            <w:noProof/>
            <w:webHidden/>
            <w:sz w:val="24"/>
            <w:szCs w:val="24"/>
          </w:rPr>
          <w:fldChar w:fldCharType="end"/>
        </w:r>
      </w:hyperlink>
    </w:p>
    <w:p w14:paraId="1512870D" w14:textId="315376CF" w:rsidR="00311D9D" w:rsidRPr="006128E2" w:rsidRDefault="00136BAD" w:rsidP="00311D9D">
      <w:pPr>
        <w:pStyle w:val="Obsah3"/>
        <w:rPr>
          <w:noProof/>
          <w:sz w:val="24"/>
          <w:szCs w:val="24"/>
        </w:rPr>
      </w:pPr>
      <w:hyperlink w:anchor="_Toc61261290" w:history="1">
        <w:r w:rsidR="00311D9D" w:rsidRPr="006128E2">
          <w:rPr>
            <w:rStyle w:val="Hypertextovodkaz"/>
            <w:noProof/>
            <w:color w:val="000000" w:themeColor="text1"/>
            <w:sz w:val="24"/>
            <w:szCs w:val="24"/>
            <w:u w:val="none"/>
          </w:rPr>
          <w:t>Graf 2: Cena ropy při fiskálním bodu zvratu pro Ruskou federaci</w:t>
        </w:r>
        <w:r w:rsidR="00311D9D" w:rsidRPr="006128E2">
          <w:rPr>
            <w:noProof/>
            <w:webHidden/>
            <w:sz w:val="24"/>
            <w:szCs w:val="24"/>
          </w:rPr>
          <w:tab/>
        </w:r>
        <w:r w:rsidR="00311D9D" w:rsidRPr="006128E2">
          <w:rPr>
            <w:noProof/>
            <w:webHidden/>
            <w:sz w:val="24"/>
            <w:szCs w:val="24"/>
          </w:rPr>
          <w:fldChar w:fldCharType="begin"/>
        </w:r>
        <w:r w:rsidR="00311D9D" w:rsidRPr="006128E2">
          <w:rPr>
            <w:noProof/>
            <w:webHidden/>
            <w:sz w:val="24"/>
            <w:szCs w:val="24"/>
          </w:rPr>
          <w:instrText xml:space="preserve"> PAGEREF _Toc61261290 \h </w:instrText>
        </w:r>
        <w:r w:rsidR="00311D9D" w:rsidRPr="006128E2">
          <w:rPr>
            <w:noProof/>
            <w:webHidden/>
            <w:sz w:val="24"/>
            <w:szCs w:val="24"/>
          </w:rPr>
        </w:r>
        <w:r w:rsidR="00311D9D" w:rsidRPr="006128E2">
          <w:rPr>
            <w:noProof/>
            <w:webHidden/>
            <w:sz w:val="24"/>
            <w:szCs w:val="24"/>
          </w:rPr>
          <w:fldChar w:fldCharType="separate"/>
        </w:r>
        <w:r w:rsidR="004A4825">
          <w:rPr>
            <w:noProof/>
            <w:webHidden/>
            <w:sz w:val="24"/>
            <w:szCs w:val="24"/>
          </w:rPr>
          <w:t>27</w:t>
        </w:r>
        <w:r w:rsidR="00311D9D" w:rsidRPr="006128E2">
          <w:rPr>
            <w:noProof/>
            <w:webHidden/>
            <w:sz w:val="24"/>
            <w:szCs w:val="24"/>
          </w:rPr>
          <w:fldChar w:fldCharType="end"/>
        </w:r>
      </w:hyperlink>
    </w:p>
    <w:p w14:paraId="02D3A7C3" w14:textId="77777777" w:rsidR="00311D9D" w:rsidRPr="006128E2" w:rsidRDefault="00311D9D" w:rsidP="00311D9D">
      <w:pPr>
        <w:rPr>
          <w:sz w:val="24"/>
          <w:szCs w:val="24"/>
        </w:rPr>
      </w:pPr>
    </w:p>
    <w:p w14:paraId="761D83A2" w14:textId="5E6509D2" w:rsidR="008513FE" w:rsidRPr="006128E2" w:rsidRDefault="00136BAD" w:rsidP="00311D9D">
      <w:pPr>
        <w:pStyle w:val="Obsah3"/>
        <w:rPr>
          <w:noProof/>
          <w:sz w:val="24"/>
          <w:szCs w:val="24"/>
        </w:rPr>
      </w:pPr>
      <w:hyperlink w:anchor="__Toc61261286" w:history="1">
        <w:r w:rsidR="008513FE" w:rsidRPr="006128E2">
          <w:rPr>
            <w:rStyle w:val="Hypertextovodkaz"/>
            <w:noProof/>
            <w:color w:val="000000" w:themeColor="text1"/>
            <w:sz w:val="24"/>
            <w:szCs w:val="24"/>
            <w:u w:val="none"/>
            <w:shd w:val="clear" w:color="auto" w:fill="FFFFFF"/>
          </w:rPr>
          <w:t>Tabulka 1: Ceny vnějšího zvratu</w:t>
        </w:r>
        <w:r w:rsidR="008513FE" w:rsidRPr="006128E2">
          <w:rPr>
            <w:noProof/>
            <w:webHidden/>
            <w:sz w:val="24"/>
            <w:szCs w:val="24"/>
          </w:rPr>
          <w:tab/>
        </w:r>
        <w:r w:rsidR="008513FE" w:rsidRPr="006128E2">
          <w:rPr>
            <w:noProof/>
            <w:webHidden/>
            <w:sz w:val="24"/>
            <w:szCs w:val="24"/>
          </w:rPr>
          <w:fldChar w:fldCharType="begin"/>
        </w:r>
        <w:r w:rsidR="008513FE" w:rsidRPr="006128E2">
          <w:rPr>
            <w:noProof/>
            <w:webHidden/>
            <w:sz w:val="24"/>
            <w:szCs w:val="24"/>
          </w:rPr>
          <w:instrText xml:space="preserve"> PAGEREF _Toc61261286 \h </w:instrText>
        </w:r>
        <w:r w:rsidR="008513FE" w:rsidRPr="006128E2">
          <w:rPr>
            <w:noProof/>
            <w:webHidden/>
            <w:sz w:val="24"/>
            <w:szCs w:val="24"/>
          </w:rPr>
        </w:r>
        <w:r w:rsidR="008513FE" w:rsidRPr="006128E2">
          <w:rPr>
            <w:noProof/>
            <w:webHidden/>
            <w:sz w:val="24"/>
            <w:szCs w:val="24"/>
          </w:rPr>
          <w:fldChar w:fldCharType="separate"/>
        </w:r>
        <w:r w:rsidR="004A4825">
          <w:rPr>
            <w:noProof/>
            <w:webHidden/>
            <w:sz w:val="24"/>
            <w:szCs w:val="24"/>
          </w:rPr>
          <w:t>21</w:t>
        </w:r>
        <w:r w:rsidR="008513FE" w:rsidRPr="006128E2">
          <w:rPr>
            <w:noProof/>
            <w:webHidden/>
            <w:sz w:val="24"/>
            <w:szCs w:val="24"/>
          </w:rPr>
          <w:fldChar w:fldCharType="end"/>
        </w:r>
      </w:hyperlink>
    </w:p>
    <w:p w14:paraId="654FDCDA" w14:textId="7F5E2476" w:rsidR="008513FE" w:rsidRPr="006128E2" w:rsidRDefault="00136BAD" w:rsidP="00311D9D">
      <w:pPr>
        <w:pStyle w:val="Obsah3"/>
        <w:rPr>
          <w:noProof/>
          <w:sz w:val="24"/>
          <w:szCs w:val="24"/>
        </w:rPr>
      </w:pPr>
      <w:hyperlink w:anchor="_Toc61261287" w:history="1">
        <w:r w:rsidR="008513FE" w:rsidRPr="006128E2">
          <w:rPr>
            <w:rStyle w:val="Hypertextovodkaz"/>
            <w:noProof/>
            <w:color w:val="000000" w:themeColor="text1"/>
            <w:sz w:val="24"/>
            <w:szCs w:val="24"/>
            <w:u w:val="none"/>
            <w:shd w:val="clear" w:color="auto" w:fill="FFFFFF"/>
          </w:rPr>
          <w:t>Tabulka 2: Ceny fiskálního zvratu</w:t>
        </w:r>
        <w:r w:rsidR="008513FE" w:rsidRPr="006128E2">
          <w:rPr>
            <w:noProof/>
            <w:webHidden/>
            <w:sz w:val="24"/>
            <w:szCs w:val="24"/>
          </w:rPr>
          <w:tab/>
        </w:r>
        <w:r w:rsidR="008513FE" w:rsidRPr="006128E2">
          <w:rPr>
            <w:noProof/>
            <w:webHidden/>
            <w:sz w:val="24"/>
            <w:szCs w:val="24"/>
          </w:rPr>
          <w:fldChar w:fldCharType="begin"/>
        </w:r>
        <w:r w:rsidR="008513FE" w:rsidRPr="006128E2">
          <w:rPr>
            <w:noProof/>
            <w:webHidden/>
            <w:sz w:val="24"/>
            <w:szCs w:val="24"/>
          </w:rPr>
          <w:instrText xml:space="preserve"> PAGEREF _Toc61261287 \h </w:instrText>
        </w:r>
        <w:r w:rsidR="008513FE" w:rsidRPr="006128E2">
          <w:rPr>
            <w:noProof/>
            <w:webHidden/>
            <w:sz w:val="24"/>
            <w:szCs w:val="24"/>
          </w:rPr>
        </w:r>
        <w:r w:rsidR="008513FE" w:rsidRPr="006128E2">
          <w:rPr>
            <w:noProof/>
            <w:webHidden/>
            <w:sz w:val="24"/>
            <w:szCs w:val="24"/>
          </w:rPr>
          <w:fldChar w:fldCharType="separate"/>
        </w:r>
        <w:r w:rsidR="004A4825">
          <w:rPr>
            <w:noProof/>
            <w:webHidden/>
            <w:sz w:val="24"/>
            <w:szCs w:val="24"/>
          </w:rPr>
          <w:t>21</w:t>
        </w:r>
        <w:r w:rsidR="008513FE" w:rsidRPr="006128E2">
          <w:rPr>
            <w:noProof/>
            <w:webHidden/>
            <w:sz w:val="24"/>
            <w:szCs w:val="24"/>
          </w:rPr>
          <w:fldChar w:fldCharType="end"/>
        </w:r>
      </w:hyperlink>
    </w:p>
    <w:p w14:paraId="141EDCBA" w14:textId="7F067D8B" w:rsidR="008513FE" w:rsidRPr="006128E2" w:rsidRDefault="008513FE" w:rsidP="008513FE">
      <w:pPr>
        <w:rPr>
          <w:sz w:val="24"/>
          <w:szCs w:val="24"/>
        </w:rPr>
      </w:pPr>
    </w:p>
    <w:p w14:paraId="1F5FC201" w14:textId="5EA7F290" w:rsidR="00311D9D" w:rsidRPr="006128E2" w:rsidRDefault="00136BAD" w:rsidP="00311D9D">
      <w:pPr>
        <w:pStyle w:val="Obsah3"/>
        <w:rPr>
          <w:noProof/>
          <w:sz w:val="24"/>
          <w:szCs w:val="24"/>
        </w:rPr>
      </w:pPr>
      <w:hyperlink w:anchor="___Toc61261288" w:history="1">
        <w:r w:rsidR="00311D9D" w:rsidRPr="006128E2">
          <w:rPr>
            <w:rStyle w:val="Hypertextovodkaz"/>
            <w:noProof/>
            <w:color w:val="000000" w:themeColor="text1"/>
            <w:sz w:val="24"/>
            <w:szCs w:val="24"/>
            <w:u w:val="none"/>
            <w:shd w:val="clear" w:color="auto" w:fill="FFFFFF"/>
          </w:rPr>
          <w:t>Box 1: Odlišné dopady poklesu cen ropy na země MENA – příklady</w:t>
        </w:r>
        <w:r w:rsidR="00311D9D" w:rsidRPr="006128E2">
          <w:rPr>
            <w:noProof/>
            <w:webHidden/>
            <w:sz w:val="24"/>
            <w:szCs w:val="24"/>
          </w:rPr>
          <w:tab/>
        </w:r>
        <w:r w:rsidR="00311D9D" w:rsidRPr="006128E2">
          <w:rPr>
            <w:noProof/>
            <w:webHidden/>
            <w:sz w:val="24"/>
            <w:szCs w:val="24"/>
          </w:rPr>
          <w:fldChar w:fldCharType="begin"/>
        </w:r>
        <w:r w:rsidR="00311D9D" w:rsidRPr="006128E2">
          <w:rPr>
            <w:noProof/>
            <w:webHidden/>
            <w:sz w:val="24"/>
            <w:szCs w:val="24"/>
          </w:rPr>
          <w:instrText xml:space="preserve"> PAGEREF _Toc61261288 \h </w:instrText>
        </w:r>
        <w:r w:rsidR="00311D9D" w:rsidRPr="006128E2">
          <w:rPr>
            <w:noProof/>
            <w:webHidden/>
            <w:sz w:val="24"/>
            <w:szCs w:val="24"/>
          </w:rPr>
        </w:r>
        <w:r w:rsidR="00311D9D" w:rsidRPr="006128E2">
          <w:rPr>
            <w:noProof/>
            <w:webHidden/>
            <w:sz w:val="24"/>
            <w:szCs w:val="24"/>
          </w:rPr>
          <w:fldChar w:fldCharType="separate"/>
        </w:r>
        <w:r w:rsidR="004A4825">
          <w:rPr>
            <w:noProof/>
            <w:webHidden/>
            <w:sz w:val="24"/>
            <w:szCs w:val="24"/>
          </w:rPr>
          <w:t>22</w:t>
        </w:r>
        <w:r w:rsidR="00311D9D" w:rsidRPr="006128E2">
          <w:rPr>
            <w:noProof/>
            <w:webHidden/>
            <w:sz w:val="24"/>
            <w:szCs w:val="24"/>
          </w:rPr>
          <w:fldChar w:fldCharType="end"/>
        </w:r>
      </w:hyperlink>
    </w:p>
    <w:p w14:paraId="37A25CFB" w14:textId="77777777" w:rsidR="00311D9D" w:rsidRPr="006128E2" w:rsidRDefault="00311D9D" w:rsidP="00311D9D">
      <w:pPr>
        <w:rPr>
          <w:sz w:val="24"/>
          <w:szCs w:val="24"/>
        </w:rPr>
      </w:pPr>
    </w:p>
    <w:p w14:paraId="370B439E" w14:textId="462DE3A2" w:rsidR="008513FE" w:rsidRDefault="008513FE" w:rsidP="008513FE"/>
    <w:p w14:paraId="69829285" w14:textId="513BDBE5" w:rsidR="008513FE" w:rsidRDefault="008513FE" w:rsidP="008513FE"/>
    <w:p w14:paraId="006FC965" w14:textId="5B8DDC11" w:rsidR="008513FE" w:rsidRDefault="008513FE" w:rsidP="008513FE"/>
    <w:p w14:paraId="6C4050BD" w14:textId="7A6662C9" w:rsidR="008513FE" w:rsidRDefault="008513FE" w:rsidP="008513FE"/>
    <w:p w14:paraId="44E8AA3C" w14:textId="2CD7AB52" w:rsidR="008513FE" w:rsidRDefault="008513FE" w:rsidP="008513FE"/>
    <w:p w14:paraId="68D4355D" w14:textId="77777777" w:rsidR="008513FE" w:rsidRPr="008513FE" w:rsidRDefault="008513FE" w:rsidP="008513FE"/>
    <w:p w14:paraId="71481BA9" w14:textId="285B3D07" w:rsidR="00C44560" w:rsidRDefault="00C44560">
      <w:pPr>
        <w:rPr>
          <w:rFonts w:eastAsiaTheme="majorEastAsia" w:cstheme="majorBidi"/>
          <w:b/>
          <w:bCs/>
          <w:color w:val="000000" w:themeColor="text1"/>
          <w:sz w:val="24"/>
          <w:szCs w:val="26"/>
        </w:rPr>
      </w:pPr>
      <w:r>
        <w:br w:type="page"/>
      </w:r>
    </w:p>
    <w:p w14:paraId="4801E084" w14:textId="3F08DB8C" w:rsidR="00DA5BF3" w:rsidRPr="00DA5BF3" w:rsidRDefault="0011440C" w:rsidP="00DA5BF3">
      <w:pPr>
        <w:pStyle w:val="Nadpis2"/>
        <w:spacing w:before="0" w:after="100" w:afterAutospacing="1"/>
      </w:pPr>
      <w:bookmarkStart w:id="11" w:name="_Toc61259187"/>
      <w:bookmarkStart w:id="12" w:name="_Toc61261165"/>
      <w:bookmarkStart w:id="13" w:name="_Toc61261282"/>
      <w:bookmarkStart w:id="14" w:name="_Toc61262032"/>
      <w:bookmarkStart w:id="15" w:name="_Toc61262156"/>
      <w:r w:rsidRPr="000404DC">
        <w:lastRenderedPageBreak/>
        <w:t>Úvod</w:t>
      </w:r>
      <w:bookmarkEnd w:id="11"/>
      <w:bookmarkEnd w:id="12"/>
      <w:bookmarkEnd w:id="13"/>
      <w:bookmarkEnd w:id="14"/>
      <w:bookmarkEnd w:id="15"/>
    </w:p>
    <w:p w14:paraId="2E654B4C" w14:textId="3FF7942C" w:rsidR="00CE5A93" w:rsidRPr="00DA5BF3" w:rsidRDefault="00637B24" w:rsidP="00DA5BF3">
      <w:pPr>
        <w:pStyle w:val="Nadpis2"/>
        <w:spacing w:before="0" w:after="100" w:afterAutospacing="1" w:line="240" w:lineRule="auto"/>
        <w:jc w:val="both"/>
        <w:rPr>
          <w:rFonts w:cstheme="minorHAnsi"/>
          <w:b w:val="0"/>
          <w:bCs w:val="0"/>
          <w:szCs w:val="24"/>
        </w:rPr>
      </w:pPr>
      <w:r w:rsidRPr="00DA5BF3">
        <w:rPr>
          <w:rFonts w:cstheme="minorHAnsi"/>
          <w:b w:val="0"/>
          <w:bCs w:val="0"/>
          <w:szCs w:val="24"/>
        </w:rPr>
        <w:t>V jarních měsících ro</w:t>
      </w:r>
      <w:r w:rsidR="00AF13BB" w:rsidRPr="00DA5BF3">
        <w:rPr>
          <w:rFonts w:cstheme="minorHAnsi"/>
          <w:b w:val="0"/>
          <w:bCs w:val="0"/>
          <w:szCs w:val="24"/>
        </w:rPr>
        <w:t>ku</w:t>
      </w:r>
      <w:r w:rsidRPr="00DA5BF3">
        <w:rPr>
          <w:rFonts w:cstheme="minorHAnsi"/>
          <w:b w:val="0"/>
          <w:bCs w:val="0"/>
          <w:szCs w:val="24"/>
        </w:rPr>
        <w:t xml:space="preserve"> 2020 došlo k prudkému poklesu ceny ropy na světových trzích</w:t>
      </w:r>
      <w:r w:rsidR="002A4D22" w:rsidRPr="00DA5BF3">
        <w:rPr>
          <w:rFonts w:cstheme="minorHAnsi"/>
          <w:b w:val="0"/>
          <w:bCs w:val="0"/>
          <w:szCs w:val="24"/>
        </w:rPr>
        <w:t xml:space="preserve">, </w:t>
      </w:r>
      <w:r w:rsidR="00F918B9" w:rsidRPr="00DA5BF3">
        <w:rPr>
          <w:rFonts w:cstheme="minorHAnsi"/>
          <w:b w:val="0"/>
          <w:bCs w:val="0"/>
          <w:szCs w:val="24"/>
        </w:rPr>
        <w:t xml:space="preserve">přičemž se </w:t>
      </w:r>
      <w:r w:rsidR="002A4D22" w:rsidRPr="00DA5BF3">
        <w:rPr>
          <w:rFonts w:cstheme="minorHAnsi"/>
          <w:b w:val="0"/>
          <w:bCs w:val="0"/>
          <w:szCs w:val="24"/>
        </w:rPr>
        <w:t xml:space="preserve">jednalo </w:t>
      </w:r>
      <w:r w:rsidR="00F918B9" w:rsidRPr="00DA5BF3">
        <w:rPr>
          <w:rFonts w:cstheme="minorHAnsi"/>
          <w:b w:val="0"/>
          <w:bCs w:val="0"/>
          <w:szCs w:val="24"/>
        </w:rPr>
        <w:t xml:space="preserve">o </w:t>
      </w:r>
      <w:r w:rsidR="002A4D22" w:rsidRPr="00DA5BF3">
        <w:rPr>
          <w:rFonts w:cstheme="minorHAnsi"/>
          <w:b w:val="0"/>
          <w:bCs w:val="0"/>
          <w:szCs w:val="24"/>
        </w:rPr>
        <w:t>největší propad od roku 1991 (první válka v Perském zálivu)</w:t>
      </w:r>
      <w:r w:rsidRPr="00DA5BF3">
        <w:rPr>
          <w:rFonts w:cstheme="minorHAnsi"/>
          <w:b w:val="0"/>
          <w:bCs w:val="0"/>
          <w:szCs w:val="24"/>
        </w:rPr>
        <w:t>. Cen</w:t>
      </w:r>
      <w:r w:rsidR="002A4D22" w:rsidRPr="00DA5BF3">
        <w:rPr>
          <w:rFonts w:cstheme="minorHAnsi"/>
          <w:b w:val="0"/>
          <w:bCs w:val="0"/>
          <w:szCs w:val="24"/>
        </w:rPr>
        <w:t xml:space="preserve">ový šok byl způsoben </w:t>
      </w:r>
      <w:r w:rsidRPr="00DA5BF3">
        <w:rPr>
          <w:rFonts w:cstheme="minorHAnsi"/>
          <w:b w:val="0"/>
          <w:bCs w:val="0"/>
          <w:szCs w:val="24"/>
        </w:rPr>
        <w:t>dvěma podstatným</w:t>
      </w:r>
      <w:r w:rsidR="002A4D22" w:rsidRPr="00DA5BF3">
        <w:rPr>
          <w:rFonts w:cstheme="minorHAnsi"/>
          <w:b w:val="0"/>
          <w:bCs w:val="0"/>
          <w:szCs w:val="24"/>
        </w:rPr>
        <w:t>i</w:t>
      </w:r>
      <w:r w:rsidRPr="00DA5BF3">
        <w:rPr>
          <w:rFonts w:cstheme="minorHAnsi"/>
          <w:b w:val="0"/>
          <w:bCs w:val="0"/>
          <w:szCs w:val="24"/>
        </w:rPr>
        <w:t xml:space="preserve"> příčin</w:t>
      </w:r>
      <w:r w:rsidR="002A4D22" w:rsidRPr="00DA5BF3">
        <w:rPr>
          <w:rFonts w:cstheme="minorHAnsi"/>
          <w:b w:val="0"/>
          <w:bCs w:val="0"/>
          <w:szCs w:val="24"/>
        </w:rPr>
        <w:t>a</w:t>
      </w:r>
      <w:r w:rsidRPr="00DA5BF3">
        <w:rPr>
          <w:rFonts w:cstheme="minorHAnsi"/>
          <w:b w:val="0"/>
          <w:bCs w:val="0"/>
          <w:szCs w:val="24"/>
        </w:rPr>
        <w:t>m</w:t>
      </w:r>
      <w:r w:rsidR="002A4D22" w:rsidRPr="00DA5BF3">
        <w:rPr>
          <w:rFonts w:cstheme="minorHAnsi"/>
          <w:b w:val="0"/>
          <w:bCs w:val="0"/>
          <w:szCs w:val="24"/>
        </w:rPr>
        <w:t>i</w:t>
      </w:r>
      <w:r w:rsidRPr="00DA5BF3">
        <w:rPr>
          <w:rFonts w:cstheme="minorHAnsi"/>
          <w:b w:val="0"/>
          <w:bCs w:val="0"/>
          <w:szCs w:val="24"/>
        </w:rPr>
        <w:t xml:space="preserve">: na straně nabídky to byla cenová válka mezi Saúdskou Arábií a </w:t>
      </w:r>
      <w:r w:rsidR="00F918B9" w:rsidRPr="00DA5BF3">
        <w:rPr>
          <w:rFonts w:cstheme="minorHAnsi"/>
          <w:b w:val="0"/>
          <w:bCs w:val="0"/>
          <w:szCs w:val="24"/>
        </w:rPr>
        <w:t xml:space="preserve">Ruskem a </w:t>
      </w:r>
      <w:r w:rsidRPr="00DA5BF3">
        <w:rPr>
          <w:rFonts w:cstheme="minorHAnsi"/>
          <w:b w:val="0"/>
          <w:bCs w:val="0"/>
          <w:szCs w:val="24"/>
        </w:rPr>
        <w:t xml:space="preserve">na straně poptávky prudký globální ekonomický pokles </w:t>
      </w:r>
      <w:r w:rsidR="00F918B9" w:rsidRPr="00DA5BF3">
        <w:rPr>
          <w:rFonts w:cstheme="minorHAnsi"/>
          <w:b w:val="0"/>
          <w:bCs w:val="0"/>
          <w:szCs w:val="24"/>
        </w:rPr>
        <w:t>katalyzovaný</w:t>
      </w:r>
      <w:r w:rsidRPr="00DA5BF3">
        <w:rPr>
          <w:rFonts w:cstheme="minorHAnsi"/>
          <w:b w:val="0"/>
          <w:bCs w:val="0"/>
          <w:szCs w:val="24"/>
        </w:rPr>
        <w:t xml:space="preserve"> krizí v souvislosti s</w:t>
      </w:r>
      <w:r w:rsidR="002A4D22" w:rsidRPr="00DA5BF3">
        <w:rPr>
          <w:rFonts w:cstheme="minorHAnsi"/>
          <w:b w:val="0"/>
          <w:bCs w:val="0"/>
          <w:szCs w:val="24"/>
        </w:rPr>
        <w:t xml:space="preserve"> pandemií </w:t>
      </w:r>
      <w:r w:rsidR="00F918B9" w:rsidRPr="00DA5BF3">
        <w:rPr>
          <w:rFonts w:cstheme="minorHAnsi"/>
          <w:b w:val="0"/>
          <w:bCs w:val="0"/>
          <w:szCs w:val="24"/>
        </w:rPr>
        <w:t>C</w:t>
      </w:r>
      <w:r w:rsidR="00671343" w:rsidRPr="00DA5BF3">
        <w:rPr>
          <w:rFonts w:cstheme="minorHAnsi"/>
          <w:b w:val="0"/>
          <w:bCs w:val="0"/>
          <w:szCs w:val="24"/>
        </w:rPr>
        <w:t>OVID</w:t>
      </w:r>
      <w:r w:rsidRPr="00DA5BF3">
        <w:rPr>
          <w:rFonts w:cstheme="minorHAnsi"/>
          <w:b w:val="0"/>
          <w:bCs w:val="0"/>
          <w:szCs w:val="24"/>
        </w:rPr>
        <w:t xml:space="preserve">-19. </w:t>
      </w:r>
      <w:r w:rsidR="00394F63" w:rsidRPr="00DA5BF3">
        <w:rPr>
          <w:rFonts w:cstheme="minorHAnsi"/>
          <w:b w:val="0"/>
          <w:bCs w:val="0"/>
          <w:szCs w:val="24"/>
        </w:rPr>
        <w:t xml:space="preserve">Kombinace výrazné nadprodukce </w:t>
      </w:r>
      <w:r w:rsidR="00F918B9" w:rsidRPr="00DA5BF3">
        <w:rPr>
          <w:rFonts w:cstheme="minorHAnsi"/>
          <w:b w:val="0"/>
          <w:bCs w:val="0"/>
          <w:szCs w:val="24"/>
        </w:rPr>
        <w:t xml:space="preserve">ropy </w:t>
      </w:r>
      <w:r w:rsidR="00394F63" w:rsidRPr="00DA5BF3">
        <w:rPr>
          <w:rFonts w:cstheme="minorHAnsi"/>
          <w:b w:val="0"/>
          <w:bCs w:val="0"/>
          <w:szCs w:val="24"/>
        </w:rPr>
        <w:t xml:space="preserve">a poptávkového šoku je přitom unikátní a odlišuje tento </w:t>
      </w:r>
      <w:r w:rsidR="00F918B9" w:rsidRPr="00DA5BF3">
        <w:rPr>
          <w:rFonts w:cstheme="minorHAnsi"/>
          <w:b w:val="0"/>
          <w:bCs w:val="0"/>
          <w:szCs w:val="24"/>
        </w:rPr>
        <w:t>případ</w:t>
      </w:r>
      <w:r w:rsidR="00394F63" w:rsidRPr="00DA5BF3">
        <w:rPr>
          <w:rFonts w:cstheme="minorHAnsi"/>
          <w:b w:val="0"/>
          <w:bCs w:val="0"/>
          <w:szCs w:val="24"/>
        </w:rPr>
        <w:t xml:space="preserve"> od předchozích prudk</w:t>
      </w:r>
      <w:r w:rsidR="00F918B9" w:rsidRPr="00DA5BF3">
        <w:rPr>
          <w:rFonts w:cstheme="minorHAnsi"/>
          <w:b w:val="0"/>
          <w:bCs w:val="0"/>
          <w:szCs w:val="24"/>
        </w:rPr>
        <w:t>ých</w:t>
      </w:r>
      <w:r w:rsidR="00394F63" w:rsidRPr="00DA5BF3">
        <w:rPr>
          <w:rFonts w:cstheme="minorHAnsi"/>
          <w:b w:val="0"/>
          <w:bCs w:val="0"/>
          <w:szCs w:val="24"/>
        </w:rPr>
        <w:t xml:space="preserve"> pokles</w:t>
      </w:r>
      <w:r w:rsidR="00F918B9" w:rsidRPr="00DA5BF3">
        <w:rPr>
          <w:rFonts w:cstheme="minorHAnsi"/>
          <w:b w:val="0"/>
          <w:bCs w:val="0"/>
          <w:szCs w:val="24"/>
        </w:rPr>
        <w:t>ů</w:t>
      </w:r>
      <w:r w:rsidR="00394F63" w:rsidRPr="00DA5BF3">
        <w:rPr>
          <w:rFonts w:cstheme="minorHAnsi"/>
          <w:b w:val="0"/>
          <w:bCs w:val="0"/>
          <w:szCs w:val="24"/>
        </w:rPr>
        <w:t xml:space="preserve"> cen</w:t>
      </w:r>
      <w:r w:rsidR="00F918B9" w:rsidRPr="00DA5BF3">
        <w:rPr>
          <w:rFonts w:cstheme="minorHAnsi"/>
          <w:b w:val="0"/>
          <w:bCs w:val="0"/>
          <w:szCs w:val="24"/>
        </w:rPr>
        <w:t xml:space="preserve"> v posledních desetiletích</w:t>
      </w:r>
      <w:r w:rsidR="00394F63" w:rsidRPr="00DA5BF3">
        <w:rPr>
          <w:rFonts w:cstheme="minorHAnsi"/>
          <w:b w:val="0"/>
          <w:bCs w:val="0"/>
          <w:szCs w:val="24"/>
        </w:rPr>
        <w:t>.</w:t>
      </w:r>
    </w:p>
    <w:p w14:paraId="7F06801E" w14:textId="51DB71A2" w:rsidR="00637B24" w:rsidRPr="00637B24" w:rsidRDefault="00DA5BF3" w:rsidP="00DA5BF3">
      <w:pPr>
        <w:pStyle w:val="Odstavecseseznamem"/>
        <w:spacing w:after="100" w:afterAutospacing="1" w:line="240" w:lineRule="auto"/>
        <w:ind w:left="0"/>
        <w:jc w:val="both"/>
        <w:rPr>
          <w:rFonts w:asciiTheme="majorHAnsi" w:hAnsiTheme="majorHAnsi" w:cstheme="minorHAnsi"/>
          <w:sz w:val="24"/>
          <w:szCs w:val="24"/>
        </w:rPr>
      </w:pPr>
      <w:r>
        <w:rPr>
          <w:rFonts w:asciiTheme="majorHAnsi" w:hAnsiTheme="majorHAnsi" w:cstheme="minorHAnsi"/>
          <w:sz w:val="24"/>
          <w:szCs w:val="24"/>
        </w:rPr>
        <w:tab/>
      </w:r>
      <w:r w:rsidR="001732F2">
        <w:rPr>
          <w:rFonts w:asciiTheme="majorHAnsi" w:hAnsiTheme="majorHAnsi" w:cstheme="minorHAnsi"/>
          <w:sz w:val="24"/>
          <w:szCs w:val="24"/>
        </w:rPr>
        <w:t>Cenovou</w:t>
      </w:r>
      <w:r w:rsidR="00637B24" w:rsidRPr="00637B24">
        <w:rPr>
          <w:rFonts w:asciiTheme="majorHAnsi" w:hAnsiTheme="majorHAnsi" w:cstheme="minorHAnsi"/>
          <w:sz w:val="24"/>
          <w:szCs w:val="24"/>
        </w:rPr>
        <w:t xml:space="preserve"> válku zahájila v březnu 2020 Saúdská Arábie jako odpověď na ruské odmítnutí snížit produkci ropy, aby ceny ropy zůstaly přiměřené</w:t>
      </w:r>
      <w:r w:rsidR="00F918B9">
        <w:rPr>
          <w:rFonts w:asciiTheme="majorHAnsi" w:hAnsiTheme="majorHAnsi" w:cstheme="minorHAnsi"/>
          <w:sz w:val="24"/>
          <w:szCs w:val="24"/>
        </w:rPr>
        <w:t>.</w:t>
      </w:r>
      <w:r w:rsidR="001732F2">
        <w:rPr>
          <w:rFonts w:asciiTheme="majorHAnsi" w:hAnsiTheme="majorHAnsi" w:cstheme="minorHAnsi"/>
          <w:sz w:val="24"/>
          <w:szCs w:val="24"/>
        </w:rPr>
        <w:t xml:space="preserve"> </w:t>
      </w:r>
      <w:r w:rsidR="00F918B9">
        <w:rPr>
          <w:rFonts w:asciiTheme="majorHAnsi" w:hAnsiTheme="majorHAnsi" w:cstheme="minorHAnsi"/>
          <w:sz w:val="24"/>
          <w:szCs w:val="24"/>
        </w:rPr>
        <w:t xml:space="preserve">Tento krok </w:t>
      </w:r>
      <w:r w:rsidR="001732F2">
        <w:rPr>
          <w:rFonts w:asciiTheme="majorHAnsi" w:hAnsiTheme="majorHAnsi" w:cstheme="minorHAnsi"/>
          <w:sz w:val="24"/>
          <w:szCs w:val="24"/>
        </w:rPr>
        <w:t xml:space="preserve">byl </w:t>
      </w:r>
      <w:r w:rsidR="00F918B9">
        <w:rPr>
          <w:rFonts w:asciiTheme="majorHAnsi" w:hAnsiTheme="majorHAnsi" w:cstheme="minorHAnsi"/>
          <w:sz w:val="24"/>
          <w:szCs w:val="24"/>
        </w:rPr>
        <w:t>ale</w:t>
      </w:r>
      <w:r w:rsidR="001732F2">
        <w:rPr>
          <w:rFonts w:asciiTheme="majorHAnsi" w:hAnsiTheme="majorHAnsi" w:cstheme="minorHAnsi"/>
          <w:sz w:val="24"/>
          <w:szCs w:val="24"/>
        </w:rPr>
        <w:t xml:space="preserve"> </w:t>
      </w:r>
      <w:r w:rsidR="00F918B9">
        <w:rPr>
          <w:rFonts w:asciiTheme="majorHAnsi" w:hAnsiTheme="majorHAnsi" w:cstheme="minorHAnsi"/>
          <w:sz w:val="24"/>
          <w:szCs w:val="24"/>
        </w:rPr>
        <w:t>zřejmě rovněž zaměřen</w:t>
      </w:r>
      <w:r w:rsidR="001732F2">
        <w:rPr>
          <w:rFonts w:asciiTheme="majorHAnsi" w:hAnsiTheme="majorHAnsi" w:cstheme="minorHAnsi"/>
          <w:sz w:val="24"/>
          <w:szCs w:val="24"/>
        </w:rPr>
        <w:t xml:space="preserve"> na </w:t>
      </w:r>
      <w:r w:rsidR="001732F2" w:rsidRPr="001732F2">
        <w:rPr>
          <w:rFonts w:asciiTheme="majorHAnsi" w:hAnsiTheme="majorHAnsi" w:cstheme="minorHAnsi"/>
          <w:sz w:val="24"/>
          <w:szCs w:val="24"/>
        </w:rPr>
        <w:t>firmy</w:t>
      </w:r>
      <w:r w:rsidR="00F918B9">
        <w:rPr>
          <w:rFonts w:asciiTheme="majorHAnsi" w:hAnsiTheme="majorHAnsi" w:cstheme="minorHAnsi"/>
          <w:sz w:val="24"/>
          <w:szCs w:val="24"/>
        </w:rPr>
        <w:t xml:space="preserve"> </w:t>
      </w:r>
      <w:r w:rsidR="001732F2" w:rsidRPr="001732F2">
        <w:rPr>
          <w:rFonts w:asciiTheme="majorHAnsi" w:hAnsiTheme="majorHAnsi" w:cstheme="minorHAnsi"/>
          <w:sz w:val="24"/>
          <w:szCs w:val="24"/>
        </w:rPr>
        <w:t>těží</w:t>
      </w:r>
      <w:r w:rsidR="00F918B9">
        <w:rPr>
          <w:rFonts w:asciiTheme="majorHAnsi" w:hAnsiTheme="majorHAnsi" w:cstheme="minorHAnsi"/>
          <w:sz w:val="24"/>
          <w:szCs w:val="24"/>
        </w:rPr>
        <w:t>cí</w:t>
      </w:r>
      <w:r w:rsidR="001732F2" w:rsidRPr="001732F2">
        <w:rPr>
          <w:rFonts w:asciiTheme="majorHAnsi" w:hAnsiTheme="majorHAnsi" w:cstheme="minorHAnsi"/>
          <w:sz w:val="24"/>
          <w:szCs w:val="24"/>
        </w:rPr>
        <w:t xml:space="preserve"> ropu z břidlic v USA</w:t>
      </w:r>
      <w:r w:rsidR="00637B24" w:rsidRPr="00637B24">
        <w:rPr>
          <w:rFonts w:asciiTheme="majorHAnsi" w:hAnsiTheme="majorHAnsi" w:cstheme="minorHAnsi"/>
          <w:sz w:val="24"/>
          <w:szCs w:val="24"/>
        </w:rPr>
        <w:t xml:space="preserve">. </w:t>
      </w:r>
      <w:r w:rsidR="00B85BF4">
        <w:rPr>
          <w:rFonts w:asciiTheme="majorHAnsi" w:hAnsiTheme="majorHAnsi" w:cstheme="minorHAnsi"/>
          <w:sz w:val="24"/>
          <w:szCs w:val="24"/>
        </w:rPr>
        <w:t>Sa</w:t>
      </w:r>
      <w:r w:rsidR="00A1449A">
        <w:rPr>
          <w:rFonts w:asciiTheme="majorHAnsi" w:hAnsiTheme="majorHAnsi" w:cstheme="minorHAnsi"/>
          <w:sz w:val="24"/>
          <w:szCs w:val="24"/>
        </w:rPr>
        <w:t>ú</w:t>
      </w:r>
      <w:r w:rsidR="00B85BF4">
        <w:rPr>
          <w:rFonts w:asciiTheme="majorHAnsi" w:hAnsiTheme="majorHAnsi" w:cstheme="minorHAnsi"/>
          <w:sz w:val="24"/>
          <w:szCs w:val="24"/>
        </w:rPr>
        <w:t xml:space="preserve">dská Arábie na jedné straně oznámila odběratelům snížení cen a na straně druhé </w:t>
      </w:r>
      <w:r w:rsidR="00F918B9">
        <w:rPr>
          <w:rFonts w:asciiTheme="majorHAnsi" w:hAnsiTheme="majorHAnsi" w:cstheme="minorHAnsi"/>
          <w:sz w:val="24"/>
          <w:szCs w:val="24"/>
        </w:rPr>
        <w:t xml:space="preserve">přistoupila k </w:t>
      </w:r>
      <w:r w:rsidR="00B85BF4">
        <w:rPr>
          <w:rFonts w:asciiTheme="majorHAnsi" w:hAnsiTheme="majorHAnsi" w:cstheme="minorHAnsi"/>
          <w:sz w:val="24"/>
          <w:szCs w:val="24"/>
        </w:rPr>
        <w:t>výrazné</w:t>
      </w:r>
      <w:r w:rsidR="00F918B9">
        <w:rPr>
          <w:rFonts w:asciiTheme="majorHAnsi" w:hAnsiTheme="majorHAnsi" w:cstheme="minorHAnsi"/>
          <w:sz w:val="24"/>
          <w:szCs w:val="24"/>
        </w:rPr>
        <w:t>mu</w:t>
      </w:r>
      <w:r w:rsidR="00B85BF4">
        <w:rPr>
          <w:rFonts w:asciiTheme="majorHAnsi" w:hAnsiTheme="majorHAnsi" w:cstheme="minorHAnsi"/>
          <w:sz w:val="24"/>
          <w:szCs w:val="24"/>
        </w:rPr>
        <w:t xml:space="preserve"> zvýšení těžby</w:t>
      </w:r>
      <w:r w:rsidR="00492BC9">
        <w:rPr>
          <w:rFonts w:asciiTheme="majorHAnsi" w:hAnsiTheme="majorHAnsi" w:cstheme="minorHAnsi"/>
          <w:sz w:val="24"/>
          <w:szCs w:val="24"/>
        </w:rPr>
        <w:t xml:space="preserve"> </w:t>
      </w:r>
      <w:r w:rsidR="00F918B9">
        <w:rPr>
          <w:rFonts w:asciiTheme="majorHAnsi" w:hAnsiTheme="majorHAnsi" w:cstheme="minorHAnsi"/>
          <w:sz w:val="24"/>
          <w:szCs w:val="24"/>
        </w:rPr>
        <w:t xml:space="preserve">ropy </w:t>
      </w:r>
      <w:r w:rsidR="00492BC9">
        <w:rPr>
          <w:rFonts w:asciiTheme="majorHAnsi" w:hAnsiTheme="majorHAnsi" w:cstheme="minorHAnsi"/>
          <w:sz w:val="24"/>
          <w:szCs w:val="24"/>
        </w:rPr>
        <w:t>(</w:t>
      </w:r>
      <w:r w:rsidR="00492BC9" w:rsidRPr="00492BC9">
        <w:rPr>
          <w:rFonts w:asciiTheme="majorHAnsi" w:hAnsiTheme="majorHAnsi" w:cstheme="minorHAnsi"/>
          <w:sz w:val="24"/>
          <w:szCs w:val="24"/>
        </w:rPr>
        <w:t>s blízkovýchodními spojenci)</w:t>
      </w:r>
      <w:r w:rsidR="00B85BF4">
        <w:rPr>
          <w:rFonts w:asciiTheme="majorHAnsi" w:hAnsiTheme="majorHAnsi" w:cstheme="minorHAnsi"/>
          <w:sz w:val="24"/>
          <w:szCs w:val="24"/>
        </w:rPr>
        <w:t xml:space="preserve">. </w:t>
      </w:r>
      <w:r w:rsidR="00637B24" w:rsidRPr="00637B24">
        <w:rPr>
          <w:rFonts w:asciiTheme="majorHAnsi" w:hAnsiTheme="majorHAnsi" w:cstheme="minorHAnsi"/>
          <w:sz w:val="24"/>
          <w:szCs w:val="24"/>
        </w:rPr>
        <w:t xml:space="preserve">Během prvních březnových týdnů </w:t>
      </w:r>
      <w:r w:rsidR="00B85BF4">
        <w:rPr>
          <w:rFonts w:asciiTheme="majorHAnsi" w:hAnsiTheme="majorHAnsi" w:cstheme="minorHAnsi"/>
          <w:sz w:val="24"/>
          <w:szCs w:val="24"/>
        </w:rPr>
        <w:t xml:space="preserve">tak </w:t>
      </w:r>
      <w:r w:rsidR="00637B24" w:rsidRPr="00637B24">
        <w:rPr>
          <w:rFonts w:asciiTheme="majorHAnsi" w:hAnsiTheme="majorHAnsi" w:cstheme="minorHAnsi"/>
          <w:sz w:val="24"/>
          <w:szCs w:val="24"/>
        </w:rPr>
        <w:t xml:space="preserve">Saúdská Arábie umožnila čtvrtletní cenový pád o 65 %. Americké ceny ropy poklesly o 34 %, surová ropa o 26 % a ropa typu Brent o 24 % </w:t>
      </w:r>
      <w:r w:rsidR="00637B24" w:rsidRPr="0011440C">
        <w:rPr>
          <w:rFonts w:asciiTheme="majorHAnsi" w:hAnsiTheme="majorHAnsi" w:cstheme="minorHAnsi"/>
          <w:sz w:val="24"/>
          <w:szCs w:val="24"/>
        </w:rPr>
        <w:t>(</w:t>
      </w:r>
      <w:r w:rsidR="0011440C" w:rsidRPr="0011440C">
        <w:rPr>
          <w:rFonts w:asciiTheme="majorHAnsi" w:hAnsiTheme="majorHAnsi"/>
          <w:color w:val="000000" w:themeColor="text1"/>
          <w:sz w:val="24"/>
          <w:szCs w:val="24"/>
          <w:shd w:val="clear" w:color="auto" w:fill="FFFFFF"/>
          <w:lang w:val="en-US"/>
        </w:rPr>
        <w:t>General Authority for Statistics, 2020</w:t>
      </w:r>
      <w:r w:rsidR="00637B24" w:rsidRPr="0011440C">
        <w:rPr>
          <w:rFonts w:asciiTheme="majorHAnsi" w:hAnsiTheme="majorHAnsi" w:cstheme="minorHAnsi"/>
          <w:color w:val="000000" w:themeColor="text1"/>
          <w:sz w:val="24"/>
          <w:szCs w:val="24"/>
        </w:rPr>
        <w:t>)</w:t>
      </w:r>
      <w:r w:rsidR="00637B24" w:rsidRPr="0011440C">
        <w:rPr>
          <w:rFonts w:asciiTheme="majorHAnsi" w:hAnsiTheme="majorHAnsi" w:cstheme="minorHAnsi"/>
          <w:sz w:val="24"/>
          <w:szCs w:val="24"/>
        </w:rPr>
        <w:t>.</w:t>
      </w:r>
      <w:r w:rsidR="00637B24" w:rsidRPr="00637B24">
        <w:rPr>
          <w:rFonts w:asciiTheme="majorHAnsi" w:hAnsiTheme="majorHAnsi" w:cstheme="minorHAnsi"/>
          <w:sz w:val="24"/>
          <w:szCs w:val="24"/>
        </w:rPr>
        <w:t xml:space="preserve"> Dynamika ceny ropy typu Brent je zachycena v </w:t>
      </w:r>
      <w:r w:rsidR="000404DC">
        <w:rPr>
          <w:rFonts w:asciiTheme="majorHAnsi" w:hAnsiTheme="majorHAnsi" w:cstheme="minorHAnsi"/>
          <w:sz w:val="24"/>
          <w:szCs w:val="24"/>
        </w:rPr>
        <w:t>g</w:t>
      </w:r>
      <w:r w:rsidR="00637B24" w:rsidRPr="00637B24">
        <w:rPr>
          <w:rFonts w:asciiTheme="majorHAnsi" w:hAnsiTheme="majorHAnsi" w:cstheme="minorHAnsi"/>
          <w:sz w:val="24"/>
          <w:szCs w:val="24"/>
        </w:rPr>
        <w:t xml:space="preserve">rafu 1. Je z něj zřejmé, že, zatímco na začátku roku </w:t>
      </w:r>
      <w:r w:rsidR="009862D4">
        <w:rPr>
          <w:rFonts w:asciiTheme="majorHAnsi" w:hAnsiTheme="majorHAnsi" w:cstheme="minorHAnsi"/>
          <w:sz w:val="24"/>
          <w:szCs w:val="24"/>
        </w:rPr>
        <w:t>2020</w:t>
      </w:r>
      <w:r w:rsidR="00A1449A">
        <w:rPr>
          <w:rFonts w:asciiTheme="majorHAnsi" w:hAnsiTheme="majorHAnsi" w:cstheme="minorHAnsi"/>
          <w:sz w:val="24"/>
          <w:szCs w:val="24"/>
        </w:rPr>
        <w:t xml:space="preserve"> </w:t>
      </w:r>
      <w:r w:rsidR="00A1449A" w:rsidRPr="00637B24">
        <w:rPr>
          <w:rFonts w:asciiTheme="majorHAnsi" w:hAnsiTheme="majorHAnsi" w:cstheme="minorHAnsi"/>
          <w:sz w:val="24"/>
          <w:szCs w:val="24"/>
        </w:rPr>
        <w:t>stál</w:t>
      </w:r>
      <w:r w:rsidR="009862D4">
        <w:rPr>
          <w:rFonts w:asciiTheme="majorHAnsi" w:hAnsiTheme="majorHAnsi" w:cstheme="minorHAnsi"/>
          <w:sz w:val="24"/>
          <w:szCs w:val="24"/>
        </w:rPr>
        <w:t xml:space="preserve"> </w:t>
      </w:r>
      <w:r w:rsidR="00637B24" w:rsidRPr="00637B24">
        <w:rPr>
          <w:rFonts w:asciiTheme="majorHAnsi" w:hAnsiTheme="majorHAnsi" w:cstheme="minorHAnsi"/>
          <w:sz w:val="24"/>
          <w:szCs w:val="24"/>
        </w:rPr>
        <w:t>barel této ropy 68 USD, na konci dubna jeho cena dosáhla minima 11 USD</w:t>
      </w:r>
      <w:r w:rsidR="00A1449A">
        <w:rPr>
          <w:rFonts w:asciiTheme="majorHAnsi" w:hAnsiTheme="majorHAnsi" w:cstheme="minorHAnsi"/>
          <w:sz w:val="24"/>
          <w:szCs w:val="24"/>
        </w:rPr>
        <w:t>.</w:t>
      </w:r>
      <w:r w:rsidR="00637B24" w:rsidRPr="00637B24">
        <w:rPr>
          <w:rFonts w:asciiTheme="majorHAnsi" w:hAnsiTheme="majorHAnsi" w:cstheme="minorHAnsi"/>
          <w:sz w:val="24"/>
          <w:szCs w:val="24"/>
        </w:rPr>
        <w:t xml:space="preserve"> </w:t>
      </w:r>
      <w:r w:rsidR="00A1449A">
        <w:rPr>
          <w:rFonts w:asciiTheme="majorHAnsi" w:hAnsiTheme="majorHAnsi" w:cstheme="minorHAnsi"/>
          <w:sz w:val="24"/>
          <w:szCs w:val="24"/>
        </w:rPr>
        <w:t>Poté</w:t>
      </w:r>
      <w:r w:rsidR="00637B24" w:rsidRPr="00637B24">
        <w:rPr>
          <w:rFonts w:asciiTheme="majorHAnsi" w:hAnsiTheme="majorHAnsi" w:cstheme="minorHAnsi"/>
          <w:sz w:val="24"/>
          <w:szCs w:val="24"/>
        </w:rPr>
        <w:t xml:space="preserve"> stoup</w:t>
      </w:r>
      <w:r w:rsidR="009862D4">
        <w:rPr>
          <w:rFonts w:asciiTheme="majorHAnsi" w:hAnsiTheme="majorHAnsi" w:cstheme="minorHAnsi"/>
          <w:sz w:val="24"/>
          <w:szCs w:val="24"/>
        </w:rPr>
        <w:t>a</w:t>
      </w:r>
      <w:r w:rsidR="00637B24" w:rsidRPr="00637B24">
        <w:rPr>
          <w:rFonts w:asciiTheme="majorHAnsi" w:hAnsiTheme="majorHAnsi" w:cstheme="minorHAnsi"/>
          <w:sz w:val="24"/>
          <w:szCs w:val="24"/>
        </w:rPr>
        <w:t xml:space="preserve">la </w:t>
      </w:r>
      <w:r w:rsidR="009862D4">
        <w:rPr>
          <w:rFonts w:asciiTheme="majorHAnsi" w:hAnsiTheme="majorHAnsi" w:cstheme="minorHAnsi"/>
          <w:sz w:val="24"/>
          <w:szCs w:val="24"/>
        </w:rPr>
        <w:t xml:space="preserve">nad </w:t>
      </w:r>
      <w:r w:rsidR="00637B24" w:rsidRPr="00637B24">
        <w:rPr>
          <w:rFonts w:asciiTheme="majorHAnsi" w:hAnsiTheme="majorHAnsi" w:cstheme="minorHAnsi"/>
          <w:sz w:val="24"/>
          <w:szCs w:val="24"/>
        </w:rPr>
        <w:t>40 USD</w:t>
      </w:r>
      <w:r w:rsidR="009862D4">
        <w:rPr>
          <w:rFonts w:asciiTheme="majorHAnsi" w:hAnsiTheme="majorHAnsi" w:cstheme="minorHAnsi"/>
          <w:sz w:val="24"/>
          <w:szCs w:val="24"/>
        </w:rPr>
        <w:t xml:space="preserve"> a následně se stabilizuje na cenách oscilujících pod 40 USD</w:t>
      </w:r>
      <w:r w:rsidR="00637B24" w:rsidRPr="00637B24">
        <w:rPr>
          <w:rFonts w:asciiTheme="majorHAnsi" w:hAnsiTheme="majorHAnsi" w:cstheme="minorHAnsi"/>
          <w:sz w:val="24"/>
          <w:szCs w:val="24"/>
        </w:rPr>
        <w:t xml:space="preserve">. </w:t>
      </w:r>
      <w:r w:rsidR="001C2598">
        <w:rPr>
          <w:rFonts w:asciiTheme="majorHAnsi" w:hAnsiTheme="majorHAnsi" w:cstheme="minorHAnsi"/>
          <w:sz w:val="24"/>
          <w:szCs w:val="24"/>
        </w:rPr>
        <w:t xml:space="preserve">Cena ropy se </w:t>
      </w:r>
      <w:r w:rsidR="009862D4">
        <w:rPr>
          <w:rFonts w:asciiTheme="majorHAnsi" w:hAnsiTheme="majorHAnsi" w:cstheme="minorHAnsi"/>
          <w:sz w:val="24"/>
          <w:szCs w:val="24"/>
        </w:rPr>
        <w:t xml:space="preserve">tedy </w:t>
      </w:r>
      <w:r w:rsidR="001C2598">
        <w:rPr>
          <w:rFonts w:asciiTheme="majorHAnsi" w:hAnsiTheme="majorHAnsi" w:cstheme="minorHAnsi"/>
          <w:sz w:val="24"/>
          <w:szCs w:val="24"/>
        </w:rPr>
        <w:t>o</w:t>
      </w:r>
      <w:r w:rsidR="00637B24" w:rsidRPr="00637B24">
        <w:rPr>
          <w:rFonts w:asciiTheme="majorHAnsi" w:hAnsiTheme="majorHAnsi" w:cstheme="minorHAnsi"/>
          <w:sz w:val="24"/>
          <w:szCs w:val="24"/>
        </w:rPr>
        <w:t>d června ustálila, avšak již nedosáhla</w:t>
      </w:r>
      <w:r w:rsidR="009862D4">
        <w:rPr>
          <w:rFonts w:asciiTheme="majorHAnsi" w:hAnsiTheme="majorHAnsi" w:cstheme="minorHAnsi"/>
          <w:sz w:val="24"/>
          <w:szCs w:val="24"/>
        </w:rPr>
        <w:t xml:space="preserve">, ani není předpokládáno, že by mohla dosáhnout, </w:t>
      </w:r>
      <w:r w:rsidR="00637B24" w:rsidRPr="00637B24">
        <w:rPr>
          <w:rFonts w:asciiTheme="majorHAnsi" w:hAnsiTheme="majorHAnsi" w:cstheme="minorHAnsi"/>
          <w:sz w:val="24"/>
          <w:szCs w:val="24"/>
        </w:rPr>
        <w:t>výše 70 USD.</w:t>
      </w:r>
    </w:p>
    <w:p w14:paraId="376DF31D" w14:textId="77777777" w:rsidR="00637B24" w:rsidRPr="00AB385C" w:rsidRDefault="00637B24" w:rsidP="00637B24">
      <w:pPr>
        <w:pStyle w:val="Odstavecseseznamem"/>
        <w:spacing w:after="100" w:afterAutospacing="1" w:line="240" w:lineRule="auto"/>
        <w:ind w:left="0"/>
        <w:jc w:val="both"/>
        <w:rPr>
          <w:rFonts w:cstheme="minorHAnsi"/>
          <w:sz w:val="24"/>
          <w:szCs w:val="24"/>
        </w:rPr>
      </w:pPr>
    </w:p>
    <w:p w14:paraId="10146EE3" w14:textId="77777777" w:rsidR="00637B24" w:rsidRPr="00AB385C" w:rsidRDefault="00637B24" w:rsidP="009026AD">
      <w:pPr>
        <w:pStyle w:val="Nadpis3"/>
        <w:jc w:val="center"/>
      </w:pPr>
      <w:bookmarkStart w:id="16" w:name="_Toc61261283"/>
      <w:bookmarkStart w:id="17" w:name="_Toc61262033"/>
      <w:bookmarkStart w:id="18" w:name="_Toc61262157"/>
      <w:r w:rsidRPr="00AB385C">
        <w:t>Graf 1: Ceny surové ropy: Brent – Evropa, 2020 (denně)</w:t>
      </w:r>
      <w:bookmarkEnd w:id="16"/>
      <w:bookmarkEnd w:id="17"/>
      <w:bookmarkEnd w:id="18"/>
    </w:p>
    <w:p w14:paraId="7AEEBBA6" w14:textId="77777777" w:rsidR="00637B24" w:rsidRPr="00AB385C" w:rsidRDefault="00637B24" w:rsidP="009026AD">
      <w:pPr>
        <w:pStyle w:val="Odstavecseseznamem"/>
        <w:spacing w:after="0" w:line="240" w:lineRule="auto"/>
        <w:jc w:val="both"/>
        <w:rPr>
          <w:rFonts w:cstheme="minorHAnsi"/>
          <w:sz w:val="24"/>
          <w:szCs w:val="24"/>
        </w:rPr>
      </w:pPr>
      <w:r w:rsidRPr="00AB385C">
        <w:rPr>
          <w:rFonts w:cstheme="minorHAnsi"/>
          <w:noProof/>
          <w:sz w:val="24"/>
          <w:szCs w:val="24"/>
          <w:lang w:eastAsia="cs-CZ"/>
        </w:rPr>
        <w:drawing>
          <wp:inline distT="0" distB="0" distL="0" distR="0" wp14:anchorId="69B8C16F" wp14:editId="1273D064">
            <wp:extent cx="5150510" cy="2351405"/>
            <wp:effectExtent l="0" t="0" r="18415" b="10795"/>
            <wp:docPr id="7" name="Graf 7">
              <a:extLst xmlns:a="http://schemas.openxmlformats.org/drawingml/2006/main">
                <a:ext uri="{FF2B5EF4-FFF2-40B4-BE49-F238E27FC236}">
                  <a16:creationId xmlns:a16="http://schemas.microsoft.com/office/drawing/2014/main" id="{56D0788A-503B-4798-A7AD-490223AE94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A1D08F" w14:textId="12EB022C" w:rsidR="00637B24" w:rsidRPr="009026AD" w:rsidRDefault="00637B24" w:rsidP="009026AD">
      <w:pPr>
        <w:spacing w:after="0" w:line="240" w:lineRule="auto"/>
        <w:jc w:val="center"/>
        <w:rPr>
          <w:rFonts w:cstheme="minorHAnsi"/>
          <w:sz w:val="20"/>
          <w:szCs w:val="20"/>
        </w:rPr>
      </w:pPr>
      <w:r w:rsidRPr="009026AD">
        <w:rPr>
          <w:rFonts w:cstheme="minorHAnsi"/>
          <w:sz w:val="20"/>
          <w:szCs w:val="20"/>
        </w:rPr>
        <w:t xml:space="preserve">Zdroj: </w:t>
      </w:r>
      <w:proofErr w:type="spellStart"/>
      <w:r w:rsidRPr="009026AD">
        <w:rPr>
          <w:rFonts w:cstheme="minorHAnsi"/>
          <w:sz w:val="20"/>
          <w:szCs w:val="20"/>
        </w:rPr>
        <w:t>Federal</w:t>
      </w:r>
      <w:proofErr w:type="spellEnd"/>
      <w:r w:rsidRPr="009026AD">
        <w:rPr>
          <w:rFonts w:cstheme="minorHAnsi"/>
          <w:sz w:val="20"/>
          <w:szCs w:val="20"/>
        </w:rPr>
        <w:t xml:space="preserve"> </w:t>
      </w:r>
      <w:proofErr w:type="spellStart"/>
      <w:r w:rsidRPr="009026AD">
        <w:rPr>
          <w:rFonts w:cstheme="minorHAnsi"/>
          <w:sz w:val="20"/>
          <w:szCs w:val="20"/>
        </w:rPr>
        <w:t>Reserve</w:t>
      </w:r>
      <w:proofErr w:type="spellEnd"/>
      <w:r w:rsidRPr="009026AD">
        <w:rPr>
          <w:rFonts w:cstheme="minorHAnsi"/>
          <w:sz w:val="20"/>
          <w:szCs w:val="20"/>
        </w:rPr>
        <w:t xml:space="preserve"> </w:t>
      </w:r>
      <w:proofErr w:type="spellStart"/>
      <w:r w:rsidRPr="009026AD">
        <w:rPr>
          <w:rFonts w:cstheme="minorHAnsi"/>
          <w:sz w:val="20"/>
          <w:szCs w:val="20"/>
        </w:rPr>
        <w:t>Economic</w:t>
      </w:r>
      <w:proofErr w:type="spellEnd"/>
      <w:r w:rsidRPr="009026AD">
        <w:rPr>
          <w:rFonts w:cstheme="minorHAnsi"/>
          <w:sz w:val="20"/>
          <w:szCs w:val="20"/>
        </w:rPr>
        <w:t xml:space="preserve"> Data</w:t>
      </w:r>
      <w:r w:rsidR="009026AD">
        <w:rPr>
          <w:rFonts w:cstheme="minorHAnsi"/>
          <w:sz w:val="20"/>
          <w:szCs w:val="20"/>
        </w:rPr>
        <w:t xml:space="preserve"> 2020</w:t>
      </w:r>
      <w:r w:rsidR="00EB3AA6" w:rsidRPr="009026AD">
        <w:rPr>
          <w:rFonts w:cstheme="minorHAnsi"/>
          <w:sz w:val="20"/>
          <w:szCs w:val="20"/>
        </w:rPr>
        <w:t>.</w:t>
      </w:r>
    </w:p>
    <w:p w14:paraId="61CABE29" w14:textId="77777777" w:rsidR="00637B24" w:rsidRPr="00AB385C" w:rsidRDefault="00637B24" w:rsidP="00637B24">
      <w:pPr>
        <w:pStyle w:val="Odstavecseseznamem"/>
        <w:spacing w:after="100" w:afterAutospacing="1" w:line="240" w:lineRule="auto"/>
        <w:ind w:left="0"/>
        <w:jc w:val="both"/>
        <w:rPr>
          <w:rFonts w:cstheme="minorHAnsi"/>
          <w:sz w:val="24"/>
          <w:szCs w:val="24"/>
        </w:rPr>
      </w:pPr>
    </w:p>
    <w:p w14:paraId="39EE1E49" w14:textId="6A6B18EF" w:rsidR="00637B24" w:rsidRPr="00A05AB0" w:rsidRDefault="00F8383D" w:rsidP="00A05AB0">
      <w:pPr>
        <w:pStyle w:val="Odstavecseseznamem"/>
        <w:spacing w:after="100" w:afterAutospacing="1" w:line="240" w:lineRule="auto"/>
        <w:ind w:left="0" w:firstLine="426"/>
        <w:jc w:val="both"/>
        <w:rPr>
          <w:rFonts w:asciiTheme="majorHAnsi" w:hAnsiTheme="majorHAnsi" w:cstheme="minorHAnsi"/>
          <w:sz w:val="24"/>
          <w:szCs w:val="24"/>
        </w:rPr>
      </w:pPr>
      <w:r w:rsidRPr="00A05AB0">
        <w:rPr>
          <w:rFonts w:asciiTheme="majorHAnsi" w:hAnsiTheme="majorHAnsi" w:cstheme="minorHAnsi"/>
          <w:sz w:val="24"/>
          <w:szCs w:val="24"/>
        </w:rPr>
        <w:t xml:space="preserve">Takto způsobený cenový šok </w:t>
      </w:r>
      <w:r w:rsidR="00637B24" w:rsidRPr="00A05AB0">
        <w:rPr>
          <w:rFonts w:asciiTheme="majorHAnsi" w:hAnsiTheme="majorHAnsi" w:cstheme="minorHAnsi"/>
          <w:sz w:val="24"/>
          <w:szCs w:val="24"/>
        </w:rPr>
        <w:t xml:space="preserve">byl dále posílen restriktivními opatřeními zaváděnými mnoha zeměmi v důsledku rozvoje pandemie </w:t>
      </w:r>
      <w:r w:rsidRPr="00A05AB0">
        <w:rPr>
          <w:rFonts w:asciiTheme="majorHAnsi" w:hAnsiTheme="majorHAnsi" w:cstheme="minorHAnsi"/>
          <w:sz w:val="24"/>
          <w:szCs w:val="24"/>
        </w:rPr>
        <w:t>C</w:t>
      </w:r>
      <w:r w:rsidR="006A22F8">
        <w:rPr>
          <w:rFonts w:asciiTheme="majorHAnsi" w:hAnsiTheme="majorHAnsi" w:cstheme="minorHAnsi"/>
          <w:sz w:val="24"/>
          <w:szCs w:val="24"/>
        </w:rPr>
        <w:t>OVID</w:t>
      </w:r>
      <w:r w:rsidR="00637B24" w:rsidRPr="00A05AB0">
        <w:rPr>
          <w:rFonts w:asciiTheme="majorHAnsi" w:hAnsiTheme="majorHAnsi" w:cstheme="minorHAnsi"/>
          <w:sz w:val="24"/>
          <w:szCs w:val="24"/>
        </w:rPr>
        <w:t xml:space="preserve">-19. </w:t>
      </w:r>
      <w:r w:rsidRPr="00A05AB0">
        <w:rPr>
          <w:rFonts w:asciiTheme="majorHAnsi" w:hAnsiTheme="majorHAnsi" w:cstheme="minorHAnsi"/>
          <w:sz w:val="24"/>
          <w:szCs w:val="24"/>
        </w:rPr>
        <w:t xml:space="preserve">Jednotlivá </w:t>
      </w:r>
      <w:r w:rsidR="00637B24" w:rsidRPr="00A05AB0">
        <w:rPr>
          <w:rFonts w:asciiTheme="majorHAnsi" w:hAnsiTheme="majorHAnsi" w:cstheme="minorHAnsi"/>
          <w:sz w:val="24"/>
          <w:szCs w:val="24"/>
        </w:rPr>
        <w:t xml:space="preserve">opatření zpomalovala ekonomický růst a brzdila i poptávku po ropě. Nedostatek poptávky následně </w:t>
      </w:r>
      <w:r w:rsidR="009026AD">
        <w:rPr>
          <w:rFonts w:asciiTheme="majorHAnsi" w:hAnsiTheme="majorHAnsi" w:cstheme="minorHAnsi"/>
          <w:sz w:val="24"/>
          <w:szCs w:val="24"/>
        </w:rPr>
        <w:t>nepříznivě</w:t>
      </w:r>
      <w:r w:rsidRPr="00A05AB0">
        <w:rPr>
          <w:rFonts w:asciiTheme="majorHAnsi" w:hAnsiTheme="majorHAnsi" w:cstheme="minorHAnsi"/>
          <w:sz w:val="24"/>
          <w:szCs w:val="24"/>
        </w:rPr>
        <w:t xml:space="preserve"> </w:t>
      </w:r>
      <w:r w:rsidR="00637B24" w:rsidRPr="00A05AB0">
        <w:rPr>
          <w:rFonts w:asciiTheme="majorHAnsi" w:hAnsiTheme="majorHAnsi" w:cstheme="minorHAnsi"/>
          <w:sz w:val="24"/>
          <w:szCs w:val="24"/>
        </w:rPr>
        <w:t xml:space="preserve">ovlivňoval ekonomický vývoj jak u vývozců ropy, tak u dovozců. Negativní poptávkový šok měl přitom globální i </w:t>
      </w:r>
      <w:r w:rsidRPr="00A05AB0">
        <w:rPr>
          <w:rFonts w:asciiTheme="majorHAnsi" w:hAnsiTheme="majorHAnsi" w:cstheme="minorHAnsi"/>
          <w:sz w:val="24"/>
          <w:szCs w:val="24"/>
        </w:rPr>
        <w:t xml:space="preserve">výrazně </w:t>
      </w:r>
      <w:r w:rsidR="00637B24" w:rsidRPr="00A05AB0">
        <w:rPr>
          <w:rFonts w:asciiTheme="majorHAnsi" w:hAnsiTheme="majorHAnsi" w:cstheme="minorHAnsi"/>
          <w:sz w:val="24"/>
          <w:szCs w:val="24"/>
        </w:rPr>
        <w:t xml:space="preserve">regionální charakter. Ekonomické problémy ve světě a narušení globálních </w:t>
      </w:r>
      <w:r w:rsidR="006A22F8">
        <w:rPr>
          <w:rFonts w:asciiTheme="majorHAnsi" w:hAnsiTheme="majorHAnsi" w:cstheme="minorHAnsi"/>
          <w:sz w:val="24"/>
          <w:szCs w:val="24"/>
        </w:rPr>
        <w:lastRenderedPageBreak/>
        <w:t>produkčních</w:t>
      </w:r>
      <w:r w:rsidR="00637B24" w:rsidRPr="00A05AB0">
        <w:rPr>
          <w:rFonts w:asciiTheme="majorHAnsi" w:hAnsiTheme="majorHAnsi" w:cstheme="minorHAnsi"/>
          <w:sz w:val="24"/>
          <w:szCs w:val="24"/>
        </w:rPr>
        <w:t xml:space="preserve"> řetězců </w:t>
      </w:r>
      <w:r w:rsidRPr="00A05AB0">
        <w:rPr>
          <w:rFonts w:asciiTheme="majorHAnsi" w:hAnsiTheme="majorHAnsi" w:cstheme="minorHAnsi"/>
          <w:sz w:val="24"/>
          <w:szCs w:val="24"/>
        </w:rPr>
        <w:t xml:space="preserve">totiž </w:t>
      </w:r>
      <w:r w:rsidR="009026AD" w:rsidRPr="00A05AB0">
        <w:rPr>
          <w:rFonts w:asciiTheme="majorHAnsi" w:hAnsiTheme="majorHAnsi" w:cstheme="minorHAnsi"/>
          <w:sz w:val="24"/>
          <w:szCs w:val="24"/>
        </w:rPr>
        <w:t xml:space="preserve">snížily </w:t>
      </w:r>
      <w:r w:rsidR="00637B24" w:rsidRPr="00A05AB0">
        <w:rPr>
          <w:rFonts w:asciiTheme="majorHAnsi" w:hAnsiTheme="majorHAnsi" w:cstheme="minorHAnsi"/>
          <w:sz w:val="24"/>
          <w:szCs w:val="24"/>
        </w:rPr>
        <w:t xml:space="preserve">poptávku po regionálním zboží a službách, většinou </w:t>
      </w:r>
      <w:r w:rsidRPr="00A05AB0">
        <w:rPr>
          <w:rFonts w:asciiTheme="majorHAnsi" w:hAnsiTheme="majorHAnsi" w:cstheme="minorHAnsi"/>
          <w:sz w:val="24"/>
          <w:szCs w:val="24"/>
        </w:rPr>
        <w:t xml:space="preserve">právě </w:t>
      </w:r>
      <w:r w:rsidR="00637B24" w:rsidRPr="00A05AB0">
        <w:rPr>
          <w:rFonts w:asciiTheme="majorHAnsi" w:hAnsiTheme="majorHAnsi" w:cstheme="minorHAnsi"/>
          <w:sz w:val="24"/>
          <w:szCs w:val="24"/>
        </w:rPr>
        <w:t>zejména po ropě a turistice.</w:t>
      </w:r>
    </w:p>
    <w:p w14:paraId="7F0CA5DD" w14:textId="19104B87" w:rsidR="00637B24" w:rsidRPr="00AB385C" w:rsidRDefault="00637B24" w:rsidP="00637B24">
      <w:pPr>
        <w:spacing w:after="100" w:afterAutospacing="1" w:line="240" w:lineRule="auto"/>
        <w:ind w:firstLine="709"/>
        <w:jc w:val="both"/>
        <w:rPr>
          <w:rFonts w:cstheme="minorHAnsi"/>
          <w:sz w:val="24"/>
          <w:szCs w:val="24"/>
        </w:rPr>
      </w:pPr>
      <w:r w:rsidRPr="00AB385C">
        <w:rPr>
          <w:rFonts w:cstheme="minorHAnsi"/>
          <w:sz w:val="24"/>
          <w:szCs w:val="24"/>
        </w:rPr>
        <w:t>S ohledem na charakter trhu s</w:t>
      </w:r>
      <w:r w:rsidR="007B16F0">
        <w:rPr>
          <w:rFonts w:cstheme="minorHAnsi"/>
          <w:sz w:val="24"/>
          <w:szCs w:val="24"/>
        </w:rPr>
        <w:t> </w:t>
      </w:r>
      <w:r w:rsidRPr="00AB385C">
        <w:rPr>
          <w:rFonts w:cstheme="minorHAnsi"/>
          <w:sz w:val="24"/>
          <w:szCs w:val="24"/>
        </w:rPr>
        <w:t>ropou</w:t>
      </w:r>
      <w:r w:rsidR="007B16F0">
        <w:rPr>
          <w:rFonts w:cstheme="minorHAnsi"/>
          <w:sz w:val="24"/>
          <w:szCs w:val="24"/>
        </w:rPr>
        <w:t xml:space="preserve"> (</w:t>
      </w:r>
      <w:r w:rsidR="009026AD">
        <w:rPr>
          <w:rFonts w:cstheme="minorHAnsi"/>
          <w:sz w:val="24"/>
          <w:szCs w:val="24"/>
        </w:rPr>
        <w:t>především</w:t>
      </w:r>
      <w:r w:rsidRPr="00AB385C">
        <w:rPr>
          <w:rFonts w:cstheme="minorHAnsi"/>
          <w:sz w:val="24"/>
          <w:szCs w:val="24"/>
        </w:rPr>
        <w:t xml:space="preserve"> volatilitu ceny</w:t>
      </w:r>
      <w:r w:rsidR="007B16F0">
        <w:rPr>
          <w:rFonts w:cstheme="minorHAnsi"/>
          <w:sz w:val="24"/>
          <w:szCs w:val="24"/>
        </w:rPr>
        <w:t>)</w:t>
      </w:r>
      <w:r w:rsidRPr="00AB385C">
        <w:rPr>
          <w:rFonts w:cstheme="minorHAnsi"/>
          <w:sz w:val="24"/>
          <w:szCs w:val="24"/>
        </w:rPr>
        <w:t xml:space="preserve"> a opakovaný výskyt cenových šoků, je problematika makroekonomických dopadů poměrně extenzivně pokryta ekonomickou literaturou</w:t>
      </w:r>
      <w:r w:rsidR="00750A40">
        <w:rPr>
          <w:rFonts w:cstheme="minorHAnsi"/>
          <w:sz w:val="24"/>
          <w:szCs w:val="24"/>
        </w:rPr>
        <w:t xml:space="preserve"> a odbornými případovými studiemi</w:t>
      </w:r>
      <w:r w:rsidRPr="00AB385C">
        <w:rPr>
          <w:rFonts w:cstheme="minorHAnsi"/>
          <w:sz w:val="24"/>
          <w:szCs w:val="24"/>
        </w:rPr>
        <w:t xml:space="preserve">. </w:t>
      </w:r>
      <w:r w:rsidR="007A7837">
        <w:rPr>
          <w:rFonts w:cstheme="minorHAnsi"/>
          <w:sz w:val="24"/>
          <w:szCs w:val="24"/>
        </w:rPr>
        <w:t xml:space="preserve">Podobně tomu bylo </w:t>
      </w:r>
      <w:r w:rsidR="003F6EB8">
        <w:rPr>
          <w:rFonts w:cstheme="minorHAnsi"/>
          <w:sz w:val="24"/>
          <w:szCs w:val="24"/>
        </w:rPr>
        <w:t>v</w:t>
      </w:r>
      <w:r w:rsidR="00750A40">
        <w:rPr>
          <w:rFonts w:cstheme="minorHAnsi"/>
          <w:sz w:val="24"/>
          <w:szCs w:val="24"/>
        </w:rPr>
        <w:t> </w:t>
      </w:r>
      <w:r w:rsidR="003F6EB8">
        <w:rPr>
          <w:rFonts w:cstheme="minorHAnsi"/>
          <w:sz w:val="24"/>
          <w:szCs w:val="24"/>
        </w:rPr>
        <w:t>souvislosti</w:t>
      </w:r>
      <w:r w:rsidR="00750A40">
        <w:rPr>
          <w:rFonts w:cstheme="minorHAnsi"/>
          <w:sz w:val="24"/>
          <w:szCs w:val="24"/>
        </w:rPr>
        <w:t xml:space="preserve"> s cenovými šoky v roce 2020. </w:t>
      </w:r>
      <w:r w:rsidRPr="00AB385C">
        <w:rPr>
          <w:rFonts w:cstheme="minorHAnsi"/>
          <w:sz w:val="24"/>
          <w:szCs w:val="24"/>
        </w:rPr>
        <w:t xml:space="preserve">V obecné (globální) rovině je tak sledována korelace a možný kauzální vztah mezi cenou ropy jako nezávislou proměnnou a vybranými důležitými ekonomickými závislými proměnnými (směnný kurz, inflace, platební bilance, rozpočet, HDP…; srov. např. </w:t>
      </w:r>
      <w:proofErr w:type="spellStart"/>
      <w:r w:rsidRPr="003A1269">
        <w:rPr>
          <w:rFonts w:cstheme="minorHAnsi"/>
          <w:sz w:val="24"/>
          <w:szCs w:val="24"/>
        </w:rPr>
        <w:t>Xiaoyi</w:t>
      </w:r>
      <w:proofErr w:type="spellEnd"/>
      <w:r w:rsidRPr="003A1269">
        <w:rPr>
          <w:rFonts w:cstheme="minorHAnsi"/>
          <w:sz w:val="24"/>
          <w:szCs w:val="24"/>
        </w:rPr>
        <w:t xml:space="preserve"> 2020; </w:t>
      </w:r>
      <w:proofErr w:type="spellStart"/>
      <w:r w:rsidRPr="003A1269">
        <w:rPr>
          <w:rFonts w:cstheme="minorHAnsi"/>
          <w:sz w:val="24"/>
          <w:szCs w:val="24"/>
        </w:rPr>
        <w:t>Belyi</w:t>
      </w:r>
      <w:proofErr w:type="spellEnd"/>
      <w:r w:rsidRPr="003A1269">
        <w:rPr>
          <w:rFonts w:cstheme="minorHAnsi"/>
          <w:sz w:val="24"/>
          <w:szCs w:val="24"/>
        </w:rPr>
        <w:t xml:space="preserve">, </w:t>
      </w:r>
      <w:proofErr w:type="spellStart"/>
      <w:r w:rsidRPr="003A1269">
        <w:rPr>
          <w:rFonts w:cstheme="minorHAnsi"/>
          <w:sz w:val="24"/>
          <w:szCs w:val="24"/>
        </w:rPr>
        <w:t>ed</w:t>
      </w:r>
      <w:proofErr w:type="spellEnd"/>
      <w:r w:rsidRPr="003A1269">
        <w:rPr>
          <w:rFonts w:cstheme="minorHAnsi"/>
          <w:sz w:val="24"/>
          <w:szCs w:val="24"/>
        </w:rPr>
        <w:t xml:space="preserve">. 2020; </w:t>
      </w:r>
      <w:proofErr w:type="spellStart"/>
      <w:r w:rsidRPr="003A1269">
        <w:rPr>
          <w:rFonts w:cstheme="minorHAnsi"/>
          <w:sz w:val="24"/>
          <w:szCs w:val="24"/>
        </w:rPr>
        <w:t>Nyangarika</w:t>
      </w:r>
      <w:proofErr w:type="spellEnd"/>
      <w:r w:rsidRPr="003A1269">
        <w:rPr>
          <w:rFonts w:cstheme="minorHAnsi"/>
          <w:sz w:val="24"/>
          <w:szCs w:val="24"/>
        </w:rPr>
        <w:t xml:space="preserve"> – </w:t>
      </w:r>
      <w:proofErr w:type="spellStart"/>
      <w:r w:rsidRPr="003A1269">
        <w:rPr>
          <w:rFonts w:cstheme="minorHAnsi"/>
          <w:sz w:val="24"/>
          <w:szCs w:val="24"/>
        </w:rPr>
        <w:t>Mikhaylov</w:t>
      </w:r>
      <w:proofErr w:type="spellEnd"/>
      <w:r w:rsidRPr="003A1269">
        <w:rPr>
          <w:rFonts w:cstheme="minorHAnsi"/>
          <w:sz w:val="24"/>
          <w:szCs w:val="24"/>
        </w:rPr>
        <w:t xml:space="preserve"> – Tang 2018; </w:t>
      </w:r>
      <w:proofErr w:type="spellStart"/>
      <w:r w:rsidRPr="003A1269">
        <w:rPr>
          <w:rFonts w:cstheme="minorHAnsi"/>
          <w:sz w:val="24"/>
          <w:szCs w:val="24"/>
        </w:rPr>
        <w:t>Lescaroux</w:t>
      </w:r>
      <w:proofErr w:type="spellEnd"/>
      <w:r w:rsidRPr="003A1269">
        <w:rPr>
          <w:rFonts w:cstheme="minorHAnsi"/>
          <w:sz w:val="24"/>
          <w:szCs w:val="24"/>
        </w:rPr>
        <w:t xml:space="preserve"> – </w:t>
      </w:r>
      <w:proofErr w:type="spellStart"/>
      <w:r w:rsidRPr="003A1269">
        <w:rPr>
          <w:rFonts w:cstheme="minorHAnsi"/>
          <w:sz w:val="24"/>
          <w:szCs w:val="24"/>
        </w:rPr>
        <w:t>Mignon</w:t>
      </w:r>
      <w:proofErr w:type="spellEnd"/>
      <w:r w:rsidRPr="003A1269">
        <w:rPr>
          <w:rFonts w:cstheme="minorHAnsi"/>
          <w:sz w:val="24"/>
          <w:szCs w:val="24"/>
        </w:rPr>
        <w:t xml:space="preserve"> 2008; </w:t>
      </w:r>
      <w:proofErr w:type="spellStart"/>
      <w:r w:rsidRPr="003A1269">
        <w:rPr>
          <w:rFonts w:cstheme="minorHAnsi"/>
          <w:sz w:val="24"/>
          <w:szCs w:val="24"/>
        </w:rPr>
        <w:t>Jiménez-Rodríguez</w:t>
      </w:r>
      <w:proofErr w:type="spellEnd"/>
      <w:r w:rsidRPr="003A1269">
        <w:rPr>
          <w:rFonts w:cstheme="minorHAnsi"/>
          <w:sz w:val="24"/>
          <w:szCs w:val="24"/>
        </w:rPr>
        <w:t xml:space="preserve"> – </w:t>
      </w:r>
      <w:proofErr w:type="spellStart"/>
      <w:r w:rsidRPr="003A1269">
        <w:rPr>
          <w:rFonts w:cstheme="minorHAnsi"/>
          <w:sz w:val="24"/>
          <w:szCs w:val="24"/>
        </w:rPr>
        <w:t>Sánchez</w:t>
      </w:r>
      <w:proofErr w:type="spellEnd"/>
      <w:r w:rsidRPr="003A1269">
        <w:rPr>
          <w:rFonts w:cstheme="minorHAnsi"/>
          <w:sz w:val="24"/>
          <w:szCs w:val="24"/>
        </w:rPr>
        <w:t xml:space="preserve"> 2005</w:t>
      </w:r>
      <w:r w:rsidR="003A1269" w:rsidRPr="003A1269">
        <w:rPr>
          <w:rFonts w:cstheme="minorHAnsi"/>
          <w:sz w:val="24"/>
          <w:szCs w:val="24"/>
        </w:rPr>
        <w:t xml:space="preserve">; Gong, X. </w:t>
      </w:r>
      <w:r w:rsidR="008A6B67" w:rsidRPr="003A1269">
        <w:rPr>
          <w:rFonts w:cstheme="minorHAnsi"/>
          <w:sz w:val="24"/>
          <w:szCs w:val="24"/>
        </w:rPr>
        <w:t>–</w:t>
      </w:r>
      <w:r w:rsidR="003A1269" w:rsidRPr="003A1269">
        <w:rPr>
          <w:rFonts w:cstheme="minorHAnsi"/>
          <w:sz w:val="24"/>
          <w:szCs w:val="24"/>
        </w:rPr>
        <w:t xml:space="preserve"> </w:t>
      </w:r>
      <w:proofErr w:type="spellStart"/>
      <w:r w:rsidR="003A1269" w:rsidRPr="003A1269">
        <w:rPr>
          <w:rFonts w:cstheme="minorHAnsi"/>
          <w:sz w:val="24"/>
          <w:szCs w:val="24"/>
        </w:rPr>
        <w:t>Chen</w:t>
      </w:r>
      <w:proofErr w:type="spellEnd"/>
      <w:r w:rsidR="003A1269" w:rsidRPr="003A1269">
        <w:rPr>
          <w:rFonts w:cstheme="minorHAnsi"/>
          <w:sz w:val="24"/>
          <w:szCs w:val="24"/>
        </w:rPr>
        <w:t xml:space="preserve">, L. </w:t>
      </w:r>
      <w:r w:rsidR="008A6B67" w:rsidRPr="003A1269">
        <w:rPr>
          <w:rFonts w:cstheme="minorHAnsi"/>
          <w:sz w:val="24"/>
          <w:szCs w:val="24"/>
        </w:rPr>
        <w:t>–</w:t>
      </w:r>
      <w:r w:rsidR="003A1269" w:rsidRPr="003A1269">
        <w:rPr>
          <w:rFonts w:cstheme="minorHAnsi"/>
          <w:sz w:val="24"/>
          <w:szCs w:val="24"/>
        </w:rPr>
        <w:t xml:space="preserve"> Lin, B. 2020</w:t>
      </w:r>
      <w:r w:rsidRPr="00AB385C">
        <w:rPr>
          <w:rFonts w:cstheme="minorHAnsi"/>
          <w:sz w:val="24"/>
          <w:szCs w:val="24"/>
        </w:rPr>
        <w:t>).</w:t>
      </w:r>
      <w:r w:rsidR="003A1269">
        <w:rPr>
          <w:rFonts w:cstheme="minorHAnsi"/>
          <w:sz w:val="24"/>
          <w:szCs w:val="24"/>
        </w:rPr>
        <w:t xml:space="preserve"> </w:t>
      </w:r>
      <w:r w:rsidRPr="00AB385C">
        <w:rPr>
          <w:rFonts w:cstheme="minorHAnsi"/>
          <w:sz w:val="24"/>
          <w:szCs w:val="24"/>
        </w:rPr>
        <w:t xml:space="preserve">Frekventovaným tématem je výzkum dopadů na akciové trhy, kde se v případě cenových šoků ukazuje rovněž poměrně značná volatilita </w:t>
      </w:r>
      <w:r w:rsidR="00687689">
        <w:rPr>
          <w:rFonts w:cstheme="minorHAnsi"/>
          <w:sz w:val="24"/>
          <w:szCs w:val="24"/>
        </w:rPr>
        <w:t xml:space="preserve">cen akcií a </w:t>
      </w:r>
      <w:r w:rsidR="003E2206">
        <w:rPr>
          <w:rFonts w:cstheme="minorHAnsi"/>
          <w:sz w:val="24"/>
          <w:szCs w:val="24"/>
        </w:rPr>
        <w:t xml:space="preserve">jednotlivých akciových indexů </w:t>
      </w:r>
      <w:r w:rsidRPr="00AB385C">
        <w:rPr>
          <w:rFonts w:cstheme="minorHAnsi"/>
          <w:sz w:val="24"/>
          <w:szCs w:val="24"/>
        </w:rPr>
        <w:t>(</w:t>
      </w:r>
      <w:proofErr w:type="spellStart"/>
      <w:r w:rsidRPr="00A1449A">
        <w:rPr>
          <w:rFonts w:cstheme="minorHAnsi"/>
          <w:sz w:val="24"/>
          <w:szCs w:val="24"/>
        </w:rPr>
        <w:t>Basher</w:t>
      </w:r>
      <w:proofErr w:type="spellEnd"/>
      <w:r w:rsidRPr="00A1449A">
        <w:rPr>
          <w:rFonts w:cstheme="minorHAnsi"/>
          <w:sz w:val="24"/>
          <w:szCs w:val="24"/>
        </w:rPr>
        <w:t xml:space="preserve"> – </w:t>
      </w:r>
      <w:proofErr w:type="spellStart"/>
      <w:r w:rsidRPr="00A1449A">
        <w:rPr>
          <w:rFonts w:cstheme="minorHAnsi"/>
          <w:sz w:val="24"/>
          <w:szCs w:val="24"/>
        </w:rPr>
        <w:t>Sadorsky</w:t>
      </w:r>
      <w:proofErr w:type="spellEnd"/>
      <w:r w:rsidRPr="00A1449A">
        <w:rPr>
          <w:rFonts w:cstheme="minorHAnsi"/>
          <w:sz w:val="24"/>
          <w:szCs w:val="24"/>
        </w:rPr>
        <w:t xml:space="preserve"> 2006; </w:t>
      </w:r>
      <w:proofErr w:type="spellStart"/>
      <w:r w:rsidRPr="00A1449A">
        <w:rPr>
          <w:rFonts w:cstheme="minorHAnsi"/>
          <w:sz w:val="24"/>
          <w:szCs w:val="24"/>
        </w:rPr>
        <w:t>Basher</w:t>
      </w:r>
      <w:proofErr w:type="spellEnd"/>
      <w:r w:rsidRPr="00A1449A">
        <w:rPr>
          <w:rFonts w:cstheme="minorHAnsi"/>
          <w:sz w:val="24"/>
          <w:szCs w:val="24"/>
        </w:rPr>
        <w:t xml:space="preserve"> – </w:t>
      </w:r>
      <w:proofErr w:type="spellStart"/>
      <w:r w:rsidRPr="00A1449A">
        <w:rPr>
          <w:rFonts w:cstheme="minorHAnsi"/>
          <w:sz w:val="24"/>
          <w:szCs w:val="24"/>
        </w:rPr>
        <w:t>Haug</w:t>
      </w:r>
      <w:proofErr w:type="spellEnd"/>
      <w:r w:rsidRPr="00A1449A">
        <w:rPr>
          <w:rFonts w:cstheme="minorHAnsi"/>
          <w:sz w:val="24"/>
          <w:szCs w:val="24"/>
        </w:rPr>
        <w:t xml:space="preserve"> – </w:t>
      </w:r>
      <w:proofErr w:type="spellStart"/>
      <w:r w:rsidRPr="00A1449A">
        <w:rPr>
          <w:rFonts w:cstheme="minorHAnsi"/>
          <w:sz w:val="24"/>
          <w:szCs w:val="24"/>
        </w:rPr>
        <w:t>Sadorsky</w:t>
      </w:r>
      <w:proofErr w:type="spellEnd"/>
      <w:r w:rsidRPr="00A1449A">
        <w:rPr>
          <w:rFonts w:cstheme="minorHAnsi"/>
          <w:sz w:val="24"/>
          <w:szCs w:val="24"/>
        </w:rPr>
        <w:t xml:space="preserve"> 2012; </w:t>
      </w:r>
      <w:proofErr w:type="spellStart"/>
      <w:r w:rsidRPr="00A1449A">
        <w:rPr>
          <w:rFonts w:cstheme="minorHAnsi"/>
          <w:sz w:val="24"/>
          <w:szCs w:val="24"/>
        </w:rPr>
        <w:t>Nazlioglu</w:t>
      </w:r>
      <w:proofErr w:type="spellEnd"/>
      <w:r w:rsidRPr="00A1449A">
        <w:rPr>
          <w:rFonts w:cstheme="minorHAnsi"/>
          <w:sz w:val="24"/>
          <w:szCs w:val="24"/>
        </w:rPr>
        <w:t xml:space="preserve"> – </w:t>
      </w:r>
      <w:proofErr w:type="spellStart"/>
      <w:r w:rsidRPr="00A1449A">
        <w:rPr>
          <w:rFonts w:cstheme="minorHAnsi"/>
          <w:sz w:val="24"/>
          <w:szCs w:val="24"/>
        </w:rPr>
        <w:t>Soytas</w:t>
      </w:r>
      <w:proofErr w:type="spellEnd"/>
      <w:r w:rsidRPr="00A1449A">
        <w:rPr>
          <w:rFonts w:cstheme="minorHAnsi"/>
          <w:sz w:val="24"/>
          <w:szCs w:val="24"/>
        </w:rPr>
        <w:t xml:space="preserve"> – </w:t>
      </w:r>
      <w:proofErr w:type="spellStart"/>
      <w:r w:rsidRPr="00A1449A">
        <w:rPr>
          <w:rFonts w:cstheme="minorHAnsi"/>
          <w:sz w:val="24"/>
          <w:szCs w:val="24"/>
        </w:rPr>
        <w:t>Gupta</w:t>
      </w:r>
      <w:proofErr w:type="spellEnd"/>
      <w:r w:rsidRPr="00A1449A">
        <w:rPr>
          <w:rFonts w:cstheme="minorHAnsi"/>
          <w:sz w:val="24"/>
          <w:szCs w:val="24"/>
        </w:rPr>
        <w:t xml:space="preserve"> 2015</w:t>
      </w:r>
      <w:r w:rsidR="00996EE9" w:rsidRPr="00A1449A">
        <w:rPr>
          <w:rFonts w:cstheme="minorHAnsi"/>
          <w:sz w:val="24"/>
          <w:szCs w:val="24"/>
        </w:rPr>
        <w:t xml:space="preserve">; </w:t>
      </w:r>
      <w:proofErr w:type="spellStart"/>
      <w:r w:rsidR="00996EE9" w:rsidRPr="00A1449A">
        <w:rPr>
          <w:rFonts w:cstheme="minorHAnsi"/>
          <w:sz w:val="24"/>
          <w:szCs w:val="24"/>
        </w:rPr>
        <w:t>Jiang</w:t>
      </w:r>
      <w:proofErr w:type="spellEnd"/>
      <w:r w:rsidR="00996EE9" w:rsidRPr="00A1449A">
        <w:rPr>
          <w:rFonts w:cstheme="minorHAnsi"/>
          <w:sz w:val="24"/>
          <w:szCs w:val="24"/>
        </w:rPr>
        <w:t>, Z.</w:t>
      </w:r>
      <w:r w:rsidR="008A6B67" w:rsidRPr="008A6B67">
        <w:rPr>
          <w:rFonts w:cstheme="minorHAnsi"/>
          <w:sz w:val="24"/>
          <w:szCs w:val="24"/>
        </w:rPr>
        <w:t xml:space="preserve"> </w:t>
      </w:r>
      <w:r w:rsidR="008A6B67" w:rsidRPr="003A1269">
        <w:rPr>
          <w:rFonts w:cstheme="minorHAnsi"/>
          <w:sz w:val="24"/>
          <w:szCs w:val="24"/>
        </w:rPr>
        <w:t>–</w:t>
      </w:r>
      <w:r w:rsidR="008A6B67">
        <w:rPr>
          <w:rFonts w:cstheme="minorHAnsi"/>
          <w:sz w:val="24"/>
          <w:szCs w:val="24"/>
        </w:rPr>
        <w:t xml:space="preserve"> </w:t>
      </w:r>
      <w:proofErr w:type="spellStart"/>
      <w:r w:rsidR="00996EE9" w:rsidRPr="00A1449A">
        <w:rPr>
          <w:rFonts w:cstheme="minorHAnsi"/>
          <w:sz w:val="24"/>
          <w:szCs w:val="24"/>
        </w:rPr>
        <w:t>Yoon</w:t>
      </w:r>
      <w:proofErr w:type="spellEnd"/>
      <w:r w:rsidR="00996EE9" w:rsidRPr="00A1449A">
        <w:rPr>
          <w:rFonts w:cstheme="minorHAnsi"/>
          <w:sz w:val="24"/>
          <w:szCs w:val="24"/>
        </w:rPr>
        <w:t>, S. M. 2020</w:t>
      </w:r>
      <w:r w:rsidRPr="00A1449A">
        <w:rPr>
          <w:rFonts w:cstheme="minorHAnsi"/>
          <w:sz w:val="24"/>
          <w:szCs w:val="24"/>
        </w:rPr>
        <w:t xml:space="preserve"> aj.)</w:t>
      </w:r>
      <w:r w:rsidRPr="00AB385C">
        <w:rPr>
          <w:rFonts w:cstheme="minorHAnsi"/>
          <w:sz w:val="24"/>
          <w:szCs w:val="24"/>
        </w:rPr>
        <w:t xml:space="preserve">. </w:t>
      </w:r>
    </w:p>
    <w:p w14:paraId="23441D34" w14:textId="13177587" w:rsidR="00637B24" w:rsidRPr="00AB385C" w:rsidRDefault="00637B24" w:rsidP="008E115B">
      <w:pPr>
        <w:spacing w:after="100" w:afterAutospacing="1" w:line="240" w:lineRule="auto"/>
        <w:ind w:firstLine="709"/>
        <w:jc w:val="both"/>
        <w:rPr>
          <w:rFonts w:cstheme="minorHAnsi"/>
          <w:sz w:val="24"/>
          <w:szCs w:val="24"/>
        </w:rPr>
      </w:pPr>
      <w:r w:rsidRPr="00AB385C">
        <w:rPr>
          <w:rFonts w:cstheme="minorHAnsi"/>
          <w:sz w:val="24"/>
          <w:szCs w:val="24"/>
        </w:rPr>
        <w:t>Ekonomické dopady jsou rovněž zkoumány na úrovni národních ekonomik. Existují t</w:t>
      </w:r>
      <w:r w:rsidR="00687689">
        <w:rPr>
          <w:rFonts w:cstheme="minorHAnsi"/>
          <w:sz w:val="24"/>
          <w:szCs w:val="24"/>
        </w:rPr>
        <w:t xml:space="preserve">edy </w:t>
      </w:r>
      <w:r w:rsidR="00262559">
        <w:rPr>
          <w:rFonts w:cstheme="minorHAnsi"/>
          <w:sz w:val="24"/>
          <w:szCs w:val="24"/>
        </w:rPr>
        <w:t xml:space="preserve">případové </w:t>
      </w:r>
      <w:r w:rsidRPr="00AB385C">
        <w:rPr>
          <w:rFonts w:cstheme="minorHAnsi"/>
          <w:sz w:val="24"/>
          <w:szCs w:val="24"/>
        </w:rPr>
        <w:t xml:space="preserve">studie zaměřené na jednotlivé </w:t>
      </w:r>
      <w:r w:rsidR="008856C2">
        <w:rPr>
          <w:rFonts w:cstheme="minorHAnsi"/>
          <w:sz w:val="24"/>
          <w:szCs w:val="24"/>
        </w:rPr>
        <w:t xml:space="preserve">státy </w:t>
      </w:r>
      <w:r w:rsidR="00A1449A">
        <w:rPr>
          <w:rFonts w:cstheme="minorHAnsi"/>
          <w:sz w:val="24"/>
          <w:szCs w:val="24"/>
        </w:rPr>
        <w:t xml:space="preserve">– </w:t>
      </w:r>
      <w:r w:rsidRPr="00AB385C">
        <w:rPr>
          <w:rFonts w:cstheme="minorHAnsi"/>
          <w:sz w:val="24"/>
          <w:szCs w:val="24"/>
        </w:rPr>
        <w:t xml:space="preserve">vývozce ropy, případně na jednotlivé těžařské oblasti (Blízký východ, severní Afrika; </w:t>
      </w:r>
      <w:r w:rsidR="008654F9">
        <w:rPr>
          <w:rFonts w:cstheme="minorHAnsi"/>
          <w:sz w:val="24"/>
          <w:szCs w:val="24"/>
        </w:rPr>
        <w:t xml:space="preserve">aktuálně </w:t>
      </w:r>
      <w:proofErr w:type="spellStart"/>
      <w:r w:rsidRPr="00AB385C">
        <w:rPr>
          <w:rFonts w:eastAsia="Times New Roman" w:cstheme="minorHAnsi"/>
          <w:sz w:val="24"/>
          <w:szCs w:val="24"/>
          <w:lang w:eastAsia="cs-CZ"/>
        </w:rPr>
        <w:t>Faheem</w:t>
      </w:r>
      <w:proofErr w:type="spellEnd"/>
      <w:r w:rsidRPr="00AB385C">
        <w:rPr>
          <w:rFonts w:eastAsia="Times New Roman" w:cstheme="minorHAnsi"/>
          <w:sz w:val="24"/>
          <w:szCs w:val="24"/>
          <w:lang w:eastAsia="cs-CZ"/>
        </w:rPr>
        <w:t xml:space="preserve"> et al. 2020</w:t>
      </w:r>
      <w:proofErr w:type="gramStart"/>
      <w:r w:rsidRPr="00AB385C">
        <w:rPr>
          <w:rFonts w:eastAsia="Times New Roman" w:cstheme="minorHAnsi"/>
          <w:sz w:val="24"/>
          <w:szCs w:val="24"/>
          <w:lang w:eastAsia="cs-CZ"/>
        </w:rPr>
        <w:t>a,b</w:t>
      </w:r>
      <w:proofErr w:type="gramEnd"/>
      <w:r w:rsidRPr="00AB385C">
        <w:rPr>
          <w:rFonts w:eastAsia="Times New Roman" w:cstheme="minorHAnsi"/>
          <w:sz w:val="24"/>
          <w:szCs w:val="24"/>
          <w:lang w:eastAsia="cs-CZ"/>
        </w:rPr>
        <w:t xml:space="preserve">; </w:t>
      </w:r>
      <w:proofErr w:type="spellStart"/>
      <w:r w:rsidRPr="00AB385C">
        <w:rPr>
          <w:rFonts w:eastAsia="Times New Roman" w:cstheme="minorHAnsi"/>
          <w:sz w:val="24"/>
          <w:szCs w:val="24"/>
          <w:lang w:eastAsia="cs-CZ"/>
        </w:rPr>
        <w:t>Alkhateeb</w:t>
      </w:r>
      <w:proofErr w:type="spellEnd"/>
      <w:r w:rsidRPr="00AB385C">
        <w:rPr>
          <w:rFonts w:eastAsia="Times New Roman" w:cstheme="minorHAnsi"/>
          <w:sz w:val="24"/>
          <w:szCs w:val="24"/>
          <w:lang w:eastAsia="cs-CZ"/>
        </w:rPr>
        <w:t xml:space="preserve"> – </w:t>
      </w:r>
      <w:proofErr w:type="spellStart"/>
      <w:r w:rsidRPr="00AB385C">
        <w:rPr>
          <w:rFonts w:eastAsia="Times New Roman" w:cstheme="minorHAnsi"/>
          <w:sz w:val="24"/>
          <w:szCs w:val="24"/>
          <w:lang w:eastAsia="cs-CZ"/>
        </w:rPr>
        <w:t>Mahmood</w:t>
      </w:r>
      <w:proofErr w:type="spellEnd"/>
      <w:r w:rsidRPr="00AB385C">
        <w:rPr>
          <w:rFonts w:eastAsia="Times New Roman" w:cstheme="minorHAnsi"/>
          <w:sz w:val="24"/>
          <w:szCs w:val="24"/>
          <w:lang w:eastAsia="cs-CZ"/>
        </w:rPr>
        <w:t>, 2020;</w:t>
      </w:r>
      <w:r w:rsidR="00466DF1" w:rsidRPr="00466DF1">
        <w:rPr>
          <w:rFonts w:eastAsia="Times New Roman"/>
          <w:lang w:eastAsia="cs-CZ"/>
        </w:rPr>
        <w:t xml:space="preserve"> </w:t>
      </w:r>
      <w:proofErr w:type="spellStart"/>
      <w:r w:rsidR="00466DF1" w:rsidRPr="00466DF1">
        <w:rPr>
          <w:rFonts w:cstheme="minorHAnsi"/>
          <w:sz w:val="24"/>
          <w:szCs w:val="24"/>
        </w:rPr>
        <w:t>Gaies</w:t>
      </w:r>
      <w:proofErr w:type="spellEnd"/>
      <w:r w:rsidR="00466DF1" w:rsidRPr="00466DF1">
        <w:rPr>
          <w:rFonts w:cstheme="minorHAnsi"/>
          <w:sz w:val="24"/>
          <w:szCs w:val="24"/>
        </w:rPr>
        <w:t xml:space="preserve"> et al. 2020</w:t>
      </w:r>
      <w:r w:rsidRPr="00466DF1">
        <w:rPr>
          <w:rFonts w:cstheme="minorHAnsi"/>
          <w:sz w:val="24"/>
          <w:szCs w:val="24"/>
        </w:rPr>
        <w:t>)</w:t>
      </w:r>
      <w:r w:rsidRPr="00AB385C">
        <w:rPr>
          <w:rFonts w:cstheme="minorHAnsi"/>
          <w:sz w:val="24"/>
          <w:szCs w:val="24"/>
        </w:rPr>
        <w:t>.</w:t>
      </w:r>
      <w:r w:rsidR="003A1269">
        <w:rPr>
          <w:rFonts w:cstheme="minorHAnsi"/>
          <w:sz w:val="24"/>
          <w:szCs w:val="24"/>
        </w:rPr>
        <w:t xml:space="preserve"> </w:t>
      </w:r>
      <w:r w:rsidRPr="00AB385C">
        <w:rPr>
          <w:rFonts w:cstheme="minorHAnsi"/>
          <w:sz w:val="24"/>
          <w:szCs w:val="24"/>
        </w:rPr>
        <w:t>Obdobně jsou</w:t>
      </w:r>
      <w:r w:rsidR="00466DF1">
        <w:rPr>
          <w:rFonts w:cstheme="minorHAnsi"/>
          <w:sz w:val="24"/>
          <w:szCs w:val="24"/>
        </w:rPr>
        <w:t xml:space="preserve"> </w:t>
      </w:r>
      <w:r w:rsidRPr="00AB385C">
        <w:rPr>
          <w:rFonts w:cstheme="minorHAnsi"/>
          <w:sz w:val="24"/>
          <w:szCs w:val="24"/>
        </w:rPr>
        <w:t>sledovány</w:t>
      </w:r>
      <w:r w:rsidR="008856C2">
        <w:rPr>
          <w:rFonts w:cstheme="minorHAnsi"/>
          <w:sz w:val="24"/>
          <w:szCs w:val="24"/>
        </w:rPr>
        <w:t>, přestože v menší míře,</w:t>
      </w:r>
      <w:r w:rsidR="008856C2" w:rsidRPr="00AB385C">
        <w:rPr>
          <w:rFonts w:cstheme="minorHAnsi"/>
          <w:sz w:val="24"/>
          <w:szCs w:val="24"/>
        </w:rPr>
        <w:t xml:space="preserve"> </w:t>
      </w:r>
      <w:r w:rsidRPr="00AB385C">
        <w:rPr>
          <w:rFonts w:cstheme="minorHAnsi"/>
          <w:sz w:val="24"/>
          <w:szCs w:val="24"/>
        </w:rPr>
        <w:t>dopady na ekonomiky závislé na dovozu ropy (</w:t>
      </w:r>
      <w:r w:rsidRPr="00AB385C">
        <w:rPr>
          <w:rFonts w:eastAsia="Times New Roman" w:cstheme="minorHAnsi"/>
          <w:sz w:val="24"/>
          <w:szCs w:val="24"/>
          <w:lang w:eastAsia="cs-CZ"/>
        </w:rPr>
        <w:t xml:space="preserve">Park – </w:t>
      </w:r>
      <w:proofErr w:type="spellStart"/>
      <w:r w:rsidRPr="00AB385C">
        <w:rPr>
          <w:rFonts w:eastAsia="Times New Roman" w:cstheme="minorHAnsi"/>
          <w:sz w:val="24"/>
          <w:szCs w:val="24"/>
          <w:lang w:eastAsia="cs-CZ"/>
        </w:rPr>
        <w:t>Ratti</w:t>
      </w:r>
      <w:proofErr w:type="spellEnd"/>
      <w:r w:rsidRPr="00AB385C">
        <w:rPr>
          <w:rFonts w:eastAsia="Times New Roman" w:cstheme="minorHAnsi"/>
          <w:sz w:val="24"/>
          <w:szCs w:val="24"/>
          <w:lang w:eastAsia="cs-CZ"/>
        </w:rPr>
        <w:t xml:space="preserve"> 2008)</w:t>
      </w:r>
      <w:r w:rsidRPr="00AB385C">
        <w:rPr>
          <w:rFonts w:cstheme="minorHAnsi"/>
          <w:sz w:val="24"/>
          <w:szCs w:val="24"/>
        </w:rPr>
        <w:t>, včetně roviny EU (</w:t>
      </w:r>
      <w:proofErr w:type="spellStart"/>
      <w:r w:rsidRPr="00AB385C">
        <w:rPr>
          <w:rFonts w:eastAsia="Times New Roman" w:cstheme="minorHAnsi"/>
          <w:sz w:val="24"/>
          <w:szCs w:val="24"/>
          <w:lang w:eastAsia="cs-CZ"/>
        </w:rPr>
        <w:t>Youngs</w:t>
      </w:r>
      <w:proofErr w:type="spellEnd"/>
      <w:r w:rsidRPr="00AB385C">
        <w:rPr>
          <w:rFonts w:eastAsia="Times New Roman" w:cstheme="minorHAnsi"/>
          <w:sz w:val="24"/>
          <w:szCs w:val="24"/>
          <w:lang w:eastAsia="cs-CZ"/>
        </w:rPr>
        <w:t xml:space="preserve"> 2020; </w:t>
      </w:r>
      <w:proofErr w:type="spellStart"/>
      <w:r w:rsidRPr="00AB385C">
        <w:rPr>
          <w:rFonts w:eastAsia="Times New Roman" w:cstheme="minorHAnsi"/>
          <w:sz w:val="24"/>
          <w:szCs w:val="24"/>
          <w:lang w:eastAsia="cs-CZ"/>
        </w:rPr>
        <w:t>Arouri</w:t>
      </w:r>
      <w:proofErr w:type="spellEnd"/>
      <w:r w:rsidRPr="00AB385C">
        <w:rPr>
          <w:rFonts w:eastAsia="Times New Roman" w:cstheme="minorHAnsi"/>
          <w:sz w:val="24"/>
          <w:szCs w:val="24"/>
          <w:lang w:eastAsia="cs-CZ"/>
        </w:rPr>
        <w:t xml:space="preserve"> – </w:t>
      </w:r>
      <w:proofErr w:type="spellStart"/>
      <w:r w:rsidRPr="00AB385C">
        <w:rPr>
          <w:rFonts w:eastAsia="Times New Roman" w:cstheme="minorHAnsi"/>
          <w:sz w:val="24"/>
          <w:szCs w:val="24"/>
          <w:lang w:eastAsia="cs-CZ"/>
        </w:rPr>
        <w:t>Jouini</w:t>
      </w:r>
      <w:proofErr w:type="spellEnd"/>
      <w:r w:rsidRPr="00AB385C">
        <w:rPr>
          <w:rFonts w:eastAsia="Times New Roman" w:cstheme="minorHAnsi"/>
          <w:sz w:val="24"/>
          <w:szCs w:val="24"/>
          <w:lang w:eastAsia="cs-CZ"/>
        </w:rPr>
        <w:t xml:space="preserve"> – </w:t>
      </w:r>
      <w:proofErr w:type="spellStart"/>
      <w:r w:rsidRPr="00AB385C">
        <w:rPr>
          <w:rFonts w:eastAsia="Times New Roman" w:cstheme="minorHAnsi"/>
          <w:sz w:val="24"/>
          <w:szCs w:val="24"/>
          <w:lang w:eastAsia="cs-CZ"/>
        </w:rPr>
        <w:t>Nguyen</w:t>
      </w:r>
      <w:proofErr w:type="spellEnd"/>
      <w:r w:rsidRPr="00AB385C">
        <w:rPr>
          <w:rFonts w:eastAsia="Times New Roman" w:cstheme="minorHAnsi"/>
          <w:sz w:val="24"/>
          <w:szCs w:val="24"/>
          <w:lang w:eastAsia="cs-CZ"/>
        </w:rPr>
        <w:t xml:space="preserve"> 2012; </w:t>
      </w:r>
      <w:proofErr w:type="spellStart"/>
      <w:r w:rsidRPr="00AB385C">
        <w:rPr>
          <w:rFonts w:eastAsia="Times New Roman" w:cstheme="minorHAnsi"/>
          <w:sz w:val="24"/>
          <w:szCs w:val="24"/>
          <w:lang w:eastAsia="cs-CZ"/>
        </w:rPr>
        <w:t>Vrontisi</w:t>
      </w:r>
      <w:proofErr w:type="spellEnd"/>
      <w:r w:rsidRPr="00AB385C">
        <w:rPr>
          <w:rFonts w:eastAsia="Times New Roman" w:cstheme="minorHAnsi"/>
          <w:sz w:val="24"/>
          <w:szCs w:val="24"/>
          <w:lang w:eastAsia="cs-CZ"/>
        </w:rPr>
        <w:t xml:space="preserve"> et al. 2015)</w:t>
      </w:r>
      <w:r w:rsidRPr="00AB385C">
        <w:rPr>
          <w:rFonts w:cstheme="minorHAnsi"/>
          <w:sz w:val="24"/>
          <w:szCs w:val="24"/>
        </w:rPr>
        <w:t xml:space="preserve">. Výzkum je přitom založen na využití kvantitativních metod, hojně se objevuje ekonometrické modelování. V publikacích z roku 2020 lze i přes krátký časový odstup identifikovat pokusy o propojení problematiky cenových šoků s dopady pandemie </w:t>
      </w:r>
      <w:r w:rsidR="00473EE8">
        <w:rPr>
          <w:rFonts w:cstheme="minorHAnsi"/>
          <w:sz w:val="24"/>
          <w:szCs w:val="24"/>
        </w:rPr>
        <w:t>C</w:t>
      </w:r>
      <w:r w:rsidR="00A1449A">
        <w:rPr>
          <w:rFonts w:cstheme="minorHAnsi"/>
          <w:sz w:val="24"/>
          <w:szCs w:val="24"/>
        </w:rPr>
        <w:t>OVID</w:t>
      </w:r>
      <w:r w:rsidRPr="00AB385C">
        <w:rPr>
          <w:rFonts w:cstheme="minorHAnsi"/>
          <w:sz w:val="24"/>
          <w:szCs w:val="24"/>
        </w:rPr>
        <w:t>-19 (</w:t>
      </w:r>
      <w:proofErr w:type="spellStart"/>
      <w:r w:rsidRPr="00AB385C">
        <w:rPr>
          <w:rFonts w:eastAsia="Times New Roman" w:cstheme="minorHAnsi"/>
          <w:sz w:val="24"/>
          <w:szCs w:val="24"/>
          <w:lang w:eastAsia="cs-CZ"/>
        </w:rPr>
        <w:t>McNally</w:t>
      </w:r>
      <w:proofErr w:type="spellEnd"/>
      <w:r w:rsidRPr="00AB385C">
        <w:rPr>
          <w:rFonts w:eastAsia="Times New Roman" w:cstheme="minorHAnsi"/>
          <w:sz w:val="24"/>
          <w:szCs w:val="24"/>
          <w:lang w:eastAsia="cs-CZ"/>
        </w:rPr>
        <w:t xml:space="preserve"> 2020; </w:t>
      </w:r>
      <w:proofErr w:type="spellStart"/>
      <w:r w:rsidRPr="00AB385C">
        <w:rPr>
          <w:rFonts w:eastAsia="Times New Roman" w:cstheme="minorHAnsi"/>
          <w:sz w:val="24"/>
          <w:szCs w:val="24"/>
          <w:lang w:eastAsia="cs-CZ"/>
        </w:rPr>
        <w:t>Narayan</w:t>
      </w:r>
      <w:proofErr w:type="spellEnd"/>
      <w:r w:rsidRPr="00AB385C">
        <w:rPr>
          <w:rFonts w:eastAsia="Times New Roman" w:cstheme="minorHAnsi"/>
          <w:sz w:val="24"/>
          <w:szCs w:val="24"/>
          <w:lang w:eastAsia="cs-CZ"/>
        </w:rPr>
        <w:t xml:space="preserve"> 2020; </w:t>
      </w:r>
      <w:proofErr w:type="spellStart"/>
      <w:r w:rsidRPr="00AB385C">
        <w:rPr>
          <w:rFonts w:eastAsia="Times New Roman" w:cstheme="minorHAnsi"/>
          <w:sz w:val="24"/>
          <w:szCs w:val="24"/>
          <w:lang w:eastAsia="cs-CZ"/>
        </w:rPr>
        <w:t>Prabheesh</w:t>
      </w:r>
      <w:proofErr w:type="spellEnd"/>
      <w:r w:rsidRPr="00AB385C">
        <w:rPr>
          <w:rFonts w:eastAsia="Times New Roman" w:cstheme="minorHAnsi"/>
          <w:sz w:val="24"/>
          <w:szCs w:val="24"/>
          <w:lang w:eastAsia="cs-CZ"/>
        </w:rPr>
        <w:t xml:space="preserve"> – </w:t>
      </w:r>
      <w:proofErr w:type="spellStart"/>
      <w:r w:rsidRPr="00AB385C">
        <w:rPr>
          <w:rFonts w:eastAsia="Times New Roman" w:cstheme="minorHAnsi"/>
          <w:sz w:val="24"/>
          <w:szCs w:val="24"/>
          <w:lang w:eastAsia="cs-CZ"/>
        </w:rPr>
        <w:t>Padhan</w:t>
      </w:r>
      <w:proofErr w:type="spellEnd"/>
      <w:r w:rsidRPr="00AB385C">
        <w:rPr>
          <w:rFonts w:eastAsia="Times New Roman" w:cstheme="minorHAnsi"/>
          <w:sz w:val="24"/>
          <w:szCs w:val="24"/>
          <w:lang w:eastAsia="cs-CZ"/>
        </w:rPr>
        <w:t xml:space="preserve"> – </w:t>
      </w:r>
      <w:proofErr w:type="spellStart"/>
      <w:r w:rsidRPr="00AB385C">
        <w:rPr>
          <w:rFonts w:eastAsia="Times New Roman" w:cstheme="minorHAnsi"/>
          <w:sz w:val="24"/>
          <w:szCs w:val="24"/>
          <w:lang w:eastAsia="cs-CZ"/>
        </w:rPr>
        <w:t>Garg</w:t>
      </w:r>
      <w:proofErr w:type="spellEnd"/>
      <w:r w:rsidRPr="00AB385C">
        <w:rPr>
          <w:rFonts w:eastAsia="Times New Roman" w:cstheme="minorHAnsi"/>
          <w:sz w:val="24"/>
          <w:szCs w:val="24"/>
          <w:lang w:eastAsia="cs-CZ"/>
        </w:rPr>
        <w:t xml:space="preserve"> 2020; </w:t>
      </w:r>
      <w:proofErr w:type="spellStart"/>
      <w:r w:rsidRPr="00AB385C">
        <w:rPr>
          <w:rFonts w:eastAsia="Times New Roman" w:cstheme="minorHAnsi"/>
          <w:sz w:val="24"/>
          <w:szCs w:val="24"/>
          <w:lang w:eastAsia="cs-CZ"/>
        </w:rPr>
        <w:t>Salisu</w:t>
      </w:r>
      <w:proofErr w:type="spellEnd"/>
      <w:r w:rsidRPr="00AB385C">
        <w:rPr>
          <w:rFonts w:eastAsia="Times New Roman" w:cstheme="minorHAnsi"/>
          <w:sz w:val="24"/>
          <w:szCs w:val="24"/>
          <w:lang w:eastAsia="cs-CZ"/>
        </w:rPr>
        <w:t xml:space="preserve"> – </w:t>
      </w:r>
      <w:proofErr w:type="spellStart"/>
      <w:r w:rsidRPr="00AB385C">
        <w:rPr>
          <w:rFonts w:eastAsia="Times New Roman" w:cstheme="minorHAnsi"/>
          <w:sz w:val="24"/>
          <w:szCs w:val="24"/>
          <w:lang w:eastAsia="cs-CZ"/>
        </w:rPr>
        <w:t>Ebuh</w:t>
      </w:r>
      <w:proofErr w:type="spellEnd"/>
      <w:r w:rsidRPr="00AB385C">
        <w:rPr>
          <w:rFonts w:eastAsia="Times New Roman" w:cstheme="minorHAnsi"/>
          <w:sz w:val="24"/>
          <w:szCs w:val="24"/>
          <w:lang w:eastAsia="cs-CZ"/>
        </w:rPr>
        <w:t xml:space="preserve"> – </w:t>
      </w:r>
      <w:proofErr w:type="spellStart"/>
      <w:r w:rsidRPr="00AB385C">
        <w:rPr>
          <w:rFonts w:eastAsia="Times New Roman" w:cstheme="minorHAnsi"/>
          <w:sz w:val="24"/>
          <w:szCs w:val="24"/>
          <w:lang w:eastAsia="cs-CZ"/>
        </w:rPr>
        <w:t>Usman</w:t>
      </w:r>
      <w:proofErr w:type="spellEnd"/>
      <w:r w:rsidRPr="00AB385C">
        <w:rPr>
          <w:rFonts w:eastAsia="Times New Roman" w:cstheme="minorHAnsi"/>
          <w:sz w:val="24"/>
          <w:szCs w:val="24"/>
          <w:lang w:eastAsia="cs-CZ"/>
        </w:rPr>
        <w:t xml:space="preserve"> 2020)</w:t>
      </w:r>
      <w:r w:rsidRPr="00AB385C">
        <w:rPr>
          <w:rFonts w:cstheme="minorHAnsi"/>
          <w:sz w:val="24"/>
          <w:szCs w:val="24"/>
        </w:rPr>
        <w:t>, případně reflex</w:t>
      </w:r>
      <w:r w:rsidR="007B3247">
        <w:rPr>
          <w:rFonts w:cstheme="minorHAnsi"/>
          <w:sz w:val="24"/>
          <w:szCs w:val="24"/>
        </w:rPr>
        <w:t>i</w:t>
      </w:r>
      <w:r w:rsidRPr="00AB385C">
        <w:rPr>
          <w:rFonts w:cstheme="minorHAnsi"/>
          <w:sz w:val="24"/>
          <w:szCs w:val="24"/>
        </w:rPr>
        <w:t xml:space="preserve"> dynamických změn v souvislosti s cíli dekarbonizace (</w:t>
      </w:r>
      <w:proofErr w:type="spellStart"/>
      <w:r w:rsidRPr="00AB385C">
        <w:rPr>
          <w:rFonts w:cstheme="minorHAnsi"/>
          <w:sz w:val="24"/>
          <w:szCs w:val="24"/>
        </w:rPr>
        <w:t>Hafner</w:t>
      </w:r>
      <w:proofErr w:type="spellEnd"/>
      <w:r w:rsidRPr="00AB385C">
        <w:rPr>
          <w:rFonts w:cstheme="minorHAnsi"/>
          <w:sz w:val="24"/>
          <w:szCs w:val="24"/>
        </w:rPr>
        <w:t xml:space="preserve"> – </w:t>
      </w:r>
      <w:proofErr w:type="spellStart"/>
      <w:r w:rsidRPr="00AB385C">
        <w:rPr>
          <w:rFonts w:cstheme="minorHAnsi"/>
          <w:sz w:val="24"/>
          <w:szCs w:val="24"/>
        </w:rPr>
        <w:t>Tagliapietra</w:t>
      </w:r>
      <w:proofErr w:type="spellEnd"/>
      <w:r w:rsidRPr="00AB385C">
        <w:rPr>
          <w:rFonts w:cstheme="minorHAnsi"/>
          <w:sz w:val="24"/>
          <w:szCs w:val="24"/>
        </w:rPr>
        <w:t xml:space="preserve">, </w:t>
      </w:r>
      <w:proofErr w:type="spellStart"/>
      <w:r w:rsidRPr="00AB385C">
        <w:rPr>
          <w:rFonts w:cstheme="minorHAnsi"/>
          <w:sz w:val="24"/>
          <w:szCs w:val="24"/>
        </w:rPr>
        <w:t>eds</w:t>
      </w:r>
      <w:proofErr w:type="spellEnd"/>
      <w:r w:rsidRPr="00AB385C">
        <w:rPr>
          <w:rFonts w:cstheme="minorHAnsi"/>
          <w:sz w:val="24"/>
          <w:szCs w:val="24"/>
        </w:rPr>
        <w:t>. 2020).</w:t>
      </w:r>
    </w:p>
    <w:p w14:paraId="07210892" w14:textId="3B0DF58D" w:rsidR="00637B24" w:rsidRPr="00DA5BF3" w:rsidRDefault="00637B24" w:rsidP="00DA5BF3">
      <w:pPr>
        <w:jc w:val="both"/>
        <w:rPr>
          <w:rFonts w:cstheme="minorHAnsi"/>
          <w:sz w:val="24"/>
          <w:szCs w:val="24"/>
        </w:rPr>
      </w:pPr>
      <w:r w:rsidRPr="00DA5BF3">
        <w:rPr>
          <w:sz w:val="24"/>
          <w:szCs w:val="24"/>
        </w:rPr>
        <w:t xml:space="preserve">V akademickém diskurzu </w:t>
      </w:r>
      <w:r w:rsidR="00FD3B76" w:rsidRPr="00DA5BF3">
        <w:rPr>
          <w:sz w:val="24"/>
          <w:szCs w:val="24"/>
        </w:rPr>
        <w:t xml:space="preserve">zaměřeném na oblast mezinárodních vztahů </w:t>
      </w:r>
      <w:r w:rsidRPr="00DA5BF3">
        <w:rPr>
          <w:sz w:val="24"/>
          <w:szCs w:val="24"/>
        </w:rPr>
        <w:t xml:space="preserve">jsou rovněž spojovány pojmy ropa, geopolitika a konflikt/válka. V jednotlivých pracích se objevuje </w:t>
      </w:r>
      <w:proofErr w:type="spellStart"/>
      <w:r w:rsidRPr="00DA5BF3">
        <w:rPr>
          <w:sz w:val="24"/>
          <w:szCs w:val="24"/>
        </w:rPr>
        <w:t>geoekonomický</w:t>
      </w:r>
      <w:proofErr w:type="spellEnd"/>
      <w:r w:rsidRPr="00DA5BF3">
        <w:rPr>
          <w:sz w:val="24"/>
          <w:szCs w:val="24"/>
        </w:rPr>
        <w:t xml:space="preserve"> přístup objasňující souvislosti mezi politickou a ekonomickou rovinou (mocenských) vztahů v případě této stěžejní suroviny (</w:t>
      </w:r>
      <w:proofErr w:type="spellStart"/>
      <w:r w:rsidRPr="00DA5BF3">
        <w:rPr>
          <w:sz w:val="24"/>
          <w:szCs w:val="24"/>
        </w:rPr>
        <w:t>Colgan</w:t>
      </w:r>
      <w:proofErr w:type="spellEnd"/>
      <w:r w:rsidRPr="00DA5BF3">
        <w:rPr>
          <w:sz w:val="24"/>
          <w:szCs w:val="24"/>
        </w:rPr>
        <w:t xml:space="preserve"> </w:t>
      </w:r>
      <w:r w:rsidRPr="00DA5BF3">
        <w:rPr>
          <w:rStyle w:val="nlmyear"/>
          <w:rFonts w:cstheme="minorHAnsi"/>
          <w:sz w:val="24"/>
          <w:szCs w:val="24"/>
        </w:rPr>
        <w:t>2010</w:t>
      </w:r>
      <w:r w:rsidRPr="00DA5BF3">
        <w:rPr>
          <w:sz w:val="24"/>
          <w:szCs w:val="24"/>
        </w:rPr>
        <w:t xml:space="preserve">, 2011, 2013; Andersen – </w:t>
      </w:r>
      <w:proofErr w:type="spellStart"/>
      <w:r w:rsidRPr="00DA5BF3">
        <w:rPr>
          <w:sz w:val="24"/>
          <w:szCs w:val="24"/>
        </w:rPr>
        <w:t>Nordvik</w:t>
      </w:r>
      <w:proofErr w:type="spellEnd"/>
      <w:r w:rsidRPr="00DA5BF3">
        <w:rPr>
          <w:sz w:val="24"/>
          <w:szCs w:val="24"/>
        </w:rPr>
        <w:t xml:space="preserve"> – </w:t>
      </w:r>
      <w:proofErr w:type="spellStart"/>
      <w:r w:rsidRPr="00DA5BF3">
        <w:rPr>
          <w:sz w:val="24"/>
          <w:szCs w:val="24"/>
        </w:rPr>
        <w:t>Tesei</w:t>
      </w:r>
      <w:proofErr w:type="spellEnd"/>
      <w:r w:rsidRPr="00DA5BF3">
        <w:rPr>
          <w:sz w:val="24"/>
          <w:szCs w:val="24"/>
        </w:rPr>
        <w:t xml:space="preserve"> 2017; </w:t>
      </w:r>
      <w:r w:rsidRPr="00DA5BF3">
        <w:rPr>
          <w:rStyle w:val="nlmarticle-title"/>
          <w:rFonts w:cstheme="minorHAnsi"/>
          <w:sz w:val="24"/>
          <w:szCs w:val="24"/>
        </w:rPr>
        <w:t xml:space="preserve">Blair – </w:t>
      </w:r>
      <w:proofErr w:type="spellStart"/>
      <w:r w:rsidRPr="00DA5BF3">
        <w:rPr>
          <w:rStyle w:val="nlmarticle-title"/>
          <w:rFonts w:cstheme="minorHAnsi"/>
          <w:sz w:val="24"/>
          <w:szCs w:val="24"/>
        </w:rPr>
        <w:t>Christensen</w:t>
      </w:r>
      <w:proofErr w:type="spellEnd"/>
      <w:r w:rsidRPr="00DA5BF3">
        <w:rPr>
          <w:rStyle w:val="nlmarticle-title"/>
          <w:rFonts w:cstheme="minorHAnsi"/>
          <w:sz w:val="24"/>
          <w:szCs w:val="24"/>
        </w:rPr>
        <w:t xml:space="preserve"> – </w:t>
      </w:r>
      <w:proofErr w:type="spellStart"/>
      <w:r w:rsidRPr="00DA5BF3">
        <w:rPr>
          <w:rStyle w:val="nlmarticle-title"/>
          <w:rFonts w:cstheme="minorHAnsi"/>
          <w:sz w:val="24"/>
          <w:szCs w:val="24"/>
        </w:rPr>
        <w:t>Rudkin</w:t>
      </w:r>
      <w:proofErr w:type="spellEnd"/>
      <w:r w:rsidRPr="00DA5BF3">
        <w:rPr>
          <w:rStyle w:val="nlmarticle-title"/>
          <w:rFonts w:cstheme="minorHAnsi"/>
          <w:sz w:val="24"/>
          <w:szCs w:val="24"/>
        </w:rPr>
        <w:t xml:space="preserve"> 2020; </w:t>
      </w:r>
      <w:proofErr w:type="spellStart"/>
      <w:r w:rsidRPr="00DA5BF3">
        <w:rPr>
          <w:rStyle w:val="nlmarticle-title"/>
          <w:rFonts w:cstheme="minorHAnsi"/>
          <w:sz w:val="24"/>
          <w:szCs w:val="24"/>
        </w:rPr>
        <w:t>Lee</w:t>
      </w:r>
      <w:proofErr w:type="spellEnd"/>
      <w:r w:rsidRPr="00DA5BF3">
        <w:rPr>
          <w:rStyle w:val="nlmarticle-title"/>
          <w:rFonts w:cstheme="minorHAnsi"/>
          <w:sz w:val="24"/>
          <w:szCs w:val="24"/>
        </w:rPr>
        <w:t xml:space="preserve"> 2016</w:t>
      </w:r>
      <w:r w:rsidRPr="00DA5BF3">
        <w:rPr>
          <w:sz w:val="24"/>
          <w:szCs w:val="24"/>
        </w:rPr>
        <w:t>). Ukazuje se, že volatilita ceny ropy může souviset právě s geopolitickou situací a jejím vývojem, a naopak změny cen ropy mohou mít dopad na vznik geopolitického napětí (</w:t>
      </w:r>
      <w:proofErr w:type="spellStart"/>
      <w:r w:rsidRPr="00DA5BF3">
        <w:rPr>
          <w:sz w:val="24"/>
          <w:szCs w:val="24"/>
        </w:rPr>
        <w:t>Tsui</w:t>
      </w:r>
      <w:proofErr w:type="spellEnd"/>
      <w:r w:rsidRPr="00DA5BF3">
        <w:rPr>
          <w:sz w:val="24"/>
          <w:szCs w:val="24"/>
        </w:rPr>
        <w:t xml:space="preserve"> 2011; </w:t>
      </w:r>
      <w:proofErr w:type="spellStart"/>
      <w:r w:rsidRPr="00DA5BF3">
        <w:rPr>
          <w:sz w:val="24"/>
          <w:szCs w:val="24"/>
        </w:rPr>
        <w:t>Selmi</w:t>
      </w:r>
      <w:proofErr w:type="spellEnd"/>
      <w:r w:rsidRPr="00DA5BF3">
        <w:rPr>
          <w:sz w:val="24"/>
          <w:szCs w:val="24"/>
        </w:rPr>
        <w:t xml:space="preserve"> – </w:t>
      </w:r>
      <w:proofErr w:type="spellStart"/>
      <w:r w:rsidRPr="00DA5BF3">
        <w:rPr>
          <w:sz w:val="24"/>
          <w:szCs w:val="24"/>
        </w:rPr>
        <w:t>Bouoiyour</w:t>
      </w:r>
      <w:proofErr w:type="spellEnd"/>
      <w:r w:rsidRPr="00DA5BF3">
        <w:rPr>
          <w:sz w:val="24"/>
          <w:szCs w:val="24"/>
        </w:rPr>
        <w:t xml:space="preserve"> – </w:t>
      </w:r>
      <w:proofErr w:type="spellStart"/>
      <w:r w:rsidRPr="00DA5BF3">
        <w:rPr>
          <w:sz w:val="24"/>
          <w:szCs w:val="24"/>
        </w:rPr>
        <w:t>Miftah</w:t>
      </w:r>
      <w:proofErr w:type="spellEnd"/>
      <w:r w:rsidRPr="00DA5BF3">
        <w:rPr>
          <w:sz w:val="24"/>
          <w:szCs w:val="24"/>
        </w:rPr>
        <w:t xml:space="preserve"> 2020; </w:t>
      </w:r>
      <w:proofErr w:type="spellStart"/>
      <w:r w:rsidRPr="00DA5BF3">
        <w:rPr>
          <w:rFonts w:eastAsia="Times New Roman"/>
          <w:sz w:val="24"/>
          <w:szCs w:val="24"/>
          <w:lang w:eastAsia="cs-CZ"/>
        </w:rPr>
        <w:t>Le</w:t>
      </w:r>
      <w:proofErr w:type="spellEnd"/>
      <w:r w:rsidRPr="00DA5BF3">
        <w:rPr>
          <w:rFonts w:eastAsia="Times New Roman"/>
          <w:sz w:val="24"/>
          <w:szCs w:val="24"/>
          <w:lang w:eastAsia="cs-CZ"/>
        </w:rPr>
        <w:t xml:space="preserve"> – </w:t>
      </w:r>
      <w:proofErr w:type="spellStart"/>
      <w:r w:rsidRPr="00DA5BF3">
        <w:rPr>
          <w:rFonts w:eastAsia="Times New Roman"/>
          <w:sz w:val="24"/>
          <w:szCs w:val="24"/>
          <w:lang w:eastAsia="cs-CZ"/>
        </w:rPr>
        <w:t>Nguyen</w:t>
      </w:r>
      <w:proofErr w:type="spellEnd"/>
      <w:r w:rsidRPr="00DA5BF3">
        <w:rPr>
          <w:rFonts w:eastAsia="Times New Roman"/>
          <w:sz w:val="24"/>
          <w:szCs w:val="24"/>
          <w:lang w:eastAsia="cs-CZ"/>
        </w:rPr>
        <w:t xml:space="preserve"> 2019</w:t>
      </w:r>
      <w:r w:rsidR="00E42374" w:rsidRPr="00DA5BF3">
        <w:rPr>
          <w:rFonts w:eastAsia="Times New Roman"/>
          <w:sz w:val="24"/>
          <w:szCs w:val="24"/>
          <w:lang w:eastAsia="cs-CZ"/>
        </w:rPr>
        <w:t xml:space="preserve">; </w:t>
      </w:r>
      <w:proofErr w:type="spellStart"/>
      <w:r w:rsidR="00E42374" w:rsidRPr="00DA5BF3">
        <w:rPr>
          <w:rFonts w:eastAsia="Times New Roman"/>
          <w:sz w:val="24"/>
          <w:szCs w:val="24"/>
          <w:lang w:eastAsia="cs-CZ"/>
        </w:rPr>
        <w:t>Bazzi</w:t>
      </w:r>
      <w:proofErr w:type="spellEnd"/>
      <w:r w:rsidR="00E42374" w:rsidRPr="00DA5BF3">
        <w:rPr>
          <w:rFonts w:eastAsia="Times New Roman"/>
          <w:sz w:val="24"/>
          <w:szCs w:val="24"/>
          <w:lang w:eastAsia="cs-CZ"/>
        </w:rPr>
        <w:t xml:space="preserve"> – </w:t>
      </w:r>
      <w:proofErr w:type="spellStart"/>
      <w:r w:rsidR="00E42374" w:rsidRPr="00DA5BF3">
        <w:rPr>
          <w:rFonts w:eastAsia="Times New Roman"/>
          <w:sz w:val="24"/>
          <w:szCs w:val="24"/>
          <w:lang w:eastAsia="cs-CZ"/>
        </w:rPr>
        <w:t>Blatman</w:t>
      </w:r>
      <w:proofErr w:type="spellEnd"/>
      <w:r w:rsidR="00E42374" w:rsidRPr="00DA5BF3">
        <w:rPr>
          <w:rFonts w:eastAsia="Times New Roman"/>
          <w:sz w:val="24"/>
          <w:szCs w:val="24"/>
          <w:lang w:eastAsia="cs-CZ"/>
        </w:rPr>
        <w:t xml:space="preserve"> 2014</w:t>
      </w:r>
      <w:r w:rsidRPr="00DA5BF3">
        <w:rPr>
          <w:sz w:val="24"/>
          <w:szCs w:val="24"/>
        </w:rPr>
        <w:t xml:space="preserve">). Vybraní autoři navíc přímo zkoumají vazbu ropy na konflikt a válku, nebo souvislosti s terorismem (Van der </w:t>
      </w:r>
      <w:proofErr w:type="spellStart"/>
      <w:r w:rsidRPr="00DA5BF3">
        <w:rPr>
          <w:sz w:val="24"/>
          <w:szCs w:val="24"/>
        </w:rPr>
        <w:t>Ploeg</w:t>
      </w:r>
      <w:proofErr w:type="spellEnd"/>
      <w:r w:rsidRPr="00DA5BF3">
        <w:rPr>
          <w:sz w:val="24"/>
          <w:szCs w:val="24"/>
        </w:rPr>
        <w:t xml:space="preserve"> – </w:t>
      </w:r>
      <w:proofErr w:type="spellStart"/>
      <w:r w:rsidRPr="00DA5BF3">
        <w:rPr>
          <w:sz w:val="24"/>
          <w:szCs w:val="24"/>
        </w:rPr>
        <w:t>Rohner</w:t>
      </w:r>
      <w:proofErr w:type="spellEnd"/>
      <w:r w:rsidRPr="00DA5BF3">
        <w:rPr>
          <w:sz w:val="24"/>
          <w:szCs w:val="24"/>
        </w:rPr>
        <w:t xml:space="preserve"> 2012; </w:t>
      </w:r>
      <w:proofErr w:type="spellStart"/>
      <w:r w:rsidRPr="00DA5BF3">
        <w:rPr>
          <w:sz w:val="24"/>
          <w:szCs w:val="24"/>
        </w:rPr>
        <w:t>Lee</w:t>
      </w:r>
      <w:proofErr w:type="spellEnd"/>
      <w:r w:rsidRPr="00DA5BF3">
        <w:rPr>
          <w:sz w:val="24"/>
          <w:szCs w:val="24"/>
        </w:rPr>
        <w:t xml:space="preserve"> 2016). Zčásti jsou refle</w:t>
      </w:r>
      <w:r w:rsidRPr="00DA5BF3">
        <w:rPr>
          <w:rFonts w:cstheme="minorHAnsi"/>
          <w:sz w:val="24"/>
          <w:szCs w:val="24"/>
        </w:rPr>
        <w:t>ktovány už i aktuální turbulence, které spoluutvářejí novou geopolitickou energetickou „mapu“ a zřejmě nepovedou k větší stabilitě</w:t>
      </w:r>
      <w:r w:rsidR="006D27AF" w:rsidRPr="00DA5BF3">
        <w:rPr>
          <w:rFonts w:cstheme="minorHAnsi"/>
          <w:sz w:val="24"/>
          <w:szCs w:val="24"/>
        </w:rPr>
        <w:t xml:space="preserve"> (</w:t>
      </w:r>
      <w:proofErr w:type="spellStart"/>
      <w:r w:rsidR="006D27AF" w:rsidRPr="00DA5BF3">
        <w:rPr>
          <w:rFonts w:eastAsia="Times New Roman"/>
          <w:sz w:val="24"/>
          <w:szCs w:val="24"/>
          <w:lang w:eastAsia="cs-CZ"/>
        </w:rPr>
        <w:t>Yergin</w:t>
      </w:r>
      <w:proofErr w:type="spellEnd"/>
      <w:r w:rsidR="006D27AF" w:rsidRPr="00DA5BF3">
        <w:rPr>
          <w:rFonts w:eastAsia="Times New Roman"/>
          <w:sz w:val="24"/>
          <w:szCs w:val="24"/>
          <w:lang w:eastAsia="cs-CZ"/>
        </w:rPr>
        <w:t xml:space="preserve"> 2020)</w:t>
      </w:r>
      <w:r w:rsidRPr="00DA5BF3">
        <w:rPr>
          <w:rFonts w:cstheme="minorHAnsi"/>
          <w:sz w:val="24"/>
          <w:szCs w:val="24"/>
        </w:rPr>
        <w:t>.</w:t>
      </w:r>
      <w:r w:rsidR="006D27AF" w:rsidRPr="00DA5BF3">
        <w:rPr>
          <w:rFonts w:cstheme="minorHAnsi"/>
          <w:sz w:val="24"/>
          <w:szCs w:val="24"/>
        </w:rPr>
        <w:t xml:space="preserve"> </w:t>
      </w:r>
      <w:r w:rsidRPr="00DA5BF3">
        <w:rPr>
          <w:rFonts w:cstheme="minorHAnsi"/>
          <w:sz w:val="24"/>
          <w:szCs w:val="24"/>
        </w:rPr>
        <w:t xml:space="preserve">I přes relativně malý časový odstup je již jako příklad geopolitických tenzí reflektována </w:t>
      </w:r>
      <w:r w:rsidR="003A655B" w:rsidRPr="00DA5BF3">
        <w:rPr>
          <w:rFonts w:cstheme="minorHAnsi"/>
          <w:sz w:val="24"/>
          <w:szCs w:val="24"/>
        </w:rPr>
        <w:t>právě</w:t>
      </w:r>
      <w:r w:rsidRPr="00DA5BF3">
        <w:rPr>
          <w:rFonts w:cstheme="minorHAnsi"/>
          <w:sz w:val="24"/>
          <w:szCs w:val="24"/>
        </w:rPr>
        <w:t xml:space="preserve"> cenová válka mezi Ruskem a Sa</w:t>
      </w:r>
      <w:r w:rsidR="00A1449A" w:rsidRPr="00DA5BF3">
        <w:rPr>
          <w:rFonts w:cstheme="minorHAnsi"/>
          <w:sz w:val="24"/>
          <w:szCs w:val="24"/>
        </w:rPr>
        <w:t>ú</w:t>
      </w:r>
      <w:r w:rsidRPr="00DA5BF3">
        <w:rPr>
          <w:rFonts w:cstheme="minorHAnsi"/>
          <w:sz w:val="24"/>
          <w:szCs w:val="24"/>
        </w:rPr>
        <w:t>dskou Arábií.</w:t>
      </w:r>
    </w:p>
    <w:p w14:paraId="195270C1" w14:textId="77777777" w:rsidR="00637B24" w:rsidRPr="00AB385C" w:rsidRDefault="00637B24" w:rsidP="00DC5835">
      <w:pPr>
        <w:spacing w:after="100" w:afterAutospacing="1" w:line="240" w:lineRule="auto"/>
        <w:ind w:firstLine="708"/>
        <w:jc w:val="both"/>
        <w:rPr>
          <w:rStyle w:val="tlid-translation"/>
          <w:rFonts w:cstheme="minorHAnsi"/>
          <w:sz w:val="24"/>
          <w:szCs w:val="24"/>
        </w:rPr>
      </w:pPr>
      <w:r w:rsidRPr="00AB385C">
        <w:rPr>
          <w:rStyle w:val="tlid-translation"/>
          <w:rFonts w:cstheme="minorHAnsi"/>
          <w:sz w:val="24"/>
          <w:szCs w:val="24"/>
        </w:rPr>
        <w:t>V některých publikacích jsou rovněž analyzovány přímé dopady výkyvů cen ropy na politickou stabilitu států (</w:t>
      </w:r>
      <w:proofErr w:type="spellStart"/>
      <w:r w:rsidRPr="00AB385C">
        <w:rPr>
          <w:rFonts w:cstheme="minorHAnsi"/>
          <w:sz w:val="24"/>
          <w:szCs w:val="24"/>
        </w:rPr>
        <w:t>Matakos</w:t>
      </w:r>
      <w:proofErr w:type="spellEnd"/>
      <w:r w:rsidRPr="00AB385C">
        <w:rPr>
          <w:rFonts w:cstheme="minorHAnsi"/>
          <w:sz w:val="24"/>
          <w:szCs w:val="24"/>
        </w:rPr>
        <w:t xml:space="preserve"> – </w:t>
      </w:r>
      <w:proofErr w:type="spellStart"/>
      <w:r w:rsidRPr="00AB385C">
        <w:rPr>
          <w:rFonts w:cstheme="minorHAnsi"/>
          <w:sz w:val="24"/>
          <w:szCs w:val="24"/>
        </w:rPr>
        <w:t>Xefteris</w:t>
      </w:r>
      <w:proofErr w:type="spellEnd"/>
      <w:r w:rsidRPr="00AB385C">
        <w:rPr>
          <w:rFonts w:cstheme="minorHAnsi"/>
          <w:sz w:val="24"/>
          <w:szCs w:val="24"/>
        </w:rPr>
        <w:t xml:space="preserve"> 2020; Farid, </w:t>
      </w:r>
      <w:proofErr w:type="spellStart"/>
      <w:r w:rsidRPr="00AB385C">
        <w:rPr>
          <w:rFonts w:cstheme="minorHAnsi"/>
          <w:sz w:val="24"/>
          <w:szCs w:val="24"/>
        </w:rPr>
        <w:t>ed</w:t>
      </w:r>
      <w:proofErr w:type="spellEnd"/>
      <w:r w:rsidRPr="00AB385C">
        <w:rPr>
          <w:rFonts w:cstheme="minorHAnsi"/>
          <w:sz w:val="24"/>
          <w:szCs w:val="24"/>
        </w:rPr>
        <w:t xml:space="preserve">. 2020; </w:t>
      </w:r>
      <w:proofErr w:type="spellStart"/>
      <w:r w:rsidRPr="00AB385C">
        <w:rPr>
          <w:rFonts w:cstheme="minorHAnsi"/>
          <w:sz w:val="24"/>
          <w:szCs w:val="24"/>
        </w:rPr>
        <w:t>Colgan</w:t>
      </w:r>
      <w:proofErr w:type="spellEnd"/>
      <w:r w:rsidRPr="00AB385C">
        <w:rPr>
          <w:rFonts w:cstheme="minorHAnsi"/>
          <w:sz w:val="24"/>
          <w:szCs w:val="24"/>
        </w:rPr>
        <w:t xml:space="preserve"> 2010</w:t>
      </w:r>
      <w:r w:rsidRPr="00AB385C">
        <w:rPr>
          <w:rStyle w:val="tlid-translation"/>
          <w:rFonts w:cstheme="minorHAnsi"/>
          <w:sz w:val="24"/>
          <w:szCs w:val="24"/>
        </w:rPr>
        <w:t xml:space="preserve">). U producentů </w:t>
      </w:r>
      <w:r w:rsidRPr="00AB385C">
        <w:rPr>
          <w:rStyle w:val="tlid-translation"/>
          <w:rFonts w:cstheme="minorHAnsi"/>
          <w:sz w:val="24"/>
          <w:szCs w:val="24"/>
        </w:rPr>
        <w:lastRenderedPageBreak/>
        <w:t xml:space="preserve">ropy je přitom zdůrazňováno, že tato komodita je ve srovnání s ostatními komoditami jedním z hlavních motorů ekonomiky. Pokles cen má poté přímé negativní, dopady na politickou situaci. To je navíc umocněno skutečností, že v producentských zemích v Africe, Perském zálivu a postsovětském prostoru vládnou nedemokratické režimy. </w:t>
      </w:r>
    </w:p>
    <w:p w14:paraId="0ABC59EF" w14:textId="1F505145" w:rsidR="00BA6E42" w:rsidRDefault="00637B24" w:rsidP="00637B24">
      <w:pPr>
        <w:spacing w:after="100" w:afterAutospacing="1" w:line="240" w:lineRule="auto"/>
        <w:ind w:firstLine="360"/>
        <w:jc w:val="both"/>
        <w:rPr>
          <w:rFonts w:cstheme="minorHAnsi"/>
          <w:sz w:val="24"/>
          <w:szCs w:val="24"/>
        </w:rPr>
      </w:pPr>
      <w:r w:rsidRPr="00AB385C">
        <w:rPr>
          <w:rFonts w:cstheme="minorHAnsi"/>
          <w:sz w:val="24"/>
          <w:szCs w:val="24"/>
        </w:rPr>
        <w:t xml:space="preserve">Z hlediska aktuálních potřeb ČR jsou relevantní práce zkoumající </w:t>
      </w:r>
      <w:r w:rsidR="00A1449A">
        <w:rPr>
          <w:rFonts w:cstheme="minorHAnsi"/>
          <w:sz w:val="24"/>
          <w:szCs w:val="24"/>
        </w:rPr>
        <w:t>dopady</w:t>
      </w:r>
      <w:r w:rsidRPr="00AB385C">
        <w:rPr>
          <w:rFonts w:cstheme="minorHAnsi"/>
          <w:sz w:val="24"/>
          <w:szCs w:val="24"/>
        </w:rPr>
        <w:t xml:space="preserve"> změn na evropském ropném a plynovém trhu na </w:t>
      </w:r>
      <w:r w:rsidR="0094575D">
        <w:rPr>
          <w:rFonts w:cstheme="minorHAnsi"/>
          <w:sz w:val="24"/>
          <w:szCs w:val="24"/>
        </w:rPr>
        <w:t>ekonomik</w:t>
      </w:r>
      <w:r w:rsidR="00A1449A">
        <w:rPr>
          <w:rFonts w:cstheme="minorHAnsi"/>
          <w:sz w:val="24"/>
          <w:szCs w:val="24"/>
        </w:rPr>
        <w:t>y</w:t>
      </w:r>
      <w:r w:rsidR="0094575D">
        <w:rPr>
          <w:rFonts w:cstheme="minorHAnsi"/>
          <w:sz w:val="24"/>
          <w:szCs w:val="24"/>
        </w:rPr>
        <w:t xml:space="preserve"> </w:t>
      </w:r>
      <w:r w:rsidRPr="00AB385C">
        <w:rPr>
          <w:rFonts w:cstheme="minorHAnsi"/>
          <w:sz w:val="24"/>
          <w:szCs w:val="24"/>
        </w:rPr>
        <w:t>producentských zemí, s důrazem na Rusko a Ázerbájdžán. Tyto publikace jednak ukazují, jakým způsobem se vlády přizpůsobují nebo mohou přizpůsobit snižování příjmů z prodeje nerostných surovin a jaké jsou dopady na jejich finance (</w:t>
      </w:r>
      <w:proofErr w:type="spellStart"/>
      <w:r w:rsidR="00710473">
        <w:rPr>
          <w:rFonts w:cstheme="minorHAnsi"/>
          <w:sz w:val="24"/>
          <w:szCs w:val="24"/>
        </w:rPr>
        <w:t>Connolly</w:t>
      </w:r>
      <w:proofErr w:type="spellEnd"/>
      <w:r w:rsidR="00710473">
        <w:rPr>
          <w:rFonts w:cstheme="minorHAnsi"/>
          <w:sz w:val="24"/>
          <w:szCs w:val="24"/>
        </w:rPr>
        <w:t xml:space="preserve"> 2018; </w:t>
      </w:r>
      <w:proofErr w:type="spellStart"/>
      <w:r w:rsidRPr="00AB385C">
        <w:rPr>
          <w:rFonts w:eastAsia="Times New Roman" w:cstheme="minorHAnsi"/>
          <w:sz w:val="24"/>
          <w:szCs w:val="24"/>
          <w:lang w:eastAsia="cs-CZ"/>
        </w:rPr>
        <w:t>Connolly</w:t>
      </w:r>
      <w:proofErr w:type="spellEnd"/>
      <w:r w:rsidR="00710473">
        <w:rPr>
          <w:rFonts w:eastAsia="Times New Roman" w:cstheme="minorHAnsi"/>
          <w:sz w:val="24"/>
          <w:szCs w:val="24"/>
          <w:lang w:eastAsia="cs-CZ"/>
        </w:rPr>
        <w:t xml:space="preserve"> – </w:t>
      </w:r>
      <w:proofErr w:type="spellStart"/>
      <w:r w:rsidR="00710473">
        <w:rPr>
          <w:rFonts w:eastAsia="Times New Roman" w:cstheme="minorHAnsi"/>
          <w:sz w:val="24"/>
          <w:szCs w:val="24"/>
          <w:lang w:eastAsia="cs-CZ"/>
        </w:rPr>
        <w:t>Hanson</w:t>
      </w:r>
      <w:proofErr w:type="spellEnd"/>
      <w:r w:rsidR="00710473">
        <w:rPr>
          <w:rFonts w:eastAsia="Times New Roman" w:cstheme="minorHAnsi"/>
          <w:sz w:val="24"/>
          <w:szCs w:val="24"/>
          <w:lang w:eastAsia="cs-CZ"/>
        </w:rPr>
        <w:t xml:space="preserve"> – </w:t>
      </w:r>
      <w:proofErr w:type="spellStart"/>
      <w:r w:rsidR="00710473">
        <w:rPr>
          <w:rFonts w:eastAsia="Times New Roman" w:cstheme="minorHAnsi"/>
          <w:sz w:val="24"/>
          <w:szCs w:val="24"/>
          <w:lang w:eastAsia="cs-CZ"/>
        </w:rPr>
        <w:t>Bradshaw</w:t>
      </w:r>
      <w:proofErr w:type="spellEnd"/>
      <w:r w:rsidRPr="00AB385C">
        <w:rPr>
          <w:rFonts w:eastAsia="Times New Roman" w:cstheme="minorHAnsi"/>
          <w:sz w:val="24"/>
          <w:szCs w:val="24"/>
          <w:lang w:eastAsia="cs-CZ"/>
        </w:rPr>
        <w:t xml:space="preserve"> 20</w:t>
      </w:r>
      <w:r w:rsidR="00710473">
        <w:rPr>
          <w:rFonts w:eastAsia="Times New Roman" w:cstheme="minorHAnsi"/>
          <w:sz w:val="24"/>
          <w:szCs w:val="24"/>
          <w:lang w:eastAsia="cs-CZ"/>
        </w:rPr>
        <w:t>20</w:t>
      </w:r>
      <w:r w:rsidRPr="00AB385C">
        <w:rPr>
          <w:rFonts w:eastAsia="Times New Roman" w:cstheme="minorHAnsi"/>
          <w:sz w:val="24"/>
          <w:szCs w:val="24"/>
          <w:lang w:eastAsia="cs-CZ"/>
        </w:rPr>
        <w:t xml:space="preserve">; </w:t>
      </w:r>
      <w:proofErr w:type="spellStart"/>
      <w:r w:rsidRPr="00AB385C">
        <w:rPr>
          <w:rFonts w:eastAsia="Times New Roman" w:cstheme="minorHAnsi"/>
          <w:sz w:val="24"/>
          <w:szCs w:val="24"/>
          <w:lang w:eastAsia="cs-CZ"/>
        </w:rPr>
        <w:t>Vatansever</w:t>
      </w:r>
      <w:proofErr w:type="spellEnd"/>
      <w:r w:rsidRPr="00AB385C">
        <w:rPr>
          <w:rFonts w:eastAsia="Times New Roman" w:cstheme="minorHAnsi"/>
          <w:sz w:val="24"/>
          <w:szCs w:val="24"/>
          <w:lang w:eastAsia="cs-CZ"/>
        </w:rPr>
        <w:t xml:space="preserve"> 2020; </w:t>
      </w:r>
      <w:proofErr w:type="spellStart"/>
      <w:r w:rsidRPr="00AB385C">
        <w:rPr>
          <w:rFonts w:eastAsia="Times New Roman" w:cstheme="minorHAnsi"/>
          <w:sz w:val="24"/>
          <w:szCs w:val="24"/>
          <w:lang w:eastAsia="cs-CZ"/>
        </w:rPr>
        <w:t>Legieć</w:t>
      </w:r>
      <w:proofErr w:type="spellEnd"/>
      <w:r w:rsidRPr="00AB385C">
        <w:rPr>
          <w:rFonts w:eastAsia="Times New Roman" w:cstheme="minorHAnsi"/>
          <w:sz w:val="24"/>
          <w:szCs w:val="24"/>
          <w:lang w:eastAsia="cs-CZ"/>
        </w:rPr>
        <w:t xml:space="preserve"> 2020)</w:t>
      </w:r>
      <w:r w:rsidRPr="00AB385C">
        <w:rPr>
          <w:rFonts w:cstheme="minorHAnsi"/>
          <w:sz w:val="24"/>
          <w:szCs w:val="24"/>
        </w:rPr>
        <w:t>. Dále se zaměřují na energetickou transformaci a její možné dopady</w:t>
      </w:r>
      <w:r w:rsidR="00FD5201">
        <w:rPr>
          <w:rFonts w:cstheme="minorHAnsi"/>
          <w:sz w:val="24"/>
          <w:szCs w:val="24"/>
        </w:rPr>
        <w:t>, a to</w:t>
      </w:r>
      <w:r w:rsidRPr="00AB385C">
        <w:rPr>
          <w:rFonts w:cstheme="minorHAnsi"/>
          <w:sz w:val="24"/>
          <w:szCs w:val="24"/>
        </w:rPr>
        <w:t xml:space="preserve"> jak na energetický sektor, tak i na exportní strategie tradičních dodavatelů (</w:t>
      </w:r>
      <w:proofErr w:type="spellStart"/>
      <w:r w:rsidRPr="00AB385C">
        <w:rPr>
          <w:rFonts w:eastAsia="Times New Roman" w:cstheme="minorHAnsi"/>
          <w:sz w:val="24"/>
          <w:szCs w:val="24"/>
          <w:lang w:eastAsia="cs-CZ"/>
        </w:rPr>
        <w:t>Skalamera</w:t>
      </w:r>
      <w:proofErr w:type="spellEnd"/>
      <w:r w:rsidRPr="00AB385C">
        <w:rPr>
          <w:rFonts w:eastAsia="Times New Roman" w:cstheme="minorHAnsi"/>
          <w:sz w:val="24"/>
          <w:szCs w:val="24"/>
          <w:lang w:eastAsia="cs-CZ"/>
        </w:rPr>
        <w:t>, 2020)</w:t>
      </w:r>
      <w:r w:rsidRPr="00AB385C">
        <w:rPr>
          <w:rFonts w:cstheme="minorHAnsi"/>
          <w:sz w:val="24"/>
          <w:szCs w:val="24"/>
        </w:rPr>
        <w:t xml:space="preserve">. Autoři zde identifikují možné hrozby, ale i příležitosti, které se těmto producentským zemím </w:t>
      </w:r>
      <w:r w:rsidRPr="00A1449A">
        <w:rPr>
          <w:rFonts w:cstheme="minorHAnsi"/>
          <w:sz w:val="24"/>
          <w:szCs w:val="24"/>
        </w:rPr>
        <w:t>nabízejí (</w:t>
      </w:r>
      <w:proofErr w:type="spellStart"/>
      <w:r w:rsidRPr="00A1449A">
        <w:rPr>
          <w:rFonts w:cstheme="minorHAnsi"/>
          <w:sz w:val="24"/>
          <w:szCs w:val="24"/>
        </w:rPr>
        <w:t>Henderson</w:t>
      </w:r>
      <w:proofErr w:type="spellEnd"/>
      <w:r w:rsidRPr="00A1449A">
        <w:rPr>
          <w:rFonts w:cstheme="minorHAnsi"/>
          <w:sz w:val="24"/>
          <w:szCs w:val="24"/>
        </w:rPr>
        <w:t xml:space="preserve"> – </w:t>
      </w:r>
      <w:proofErr w:type="spellStart"/>
      <w:r w:rsidRPr="00A1449A">
        <w:rPr>
          <w:rFonts w:cstheme="minorHAnsi"/>
          <w:sz w:val="24"/>
          <w:szCs w:val="24"/>
        </w:rPr>
        <w:t>Mitrova</w:t>
      </w:r>
      <w:proofErr w:type="spellEnd"/>
      <w:r w:rsidRPr="00A1449A">
        <w:rPr>
          <w:rFonts w:cstheme="minorHAnsi"/>
          <w:sz w:val="24"/>
          <w:szCs w:val="24"/>
        </w:rPr>
        <w:t xml:space="preserve"> 2020; </w:t>
      </w:r>
      <w:proofErr w:type="spellStart"/>
      <w:r w:rsidRPr="00A1449A">
        <w:rPr>
          <w:rFonts w:cstheme="minorHAnsi"/>
          <w:sz w:val="24"/>
          <w:szCs w:val="24"/>
        </w:rPr>
        <w:t>Makarov</w:t>
      </w:r>
      <w:proofErr w:type="spellEnd"/>
      <w:r w:rsidRPr="00A1449A">
        <w:rPr>
          <w:rFonts w:cstheme="minorHAnsi"/>
          <w:sz w:val="24"/>
          <w:szCs w:val="24"/>
        </w:rPr>
        <w:t xml:space="preserve"> 2020; </w:t>
      </w:r>
      <w:proofErr w:type="spellStart"/>
      <w:r w:rsidR="00F605F4" w:rsidRPr="00A1449A">
        <w:rPr>
          <w:rFonts w:eastAsia="Times New Roman"/>
          <w:sz w:val="24"/>
          <w:szCs w:val="24"/>
          <w:lang w:eastAsia="cs-CZ"/>
        </w:rPr>
        <w:t>Makarov</w:t>
      </w:r>
      <w:proofErr w:type="spellEnd"/>
      <w:r w:rsidR="00F605F4" w:rsidRPr="00A1449A">
        <w:rPr>
          <w:rFonts w:eastAsia="Times New Roman"/>
          <w:sz w:val="24"/>
          <w:szCs w:val="24"/>
          <w:lang w:eastAsia="cs-CZ"/>
        </w:rPr>
        <w:t xml:space="preserve"> – </w:t>
      </w:r>
      <w:proofErr w:type="spellStart"/>
      <w:r w:rsidR="00F605F4" w:rsidRPr="00A1449A">
        <w:rPr>
          <w:rFonts w:eastAsia="Times New Roman"/>
          <w:sz w:val="24"/>
          <w:szCs w:val="24"/>
          <w:lang w:eastAsia="cs-CZ"/>
        </w:rPr>
        <w:t>Chen</w:t>
      </w:r>
      <w:proofErr w:type="spellEnd"/>
      <w:r w:rsidR="00F605F4" w:rsidRPr="00A1449A">
        <w:rPr>
          <w:rFonts w:eastAsia="Times New Roman"/>
          <w:sz w:val="24"/>
          <w:szCs w:val="24"/>
          <w:lang w:eastAsia="cs-CZ"/>
        </w:rPr>
        <w:t xml:space="preserve"> – </w:t>
      </w:r>
      <w:proofErr w:type="spellStart"/>
      <w:r w:rsidR="00F605F4" w:rsidRPr="00A1449A">
        <w:rPr>
          <w:rFonts w:eastAsia="Times New Roman"/>
          <w:sz w:val="24"/>
          <w:szCs w:val="24"/>
          <w:lang w:eastAsia="cs-CZ"/>
        </w:rPr>
        <w:t>Paltsev</w:t>
      </w:r>
      <w:proofErr w:type="spellEnd"/>
      <w:r w:rsidR="00F605F4" w:rsidRPr="00A1449A">
        <w:rPr>
          <w:rFonts w:eastAsia="Times New Roman"/>
          <w:sz w:val="24"/>
          <w:szCs w:val="24"/>
          <w:lang w:eastAsia="cs-CZ"/>
        </w:rPr>
        <w:t xml:space="preserve"> 2020; </w:t>
      </w:r>
      <w:proofErr w:type="spellStart"/>
      <w:r w:rsidRPr="00A1449A">
        <w:rPr>
          <w:rFonts w:cstheme="minorHAnsi"/>
          <w:sz w:val="24"/>
          <w:szCs w:val="24"/>
        </w:rPr>
        <w:t>Vidadili</w:t>
      </w:r>
      <w:proofErr w:type="spellEnd"/>
      <w:r w:rsidRPr="00A1449A">
        <w:rPr>
          <w:rFonts w:cstheme="minorHAnsi"/>
          <w:sz w:val="24"/>
          <w:szCs w:val="24"/>
        </w:rPr>
        <w:t xml:space="preserve"> et al. 2017). Především se snaží najít oblasti, kde si mohou udržet konkurenční výhodu</w:t>
      </w:r>
      <w:r w:rsidR="00643AA8">
        <w:rPr>
          <w:rFonts w:cstheme="minorHAnsi"/>
          <w:sz w:val="24"/>
          <w:szCs w:val="24"/>
        </w:rPr>
        <w:t>. Zároveň sledují</w:t>
      </w:r>
      <w:r w:rsidR="00FD5201">
        <w:rPr>
          <w:rFonts w:cstheme="minorHAnsi"/>
          <w:sz w:val="24"/>
          <w:szCs w:val="24"/>
        </w:rPr>
        <w:t xml:space="preserve">, </w:t>
      </w:r>
      <w:r w:rsidRPr="00A1449A">
        <w:rPr>
          <w:rFonts w:cstheme="minorHAnsi"/>
          <w:sz w:val="24"/>
          <w:szCs w:val="24"/>
        </w:rPr>
        <w:t>jaké nové zdroje</w:t>
      </w:r>
      <w:r w:rsidRPr="00AB385C">
        <w:rPr>
          <w:rFonts w:cstheme="minorHAnsi"/>
          <w:sz w:val="24"/>
          <w:szCs w:val="24"/>
        </w:rPr>
        <w:t xml:space="preserve"> mohou být žádané na jejich tradičních trzích (u tradičních odběratelů). S tím souvisí identifikace změn v energetickém odvětví, které musí země exportující energetické zdroje podniknout. Diskutovány jsou i možné dopady na snižování poptávky po ropě a případně i plynu na politickou stabilitu těchto zemí (a to rovněž s důrazem na vnější kontext, zejména ve vztahu k Evropě – srov.  </w:t>
      </w:r>
      <w:proofErr w:type="spellStart"/>
      <w:r w:rsidRPr="00AB385C">
        <w:rPr>
          <w:rFonts w:eastAsia="Times New Roman" w:cstheme="minorHAnsi"/>
          <w:sz w:val="24"/>
          <w:szCs w:val="24"/>
          <w:lang w:eastAsia="cs-CZ"/>
        </w:rPr>
        <w:t>Goldthau</w:t>
      </w:r>
      <w:proofErr w:type="spellEnd"/>
      <w:r w:rsidRPr="00AB385C">
        <w:rPr>
          <w:rFonts w:eastAsia="Times New Roman" w:cstheme="minorHAnsi"/>
          <w:sz w:val="24"/>
          <w:szCs w:val="24"/>
          <w:lang w:eastAsia="cs-CZ"/>
        </w:rPr>
        <w:t xml:space="preserve"> – </w:t>
      </w:r>
      <w:proofErr w:type="spellStart"/>
      <w:r w:rsidRPr="00AB385C">
        <w:rPr>
          <w:rFonts w:eastAsia="Times New Roman" w:cstheme="minorHAnsi"/>
          <w:sz w:val="24"/>
          <w:szCs w:val="24"/>
          <w:lang w:eastAsia="cs-CZ"/>
        </w:rPr>
        <w:t>Sitter</w:t>
      </w:r>
      <w:proofErr w:type="spellEnd"/>
      <w:r w:rsidRPr="00AB385C">
        <w:rPr>
          <w:rFonts w:eastAsia="Times New Roman" w:cstheme="minorHAnsi"/>
          <w:sz w:val="24"/>
          <w:szCs w:val="24"/>
          <w:lang w:eastAsia="cs-CZ"/>
        </w:rPr>
        <w:t xml:space="preserve"> 2020; </w:t>
      </w:r>
      <w:proofErr w:type="spellStart"/>
      <w:r w:rsidRPr="00AB385C">
        <w:rPr>
          <w:rFonts w:eastAsia="Times New Roman" w:cstheme="minorHAnsi"/>
          <w:sz w:val="24"/>
          <w:szCs w:val="24"/>
          <w:lang w:eastAsia="cs-CZ"/>
        </w:rPr>
        <w:t>Hasanov</w:t>
      </w:r>
      <w:proofErr w:type="spellEnd"/>
      <w:r w:rsidR="00F605F4">
        <w:rPr>
          <w:rFonts w:eastAsia="Times New Roman" w:cstheme="minorHAnsi"/>
          <w:sz w:val="24"/>
          <w:szCs w:val="24"/>
          <w:lang w:eastAsia="cs-CZ"/>
        </w:rPr>
        <w:t xml:space="preserve"> et al.</w:t>
      </w:r>
      <w:r w:rsidRPr="00AB385C">
        <w:rPr>
          <w:rFonts w:eastAsia="Times New Roman" w:cstheme="minorHAnsi"/>
          <w:sz w:val="24"/>
          <w:szCs w:val="24"/>
          <w:lang w:eastAsia="cs-CZ"/>
        </w:rPr>
        <w:t xml:space="preserve"> 2020; </w:t>
      </w:r>
      <w:proofErr w:type="spellStart"/>
      <w:r w:rsidRPr="00AB385C">
        <w:rPr>
          <w:rFonts w:eastAsia="Times New Roman" w:cstheme="minorHAnsi"/>
          <w:sz w:val="24"/>
          <w:szCs w:val="24"/>
          <w:lang w:eastAsia="cs-CZ"/>
        </w:rPr>
        <w:t>Aydin</w:t>
      </w:r>
      <w:proofErr w:type="spellEnd"/>
      <w:r w:rsidRPr="00AB385C">
        <w:rPr>
          <w:rFonts w:eastAsia="Times New Roman" w:cstheme="minorHAnsi"/>
          <w:sz w:val="24"/>
          <w:szCs w:val="24"/>
          <w:lang w:eastAsia="cs-CZ"/>
        </w:rPr>
        <w:t xml:space="preserve"> – </w:t>
      </w:r>
      <w:proofErr w:type="spellStart"/>
      <w:r w:rsidRPr="00AB385C">
        <w:rPr>
          <w:rFonts w:eastAsia="Times New Roman" w:cstheme="minorHAnsi"/>
          <w:sz w:val="24"/>
          <w:szCs w:val="24"/>
          <w:lang w:eastAsia="cs-CZ"/>
        </w:rPr>
        <w:t>Azhgaliyeva</w:t>
      </w:r>
      <w:proofErr w:type="spellEnd"/>
      <w:r w:rsidRPr="00AB385C">
        <w:rPr>
          <w:rFonts w:eastAsia="Times New Roman" w:cstheme="minorHAnsi"/>
          <w:sz w:val="24"/>
          <w:szCs w:val="24"/>
          <w:lang w:eastAsia="cs-CZ"/>
        </w:rPr>
        <w:t xml:space="preserve"> 2019</w:t>
      </w:r>
      <w:r w:rsidRPr="00AB385C">
        <w:rPr>
          <w:rFonts w:cstheme="minorHAnsi"/>
          <w:sz w:val="24"/>
          <w:szCs w:val="24"/>
        </w:rPr>
        <w:t>). Důraz na analýzu stability zemí jako Rusko nebo Ázerbájdžán je dán jednak závislostí ekonomik na vývozu energetických surovin, jednak specifickou povahou jejich režimů, jejichž udržitelnost se může odvíjet od ekonomické stability.</w:t>
      </w:r>
    </w:p>
    <w:p w14:paraId="78BD7E98" w14:textId="77777777" w:rsidR="00BA6E42" w:rsidRDefault="00BA6E42">
      <w:pPr>
        <w:rPr>
          <w:rFonts w:cstheme="minorHAnsi"/>
          <w:sz w:val="24"/>
          <w:szCs w:val="24"/>
        </w:rPr>
      </w:pPr>
      <w:r>
        <w:rPr>
          <w:rFonts w:cstheme="minorHAnsi"/>
          <w:sz w:val="24"/>
          <w:szCs w:val="24"/>
        </w:rPr>
        <w:br w:type="page"/>
      </w:r>
    </w:p>
    <w:p w14:paraId="7482BFB7" w14:textId="77777777" w:rsidR="00637B24" w:rsidRPr="00AB385C" w:rsidRDefault="00637B24" w:rsidP="00637B24">
      <w:pPr>
        <w:spacing w:after="100" w:afterAutospacing="1" w:line="240" w:lineRule="auto"/>
        <w:ind w:firstLine="360"/>
        <w:jc w:val="both"/>
        <w:rPr>
          <w:rFonts w:cstheme="minorHAnsi"/>
          <w:sz w:val="24"/>
          <w:szCs w:val="24"/>
        </w:rPr>
      </w:pPr>
    </w:p>
    <w:p w14:paraId="76D2D3AD" w14:textId="5973659C" w:rsidR="00637B24" w:rsidRPr="00DA5BF3" w:rsidRDefault="0011440C" w:rsidP="00DA5BF3">
      <w:pPr>
        <w:pStyle w:val="Odstavecseseznamem"/>
        <w:numPr>
          <w:ilvl w:val="0"/>
          <w:numId w:val="10"/>
        </w:numPr>
        <w:autoSpaceDE w:val="0"/>
        <w:autoSpaceDN w:val="0"/>
        <w:adjustRightInd w:val="0"/>
        <w:spacing w:after="100" w:afterAutospacing="1" w:line="240" w:lineRule="auto"/>
        <w:ind w:left="0" w:firstLine="0"/>
        <w:jc w:val="both"/>
        <w:rPr>
          <w:rStyle w:val="Nadpis2Char"/>
        </w:rPr>
      </w:pPr>
      <w:bookmarkStart w:id="19" w:name="_Toc61259188"/>
      <w:bookmarkStart w:id="20" w:name="_Toc61261166"/>
      <w:bookmarkStart w:id="21" w:name="_Toc61261284"/>
      <w:bookmarkStart w:id="22" w:name="_Toc61262034"/>
      <w:bookmarkStart w:id="23" w:name="_Toc61262158"/>
      <w:r w:rsidRPr="00DA5BF3">
        <w:rPr>
          <w:rStyle w:val="Nadpis2Char"/>
        </w:rPr>
        <w:t>Metodologie</w:t>
      </w:r>
      <w:bookmarkEnd w:id="19"/>
      <w:bookmarkEnd w:id="20"/>
      <w:bookmarkEnd w:id="21"/>
      <w:bookmarkEnd w:id="22"/>
      <w:bookmarkEnd w:id="23"/>
    </w:p>
    <w:p w14:paraId="110F9A59" w14:textId="32345A80" w:rsidR="000503CD" w:rsidRDefault="003D002B" w:rsidP="00455334">
      <w:pPr>
        <w:spacing w:after="100" w:afterAutospacing="1" w:line="240" w:lineRule="auto"/>
        <w:jc w:val="both"/>
        <w:rPr>
          <w:rFonts w:cstheme="minorHAnsi"/>
          <w:sz w:val="24"/>
          <w:szCs w:val="24"/>
        </w:rPr>
      </w:pPr>
      <w:r>
        <w:rPr>
          <w:rFonts w:cstheme="minorHAnsi"/>
          <w:sz w:val="24"/>
          <w:szCs w:val="24"/>
        </w:rPr>
        <w:t>I</w:t>
      </w:r>
      <w:r w:rsidR="00637B24" w:rsidRPr="00E96DEE">
        <w:rPr>
          <w:rFonts w:cstheme="minorHAnsi"/>
          <w:sz w:val="24"/>
          <w:szCs w:val="24"/>
        </w:rPr>
        <w:t xml:space="preserve">dentifikace pravděpodobných politických, ekonomických, případně sociálních dopadů </w:t>
      </w:r>
      <w:r w:rsidR="00D40D83" w:rsidRPr="00E96DEE">
        <w:rPr>
          <w:rFonts w:cstheme="minorHAnsi"/>
          <w:sz w:val="24"/>
          <w:szCs w:val="24"/>
        </w:rPr>
        <w:t xml:space="preserve">v souvislosti s vývojem </w:t>
      </w:r>
      <w:r w:rsidR="00637B24" w:rsidRPr="00E96DEE">
        <w:rPr>
          <w:rFonts w:cstheme="minorHAnsi"/>
          <w:sz w:val="24"/>
          <w:szCs w:val="24"/>
        </w:rPr>
        <w:t xml:space="preserve">trhu s ropou (resp. </w:t>
      </w:r>
      <w:r w:rsidR="000C139F">
        <w:rPr>
          <w:rFonts w:cstheme="minorHAnsi"/>
          <w:sz w:val="24"/>
          <w:szCs w:val="24"/>
        </w:rPr>
        <w:t xml:space="preserve">s </w:t>
      </w:r>
      <w:r w:rsidR="000C139F" w:rsidRPr="00E96DEE">
        <w:rPr>
          <w:rFonts w:cstheme="minorHAnsi"/>
          <w:sz w:val="24"/>
          <w:szCs w:val="24"/>
        </w:rPr>
        <w:t>pokles</w:t>
      </w:r>
      <w:r w:rsidR="000C139F">
        <w:rPr>
          <w:rFonts w:cstheme="minorHAnsi"/>
          <w:sz w:val="24"/>
          <w:szCs w:val="24"/>
        </w:rPr>
        <w:t>em</w:t>
      </w:r>
      <w:r w:rsidR="000C139F" w:rsidRPr="00E96DEE">
        <w:rPr>
          <w:rFonts w:cstheme="minorHAnsi"/>
          <w:sz w:val="24"/>
          <w:szCs w:val="24"/>
        </w:rPr>
        <w:t xml:space="preserve"> </w:t>
      </w:r>
      <w:r w:rsidR="00637B24" w:rsidRPr="00E96DEE">
        <w:rPr>
          <w:rFonts w:cstheme="minorHAnsi"/>
          <w:sz w:val="24"/>
          <w:szCs w:val="24"/>
        </w:rPr>
        <w:t xml:space="preserve">ceny ropy) </w:t>
      </w:r>
      <w:r w:rsidR="00D40D83" w:rsidRPr="00E96DEE">
        <w:rPr>
          <w:rFonts w:cstheme="minorHAnsi"/>
          <w:sz w:val="24"/>
          <w:szCs w:val="24"/>
        </w:rPr>
        <w:t xml:space="preserve">vychází </w:t>
      </w:r>
      <w:r w:rsidR="009D003F">
        <w:rPr>
          <w:rFonts w:cstheme="minorHAnsi"/>
          <w:sz w:val="24"/>
          <w:szCs w:val="24"/>
        </w:rPr>
        <w:t xml:space="preserve">primárně </w:t>
      </w:r>
      <w:r w:rsidR="00D40D83" w:rsidRPr="00E96DEE">
        <w:rPr>
          <w:rFonts w:cstheme="minorHAnsi"/>
          <w:sz w:val="24"/>
          <w:szCs w:val="24"/>
        </w:rPr>
        <w:t>z analýzy vlivu poklesu cen ropy na ekonomiky producentských států.</w:t>
      </w:r>
      <w:r w:rsidR="00637B24" w:rsidRPr="00E96DEE">
        <w:rPr>
          <w:rFonts w:cstheme="minorHAnsi"/>
          <w:sz w:val="24"/>
          <w:szCs w:val="24"/>
        </w:rPr>
        <w:t xml:space="preserve"> S</w:t>
      </w:r>
      <w:r w:rsidR="00136A1A" w:rsidRPr="00E96DEE">
        <w:rPr>
          <w:rFonts w:cstheme="minorHAnsi"/>
          <w:sz w:val="24"/>
          <w:szCs w:val="24"/>
        </w:rPr>
        <w:t xml:space="preserve"> </w:t>
      </w:r>
      <w:r w:rsidR="00637B24" w:rsidRPr="00E96DEE">
        <w:rPr>
          <w:rFonts w:cstheme="minorHAnsi"/>
          <w:sz w:val="24"/>
          <w:szCs w:val="24"/>
        </w:rPr>
        <w:t xml:space="preserve">ohledem na specifické potřeby české zahraniční politiky je důraz kladen zejména klíčové </w:t>
      </w:r>
      <w:r w:rsidR="00136A1A" w:rsidRPr="00E96DEE">
        <w:rPr>
          <w:rFonts w:cstheme="minorHAnsi"/>
          <w:sz w:val="24"/>
          <w:szCs w:val="24"/>
        </w:rPr>
        <w:t xml:space="preserve">producentské </w:t>
      </w:r>
      <w:r w:rsidR="00637B24" w:rsidRPr="00E96DEE">
        <w:rPr>
          <w:rFonts w:cstheme="minorHAnsi"/>
          <w:sz w:val="24"/>
          <w:szCs w:val="24"/>
        </w:rPr>
        <w:t>regiony Blízkého východu a severní Afriky (MENA), Ruské federace a Střední Asie. Z časového hlediska bud</w:t>
      </w:r>
      <w:r w:rsidR="00E96DEE" w:rsidRPr="00E96DEE">
        <w:rPr>
          <w:rFonts w:cstheme="minorHAnsi"/>
          <w:sz w:val="24"/>
          <w:szCs w:val="24"/>
        </w:rPr>
        <w:t>o</w:t>
      </w:r>
      <w:r w:rsidR="00637B24" w:rsidRPr="00E96DEE">
        <w:rPr>
          <w:rFonts w:cstheme="minorHAnsi"/>
          <w:sz w:val="24"/>
          <w:szCs w:val="24"/>
        </w:rPr>
        <w:t>u</w:t>
      </w:r>
      <w:r w:rsidR="00E96DEE" w:rsidRPr="00E96DEE">
        <w:rPr>
          <w:rFonts w:cstheme="minorHAnsi"/>
          <w:sz w:val="24"/>
          <w:szCs w:val="24"/>
        </w:rPr>
        <w:t xml:space="preserve"> </w:t>
      </w:r>
      <w:r w:rsidR="00637B24" w:rsidRPr="00E96DEE">
        <w:rPr>
          <w:rFonts w:cstheme="minorHAnsi"/>
          <w:sz w:val="24"/>
          <w:szCs w:val="24"/>
        </w:rPr>
        <w:t>sledovány výlučně důsledky poklesu c</w:t>
      </w:r>
      <w:r w:rsidR="00637B24" w:rsidRPr="00FE33DC">
        <w:rPr>
          <w:rFonts w:cstheme="minorHAnsi"/>
          <w:sz w:val="24"/>
          <w:szCs w:val="24"/>
        </w:rPr>
        <w:t>eny ropy v roce 2020, resp. cenové války mezi Ruskem a Saúdskou Arábií na straně nabídky a</w:t>
      </w:r>
      <w:r w:rsidR="00CD693E">
        <w:rPr>
          <w:rFonts w:cstheme="minorHAnsi"/>
          <w:sz w:val="24"/>
          <w:szCs w:val="24"/>
        </w:rPr>
        <w:t>,</w:t>
      </w:r>
      <w:r w:rsidR="00637B24" w:rsidRPr="00FE33DC">
        <w:rPr>
          <w:rFonts w:cstheme="minorHAnsi"/>
          <w:sz w:val="24"/>
          <w:szCs w:val="24"/>
        </w:rPr>
        <w:t xml:space="preserve"> mimo jiné, pandemií COVID-19 na straně poptávky.</w:t>
      </w:r>
      <w:r w:rsidR="00E96DEE" w:rsidRPr="00FE33DC">
        <w:rPr>
          <w:rFonts w:cstheme="minorHAnsi"/>
          <w:sz w:val="24"/>
          <w:szCs w:val="24"/>
        </w:rPr>
        <w:t xml:space="preserve"> </w:t>
      </w:r>
    </w:p>
    <w:p w14:paraId="1EA0FD9C" w14:textId="686046ED" w:rsidR="00AB7189" w:rsidRDefault="003D002B" w:rsidP="00455334">
      <w:pPr>
        <w:spacing w:after="100" w:afterAutospacing="1" w:line="240" w:lineRule="auto"/>
        <w:ind w:firstLine="360"/>
        <w:jc w:val="both"/>
        <w:rPr>
          <w:rFonts w:cstheme="minorHAnsi"/>
          <w:sz w:val="24"/>
          <w:szCs w:val="24"/>
        </w:rPr>
      </w:pPr>
      <w:r>
        <w:rPr>
          <w:rFonts w:cstheme="minorHAnsi"/>
          <w:sz w:val="24"/>
          <w:szCs w:val="24"/>
        </w:rPr>
        <w:t>Analýza</w:t>
      </w:r>
      <w:r w:rsidR="00E96DEE" w:rsidRPr="00FE33DC">
        <w:rPr>
          <w:rFonts w:cstheme="minorHAnsi"/>
          <w:sz w:val="24"/>
          <w:szCs w:val="24"/>
        </w:rPr>
        <w:t xml:space="preserve"> bude prov</w:t>
      </w:r>
      <w:r>
        <w:rPr>
          <w:rFonts w:cstheme="minorHAnsi"/>
          <w:sz w:val="24"/>
          <w:szCs w:val="24"/>
        </w:rPr>
        <w:t>e</w:t>
      </w:r>
      <w:r w:rsidR="00E96DEE" w:rsidRPr="00FE33DC">
        <w:rPr>
          <w:rFonts w:cstheme="minorHAnsi"/>
          <w:sz w:val="24"/>
          <w:szCs w:val="24"/>
        </w:rPr>
        <w:t>d</w:t>
      </w:r>
      <w:r>
        <w:rPr>
          <w:rFonts w:cstheme="minorHAnsi"/>
          <w:sz w:val="24"/>
          <w:szCs w:val="24"/>
        </w:rPr>
        <w:t>e</w:t>
      </w:r>
      <w:r w:rsidR="00E96DEE" w:rsidRPr="00FE33DC">
        <w:rPr>
          <w:rFonts w:cstheme="minorHAnsi"/>
          <w:sz w:val="24"/>
          <w:szCs w:val="24"/>
        </w:rPr>
        <w:t>n</w:t>
      </w:r>
      <w:r>
        <w:rPr>
          <w:rFonts w:cstheme="minorHAnsi"/>
          <w:sz w:val="24"/>
          <w:szCs w:val="24"/>
        </w:rPr>
        <w:t>a</w:t>
      </w:r>
      <w:r w:rsidR="00E96DEE" w:rsidRPr="00FE33DC">
        <w:rPr>
          <w:rFonts w:cstheme="minorHAnsi"/>
          <w:sz w:val="24"/>
          <w:szCs w:val="24"/>
        </w:rPr>
        <w:t xml:space="preserve"> s vědomím dvou důležitých </w:t>
      </w:r>
      <w:r w:rsidR="00F62D72" w:rsidRPr="00FE33DC">
        <w:rPr>
          <w:rFonts w:cstheme="minorHAnsi"/>
          <w:sz w:val="24"/>
          <w:szCs w:val="24"/>
        </w:rPr>
        <w:t>výzev pro</w:t>
      </w:r>
      <w:r w:rsidR="00E96DEE" w:rsidRPr="00FE33DC">
        <w:rPr>
          <w:rFonts w:cstheme="minorHAnsi"/>
          <w:sz w:val="24"/>
          <w:szCs w:val="24"/>
        </w:rPr>
        <w:t xml:space="preserve"> výzkum. Zaprvé </w:t>
      </w:r>
      <w:r w:rsidR="00F62D72" w:rsidRPr="00FE33DC">
        <w:rPr>
          <w:rFonts w:cstheme="minorHAnsi"/>
          <w:sz w:val="24"/>
          <w:szCs w:val="24"/>
        </w:rPr>
        <w:t xml:space="preserve">efekty dopadů cenového šoku jsou nejen bezprostřední, ale s ohledem na stabilitu ropných ekonomik se mohou projevit rovněž v delší perspektivě. Projev dopadů </w:t>
      </w:r>
      <w:r w:rsidR="00EC12CA" w:rsidRPr="00FE33DC">
        <w:rPr>
          <w:rFonts w:cstheme="minorHAnsi"/>
          <w:sz w:val="24"/>
          <w:szCs w:val="24"/>
        </w:rPr>
        <w:t xml:space="preserve">poté </w:t>
      </w:r>
      <w:r w:rsidR="00F62D72" w:rsidRPr="00FE33DC">
        <w:rPr>
          <w:rFonts w:cstheme="minorHAnsi"/>
          <w:sz w:val="24"/>
          <w:szCs w:val="24"/>
        </w:rPr>
        <w:t>závisí na rezistenci</w:t>
      </w:r>
      <w:r w:rsidR="00E26FAA">
        <w:rPr>
          <w:rFonts w:cstheme="minorHAnsi"/>
          <w:sz w:val="24"/>
          <w:szCs w:val="24"/>
        </w:rPr>
        <w:t xml:space="preserve"> ropných ekonomik</w:t>
      </w:r>
      <w:r w:rsidR="00F62D72" w:rsidRPr="00FE33DC">
        <w:rPr>
          <w:rFonts w:cstheme="minorHAnsi"/>
          <w:sz w:val="24"/>
          <w:szCs w:val="24"/>
        </w:rPr>
        <w:t>, tedy do jaké míry se preventivně připravují (mimo jiné s ohledem na schopnost vytvářet fondy pro stabilizaci ekonomiky</w:t>
      </w:r>
      <w:r w:rsidR="00E26FAA">
        <w:rPr>
          <w:rFonts w:cstheme="minorHAnsi"/>
          <w:sz w:val="24"/>
          <w:szCs w:val="24"/>
        </w:rPr>
        <w:t xml:space="preserve"> v případě krize</w:t>
      </w:r>
      <w:r w:rsidR="005870B8">
        <w:rPr>
          <w:rFonts w:cstheme="minorHAnsi"/>
          <w:sz w:val="24"/>
          <w:szCs w:val="24"/>
        </w:rPr>
        <w:t xml:space="preserve"> – srov. </w:t>
      </w:r>
      <w:proofErr w:type="spellStart"/>
      <w:r w:rsidR="00EC12CA" w:rsidRPr="00FE33DC">
        <w:rPr>
          <w:rFonts w:cstheme="minorHAnsi"/>
          <w:sz w:val="24"/>
          <w:szCs w:val="24"/>
        </w:rPr>
        <w:t>Kitous</w:t>
      </w:r>
      <w:proofErr w:type="spellEnd"/>
      <w:r w:rsidR="00EC12CA" w:rsidRPr="00FE33DC">
        <w:rPr>
          <w:rFonts w:cstheme="minorHAnsi"/>
          <w:sz w:val="24"/>
          <w:szCs w:val="24"/>
        </w:rPr>
        <w:t xml:space="preserve"> et al. 2016) </w:t>
      </w:r>
      <w:r w:rsidR="00F62D72" w:rsidRPr="00FE33DC">
        <w:rPr>
          <w:rFonts w:cstheme="minorHAnsi"/>
          <w:sz w:val="24"/>
          <w:szCs w:val="24"/>
        </w:rPr>
        <w:t>a zároveň schopn</w:t>
      </w:r>
      <w:r w:rsidR="00E26FAA">
        <w:rPr>
          <w:rFonts w:cstheme="minorHAnsi"/>
          <w:sz w:val="24"/>
          <w:szCs w:val="24"/>
        </w:rPr>
        <w:t xml:space="preserve">osti </w:t>
      </w:r>
      <w:r w:rsidR="00F62D72" w:rsidRPr="00FE33DC">
        <w:rPr>
          <w:rFonts w:cstheme="minorHAnsi"/>
          <w:sz w:val="24"/>
          <w:szCs w:val="24"/>
        </w:rPr>
        <w:t>rychle reagovat v případě poklesů cen ropy.</w:t>
      </w:r>
      <w:r w:rsidR="0062735B">
        <w:rPr>
          <w:rFonts w:cstheme="minorHAnsi"/>
          <w:sz w:val="24"/>
          <w:szCs w:val="24"/>
        </w:rPr>
        <w:t xml:space="preserve"> Zadruhé se jedná </w:t>
      </w:r>
      <w:r w:rsidR="00B33028">
        <w:rPr>
          <w:rFonts w:cstheme="minorHAnsi"/>
          <w:sz w:val="24"/>
          <w:szCs w:val="24"/>
        </w:rPr>
        <w:t>o vědomí komplexity</w:t>
      </w:r>
      <w:r w:rsidR="00CD693E">
        <w:rPr>
          <w:rFonts w:cstheme="minorHAnsi"/>
          <w:sz w:val="24"/>
          <w:szCs w:val="24"/>
        </w:rPr>
        <w:t xml:space="preserve">, a </w:t>
      </w:r>
      <w:r w:rsidR="00E26FAA">
        <w:rPr>
          <w:rFonts w:cstheme="minorHAnsi"/>
          <w:sz w:val="24"/>
          <w:szCs w:val="24"/>
        </w:rPr>
        <w:t>to</w:t>
      </w:r>
      <w:r w:rsidR="00B33028">
        <w:rPr>
          <w:rFonts w:cstheme="minorHAnsi"/>
          <w:sz w:val="24"/>
          <w:szCs w:val="24"/>
        </w:rPr>
        <w:t xml:space="preserve"> nejen z hlediska vlastních dopadů cenových ropných šoků v době ekonomické krize</w:t>
      </w:r>
      <w:r w:rsidR="00E27328">
        <w:rPr>
          <w:rFonts w:cstheme="minorHAnsi"/>
          <w:sz w:val="24"/>
          <w:szCs w:val="24"/>
        </w:rPr>
        <w:t>, kdy</w:t>
      </w:r>
      <w:r w:rsidR="00B33028">
        <w:rPr>
          <w:rFonts w:cstheme="minorHAnsi"/>
          <w:sz w:val="24"/>
          <w:szCs w:val="24"/>
        </w:rPr>
        <w:t xml:space="preserve"> </w:t>
      </w:r>
      <w:r w:rsidR="00E27328">
        <w:rPr>
          <w:rFonts w:cstheme="minorHAnsi"/>
          <w:sz w:val="24"/>
          <w:szCs w:val="24"/>
        </w:rPr>
        <w:t xml:space="preserve">existuje </w:t>
      </w:r>
      <w:r w:rsidR="00E26FAA">
        <w:rPr>
          <w:rFonts w:cstheme="minorHAnsi"/>
          <w:sz w:val="24"/>
          <w:szCs w:val="24"/>
        </w:rPr>
        <w:t xml:space="preserve">potenciál </w:t>
      </w:r>
      <w:r w:rsidR="00B33028">
        <w:rPr>
          <w:rFonts w:cstheme="minorHAnsi"/>
          <w:sz w:val="24"/>
          <w:szCs w:val="24"/>
        </w:rPr>
        <w:t>významn</w:t>
      </w:r>
      <w:r w:rsidR="00E27328">
        <w:rPr>
          <w:rFonts w:cstheme="minorHAnsi"/>
          <w:sz w:val="24"/>
          <w:szCs w:val="24"/>
        </w:rPr>
        <w:t>ého</w:t>
      </w:r>
      <w:r w:rsidR="00B33028">
        <w:rPr>
          <w:rFonts w:cstheme="minorHAnsi"/>
          <w:sz w:val="24"/>
          <w:szCs w:val="24"/>
        </w:rPr>
        <w:t xml:space="preserve"> přeformátová</w:t>
      </w:r>
      <w:r w:rsidR="00E27328">
        <w:rPr>
          <w:rFonts w:cstheme="minorHAnsi"/>
          <w:sz w:val="24"/>
          <w:szCs w:val="24"/>
        </w:rPr>
        <w:t>ní</w:t>
      </w:r>
      <w:r w:rsidR="00B33028">
        <w:rPr>
          <w:rFonts w:cstheme="minorHAnsi"/>
          <w:sz w:val="24"/>
          <w:szCs w:val="24"/>
        </w:rPr>
        <w:t xml:space="preserve"> poptávk</w:t>
      </w:r>
      <w:r w:rsidR="00E27328">
        <w:rPr>
          <w:rFonts w:cstheme="minorHAnsi"/>
          <w:sz w:val="24"/>
          <w:szCs w:val="24"/>
        </w:rPr>
        <w:t>y</w:t>
      </w:r>
      <w:r w:rsidR="00CD693E">
        <w:rPr>
          <w:rFonts w:cstheme="minorHAnsi"/>
          <w:sz w:val="24"/>
          <w:szCs w:val="24"/>
        </w:rPr>
        <w:t>,</w:t>
      </w:r>
      <w:r w:rsidR="00B33028">
        <w:rPr>
          <w:rFonts w:cstheme="minorHAnsi"/>
          <w:sz w:val="24"/>
          <w:szCs w:val="24"/>
        </w:rPr>
        <w:t xml:space="preserve"> a tím ekonomiky odběratelů</w:t>
      </w:r>
      <w:r w:rsidR="00E27328">
        <w:rPr>
          <w:rFonts w:cstheme="minorHAnsi"/>
          <w:sz w:val="24"/>
          <w:szCs w:val="24"/>
        </w:rPr>
        <w:t xml:space="preserve"> </w:t>
      </w:r>
      <w:r w:rsidR="00B33028">
        <w:rPr>
          <w:rFonts w:cstheme="minorHAnsi"/>
          <w:sz w:val="24"/>
          <w:szCs w:val="24"/>
        </w:rPr>
        <w:t xml:space="preserve">a následně rovněž </w:t>
      </w:r>
      <w:r w:rsidR="004C344A">
        <w:rPr>
          <w:rFonts w:cstheme="minorHAnsi"/>
          <w:sz w:val="24"/>
          <w:szCs w:val="24"/>
        </w:rPr>
        <w:t>producentů</w:t>
      </w:r>
      <w:r w:rsidR="00B33028">
        <w:rPr>
          <w:rFonts w:cstheme="minorHAnsi"/>
          <w:sz w:val="24"/>
          <w:szCs w:val="24"/>
        </w:rPr>
        <w:t>.</w:t>
      </w:r>
      <w:r w:rsidR="004C344A">
        <w:rPr>
          <w:rFonts w:cstheme="minorHAnsi"/>
          <w:sz w:val="24"/>
          <w:szCs w:val="24"/>
        </w:rPr>
        <w:t xml:space="preserve"> </w:t>
      </w:r>
      <w:r w:rsidR="00643AA8">
        <w:rPr>
          <w:rFonts w:cstheme="minorHAnsi"/>
          <w:sz w:val="24"/>
          <w:szCs w:val="24"/>
        </w:rPr>
        <w:t>Š</w:t>
      </w:r>
      <w:r w:rsidR="004C344A">
        <w:rPr>
          <w:rFonts w:cstheme="minorHAnsi"/>
          <w:sz w:val="24"/>
          <w:szCs w:val="24"/>
        </w:rPr>
        <w:t xml:space="preserve">oky mohou </w:t>
      </w:r>
      <w:r w:rsidR="00E26FAA">
        <w:rPr>
          <w:rFonts w:cstheme="minorHAnsi"/>
          <w:sz w:val="24"/>
          <w:szCs w:val="24"/>
        </w:rPr>
        <w:t xml:space="preserve">rovněž </w:t>
      </w:r>
      <w:r w:rsidR="00643AA8">
        <w:rPr>
          <w:rFonts w:cstheme="minorHAnsi"/>
          <w:sz w:val="24"/>
          <w:szCs w:val="24"/>
        </w:rPr>
        <w:t>urychlovat</w:t>
      </w:r>
      <w:r w:rsidR="004C344A">
        <w:rPr>
          <w:rFonts w:cstheme="minorHAnsi"/>
          <w:sz w:val="24"/>
          <w:szCs w:val="24"/>
        </w:rPr>
        <w:t xml:space="preserve"> změny v energetickém sektoru v souvislosti s cíli dekarbonizace. </w:t>
      </w:r>
      <w:r w:rsidR="00AB7189" w:rsidRPr="00AB7189">
        <w:rPr>
          <w:rFonts w:cstheme="minorHAnsi"/>
          <w:sz w:val="24"/>
          <w:szCs w:val="24"/>
        </w:rPr>
        <w:t xml:space="preserve">Zohledněn </w:t>
      </w:r>
      <w:r w:rsidR="00E27328">
        <w:rPr>
          <w:rFonts w:cstheme="minorHAnsi"/>
          <w:sz w:val="24"/>
          <w:szCs w:val="24"/>
        </w:rPr>
        <w:t xml:space="preserve">proto </w:t>
      </w:r>
      <w:r w:rsidR="00AB7189" w:rsidRPr="00AB7189">
        <w:rPr>
          <w:rFonts w:cstheme="minorHAnsi"/>
          <w:sz w:val="24"/>
          <w:szCs w:val="24"/>
        </w:rPr>
        <w:t>musí být širší kontext realizace cílů energetické unie EU i potenciál EU ovlivňovat energetické vztahy jednotlivých členských zemí a nastavov</w:t>
      </w:r>
      <w:r w:rsidR="00E27328">
        <w:rPr>
          <w:rFonts w:cstheme="minorHAnsi"/>
          <w:sz w:val="24"/>
          <w:szCs w:val="24"/>
        </w:rPr>
        <w:t>at</w:t>
      </w:r>
      <w:r w:rsidR="00AB7189" w:rsidRPr="00AB7189">
        <w:rPr>
          <w:rFonts w:cstheme="minorHAnsi"/>
          <w:sz w:val="24"/>
          <w:szCs w:val="24"/>
        </w:rPr>
        <w:t xml:space="preserve"> jejich energetick</w:t>
      </w:r>
      <w:r w:rsidR="00E27328">
        <w:rPr>
          <w:rFonts w:cstheme="minorHAnsi"/>
          <w:sz w:val="24"/>
          <w:szCs w:val="24"/>
        </w:rPr>
        <w:t>é</w:t>
      </w:r>
      <w:r w:rsidR="00AB7189" w:rsidRPr="00AB7189">
        <w:rPr>
          <w:rFonts w:cstheme="minorHAnsi"/>
          <w:sz w:val="24"/>
          <w:szCs w:val="24"/>
        </w:rPr>
        <w:t xml:space="preserve"> vztah</w:t>
      </w:r>
      <w:r w:rsidR="00E27328">
        <w:rPr>
          <w:rFonts w:cstheme="minorHAnsi"/>
          <w:sz w:val="24"/>
          <w:szCs w:val="24"/>
        </w:rPr>
        <w:t>y</w:t>
      </w:r>
      <w:r w:rsidR="00AB7189" w:rsidRPr="00AB7189">
        <w:rPr>
          <w:rFonts w:cstheme="minorHAnsi"/>
          <w:sz w:val="24"/>
          <w:szCs w:val="24"/>
        </w:rPr>
        <w:t xml:space="preserve"> se třetími zeměmi (vedle témat energetické bezpečnosti a s ní související zdůrazňované diverzifikace jsou v producentských zemích dodávajících ropu do EU reflektována rovněž témata dekarbonizace a nových technologií, což souvisí s bojem s klimatickými změnami a </w:t>
      </w:r>
      <w:r w:rsidR="00CD693E">
        <w:rPr>
          <w:rFonts w:cstheme="minorHAnsi"/>
          <w:sz w:val="24"/>
          <w:szCs w:val="24"/>
        </w:rPr>
        <w:t xml:space="preserve">s </w:t>
      </w:r>
      <w:r w:rsidR="00AB7189" w:rsidRPr="00AB7189">
        <w:rPr>
          <w:rFonts w:cstheme="minorHAnsi"/>
          <w:sz w:val="24"/>
          <w:szCs w:val="24"/>
        </w:rPr>
        <w:t>opatřeními zaměřenými na přechod od fosilních paliv k čistší energii ve snaze dosáhnout klimaticky neutrální Evropu do roku 2050</w:t>
      </w:r>
      <w:r w:rsidR="00AB7189">
        <w:rPr>
          <w:rFonts w:cstheme="minorHAnsi"/>
          <w:sz w:val="24"/>
          <w:szCs w:val="24"/>
        </w:rPr>
        <w:t>)</w:t>
      </w:r>
      <w:r w:rsidR="00AB7189" w:rsidRPr="00AB7189">
        <w:rPr>
          <w:rFonts w:cstheme="minorHAnsi"/>
          <w:sz w:val="24"/>
          <w:szCs w:val="24"/>
        </w:rPr>
        <w:t xml:space="preserve">. </w:t>
      </w:r>
      <w:r w:rsidR="004C344A">
        <w:rPr>
          <w:rFonts w:cstheme="minorHAnsi"/>
          <w:sz w:val="24"/>
          <w:szCs w:val="24"/>
        </w:rPr>
        <w:t xml:space="preserve">Vědomí komplexity ovšem spočívá </w:t>
      </w:r>
      <w:r w:rsidR="00E26FAA">
        <w:rPr>
          <w:rFonts w:cstheme="minorHAnsi"/>
          <w:sz w:val="24"/>
          <w:szCs w:val="24"/>
        </w:rPr>
        <w:t>rovněž</w:t>
      </w:r>
      <w:r w:rsidR="004C344A">
        <w:rPr>
          <w:rFonts w:cstheme="minorHAnsi"/>
          <w:sz w:val="24"/>
          <w:szCs w:val="24"/>
        </w:rPr>
        <w:t xml:space="preserve"> </w:t>
      </w:r>
      <w:r w:rsidR="002F61F3">
        <w:rPr>
          <w:rFonts w:cstheme="minorHAnsi"/>
          <w:sz w:val="24"/>
          <w:szCs w:val="24"/>
        </w:rPr>
        <w:t>v přiznání mocenského a geopolitického kontextu, v</w:t>
      </w:r>
      <w:r w:rsidR="00D55067">
        <w:rPr>
          <w:rFonts w:cstheme="minorHAnsi"/>
          <w:sz w:val="24"/>
          <w:szCs w:val="24"/>
        </w:rPr>
        <w:t xml:space="preserve">e kterém se cenový šok odehrává a který velmi významně ovlivňuje </w:t>
      </w:r>
      <w:r w:rsidR="00E27328">
        <w:rPr>
          <w:rFonts w:cstheme="minorHAnsi"/>
          <w:sz w:val="24"/>
          <w:szCs w:val="24"/>
        </w:rPr>
        <w:t xml:space="preserve">vlastní </w:t>
      </w:r>
      <w:r w:rsidR="00D55067">
        <w:rPr>
          <w:rFonts w:cstheme="minorHAnsi"/>
          <w:sz w:val="24"/>
          <w:szCs w:val="24"/>
        </w:rPr>
        <w:t>situaci v producentských státech</w:t>
      </w:r>
      <w:r w:rsidR="00E26FAA">
        <w:rPr>
          <w:rFonts w:cstheme="minorHAnsi"/>
          <w:sz w:val="24"/>
          <w:szCs w:val="24"/>
        </w:rPr>
        <w:t xml:space="preserve"> a stabilitu mezinárodního prostředí</w:t>
      </w:r>
      <w:r w:rsidR="00D55067">
        <w:rPr>
          <w:rFonts w:cstheme="minorHAnsi"/>
          <w:sz w:val="24"/>
          <w:szCs w:val="24"/>
        </w:rPr>
        <w:t>.</w:t>
      </w:r>
    </w:p>
    <w:p w14:paraId="212E02C5" w14:textId="2069AD03" w:rsidR="00560CF2" w:rsidRDefault="00D91B64" w:rsidP="00455334">
      <w:pPr>
        <w:spacing w:after="100" w:afterAutospacing="1" w:line="240" w:lineRule="auto"/>
        <w:ind w:firstLine="360"/>
        <w:jc w:val="both"/>
        <w:rPr>
          <w:rFonts w:cstheme="minorHAnsi"/>
          <w:sz w:val="24"/>
          <w:szCs w:val="24"/>
        </w:rPr>
      </w:pPr>
      <w:r>
        <w:rPr>
          <w:rFonts w:cstheme="minorHAnsi"/>
          <w:sz w:val="24"/>
          <w:szCs w:val="24"/>
        </w:rPr>
        <w:t>Z</w:t>
      </w:r>
      <w:r w:rsidR="001D5F42" w:rsidRPr="00E5718B">
        <w:rPr>
          <w:rFonts w:cstheme="minorHAnsi"/>
          <w:sz w:val="24"/>
          <w:szCs w:val="24"/>
        </w:rPr>
        <w:t xml:space="preserve">a účelem získání plastičtějšího a objektivnějšího obrazu bude </w:t>
      </w:r>
      <w:r>
        <w:rPr>
          <w:rFonts w:cstheme="minorHAnsi"/>
          <w:sz w:val="24"/>
          <w:szCs w:val="24"/>
        </w:rPr>
        <w:t xml:space="preserve">proto </w:t>
      </w:r>
      <w:r w:rsidR="001D5F42" w:rsidRPr="00E5718B">
        <w:rPr>
          <w:rFonts w:cstheme="minorHAnsi"/>
          <w:sz w:val="24"/>
          <w:szCs w:val="24"/>
        </w:rPr>
        <w:t>výzkumná strategie opřena o kombinaci různých teoretických a metodologických přístupů (kombinace ekonomických a mezinárodně vztahových teorií) a dat.</w:t>
      </w:r>
      <w:r w:rsidR="000503CD" w:rsidRPr="00E5718B">
        <w:rPr>
          <w:rFonts w:cstheme="minorHAnsi"/>
          <w:sz w:val="24"/>
          <w:szCs w:val="24"/>
        </w:rPr>
        <w:t xml:space="preserve"> V rámci analýzy budou kombinovány metody kvalitativního a kvantitativního výzkumu. Možnost kombinace metod</w:t>
      </w:r>
      <w:r w:rsidR="00E5718B" w:rsidRPr="00E5718B">
        <w:rPr>
          <w:rFonts w:cstheme="minorHAnsi"/>
          <w:sz w:val="24"/>
          <w:szCs w:val="24"/>
        </w:rPr>
        <w:t xml:space="preserve"> (metodologií) v jedné studii stejného fenoménu je v současném výzkumu nejen připouštěna, ale jsou vnímány i její výhody. </w:t>
      </w:r>
      <w:proofErr w:type="spellStart"/>
      <w:r w:rsidR="0065618E" w:rsidRPr="00560CF2">
        <w:rPr>
          <w:rFonts w:cstheme="minorHAnsi"/>
          <w:sz w:val="24"/>
          <w:szCs w:val="24"/>
        </w:rPr>
        <w:t>Denzin</w:t>
      </w:r>
      <w:proofErr w:type="spellEnd"/>
      <w:r w:rsidR="00910D27">
        <w:rPr>
          <w:rFonts w:cstheme="minorHAnsi"/>
          <w:sz w:val="24"/>
          <w:szCs w:val="24"/>
        </w:rPr>
        <w:t xml:space="preserve"> (2012)</w:t>
      </w:r>
      <w:r w:rsidR="0065618E" w:rsidRPr="00560CF2">
        <w:rPr>
          <w:rFonts w:cstheme="minorHAnsi"/>
          <w:sz w:val="24"/>
          <w:szCs w:val="24"/>
        </w:rPr>
        <w:t xml:space="preserve"> označuje tento přístup jako „triangulaci“ a </w:t>
      </w:r>
      <w:r w:rsidR="00D04C9E" w:rsidRPr="00560CF2">
        <w:rPr>
          <w:rFonts w:cstheme="minorHAnsi"/>
          <w:sz w:val="24"/>
          <w:szCs w:val="24"/>
        </w:rPr>
        <w:t xml:space="preserve">identifikuje </w:t>
      </w:r>
      <w:r w:rsidR="005675D9">
        <w:rPr>
          <w:rFonts w:cstheme="minorHAnsi"/>
          <w:sz w:val="24"/>
          <w:szCs w:val="24"/>
        </w:rPr>
        <w:t xml:space="preserve">přitom </w:t>
      </w:r>
      <w:r w:rsidR="0065618E" w:rsidRPr="00560CF2">
        <w:rPr>
          <w:rFonts w:cstheme="minorHAnsi"/>
          <w:sz w:val="24"/>
          <w:szCs w:val="24"/>
        </w:rPr>
        <w:t xml:space="preserve">čtyři typy triangulace: (1) kombinaci různých datových zdrojů; (2) </w:t>
      </w:r>
      <w:r w:rsidR="00560CF2" w:rsidRPr="00560CF2">
        <w:rPr>
          <w:rFonts w:cstheme="minorHAnsi"/>
          <w:sz w:val="24"/>
          <w:szCs w:val="24"/>
        </w:rPr>
        <w:t xml:space="preserve">kombinaci </w:t>
      </w:r>
      <w:r w:rsidR="0065618E" w:rsidRPr="00560CF2">
        <w:rPr>
          <w:rFonts w:cstheme="minorHAnsi"/>
          <w:sz w:val="24"/>
          <w:szCs w:val="24"/>
        </w:rPr>
        <w:t>výzkumníků</w:t>
      </w:r>
      <w:r w:rsidR="00560CF2" w:rsidRPr="00560CF2">
        <w:rPr>
          <w:rFonts w:cstheme="minorHAnsi"/>
          <w:sz w:val="24"/>
          <w:szCs w:val="24"/>
        </w:rPr>
        <w:t xml:space="preserve"> z různých vědních oblastí;</w:t>
      </w:r>
      <w:r w:rsidR="0065618E" w:rsidRPr="00560CF2">
        <w:rPr>
          <w:rFonts w:cstheme="minorHAnsi"/>
          <w:sz w:val="24"/>
          <w:szCs w:val="24"/>
        </w:rPr>
        <w:t xml:space="preserve"> (3) </w:t>
      </w:r>
      <w:r w:rsidR="00560CF2" w:rsidRPr="00560CF2">
        <w:rPr>
          <w:rFonts w:cstheme="minorHAnsi"/>
          <w:sz w:val="24"/>
          <w:szCs w:val="24"/>
        </w:rPr>
        <w:t xml:space="preserve">kombinaci </w:t>
      </w:r>
      <w:r w:rsidR="0065618E" w:rsidRPr="00560CF2">
        <w:rPr>
          <w:rFonts w:cstheme="minorHAnsi"/>
          <w:sz w:val="24"/>
          <w:szCs w:val="24"/>
        </w:rPr>
        <w:t xml:space="preserve">teorií a (4) </w:t>
      </w:r>
      <w:r w:rsidR="00560CF2" w:rsidRPr="00560CF2">
        <w:rPr>
          <w:rFonts w:cstheme="minorHAnsi"/>
          <w:sz w:val="24"/>
          <w:szCs w:val="24"/>
        </w:rPr>
        <w:t xml:space="preserve">kombinaci </w:t>
      </w:r>
      <w:r w:rsidR="0065618E" w:rsidRPr="00560CF2">
        <w:rPr>
          <w:rFonts w:cstheme="minorHAnsi"/>
          <w:sz w:val="24"/>
          <w:szCs w:val="24"/>
        </w:rPr>
        <w:t>metodologií. Všechny typy triangulace jsou v </w:t>
      </w:r>
      <w:r w:rsidR="0065618E" w:rsidRPr="0065618E">
        <w:rPr>
          <w:rFonts w:cstheme="minorHAnsi"/>
          <w:sz w:val="24"/>
          <w:szCs w:val="24"/>
        </w:rPr>
        <w:t>případě analýzy dopadu poklesu cen ropy v zemích vyvážejících ropu</w:t>
      </w:r>
      <w:r w:rsidR="00560CF2">
        <w:rPr>
          <w:rFonts w:cstheme="minorHAnsi"/>
          <w:sz w:val="24"/>
          <w:szCs w:val="24"/>
        </w:rPr>
        <w:t xml:space="preserve"> použity.</w:t>
      </w:r>
      <w:r w:rsidR="00572DF1">
        <w:rPr>
          <w:rFonts w:cstheme="minorHAnsi"/>
          <w:sz w:val="24"/>
          <w:szCs w:val="24"/>
        </w:rPr>
        <w:t xml:space="preserve"> </w:t>
      </w:r>
      <w:r w:rsidR="00572DF1" w:rsidRPr="0004091E">
        <w:rPr>
          <w:rFonts w:cstheme="minorHAnsi"/>
          <w:sz w:val="24"/>
          <w:szCs w:val="24"/>
        </w:rPr>
        <w:t>Budou tak zdůrazněny rozdílné aspekty empirické reality</w:t>
      </w:r>
      <w:r w:rsidR="00643AA8">
        <w:rPr>
          <w:rFonts w:cstheme="minorHAnsi"/>
          <w:sz w:val="24"/>
          <w:szCs w:val="24"/>
        </w:rPr>
        <w:t>, což</w:t>
      </w:r>
      <w:r w:rsidR="00572DF1" w:rsidRPr="0004091E">
        <w:rPr>
          <w:rFonts w:cstheme="minorHAnsi"/>
          <w:sz w:val="24"/>
          <w:szCs w:val="24"/>
        </w:rPr>
        <w:t xml:space="preserve"> umožní získat komplexnější pohled na ekonomický, politický, bezpečnostní a sociální kontext v různých rovinách </w:t>
      </w:r>
      <w:r w:rsidR="00D837AD">
        <w:rPr>
          <w:rFonts w:cstheme="minorHAnsi"/>
          <w:sz w:val="24"/>
          <w:szCs w:val="24"/>
        </w:rPr>
        <w:t>analýzy</w:t>
      </w:r>
      <w:r w:rsidR="00572DF1" w:rsidRPr="0004091E">
        <w:rPr>
          <w:rFonts w:cstheme="minorHAnsi"/>
          <w:sz w:val="24"/>
          <w:szCs w:val="24"/>
        </w:rPr>
        <w:t xml:space="preserve"> (vnitrostátní, mezinárodní a globální rovina). Mělo by tím být sníženo riziko, že </w:t>
      </w:r>
      <w:r w:rsidR="00377C37">
        <w:rPr>
          <w:rFonts w:cstheme="minorHAnsi"/>
          <w:sz w:val="24"/>
          <w:szCs w:val="24"/>
        </w:rPr>
        <w:t>analýza</w:t>
      </w:r>
      <w:r w:rsidR="00572DF1" w:rsidRPr="0004091E">
        <w:rPr>
          <w:rFonts w:cstheme="minorHAnsi"/>
          <w:sz w:val="24"/>
          <w:szCs w:val="24"/>
        </w:rPr>
        <w:t xml:space="preserve"> opomine relevantní prvky výzkumu.</w:t>
      </w:r>
    </w:p>
    <w:p w14:paraId="7D2D02C6" w14:textId="10B92418" w:rsidR="00637B24" w:rsidRPr="00560CF2" w:rsidRDefault="00560CF2" w:rsidP="00455334">
      <w:pPr>
        <w:spacing w:after="100" w:afterAutospacing="1" w:line="240" w:lineRule="auto"/>
        <w:ind w:firstLine="360"/>
        <w:jc w:val="both"/>
        <w:rPr>
          <w:rFonts w:cstheme="minorHAnsi"/>
          <w:sz w:val="24"/>
          <w:szCs w:val="24"/>
        </w:rPr>
      </w:pPr>
      <w:r w:rsidRPr="00560CF2">
        <w:rPr>
          <w:rFonts w:cstheme="minorHAnsi"/>
          <w:sz w:val="24"/>
          <w:szCs w:val="24"/>
        </w:rPr>
        <w:lastRenderedPageBreak/>
        <w:t>V</w:t>
      </w:r>
      <w:r w:rsidR="00637B24" w:rsidRPr="00560CF2">
        <w:rPr>
          <w:rFonts w:cstheme="minorHAnsi"/>
          <w:sz w:val="24"/>
          <w:szCs w:val="24"/>
        </w:rPr>
        <w:t xml:space="preserve"> rámci ekonomické analýzy </w:t>
      </w:r>
      <w:r w:rsidR="00455334" w:rsidRPr="00560CF2">
        <w:rPr>
          <w:rFonts w:cstheme="minorHAnsi"/>
          <w:sz w:val="24"/>
          <w:szCs w:val="24"/>
        </w:rPr>
        <w:t xml:space="preserve">bude </w:t>
      </w:r>
      <w:r w:rsidR="00637B24" w:rsidRPr="00560CF2">
        <w:rPr>
          <w:rFonts w:cstheme="minorHAnsi"/>
          <w:sz w:val="24"/>
          <w:szCs w:val="24"/>
        </w:rPr>
        <w:t>studie sled</w:t>
      </w:r>
      <w:r w:rsidR="00D71C56" w:rsidRPr="00560CF2">
        <w:rPr>
          <w:rFonts w:cstheme="minorHAnsi"/>
          <w:sz w:val="24"/>
          <w:szCs w:val="24"/>
        </w:rPr>
        <w:t>ovat</w:t>
      </w:r>
      <w:r w:rsidR="00637B24" w:rsidRPr="00560CF2">
        <w:rPr>
          <w:rFonts w:cstheme="minorHAnsi"/>
          <w:sz w:val="24"/>
          <w:szCs w:val="24"/>
        </w:rPr>
        <w:t xml:space="preserve"> přímé negativní dopady cenového šoku na makroekonomické ukazatele producentských zemí, tj. zejména financování vládních výdajů opřené o příjmy z těžby a exportu, investice, spotřebu domácností, cenovou hladinu</w:t>
      </w:r>
      <w:r w:rsidR="00BA564E">
        <w:rPr>
          <w:rFonts w:cstheme="minorHAnsi"/>
          <w:sz w:val="24"/>
          <w:szCs w:val="24"/>
        </w:rPr>
        <w:t xml:space="preserve"> (budou využity d</w:t>
      </w:r>
      <w:r w:rsidR="00BA564E" w:rsidRPr="00D444CB">
        <w:rPr>
          <w:rFonts w:cstheme="minorHAnsi"/>
          <w:sz w:val="24"/>
          <w:szCs w:val="24"/>
        </w:rPr>
        <w:t>eduktivní statistické metody, zejména jednoduchá či vícenásobná regresní analýza)</w:t>
      </w:r>
      <w:r w:rsidR="00637B24" w:rsidRPr="00560CF2">
        <w:rPr>
          <w:rFonts w:cstheme="minorHAnsi"/>
          <w:sz w:val="24"/>
          <w:szCs w:val="24"/>
        </w:rPr>
        <w:t xml:space="preserve">. </w:t>
      </w:r>
      <w:r w:rsidR="00D71C56" w:rsidRPr="00560CF2">
        <w:rPr>
          <w:rFonts w:cstheme="minorHAnsi"/>
          <w:sz w:val="24"/>
          <w:szCs w:val="24"/>
        </w:rPr>
        <w:t>Ve studii zároveň budou v</w:t>
      </w:r>
      <w:r w:rsidR="00637B24" w:rsidRPr="00560CF2">
        <w:rPr>
          <w:rFonts w:cstheme="minorHAnsi"/>
          <w:sz w:val="24"/>
          <w:szCs w:val="24"/>
        </w:rPr>
        <w:t>ysvětle</w:t>
      </w:r>
      <w:r w:rsidR="00D71C56" w:rsidRPr="00560CF2">
        <w:rPr>
          <w:rFonts w:cstheme="minorHAnsi"/>
          <w:sz w:val="24"/>
          <w:szCs w:val="24"/>
        </w:rPr>
        <w:t>ny</w:t>
      </w:r>
      <w:r w:rsidR="00637B24" w:rsidRPr="00560CF2">
        <w:rPr>
          <w:rFonts w:cstheme="minorHAnsi"/>
          <w:sz w:val="24"/>
          <w:szCs w:val="24"/>
        </w:rPr>
        <w:t xml:space="preserve"> hlavní ekonomické kanály, které byly </w:t>
      </w:r>
      <w:r w:rsidR="00D71C56" w:rsidRPr="00560CF2">
        <w:rPr>
          <w:rFonts w:cstheme="minorHAnsi"/>
          <w:sz w:val="24"/>
          <w:szCs w:val="24"/>
        </w:rPr>
        <w:t xml:space="preserve">v producentských zemích markantně </w:t>
      </w:r>
      <w:r w:rsidR="00637B24" w:rsidRPr="00560CF2">
        <w:rPr>
          <w:rFonts w:cstheme="minorHAnsi"/>
          <w:sz w:val="24"/>
          <w:szCs w:val="24"/>
        </w:rPr>
        <w:t>ovlivněny poklesem cen ropy:</w:t>
      </w:r>
    </w:p>
    <w:p w14:paraId="42D06382" w14:textId="3C080749" w:rsidR="00637B24" w:rsidRDefault="00637B24" w:rsidP="00455334">
      <w:pPr>
        <w:pStyle w:val="Odstavecseseznamem"/>
        <w:numPr>
          <w:ilvl w:val="0"/>
          <w:numId w:val="6"/>
        </w:numPr>
        <w:spacing w:after="100" w:afterAutospacing="1" w:line="240" w:lineRule="auto"/>
        <w:jc w:val="both"/>
        <w:rPr>
          <w:rFonts w:asciiTheme="majorHAnsi" w:hAnsiTheme="majorHAnsi" w:cstheme="minorHAnsi"/>
          <w:sz w:val="24"/>
          <w:szCs w:val="24"/>
        </w:rPr>
      </w:pPr>
      <w:r w:rsidRPr="0066552D">
        <w:rPr>
          <w:rFonts w:asciiTheme="majorHAnsi" w:hAnsiTheme="majorHAnsi" w:cstheme="minorHAnsi"/>
          <w:sz w:val="24"/>
          <w:szCs w:val="24"/>
        </w:rPr>
        <w:t>produkce ropy</w:t>
      </w:r>
    </w:p>
    <w:p w14:paraId="1B0C3E35" w14:textId="4238E5FC" w:rsidR="006A22F8" w:rsidRPr="006A22F8" w:rsidRDefault="006A22F8" w:rsidP="00455334">
      <w:pPr>
        <w:pStyle w:val="Odstavecseseznamem"/>
        <w:numPr>
          <w:ilvl w:val="0"/>
          <w:numId w:val="6"/>
        </w:numPr>
        <w:spacing w:after="100" w:afterAutospacing="1" w:line="240" w:lineRule="auto"/>
        <w:jc w:val="both"/>
        <w:rPr>
          <w:rFonts w:asciiTheme="majorHAnsi" w:hAnsiTheme="majorHAnsi" w:cstheme="minorHAnsi"/>
          <w:sz w:val="24"/>
          <w:szCs w:val="24"/>
        </w:rPr>
      </w:pPr>
      <w:r w:rsidRPr="0066552D">
        <w:rPr>
          <w:rFonts w:asciiTheme="majorHAnsi" w:hAnsiTheme="majorHAnsi" w:cstheme="minorHAnsi"/>
          <w:sz w:val="24"/>
          <w:szCs w:val="24"/>
        </w:rPr>
        <w:t>inflace</w:t>
      </w:r>
    </w:p>
    <w:p w14:paraId="4F865C8D" w14:textId="77777777" w:rsidR="00637B24" w:rsidRPr="0066552D" w:rsidRDefault="00637B24" w:rsidP="00455334">
      <w:pPr>
        <w:pStyle w:val="Odstavecseseznamem"/>
        <w:numPr>
          <w:ilvl w:val="0"/>
          <w:numId w:val="6"/>
        </w:numPr>
        <w:spacing w:after="100" w:afterAutospacing="1" w:line="240" w:lineRule="auto"/>
        <w:jc w:val="both"/>
        <w:rPr>
          <w:rFonts w:asciiTheme="majorHAnsi" w:hAnsiTheme="majorHAnsi" w:cstheme="minorHAnsi"/>
          <w:sz w:val="24"/>
          <w:szCs w:val="24"/>
        </w:rPr>
      </w:pPr>
      <w:r w:rsidRPr="0066552D">
        <w:rPr>
          <w:rFonts w:asciiTheme="majorHAnsi" w:hAnsiTheme="majorHAnsi" w:cstheme="minorHAnsi"/>
          <w:sz w:val="24"/>
          <w:szCs w:val="24"/>
        </w:rPr>
        <w:t>měnový kurz</w:t>
      </w:r>
    </w:p>
    <w:p w14:paraId="6A6F34A0" w14:textId="13CD2203" w:rsidR="00637B24" w:rsidRPr="006A22F8" w:rsidRDefault="00637B24" w:rsidP="00455334">
      <w:pPr>
        <w:pStyle w:val="Odstavecseseznamem"/>
        <w:numPr>
          <w:ilvl w:val="0"/>
          <w:numId w:val="6"/>
        </w:numPr>
        <w:spacing w:after="100" w:afterAutospacing="1" w:line="240" w:lineRule="auto"/>
        <w:jc w:val="both"/>
        <w:rPr>
          <w:rFonts w:asciiTheme="majorHAnsi" w:hAnsiTheme="majorHAnsi" w:cstheme="minorHAnsi"/>
          <w:sz w:val="24"/>
          <w:szCs w:val="24"/>
        </w:rPr>
      </w:pPr>
      <w:r w:rsidRPr="0066552D">
        <w:rPr>
          <w:rFonts w:asciiTheme="majorHAnsi" w:hAnsiTheme="majorHAnsi" w:cstheme="minorHAnsi"/>
          <w:sz w:val="24"/>
          <w:szCs w:val="24"/>
        </w:rPr>
        <w:t>HDP a jeho složky</w:t>
      </w:r>
      <w:r w:rsidRPr="006A22F8">
        <w:rPr>
          <w:rFonts w:cstheme="minorHAnsi"/>
          <w:sz w:val="24"/>
          <w:szCs w:val="24"/>
        </w:rPr>
        <w:t>.</w:t>
      </w:r>
    </w:p>
    <w:p w14:paraId="4742C60D" w14:textId="721A6769" w:rsidR="00910D27" w:rsidRPr="00910D27" w:rsidRDefault="00910D27" w:rsidP="00455334">
      <w:pPr>
        <w:spacing w:after="100" w:afterAutospacing="1" w:line="240" w:lineRule="auto"/>
        <w:ind w:firstLine="567"/>
        <w:jc w:val="both"/>
        <w:rPr>
          <w:rStyle w:val="tlid-translation"/>
          <w:color w:val="4BACC6" w:themeColor="accent5"/>
          <w:sz w:val="24"/>
          <w:szCs w:val="24"/>
        </w:rPr>
      </w:pPr>
      <w:r w:rsidRPr="00734AE0">
        <w:rPr>
          <w:color w:val="000000" w:themeColor="text1"/>
          <w:sz w:val="24"/>
          <w:szCs w:val="24"/>
        </w:rPr>
        <w:t xml:space="preserve">Za tímto účelem budou využita data získaná hlavně z OECD, </w:t>
      </w:r>
      <w:r w:rsidR="00656AC4">
        <w:rPr>
          <w:color w:val="000000" w:themeColor="text1"/>
          <w:sz w:val="24"/>
          <w:szCs w:val="24"/>
        </w:rPr>
        <w:t xml:space="preserve">Mezinárodní energetické </w:t>
      </w:r>
      <w:r w:rsidRPr="00734AE0">
        <w:rPr>
          <w:color w:val="000000" w:themeColor="text1"/>
          <w:sz w:val="24"/>
          <w:szCs w:val="24"/>
        </w:rPr>
        <w:t>agentury (I</w:t>
      </w:r>
      <w:r w:rsidR="00656AC4">
        <w:rPr>
          <w:color w:val="000000" w:themeColor="text1"/>
          <w:sz w:val="24"/>
          <w:szCs w:val="24"/>
        </w:rPr>
        <w:t>E</w:t>
      </w:r>
      <w:r w:rsidRPr="00734AE0">
        <w:rPr>
          <w:color w:val="000000" w:themeColor="text1"/>
          <w:sz w:val="24"/>
          <w:szCs w:val="24"/>
        </w:rPr>
        <w:t xml:space="preserve">A) a národních zdrojů jako České národní banky (ČNB); Federálního státního statistického úřadu </w:t>
      </w:r>
      <w:r w:rsidR="003C4239" w:rsidRPr="00734AE0">
        <w:rPr>
          <w:color w:val="000000" w:themeColor="text1"/>
          <w:sz w:val="24"/>
          <w:szCs w:val="24"/>
        </w:rPr>
        <w:t>Rusk</w:t>
      </w:r>
      <w:r w:rsidR="003C4239">
        <w:rPr>
          <w:color w:val="000000" w:themeColor="text1"/>
          <w:sz w:val="24"/>
          <w:szCs w:val="24"/>
        </w:rPr>
        <w:t>a</w:t>
      </w:r>
      <w:r w:rsidRPr="00734AE0">
        <w:rPr>
          <w:color w:val="000000" w:themeColor="text1"/>
          <w:sz w:val="24"/>
          <w:szCs w:val="24"/>
        </w:rPr>
        <w:t xml:space="preserve">, Národního statistického výboru Ázerbájdžánu apod. Toto testování ukazuje hlavní </w:t>
      </w:r>
      <w:r w:rsidRPr="00455334">
        <w:rPr>
          <w:bCs/>
          <w:iCs/>
          <w:color w:val="000000" w:themeColor="text1"/>
          <w:sz w:val="24"/>
          <w:szCs w:val="24"/>
        </w:rPr>
        <w:t>ekonomické kanály</w:t>
      </w:r>
      <w:r w:rsidRPr="00455334">
        <w:rPr>
          <w:iCs/>
          <w:color w:val="000000" w:themeColor="text1"/>
          <w:sz w:val="24"/>
          <w:szCs w:val="24"/>
        </w:rPr>
        <w:t>,</w:t>
      </w:r>
      <w:r w:rsidRPr="00734AE0">
        <w:rPr>
          <w:color w:val="000000" w:themeColor="text1"/>
          <w:sz w:val="24"/>
          <w:szCs w:val="24"/>
        </w:rPr>
        <w:t xml:space="preserve"> které jsou ovlivněny poklesem cen ropy. V návaznosti na ně</w:t>
      </w:r>
      <w:r w:rsidRPr="00734AE0">
        <w:rPr>
          <w:rStyle w:val="tlid-translation"/>
          <w:rFonts w:cstheme="minorHAnsi"/>
          <w:color w:val="000000" w:themeColor="text1"/>
          <w:sz w:val="24"/>
          <w:szCs w:val="24"/>
        </w:rPr>
        <w:t xml:space="preserve"> pak </w:t>
      </w:r>
      <w:r w:rsidR="00734AE0" w:rsidRPr="00734AE0">
        <w:rPr>
          <w:rStyle w:val="tlid-translation"/>
          <w:rFonts w:cstheme="minorHAnsi"/>
          <w:color w:val="000000" w:themeColor="text1"/>
          <w:sz w:val="24"/>
          <w:szCs w:val="24"/>
        </w:rPr>
        <w:t xml:space="preserve">budou </w:t>
      </w:r>
      <w:r w:rsidRPr="00734AE0">
        <w:rPr>
          <w:rStyle w:val="tlid-translation"/>
          <w:rFonts w:cstheme="minorHAnsi"/>
          <w:color w:val="000000" w:themeColor="text1"/>
          <w:sz w:val="24"/>
          <w:szCs w:val="24"/>
        </w:rPr>
        <w:t xml:space="preserve">sledovány vládní (fiskální </w:t>
      </w:r>
      <w:r w:rsidRPr="00910D27">
        <w:rPr>
          <w:rStyle w:val="tlid-translation"/>
          <w:rFonts w:cstheme="minorHAnsi"/>
          <w:sz w:val="24"/>
          <w:szCs w:val="24"/>
        </w:rPr>
        <w:t xml:space="preserve">a měnové) reakce na cenový šok z ropy, související růst rozpočtových deficitů a možný nástup/akcelerace recese. </w:t>
      </w:r>
    </w:p>
    <w:p w14:paraId="264F09B9" w14:textId="08352819" w:rsidR="00943021" w:rsidRDefault="00734AE0" w:rsidP="00455334">
      <w:pPr>
        <w:spacing w:after="100" w:afterAutospacing="1" w:line="240" w:lineRule="auto"/>
        <w:ind w:firstLine="567"/>
        <w:jc w:val="both"/>
        <w:rPr>
          <w:sz w:val="24"/>
          <w:szCs w:val="24"/>
        </w:rPr>
      </w:pPr>
      <w:r>
        <w:rPr>
          <w:sz w:val="24"/>
          <w:szCs w:val="24"/>
        </w:rPr>
        <w:t>P</w:t>
      </w:r>
      <w:r w:rsidR="00943021" w:rsidRPr="00943021">
        <w:rPr>
          <w:sz w:val="24"/>
          <w:szCs w:val="24"/>
        </w:rPr>
        <w:t>otenciál vlivu změny ceny ropy na různé makroekonomické indikátory v zemích, které vyvážejí</w:t>
      </w:r>
      <w:r>
        <w:rPr>
          <w:sz w:val="24"/>
          <w:szCs w:val="24"/>
        </w:rPr>
        <w:t xml:space="preserve"> ropu</w:t>
      </w:r>
      <w:r w:rsidR="00943021" w:rsidRPr="00943021">
        <w:rPr>
          <w:sz w:val="24"/>
          <w:szCs w:val="24"/>
        </w:rPr>
        <w:t xml:space="preserve">, </w:t>
      </w:r>
      <w:r>
        <w:rPr>
          <w:sz w:val="24"/>
          <w:szCs w:val="24"/>
        </w:rPr>
        <w:t xml:space="preserve">a v ČR </w:t>
      </w:r>
      <w:r w:rsidRPr="00943021">
        <w:rPr>
          <w:sz w:val="24"/>
          <w:szCs w:val="24"/>
        </w:rPr>
        <w:t>budeme hodnotit</w:t>
      </w:r>
      <w:r>
        <w:rPr>
          <w:sz w:val="24"/>
          <w:szCs w:val="24"/>
        </w:rPr>
        <w:t xml:space="preserve"> s využitím různých regresních modelů</w:t>
      </w:r>
      <w:r w:rsidR="00943021" w:rsidRPr="00943021">
        <w:rPr>
          <w:sz w:val="24"/>
          <w:szCs w:val="24"/>
        </w:rPr>
        <w:t xml:space="preserve">. </w:t>
      </w:r>
      <w:r>
        <w:rPr>
          <w:sz w:val="24"/>
          <w:szCs w:val="24"/>
        </w:rPr>
        <w:t>Prostřednictvím</w:t>
      </w:r>
      <w:r w:rsidR="00943021" w:rsidRPr="00943021">
        <w:rPr>
          <w:sz w:val="24"/>
          <w:szCs w:val="24"/>
        </w:rPr>
        <w:t xml:space="preserve"> regresní analýzy ověříme vztah mezi růstem ceny ropy typu Brent a </w:t>
      </w:r>
      <w:r w:rsidR="003C4239">
        <w:rPr>
          <w:sz w:val="24"/>
          <w:szCs w:val="24"/>
        </w:rPr>
        <w:t>změnami v HDP a v</w:t>
      </w:r>
      <w:r w:rsidR="00943021" w:rsidRPr="00943021">
        <w:rPr>
          <w:sz w:val="24"/>
          <w:szCs w:val="24"/>
        </w:rPr>
        <w:t> indexu spotřebitelských cen</w:t>
      </w:r>
      <w:r w:rsidR="00471E31">
        <w:rPr>
          <w:sz w:val="24"/>
          <w:szCs w:val="24"/>
        </w:rPr>
        <w:t xml:space="preserve"> (CPI</w:t>
      </w:r>
      <w:proofErr w:type="gramStart"/>
      <w:r w:rsidR="00471E31">
        <w:rPr>
          <w:sz w:val="24"/>
          <w:szCs w:val="24"/>
        </w:rPr>
        <w:t>)</w:t>
      </w:r>
      <w:r w:rsidR="00943021" w:rsidRPr="00943021">
        <w:rPr>
          <w:sz w:val="24"/>
          <w:szCs w:val="24"/>
        </w:rPr>
        <w:t>,.</w:t>
      </w:r>
      <w:proofErr w:type="gramEnd"/>
      <w:r w:rsidR="00943021" w:rsidRPr="00943021">
        <w:rPr>
          <w:sz w:val="24"/>
          <w:szCs w:val="24"/>
        </w:rPr>
        <w:t xml:space="preserve"> Všechny proměnné budou představovat meziměsíční relativní změny v běžných cenách 10/2019 až 10/2020. </w:t>
      </w:r>
      <w:proofErr w:type="spellStart"/>
      <w:r w:rsidR="00943021" w:rsidRPr="00943021">
        <w:rPr>
          <w:sz w:val="24"/>
          <w:szCs w:val="24"/>
        </w:rPr>
        <w:t>Stacionarita</w:t>
      </w:r>
      <w:proofErr w:type="spellEnd"/>
      <w:r w:rsidR="00943021" w:rsidRPr="00943021">
        <w:rPr>
          <w:sz w:val="24"/>
          <w:szCs w:val="24"/>
        </w:rPr>
        <w:t xml:space="preserve"> makroekonomických proměnných bude testována před vytvořením modelů časových řad.</w:t>
      </w:r>
    </w:p>
    <w:p w14:paraId="4134CB29" w14:textId="77777777" w:rsidR="00943021" w:rsidRPr="00943021" w:rsidRDefault="00943021" w:rsidP="00455334">
      <w:pPr>
        <w:spacing w:after="100" w:afterAutospacing="1" w:line="240" w:lineRule="auto"/>
        <w:ind w:firstLine="567"/>
        <w:jc w:val="both"/>
        <w:rPr>
          <w:sz w:val="24"/>
          <w:szCs w:val="24"/>
        </w:rPr>
      </w:pPr>
      <w:r w:rsidRPr="00943021">
        <w:rPr>
          <w:sz w:val="24"/>
          <w:szCs w:val="24"/>
        </w:rPr>
        <w:t>Použijeme VAR(p) model, který bude definován následujícím způsobem:</w:t>
      </w:r>
    </w:p>
    <w:p w14:paraId="2162AC47" w14:textId="77777777" w:rsidR="00943021" w:rsidRPr="00943021" w:rsidRDefault="00943021" w:rsidP="00455334">
      <w:pPr>
        <w:autoSpaceDE w:val="0"/>
        <w:autoSpaceDN w:val="0"/>
        <w:adjustRightInd w:val="0"/>
        <w:spacing w:after="100" w:afterAutospacing="1" w:line="240" w:lineRule="auto"/>
        <w:jc w:val="center"/>
        <w:rPr>
          <w:sz w:val="24"/>
          <w:szCs w:val="24"/>
          <w:lang w:val="en-GB"/>
        </w:rPr>
      </w:pPr>
      <w:proofErr w:type="spellStart"/>
      <w:r w:rsidRPr="00943021">
        <w:rPr>
          <w:sz w:val="24"/>
          <w:szCs w:val="24"/>
          <w:lang w:val="en-GB"/>
        </w:rPr>
        <w:t>yt</w:t>
      </w:r>
      <w:proofErr w:type="spellEnd"/>
      <w:r w:rsidRPr="00943021">
        <w:rPr>
          <w:sz w:val="24"/>
          <w:szCs w:val="24"/>
          <w:lang w:val="en-GB"/>
        </w:rPr>
        <w:t xml:space="preserve"> = μ + Φ1yt−1 + Φ2yt−2 + . . . + </w:t>
      </w:r>
      <w:proofErr w:type="spellStart"/>
      <w:r w:rsidRPr="00943021">
        <w:rPr>
          <w:sz w:val="24"/>
          <w:szCs w:val="24"/>
          <w:lang w:val="en-GB"/>
        </w:rPr>
        <w:t>Φpyt</w:t>
      </w:r>
      <w:proofErr w:type="spellEnd"/>
      <w:r w:rsidRPr="00943021">
        <w:rPr>
          <w:sz w:val="24"/>
          <w:szCs w:val="24"/>
          <w:lang w:val="en-GB"/>
        </w:rPr>
        <w:t xml:space="preserve">−p + </w:t>
      </w:r>
      <w:proofErr w:type="spellStart"/>
      <w:r w:rsidRPr="00943021">
        <w:rPr>
          <w:sz w:val="24"/>
          <w:szCs w:val="24"/>
          <w:lang w:val="en-GB"/>
        </w:rPr>
        <w:t>υt</w:t>
      </w:r>
      <w:proofErr w:type="spellEnd"/>
      <w:r w:rsidRPr="00943021">
        <w:rPr>
          <w:sz w:val="24"/>
          <w:szCs w:val="24"/>
          <w:lang w:val="en-GB"/>
        </w:rPr>
        <w:t xml:space="preserve">, t = 1, </w:t>
      </w:r>
      <w:proofErr w:type="gramStart"/>
      <w:r w:rsidRPr="00943021">
        <w:rPr>
          <w:sz w:val="24"/>
          <w:szCs w:val="24"/>
          <w:lang w:val="en-GB"/>
        </w:rPr>
        <w:t>. . . ,</w:t>
      </w:r>
      <w:proofErr w:type="gramEnd"/>
      <w:r w:rsidRPr="00943021">
        <w:rPr>
          <w:sz w:val="24"/>
          <w:szCs w:val="24"/>
          <w:lang w:val="en-GB"/>
        </w:rPr>
        <w:t xml:space="preserve"> T,</w:t>
      </w:r>
    </w:p>
    <w:p w14:paraId="6177E51A" w14:textId="77777777" w:rsidR="00943021" w:rsidRPr="00943021" w:rsidRDefault="00943021" w:rsidP="00455334">
      <w:pPr>
        <w:spacing w:after="100" w:afterAutospacing="1" w:line="240" w:lineRule="auto"/>
        <w:jc w:val="both"/>
        <w:rPr>
          <w:sz w:val="24"/>
          <w:szCs w:val="24"/>
        </w:rPr>
      </w:pPr>
      <w:r w:rsidRPr="00943021">
        <w:rPr>
          <w:sz w:val="24"/>
          <w:szCs w:val="24"/>
        </w:rPr>
        <w:t xml:space="preserve">kde p je počet autoregresních zpoždění, </w:t>
      </w:r>
      <w:proofErr w:type="spellStart"/>
      <w:r w:rsidRPr="00943021">
        <w:rPr>
          <w:i/>
          <w:iCs/>
          <w:sz w:val="24"/>
          <w:szCs w:val="24"/>
        </w:rPr>
        <w:t>yt</w:t>
      </w:r>
      <w:proofErr w:type="spellEnd"/>
      <w:r w:rsidRPr="00943021">
        <w:rPr>
          <w:i/>
          <w:iCs/>
          <w:sz w:val="24"/>
          <w:szCs w:val="24"/>
        </w:rPr>
        <w:t xml:space="preserve"> = (y1t, y2t, … , </w:t>
      </w:r>
      <w:proofErr w:type="spellStart"/>
      <w:r w:rsidRPr="00943021">
        <w:rPr>
          <w:i/>
          <w:iCs/>
          <w:sz w:val="24"/>
          <w:szCs w:val="24"/>
        </w:rPr>
        <w:t>ynt</w:t>
      </w:r>
      <w:proofErr w:type="spellEnd"/>
      <w:r w:rsidRPr="00943021">
        <w:rPr>
          <w:i/>
          <w:iCs/>
          <w:sz w:val="24"/>
          <w:szCs w:val="24"/>
        </w:rPr>
        <w:t>)</w:t>
      </w:r>
      <w:r w:rsidRPr="00943021">
        <w:rPr>
          <w:iCs/>
          <w:sz w:val="24"/>
          <w:szCs w:val="24"/>
        </w:rPr>
        <w:t xml:space="preserve"> představuje vektor n časových řad, </w:t>
      </w:r>
      <w:proofErr w:type="spellStart"/>
      <w:r w:rsidRPr="00943021">
        <w:rPr>
          <w:i/>
          <w:iCs/>
          <w:sz w:val="24"/>
          <w:szCs w:val="24"/>
        </w:rPr>
        <w:t>Φ</w:t>
      </w:r>
      <w:r w:rsidRPr="00943021">
        <w:rPr>
          <w:i/>
          <w:iCs/>
          <w:sz w:val="24"/>
          <w:szCs w:val="24"/>
          <w:vertAlign w:val="subscript"/>
        </w:rPr>
        <w:t>i</w:t>
      </w:r>
      <w:proofErr w:type="spellEnd"/>
      <w:r w:rsidRPr="00943021">
        <w:rPr>
          <w:i/>
          <w:iCs/>
          <w:sz w:val="24"/>
          <w:szCs w:val="24"/>
          <w:vertAlign w:val="subscript"/>
        </w:rPr>
        <w:t xml:space="preserve"> </w:t>
      </w:r>
      <w:r w:rsidRPr="00943021">
        <w:rPr>
          <w:color w:val="FF0000"/>
          <w:sz w:val="24"/>
          <w:szCs w:val="24"/>
        </w:rPr>
        <w:t xml:space="preserve"> </w:t>
      </w:r>
      <w:r w:rsidRPr="00943021">
        <w:rPr>
          <w:sz w:val="24"/>
          <w:szCs w:val="24"/>
        </w:rPr>
        <w:t xml:space="preserve">jsou </w:t>
      </w:r>
      <w:r w:rsidRPr="00943021">
        <w:rPr>
          <w:color w:val="FF0000"/>
          <w:sz w:val="24"/>
          <w:szCs w:val="24"/>
        </w:rPr>
        <w:t xml:space="preserve"> </w:t>
      </w:r>
      <w:r w:rsidRPr="00943021">
        <w:rPr>
          <w:sz w:val="24"/>
          <w:szCs w:val="24"/>
        </w:rPr>
        <w:t xml:space="preserve">koeficienty matic (n × n) a </w:t>
      </w:r>
      <w:proofErr w:type="spellStart"/>
      <w:r w:rsidRPr="00943021">
        <w:rPr>
          <w:i/>
          <w:iCs/>
          <w:sz w:val="24"/>
          <w:szCs w:val="24"/>
        </w:rPr>
        <w:t>υt</w:t>
      </w:r>
      <w:proofErr w:type="spellEnd"/>
      <w:r w:rsidRPr="00943021">
        <w:rPr>
          <w:i/>
          <w:iCs/>
          <w:sz w:val="24"/>
          <w:szCs w:val="24"/>
          <w:shd w:val="clear" w:color="auto" w:fill="FFFFFF"/>
        </w:rPr>
        <w:t xml:space="preserve"> </w:t>
      </w:r>
      <w:r w:rsidRPr="00943021">
        <w:rPr>
          <w:iCs/>
          <w:sz w:val="24"/>
          <w:szCs w:val="24"/>
          <w:shd w:val="clear" w:color="auto" w:fill="FFFFFF"/>
        </w:rPr>
        <w:t>je</w:t>
      </w:r>
      <w:r w:rsidRPr="00943021">
        <w:rPr>
          <w:i/>
          <w:iCs/>
          <w:sz w:val="24"/>
          <w:szCs w:val="24"/>
          <w:shd w:val="clear" w:color="auto" w:fill="FFFFFF"/>
        </w:rPr>
        <w:t xml:space="preserve"> </w:t>
      </w:r>
      <w:r w:rsidRPr="00943021">
        <w:rPr>
          <w:sz w:val="24"/>
          <w:szCs w:val="24"/>
        </w:rPr>
        <w:t>(n×1</w:t>
      </w:r>
      <w:r w:rsidRPr="00943021">
        <w:rPr>
          <w:iCs/>
          <w:sz w:val="24"/>
          <w:szCs w:val="24"/>
        </w:rPr>
        <w:t xml:space="preserve">) vektor nepozorovaného bílého šumu s nulovou střední hodnotou a časově neměnnou </w:t>
      </w:r>
      <w:proofErr w:type="spellStart"/>
      <w:r w:rsidRPr="00943021">
        <w:rPr>
          <w:iCs/>
          <w:sz w:val="24"/>
          <w:szCs w:val="24"/>
        </w:rPr>
        <w:t>kovarianční</w:t>
      </w:r>
      <w:proofErr w:type="spellEnd"/>
      <w:r w:rsidRPr="00943021">
        <w:rPr>
          <w:iCs/>
          <w:sz w:val="24"/>
          <w:szCs w:val="24"/>
        </w:rPr>
        <w:t xml:space="preserve"> maticí </w:t>
      </w:r>
      <w:r w:rsidRPr="00943021">
        <w:rPr>
          <w:sz w:val="24"/>
          <w:szCs w:val="24"/>
        </w:rPr>
        <w:t>Σ.</w:t>
      </w:r>
    </w:p>
    <w:p w14:paraId="4F9CF0F5" w14:textId="6A71446D" w:rsidR="00910D27" w:rsidRPr="00943021" w:rsidRDefault="00943021" w:rsidP="00455334">
      <w:pPr>
        <w:spacing w:after="100" w:afterAutospacing="1" w:line="240" w:lineRule="auto"/>
        <w:jc w:val="both"/>
        <w:rPr>
          <w:sz w:val="24"/>
          <w:szCs w:val="24"/>
        </w:rPr>
      </w:pPr>
      <w:r w:rsidRPr="00943021">
        <w:rPr>
          <w:sz w:val="24"/>
          <w:szCs w:val="24"/>
        </w:rPr>
        <w:tab/>
        <w:t>VAR model je jedním z nejúspěšnějších a nejflexibilnějších modelů pro analýzu vícerozměrných časových řad</w:t>
      </w:r>
      <w:r w:rsidR="00CC58E1">
        <w:rPr>
          <w:sz w:val="24"/>
          <w:szCs w:val="24"/>
        </w:rPr>
        <w:t xml:space="preserve"> a</w:t>
      </w:r>
      <w:r w:rsidR="00CC58E1" w:rsidRPr="00943021">
        <w:rPr>
          <w:sz w:val="24"/>
          <w:szCs w:val="24"/>
        </w:rPr>
        <w:t xml:space="preserve"> </w:t>
      </w:r>
      <w:r w:rsidRPr="00943021">
        <w:rPr>
          <w:sz w:val="24"/>
          <w:szCs w:val="24"/>
        </w:rPr>
        <w:t>rovněž již prokázal, že je využitelný hlavně pro popis dynamického chování ekonomických a finančních časových řad (</w:t>
      </w:r>
      <w:proofErr w:type="spellStart"/>
      <w:r w:rsidRPr="00943021">
        <w:rPr>
          <w:sz w:val="24"/>
          <w:szCs w:val="24"/>
        </w:rPr>
        <w:t>Wooldridge</w:t>
      </w:r>
      <w:proofErr w:type="spellEnd"/>
      <w:r w:rsidRPr="00943021">
        <w:rPr>
          <w:sz w:val="24"/>
          <w:szCs w:val="24"/>
        </w:rPr>
        <w:t xml:space="preserve"> 2010). Navíc ve VAR modelu je každá proměnná vyjádřena jako funkce svých vlastních zpoždění a zpoždění jako funkce všech ostatních proměnných v systému. Struktura zpoždění všech proměnných ve všech rovnicích je stejná; proto jsou proměnné na pravé straně každé rovnice VAR modelu identické. Protože hodnoty proměnných jsou částečně vysvětleny minulými hodnotami zkoumaných proměnných, VAR modely jsou široce využívány pro předpovídání.</w:t>
      </w:r>
    </w:p>
    <w:p w14:paraId="52D4D107" w14:textId="77777777" w:rsidR="0018460D" w:rsidRPr="00222678" w:rsidRDefault="0018460D" w:rsidP="00455334">
      <w:pPr>
        <w:spacing w:after="100" w:afterAutospacing="1" w:line="240" w:lineRule="auto"/>
        <w:ind w:firstLine="708"/>
        <w:jc w:val="both"/>
        <w:rPr>
          <w:rFonts w:cstheme="minorHAnsi"/>
          <w:sz w:val="24"/>
          <w:szCs w:val="24"/>
        </w:rPr>
      </w:pPr>
      <w:r>
        <w:rPr>
          <w:rFonts w:cstheme="minorHAnsi"/>
          <w:sz w:val="24"/>
          <w:szCs w:val="24"/>
        </w:rPr>
        <w:t>E</w:t>
      </w:r>
      <w:r w:rsidRPr="00560CF2">
        <w:rPr>
          <w:rFonts w:cstheme="minorHAnsi"/>
          <w:sz w:val="24"/>
          <w:szCs w:val="24"/>
        </w:rPr>
        <w:t xml:space="preserve">konomické dopady </w:t>
      </w:r>
      <w:r>
        <w:rPr>
          <w:rFonts w:cstheme="minorHAnsi"/>
          <w:sz w:val="24"/>
          <w:szCs w:val="24"/>
        </w:rPr>
        <w:t xml:space="preserve">jsou v případě producentských států </w:t>
      </w:r>
      <w:r w:rsidRPr="00560CF2">
        <w:rPr>
          <w:rFonts w:cstheme="minorHAnsi"/>
          <w:sz w:val="24"/>
          <w:szCs w:val="24"/>
        </w:rPr>
        <w:t>považovány za hybné síly pro vnitropolitický vývoj a následně pro možné korekce jejich vnitřní, potažmo zahraniční politiky.</w:t>
      </w:r>
      <w:r>
        <w:rPr>
          <w:rFonts w:cstheme="minorHAnsi"/>
          <w:sz w:val="24"/>
          <w:szCs w:val="24"/>
        </w:rPr>
        <w:t xml:space="preserve"> </w:t>
      </w:r>
      <w:r w:rsidR="00BB1C5C" w:rsidRPr="00560CF2">
        <w:rPr>
          <w:rFonts w:cstheme="minorHAnsi"/>
          <w:sz w:val="24"/>
          <w:szCs w:val="24"/>
        </w:rPr>
        <w:t xml:space="preserve">Toto je zásadní s ohledem na </w:t>
      </w:r>
      <w:r w:rsidR="00B017E7" w:rsidRPr="00560CF2">
        <w:rPr>
          <w:rFonts w:cstheme="minorHAnsi"/>
          <w:sz w:val="24"/>
          <w:szCs w:val="24"/>
        </w:rPr>
        <w:t xml:space="preserve">identifikaci možných dopadů na ekonomickou a sociální stabilitu </w:t>
      </w:r>
      <w:r w:rsidR="00254324" w:rsidRPr="00560CF2">
        <w:rPr>
          <w:rFonts w:cstheme="minorHAnsi"/>
          <w:sz w:val="24"/>
          <w:szCs w:val="24"/>
        </w:rPr>
        <w:lastRenderedPageBreak/>
        <w:t>producentských států. V</w:t>
      </w:r>
      <w:r w:rsidR="00637B24" w:rsidRPr="00560CF2">
        <w:rPr>
          <w:rFonts w:cstheme="minorHAnsi"/>
          <w:sz w:val="24"/>
          <w:szCs w:val="24"/>
        </w:rPr>
        <w:t xml:space="preserve"> politické části </w:t>
      </w:r>
      <w:r w:rsidR="00423BE4">
        <w:rPr>
          <w:rFonts w:cstheme="minorHAnsi"/>
          <w:sz w:val="24"/>
          <w:szCs w:val="24"/>
        </w:rPr>
        <w:t xml:space="preserve">tak </w:t>
      </w:r>
      <w:r w:rsidR="00254324" w:rsidRPr="00560CF2">
        <w:rPr>
          <w:rFonts w:cstheme="minorHAnsi"/>
          <w:sz w:val="24"/>
          <w:szCs w:val="24"/>
        </w:rPr>
        <w:t xml:space="preserve">bude </w:t>
      </w:r>
      <w:r w:rsidR="00637B24" w:rsidRPr="00560CF2">
        <w:rPr>
          <w:rFonts w:cstheme="minorHAnsi"/>
          <w:sz w:val="24"/>
          <w:szCs w:val="24"/>
        </w:rPr>
        <w:t xml:space="preserve">na ekonomický </w:t>
      </w:r>
      <w:r w:rsidR="00637B24" w:rsidRPr="00222678">
        <w:rPr>
          <w:rFonts w:cstheme="minorHAnsi"/>
          <w:sz w:val="24"/>
          <w:szCs w:val="24"/>
        </w:rPr>
        <w:t xml:space="preserve">rozbor </w:t>
      </w:r>
      <w:r w:rsidR="00254324" w:rsidRPr="00222678">
        <w:rPr>
          <w:rFonts w:cstheme="minorHAnsi"/>
          <w:sz w:val="24"/>
          <w:szCs w:val="24"/>
        </w:rPr>
        <w:t xml:space="preserve">navazovat </w:t>
      </w:r>
      <w:r w:rsidR="00637B24" w:rsidRPr="00222678">
        <w:rPr>
          <w:rFonts w:cstheme="minorHAnsi"/>
          <w:sz w:val="24"/>
          <w:szCs w:val="24"/>
        </w:rPr>
        <w:t xml:space="preserve">analýza přímých </w:t>
      </w:r>
      <w:r w:rsidR="00254324" w:rsidRPr="00222678">
        <w:rPr>
          <w:rFonts w:cstheme="minorHAnsi"/>
          <w:sz w:val="24"/>
          <w:szCs w:val="24"/>
        </w:rPr>
        <w:t xml:space="preserve">a nepřímých </w:t>
      </w:r>
      <w:r w:rsidR="00637B24" w:rsidRPr="00222678">
        <w:rPr>
          <w:rFonts w:cstheme="minorHAnsi"/>
          <w:sz w:val="24"/>
          <w:szCs w:val="24"/>
        </w:rPr>
        <w:t xml:space="preserve">dopadů poklesu cen ropy na politickou, bezpečnostní a společenskou situaci v zasažených </w:t>
      </w:r>
      <w:r w:rsidR="00254324" w:rsidRPr="00222678">
        <w:rPr>
          <w:rFonts w:cstheme="minorHAnsi"/>
          <w:sz w:val="24"/>
          <w:szCs w:val="24"/>
        </w:rPr>
        <w:t>regionech</w:t>
      </w:r>
      <w:r w:rsidR="00423BE4" w:rsidRPr="00222678">
        <w:rPr>
          <w:rFonts w:cstheme="minorHAnsi"/>
          <w:sz w:val="24"/>
          <w:szCs w:val="24"/>
        </w:rPr>
        <w:t xml:space="preserve"> (budou využity kvalitativní analytické metody výzkumu). </w:t>
      </w:r>
      <w:r w:rsidRPr="00222678">
        <w:rPr>
          <w:rFonts w:cstheme="minorHAnsi"/>
          <w:sz w:val="24"/>
          <w:szCs w:val="24"/>
        </w:rPr>
        <w:t xml:space="preserve">Výzkum se soustředí na tyto identifikované </w:t>
      </w:r>
      <w:r w:rsidR="00B337AD" w:rsidRPr="00222678">
        <w:rPr>
          <w:rFonts w:cstheme="minorHAnsi"/>
          <w:sz w:val="24"/>
          <w:szCs w:val="24"/>
        </w:rPr>
        <w:t>oblasti</w:t>
      </w:r>
      <w:r w:rsidRPr="00222678">
        <w:rPr>
          <w:rFonts w:cstheme="minorHAnsi"/>
          <w:sz w:val="24"/>
          <w:szCs w:val="24"/>
        </w:rPr>
        <w:t>:</w:t>
      </w:r>
    </w:p>
    <w:p w14:paraId="4963D435" w14:textId="77777777" w:rsidR="00423BE4" w:rsidRPr="00222678" w:rsidRDefault="00423BE4" w:rsidP="00455334">
      <w:pPr>
        <w:pStyle w:val="Odstavecseseznamem"/>
        <w:numPr>
          <w:ilvl w:val="0"/>
          <w:numId w:val="7"/>
        </w:numPr>
        <w:spacing w:after="100" w:afterAutospacing="1" w:line="240" w:lineRule="auto"/>
        <w:jc w:val="both"/>
        <w:rPr>
          <w:rFonts w:asciiTheme="majorHAnsi" w:hAnsiTheme="majorHAnsi" w:cstheme="minorHAnsi"/>
          <w:sz w:val="24"/>
          <w:szCs w:val="24"/>
        </w:rPr>
      </w:pPr>
      <w:r w:rsidRPr="00222678">
        <w:rPr>
          <w:rFonts w:asciiTheme="majorHAnsi" w:hAnsiTheme="majorHAnsi" w:cstheme="minorHAnsi"/>
          <w:sz w:val="24"/>
          <w:szCs w:val="24"/>
        </w:rPr>
        <w:t xml:space="preserve">východiska a </w:t>
      </w:r>
      <w:r w:rsidR="00130A55" w:rsidRPr="00222678">
        <w:rPr>
          <w:rFonts w:asciiTheme="majorHAnsi" w:hAnsiTheme="majorHAnsi" w:cstheme="minorHAnsi"/>
          <w:sz w:val="24"/>
          <w:szCs w:val="24"/>
        </w:rPr>
        <w:t xml:space="preserve">předem dané </w:t>
      </w:r>
      <w:r w:rsidRPr="00222678">
        <w:rPr>
          <w:rFonts w:asciiTheme="majorHAnsi" w:hAnsiTheme="majorHAnsi" w:cstheme="minorHAnsi"/>
          <w:sz w:val="24"/>
          <w:szCs w:val="24"/>
        </w:rPr>
        <w:t xml:space="preserve">skutečnosti mající dopad na </w:t>
      </w:r>
      <w:r w:rsidR="00393BDC" w:rsidRPr="00222678">
        <w:rPr>
          <w:rFonts w:asciiTheme="majorHAnsi" w:hAnsiTheme="majorHAnsi" w:cstheme="minorHAnsi"/>
          <w:sz w:val="24"/>
          <w:szCs w:val="24"/>
        </w:rPr>
        <w:t>(ne)</w:t>
      </w:r>
      <w:r w:rsidRPr="00222678">
        <w:rPr>
          <w:rFonts w:asciiTheme="majorHAnsi" w:hAnsiTheme="majorHAnsi" w:cstheme="minorHAnsi"/>
          <w:sz w:val="24"/>
          <w:szCs w:val="24"/>
        </w:rPr>
        <w:t>stabilitu producentských zemí</w:t>
      </w:r>
      <w:r w:rsidR="00393BDC" w:rsidRPr="00222678">
        <w:rPr>
          <w:rFonts w:asciiTheme="majorHAnsi" w:hAnsiTheme="majorHAnsi" w:cstheme="minorHAnsi"/>
          <w:sz w:val="24"/>
          <w:szCs w:val="24"/>
        </w:rPr>
        <w:t xml:space="preserve"> v případě cenového šoku</w:t>
      </w:r>
    </w:p>
    <w:p w14:paraId="15D0C6DB" w14:textId="77777777" w:rsidR="00423BE4" w:rsidRPr="00222678" w:rsidRDefault="00423BE4" w:rsidP="00455334">
      <w:pPr>
        <w:pStyle w:val="Odstavecseseznamem"/>
        <w:numPr>
          <w:ilvl w:val="0"/>
          <w:numId w:val="7"/>
        </w:numPr>
        <w:spacing w:after="100" w:afterAutospacing="1" w:line="240" w:lineRule="auto"/>
        <w:jc w:val="both"/>
        <w:rPr>
          <w:rFonts w:asciiTheme="majorHAnsi" w:hAnsiTheme="majorHAnsi" w:cstheme="minorHAnsi"/>
          <w:sz w:val="24"/>
          <w:szCs w:val="24"/>
        </w:rPr>
      </w:pPr>
      <w:r w:rsidRPr="00222678">
        <w:rPr>
          <w:rFonts w:asciiTheme="majorHAnsi" w:hAnsiTheme="majorHAnsi" w:cstheme="minorHAnsi"/>
          <w:sz w:val="24"/>
          <w:szCs w:val="24"/>
        </w:rPr>
        <w:t>přímé dopady</w:t>
      </w:r>
      <w:r w:rsidR="00393BDC" w:rsidRPr="00222678">
        <w:rPr>
          <w:rFonts w:asciiTheme="majorHAnsi" w:hAnsiTheme="majorHAnsi" w:cstheme="minorHAnsi"/>
          <w:sz w:val="24"/>
          <w:szCs w:val="24"/>
        </w:rPr>
        <w:t xml:space="preserve"> cenových šoků</w:t>
      </w:r>
      <w:r w:rsidRPr="00222678">
        <w:rPr>
          <w:rFonts w:asciiTheme="majorHAnsi" w:hAnsiTheme="majorHAnsi" w:cstheme="minorHAnsi"/>
          <w:sz w:val="24"/>
          <w:szCs w:val="24"/>
        </w:rPr>
        <w:t>: vztahy mezi ekonomickou a politickou, sociální a bezpečnostní nestabilit</w:t>
      </w:r>
      <w:r w:rsidR="00F413D7" w:rsidRPr="00222678">
        <w:rPr>
          <w:rFonts w:asciiTheme="majorHAnsi" w:hAnsiTheme="majorHAnsi" w:cstheme="minorHAnsi"/>
          <w:sz w:val="24"/>
          <w:szCs w:val="24"/>
        </w:rPr>
        <w:t>ou</w:t>
      </w:r>
    </w:p>
    <w:p w14:paraId="05696B9F" w14:textId="43A9B598" w:rsidR="00423BE4" w:rsidRPr="00222678" w:rsidRDefault="00423BE4" w:rsidP="00455334">
      <w:pPr>
        <w:pStyle w:val="Odstavecseseznamem"/>
        <w:numPr>
          <w:ilvl w:val="0"/>
          <w:numId w:val="7"/>
        </w:numPr>
        <w:spacing w:after="100" w:afterAutospacing="1" w:line="240" w:lineRule="auto"/>
        <w:jc w:val="both"/>
        <w:rPr>
          <w:rFonts w:asciiTheme="majorHAnsi" w:hAnsiTheme="majorHAnsi" w:cstheme="minorHAnsi"/>
          <w:sz w:val="24"/>
          <w:szCs w:val="24"/>
        </w:rPr>
      </w:pPr>
      <w:r w:rsidRPr="00222678">
        <w:rPr>
          <w:rFonts w:asciiTheme="majorHAnsi" w:hAnsiTheme="majorHAnsi" w:cstheme="minorHAnsi"/>
          <w:sz w:val="24"/>
          <w:szCs w:val="24"/>
        </w:rPr>
        <w:t>nepřímé dopady na bilaterální vazby producentských zemí v klíčových regionech s odběratelskými zeměmi</w:t>
      </w:r>
    </w:p>
    <w:p w14:paraId="38525EBF" w14:textId="6DB60400" w:rsidR="00F413D7" w:rsidRPr="00222678" w:rsidRDefault="00F413D7" w:rsidP="00455334">
      <w:pPr>
        <w:pStyle w:val="Odstavecseseznamem"/>
        <w:numPr>
          <w:ilvl w:val="0"/>
          <w:numId w:val="7"/>
        </w:numPr>
        <w:spacing w:after="100" w:afterAutospacing="1" w:line="240" w:lineRule="auto"/>
        <w:jc w:val="both"/>
        <w:rPr>
          <w:rFonts w:asciiTheme="majorHAnsi" w:hAnsiTheme="majorHAnsi" w:cstheme="minorHAnsi"/>
          <w:sz w:val="24"/>
          <w:szCs w:val="24"/>
        </w:rPr>
      </w:pPr>
      <w:r w:rsidRPr="00222678">
        <w:rPr>
          <w:rFonts w:asciiTheme="majorHAnsi" w:hAnsiTheme="majorHAnsi" w:cstheme="minorHAnsi"/>
          <w:sz w:val="24"/>
          <w:szCs w:val="24"/>
        </w:rPr>
        <w:t xml:space="preserve">hrozby a rizika v rovině politické, ekonomické a bezpečnostní </w:t>
      </w:r>
    </w:p>
    <w:p w14:paraId="4B0990C4" w14:textId="77777777" w:rsidR="00F413D7" w:rsidRPr="00222678" w:rsidRDefault="00F413D7" w:rsidP="00455334">
      <w:pPr>
        <w:pStyle w:val="Odstavecseseznamem"/>
        <w:numPr>
          <w:ilvl w:val="0"/>
          <w:numId w:val="7"/>
        </w:numPr>
        <w:spacing w:after="100" w:afterAutospacing="1" w:line="240" w:lineRule="auto"/>
        <w:jc w:val="both"/>
        <w:rPr>
          <w:rFonts w:asciiTheme="majorHAnsi" w:hAnsiTheme="majorHAnsi" w:cstheme="minorHAnsi"/>
          <w:sz w:val="24"/>
          <w:szCs w:val="24"/>
        </w:rPr>
      </w:pPr>
      <w:r w:rsidRPr="00222678">
        <w:rPr>
          <w:rFonts w:asciiTheme="majorHAnsi" w:hAnsiTheme="majorHAnsi" w:cstheme="minorHAnsi"/>
          <w:sz w:val="24"/>
          <w:szCs w:val="24"/>
        </w:rPr>
        <w:t>hybné síly destabilizace producentských států (mimo cenový šok)</w:t>
      </w:r>
    </w:p>
    <w:p w14:paraId="49037EB4" w14:textId="77777777" w:rsidR="00423BE4" w:rsidRPr="00222678" w:rsidRDefault="00F413D7" w:rsidP="00455334">
      <w:pPr>
        <w:pStyle w:val="Odstavecseseznamem"/>
        <w:numPr>
          <w:ilvl w:val="0"/>
          <w:numId w:val="7"/>
        </w:numPr>
        <w:spacing w:after="100" w:afterAutospacing="1" w:line="240" w:lineRule="auto"/>
        <w:jc w:val="both"/>
        <w:rPr>
          <w:rFonts w:asciiTheme="majorHAnsi" w:hAnsiTheme="majorHAnsi" w:cstheme="minorHAnsi"/>
          <w:sz w:val="24"/>
          <w:szCs w:val="24"/>
        </w:rPr>
      </w:pPr>
      <w:r w:rsidRPr="00222678">
        <w:rPr>
          <w:rFonts w:asciiTheme="majorHAnsi" w:hAnsiTheme="majorHAnsi" w:cstheme="minorHAnsi"/>
          <w:sz w:val="24"/>
          <w:szCs w:val="24"/>
        </w:rPr>
        <w:t xml:space="preserve">dopady a </w:t>
      </w:r>
      <w:r w:rsidR="00130A55" w:rsidRPr="00222678">
        <w:rPr>
          <w:rFonts w:asciiTheme="majorHAnsi" w:hAnsiTheme="majorHAnsi" w:cstheme="minorHAnsi"/>
          <w:sz w:val="24"/>
          <w:szCs w:val="24"/>
        </w:rPr>
        <w:t>příležitosti pro odběratelské státy/ČR.</w:t>
      </w:r>
    </w:p>
    <w:p w14:paraId="26208E84" w14:textId="0584D425" w:rsidR="009F7891" w:rsidRPr="00222678" w:rsidRDefault="00254324" w:rsidP="00455334">
      <w:pPr>
        <w:spacing w:after="100" w:afterAutospacing="1" w:line="240" w:lineRule="auto"/>
        <w:ind w:firstLine="360"/>
        <w:jc w:val="both"/>
        <w:rPr>
          <w:rFonts w:cstheme="minorHAnsi"/>
          <w:sz w:val="24"/>
          <w:szCs w:val="24"/>
        </w:rPr>
      </w:pPr>
      <w:r w:rsidRPr="00222678">
        <w:rPr>
          <w:rFonts w:cstheme="minorHAnsi"/>
          <w:sz w:val="24"/>
          <w:szCs w:val="24"/>
        </w:rPr>
        <w:t>Budou z</w:t>
      </w:r>
      <w:r w:rsidR="00637B24" w:rsidRPr="00222678">
        <w:rPr>
          <w:rFonts w:cstheme="minorHAnsi"/>
          <w:sz w:val="24"/>
          <w:szCs w:val="24"/>
        </w:rPr>
        <w:t>důrazněn</w:t>
      </w:r>
      <w:r w:rsidR="006A22F8" w:rsidRPr="00222678">
        <w:rPr>
          <w:rFonts w:cstheme="minorHAnsi"/>
          <w:sz w:val="24"/>
          <w:szCs w:val="24"/>
        </w:rPr>
        <w:t>a</w:t>
      </w:r>
      <w:r w:rsidR="00637B24" w:rsidRPr="00222678">
        <w:rPr>
          <w:rFonts w:cstheme="minorHAnsi"/>
          <w:sz w:val="24"/>
          <w:szCs w:val="24"/>
        </w:rPr>
        <w:t xml:space="preserve"> specifik</w:t>
      </w:r>
      <w:r w:rsidRPr="00222678">
        <w:rPr>
          <w:rFonts w:cstheme="minorHAnsi"/>
          <w:sz w:val="24"/>
          <w:szCs w:val="24"/>
        </w:rPr>
        <w:t>a</w:t>
      </w:r>
      <w:r w:rsidR="00637B24" w:rsidRPr="00222678">
        <w:rPr>
          <w:rFonts w:cstheme="minorHAnsi"/>
          <w:sz w:val="24"/>
          <w:szCs w:val="24"/>
        </w:rPr>
        <w:t xml:space="preserve"> vybraných producentských zemí.</w:t>
      </w:r>
      <w:r w:rsidR="00130A55" w:rsidRPr="00222678">
        <w:rPr>
          <w:rFonts w:cstheme="minorHAnsi"/>
          <w:sz w:val="24"/>
          <w:szCs w:val="24"/>
        </w:rPr>
        <w:t xml:space="preserve"> </w:t>
      </w:r>
      <w:r w:rsidR="00637B24" w:rsidRPr="00222678">
        <w:rPr>
          <w:rFonts w:cstheme="minorHAnsi"/>
          <w:sz w:val="24"/>
          <w:szCs w:val="24"/>
        </w:rPr>
        <w:t xml:space="preserve">V mezinárodněpolitické rovině budou </w:t>
      </w:r>
      <w:r w:rsidR="00130A55" w:rsidRPr="00222678">
        <w:rPr>
          <w:rFonts w:cstheme="minorHAnsi"/>
          <w:sz w:val="24"/>
          <w:szCs w:val="24"/>
        </w:rPr>
        <w:t xml:space="preserve">zejména </w:t>
      </w:r>
      <w:r w:rsidR="00637B24" w:rsidRPr="00222678">
        <w:rPr>
          <w:rFonts w:cstheme="minorHAnsi"/>
          <w:sz w:val="24"/>
          <w:szCs w:val="24"/>
        </w:rPr>
        <w:t>akcentovány nepřímé dopady cenového šoku na bilaterální vazby producentských zemí v klíčových regionech s odběratelskými zeměmi v</w:t>
      </w:r>
      <w:r w:rsidR="00455334">
        <w:rPr>
          <w:rFonts w:cstheme="minorHAnsi"/>
          <w:sz w:val="24"/>
          <w:szCs w:val="24"/>
        </w:rPr>
        <w:t> </w:t>
      </w:r>
      <w:r w:rsidR="00637B24" w:rsidRPr="00222678">
        <w:rPr>
          <w:rFonts w:cstheme="minorHAnsi"/>
          <w:sz w:val="24"/>
          <w:szCs w:val="24"/>
        </w:rPr>
        <w:t>EU</w:t>
      </w:r>
      <w:r w:rsidR="00455334">
        <w:rPr>
          <w:rFonts w:cstheme="minorHAnsi"/>
          <w:sz w:val="24"/>
          <w:szCs w:val="24"/>
        </w:rPr>
        <w:t xml:space="preserve"> i</w:t>
      </w:r>
      <w:r w:rsidR="00637B24" w:rsidRPr="00222678">
        <w:rPr>
          <w:rFonts w:cstheme="minorHAnsi"/>
          <w:sz w:val="24"/>
          <w:szCs w:val="24"/>
        </w:rPr>
        <w:t xml:space="preserve"> vztahy s EU jako celkem a </w:t>
      </w:r>
      <w:r w:rsidR="0036698B" w:rsidRPr="00222678">
        <w:rPr>
          <w:rFonts w:cstheme="minorHAnsi"/>
          <w:sz w:val="24"/>
          <w:szCs w:val="24"/>
        </w:rPr>
        <w:t>budou</w:t>
      </w:r>
      <w:r w:rsidR="00130A55" w:rsidRPr="00222678">
        <w:rPr>
          <w:rFonts w:cstheme="minorHAnsi"/>
          <w:sz w:val="24"/>
          <w:szCs w:val="24"/>
        </w:rPr>
        <w:t xml:space="preserve"> identifikovány </w:t>
      </w:r>
      <w:r w:rsidR="00637B24" w:rsidRPr="00222678">
        <w:rPr>
          <w:rFonts w:cstheme="minorHAnsi"/>
          <w:sz w:val="24"/>
          <w:szCs w:val="24"/>
        </w:rPr>
        <w:t>příležitosti a rizika/hrozby vyplývající z tohoto vývoje</w:t>
      </w:r>
      <w:r w:rsidR="00130A55" w:rsidRPr="00222678">
        <w:rPr>
          <w:rFonts w:cstheme="minorHAnsi"/>
          <w:sz w:val="24"/>
          <w:szCs w:val="24"/>
        </w:rPr>
        <w:t xml:space="preserve">. </w:t>
      </w:r>
      <w:r w:rsidR="0048211B" w:rsidRPr="00222678">
        <w:rPr>
          <w:rFonts w:cstheme="minorHAnsi"/>
          <w:sz w:val="24"/>
          <w:szCs w:val="24"/>
        </w:rPr>
        <w:t>Předpokladem je, že na státy dovážející ropu má cenový šok kombinovaný dopad, který se projevuje přímo v ekonomické oblasti, ale nepřímo ovlivňuje</w:t>
      </w:r>
      <w:r w:rsidR="00455334">
        <w:rPr>
          <w:rFonts w:cstheme="minorHAnsi"/>
          <w:sz w:val="24"/>
          <w:szCs w:val="24"/>
        </w:rPr>
        <w:t xml:space="preserve"> </w:t>
      </w:r>
      <w:r w:rsidR="00455334" w:rsidRPr="00222678">
        <w:rPr>
          <w:rFonts w:cstheme="minorHAnsi"/>
          <w:sz w:val="24"/>
          <w:szCs w:val="24"/>
        </w:rPr>
        <w:t>právě</w:t>
      </w:r>
      <w:r w:rsidR="0048211B" w:rsidRPr="00222678">
        <w:rPr>
          <w:rFonts w:cstheme="minorHAnsi"/>
          <w:sz w:val="24"/>
          <w:szCs w:val="24"/>
        </w:rPr>
        <w:t xml:space="preserve"> </w:t>
      </w:r>
      <w:r w:rsidR="00C52762">
        <w:rPr>
          <w:rFonts w:cstheme="minorHAnsi"/>
          <w:sz w:val="24"/>
          <w:szCs w:val="24"/>
        </w:rPr>
        <w:t xml:space="preserve">také </w:t>
      </w:r>
      <w:r w:rsidR="0048211B" w:rsidRPr="00222678">
        <w:rPr>
          <w:rFonts w:cstheme="minorHAnsi"/>
          <w:sz w:val="24"/>
          <w:szCs w:val="24"/>
        </w:rPr>
        <w:t xml:space="preserve">oblast zahraniční politiky, která musí reagovat na vývoj v producentských zemích. </w:t>
      </w:r>
    </w:p>
    <w:p w14:paraId="4A083099" w14:textId="17C6A53E" w:rsidR="00597EC9" w:rsidRPr="00222678" w:rsidRDefault="00597EC9" w:rsidP="00455334">
      <w:pPr>
        <w:autoSpaceDE w:val="0"/>
        <w:autoSpaceDN w:val="0"/>
        <w:adjustRightInd w:val="0"/>
        <w:spacing w:after="100" w:afterAutospacing="1" w:line="240" w:lineRule="auto"/>
        <w:ind w:firstLine="708"/>
        <w:jc w:val="both"/>
        <w:rPr>
          <w:rFonts w:cs="Times New Roman"/>
          <w:sz w:val="24"/>
          <w:szCs w:val="24"/>
        </w:rPr>
      </w:pPr>
      <w:r w:rsidRPr="00222678">
        <w:rPr>
          <w:rFonts w:eastAsia="TimesCE-Roman" w:cs="Times New Roman"/>
          <w:sz w:val="24"/>
          <w:szCs w:val="24"/>
        </w:rPr>
        <w:t xml:space="preserve">Podrobnější analýza bude provedena v rámci dvou případových studií zaměřených na Ruskou federaci a Ázerbájdžán. S ohledem na skutečnost, že studie vychází z aplikovaného výzkumu, odvíjí se výběr případů od politických zájmů a ekonomických potřeb (dovozu ropy) </w:t>
      </w:r>
      <w:r w:rsidR="00455334">
        <w:rPr>
          <w:rFonts w:eastAsia="TimesCE-Roman" w:cs="Times New Roman"/>
          <w:sz w:val="24"/>
          <w:szCs w:val="24"/>
        </w:rPr>
        <w:t>ČR</w:t>
      </w:r>
      <w:r w:rsidRPr="00222678">
        <w:rPr>
          <w:rFonts w:eastAsia="TimesCE-Roman" w:cs="Times New Roman"/>
          <w:sz w:val="24"/>
          <w:szCs w:val="24"/>
        </w:rPr>
        <w:t xml:space="preserve">. Zároveň tyto případové studie umožňují zachytit signifikantní dopady (ne)stability států v blízkosti EU, které vyvážející ropu, na evropský kontinent. Ukazují i kombinovaný dopad na členské státy EU, který se projevuje přímo opět v ekonomické oblasti, ale potenciálně ovlivňuje </w:t>
      </w:r>
      <w:r w:rsidR="00C52762">
        <w:rPr>
          <w:rFonts w:eastAsia="TimesCE-Roman" w:cs="Times New Roman"/>
          <w:sz w:val="24"/>
          <w:szCs w:val="24"/>
        </w:rPr>
        <w:t xml:space="preserve">i </w:t>
      </w:r>
      <w:r w:rsidRPr="00222678">
        <w:rPr>
          <w:rFonts w:eastAsia="TimesCE-Roman" w:cs="Times New Roman"/>
          <w:sz w:val="24"/>
          <w:szCs w:val="24"/>
        </w:rPr>
        <w:t xml:space="preserve">oblast zahraniční politiky. </w:t>
      </w:r>
    </w:p>
    <w:p w14:paraId="373D44D6" w14:textId="77777777" w:rsidR="006E20D0" w:rsidRPr="00222678" w:rsidRDefault="00597EC9" w:rsidP="00455334">
      <w:pPr>
        <w:spacing w:after="100" w:afterAutospacing="1" w:line="240" w:lineRule="auto"/>
        <w:ind w:firstLine="708"/>
        <w:jc w:val="both"/>
        <w:rPr>
          <w:sz w:val="24"/>
          <w:szCs w:val="24"/>
        </w:rPr>
      </w:pPr>
      <w:r w:rsidRPr="00222678">
        <w:rPr>
          <w:sz w:val="24"/>
          <w:szCs w:val="24"/>
        </w:rPr>
        <w:t xml:space="preserve">Takto pojatý výběr, reflektující vedle praktických potřeb ČR i </w:t>
      </w:r>
      <w:r w:rsidR="003E531D" w:rsidRPr="00222678">
        <w:rPr>
          <w:sz w:val="24"/>
          <w:szCs w:val="24"/>
        </w:rPr>
        <w:t>omezený rozsah a časový horizont přípravy předkládané studia,</w:t>
      </w:r>
      <w:r w:rsidRPr="00222678">
        <w:rPr>
          <w:sz w:val="24"/>
          <w:szCs w:val="24"/>
        </w:rPr>
        <w:t xml:space="preserve"> může být ovšem zároveň jedním z limitů </w:t>
      </w:r>
      <w:r w:rsidR="003E531D" w:rsidRPr="00222678">
        <w:rPr>
          <w:sz w:val="24"/>
          <w:szCs w:val="24"/>
        </w:rPr>
        <w:t xml:space="preserve">výzkumu, neboť zejména v politické části nepodchytí variabilitu možných alternativ vývoje na úrovni států vyvážejících ropu v celém jejím spektru. </w:t>
      </w:r>
      <w:r w:rsidR="00B95E24" w:rsidRPr="00222678">
        <w:rPr>
          <w:sz w:val="24"/>
          <w:szCs w:val="24"/>
        </w:rPr>
        <w:t>Zároveň</w:t>
      </w:r>
      <w:r w:rsidR="003E531D" w:rsidRPr="00222678">
        <w:rPr>
          <w:sz w:val="24"/>
          <w:szCs w:val="24"/>
        </w:rPr>
        <w:t xml:space="preserve"> bude</w:t>
      </w:r>
      <w:r w:rsidR="00B95E24" w:rsidRPr="00222678">
        <w:rPr>
          <w:sz w:val="24"/>
          <w:szCs w:val="24"/>
        </w:rPr>
        <w:t xml:space="preserve"> limitem</w:t>
      </w:r>
      <w:r w:rsidR="003E531D" w:rsidRPr="00222678">
        <w:rPr>
          <w:sz w:val="24"/>
          <w:szCs w:val="24"/>
        </w:rPr>
        <w:t xml:space="preserve"> pravděpodobně i krátký časový odstup od cenového šoku, jehož dopady sledujeme, </w:t>
      </w:r>
      <w:r w:rsidR="00B95E24" w:rsidRPr="00222678">
        <w:rPr>
          <w:sz w:val="24"/>
          <w:szCs w:val="24"/>
        </w:rPr>
        <w:t xml:space="preserve">který se projeví v omezené dostupnosti některých statistických dat i dalších primárních zdrojů. </w:t>
      </w:r>
    </w:p>
    <w:p w14:paraId="448684C2" w14:textId="5ED92323" w:rsidR="00BA6E42" w:rsidRDefault="00BA6E42">
      <w:pPr>
        <w:rPr>
          <w:sz w:val="24"/>
          <w:szCs w:val="24"/>
        </w:rPr>
      </w:pPr>
      <w:r>
        <w:rPr>
          <w:sz w:val="24"/>
          <w:szCs w:val="24"/>
        </w:rPr>
        <w:br w:type="page"/>
      </w:r>
    </w:p>
    <w:p w14:paraId="4A0BC501" w14:textId="69D99200" w:rsidR="006E20D0" w:rsidRPr="00103A2E" w:rsidRDefault="00BA6E42" w:rsidP="00103A2E">
      <w:pPr>
        <w:pStyle w:val="Odstavecseseznamem"/>
        <w:numPr>
          <w:ilvl w:val="0"/>
          <w:numId w:val="10"/>
        </w:numPr>
        <w:autoSpaceDE w:val="0"/>
        <w:autoSpaceDN w:val="0"/>
        <w:adjustRightInd w:val="0"/>
        <w:spacing w:after="100" w:afterAutospacing="1" w:line="240" w:lineRule="auto"/>
        <w:ind w:left="0" w:firstLine="0"/>
        <w:jc w:val="both"/>
        <w:rPr>
          <w:rFonts w:ascii="Times New Roman" w:eastAsia="TimesCE-Roman" w:hAnsi="Times New Roman" w:cs="Times New Roman"/>
          <w:b/>
          <w:bCs/>
          <w:color w:val="000000" w:themeColor="text1"/>
          <w:sz w:val="24"/>
          <w:szCs w:val="24"/>
        </w:rPr>
      </w:pPr>
      <w:bookmarkStart w:id="24" w:name="_Toc61259189"/>
      <w:bookmarkStart w:id="25" w:name="_Toc61261167"/>
      <w:bookmarkStart w:id="26" w:name="_Toc61261285"/>
      <w:bookmarkStart w:id="27" w:name="_Toc61262035"/>
      <w:bookmarkStart w:id="28" w:name="_Toc61262159"/>
      <w:r w:rsidRPr="00103A2E">
        <w:rPr>
          <w:rStyle w:val="Nadpis2Char"/>
        </w:rPr>
        <w:lastRenderedPageBreak/>
        <w:t>Vývoj t</w:t>
      </w:r>
      <w:r w:rsidR="006E20D0" w:rsidRPr="00103A2E">
        <w:rPr>
          <w:rStyle w:val="Nadpis2Char"/>
        </w:rPr>
        <w:t>rh</w:t>
      </w:r>
      <w:r w:rsidR="003D002B" w:rsidRPr="00103A2E">
        <w:rPr>
          <w:rStyle w:val="Nadpis2Char"/>
        </w:rPr>
        <w:t>u</w:t>
      </w:r>
      <w:r w:rsidR="006E20D0" w:rsidRPr="00103A2E">
        <w:rPr>
          <w:rStyle w:val="Nadpis2Char"/>
        </w:rPr>
        <w:t xml:space="preserve"> s ropou a dopady poklesu ceny ropy na oblast MENA, Rusko a Střední Asii</w:t>
      </w:r>
      <w:bookmarkEnd w:id="24"/>
      <w:bookmarkEnd w:id="25"/>
      <w:bookmarkEnd w:id="26"/>
      <w:bookmarkEnd w:id="27"/>
      <w:bookmarkEnd w:id="28"/>
    </w:p>
    <w:p w14:paraId="409198FF" w14:textId="6BBE410B" w:rsidR="00EB2193" w:rsidRDefault="006E20D0" w:rsidP="002B6B2F">
      <w:pPr>
        <w:spacing w:after="100" w:afterAutospacing="1" w:line="240" w:lineRule="auto"/>
        <w:jc w:val="both"/>
        <w:rPr>
          <w:sz w:val="24"/>
          <w:szCs w:val="24"/>
        </w:rPr>
      </w:pPr>
      <w:r>
        <w:rPr>
          <w:sz w:val="24"/>
          <w:szCs w:val="24"/>
        </w:rPr>
        <w:t>V roce 2020 byly dopady cenového šoku</w:t>
      </w:r>
      <w:r w:rsidR="00047059">
        <w:rPr>
          <w:sz w:val="24"/>
          <w:szCs w:val="24"/>
        </w:rPr>
        <w:t>,</w:t>
      </w:r>
      <w:r w:rsidR="00A8070D">
        <w:rPr>
          <w:sz w:val="24"/>
          <w:szCs w:val="24"/>
        </w:rPr>
        <w:t xml:space="preserve"> vyvolaného cenovou válkou mezi klíčovými producenty a globálním ekonomickým poklesem</w:t>
      </w:r>
      <w:r w:rsidR="00047059">
        <w:rPr>
          <w:sz w:val="24"/>
          <w:szCs w:val="24"/>
        </w:rPr>
        <w:t>,</w:t>
      </w:r>
      <w:r>
        <w:rPr>
          <w:sz w:val="24"/>
          <w:szCs w:val="24"/>
        </w:rPr>
        <w:t xml:space="preserve"> urychlovány pandemií COVID-19</w:t>
      </w:r>
      <w:r w:rsidR="00A8070D">
        <w:rPr>
          <w:sz w:val="24"/>
          <w:szCs w:val="24"/>
        </w:rPr>
        <w:t>,</w:t>
      </w:r>
      <w:r>
        <w:rPr>
          <w:sz w:val="24"/>
          <w:szCs w:val="24"/>
        </w:rPr>
        <w:t xml:space="preserve"> rostoucím tlakem v souvislosti s realizací závazků dekarbonizace a pokračujícím soupeření</w:t>
      </w:r>
      <w:r w:rsidR="00A8070D">
        <w:rPr>
          <w:sz w:val="24"/>
          <w:szCs w:val="24"/>
        </w:rPr>
        <w:t>m</w:t>
      </w:r>
      <w:r>
        <w:rPr>
          <w:sz w:val="24"/>
          <w:szCs w:val="24"/>
        </w:rPr>
        <w:t xml:space="preserve"> o kontrolu zdrojů. </w:t>
      </w:r>
      <w:r w:rsidRPr="009B17CD">
        <w:rPr>
          <w:sz w:val="24"/>
          <w:szCs w:val="24"/>
        </w:rPr>
        <w:t xml:space="preserve">Pokles cen ropy </w:t>
      </w:r>
      <w:r>
        <w:rPr>
          <w:sz w:val="24"/>
          <w:szCs w:val="24"/>
        </w:rPr>
        <w:t>proběhl v době</w:t>
      </w:r>
      <w:r w:rsidRPr="009B17CD">
        <w:rPr>
          <w:sz w:val="24"/>
          <w:szCs w:val="24"/>
        </w:rPr>
        <w:t xml:space="preserve"> </w:t>
      </w:r>
      <w:r>
        <w:rPr>
          <w:sz w:val="24"/>
          <w:szCs w:val="24"/>
        </w:rPr>
        <w:t xml:space="preserve">velmi </w:t>
      </w:r>
      <w:r w:rsidRPr="009B17CD">
        <w:rPr>
          <w:sz w:val="24"/>
          <w:szCs w:val="24"/>
        </w:rPr>
        <w:t>omez</w:t>
      </w:r>
      <w:r>
        <w:rPr>
          <w:sz w:val="24"/>
          <w:szCs w:val="24"/>
        </w:rPr>
        <w:t xml:space="preserve">ené </w:t>
      </w:r>
      <w:r w:rsidRPr="009B17CD">
        <w:rPr>
          <w:sz w:val="24"/>
          <w:szCs w:val="24"/>
        </w:rPr>
        <w:t>schopnost</w:t>
      </w:r>
      <w:r>
        <w:rPr>
          <w:sz w:val="24"/>
          <w:szCs w:val="24"/>
        </w:rPr>
        <w:t>i</w:t>
      </w:r>
      <w:r w:rsidRPr="009B17CD">
        <w:rPr>
          <w:sz w:val="24"/>
          <w:szCs w:val="24"/>
        </w:rPr>
        <w:t xml:space="preserve"> zemí reagovat na </w:t>
      </w:r>
      <w:r w:rsidR="00047059">
        <w:rPr>
          <w:sz w:val="24"/>
          <w:szCs w:val="24"/>
        </w:rPr>
        <w:t>multidimenzionální</w:t>
      </w:r>
      <w:r w:rsidRPr="009B17CD">
        <w:rPr>
          <w:sz w:val="24"/>
          <w:szCs w:val="24"/>
        </w:rPr>
        <w:t xml:space="preserve"> domácí tlaky vyvolané pandemií COVID-19, kdy </w:t>
      </w:r>
      <w:r>
        <w:rPr>
          <w:sz w:val="24"/>
          <w:szCs w:val="24"/>
        </w:rPr>
        <w:t>bylo</w:t>
      </w:r>
      <w:r w:rsidRPr="009B17CD">
        <w:rPr>
          <w:sz w:val="24"/>
          <w:szCs w:val="24"/>
        </w:rPr>
        <w:t xml:space="preserve"> zapotřebí více financí </w:t>
      </w:r>
      <w:r>
        <w:rPr>
          <w:sz w:val="24"/>
          <w:szCs w:val="24"/>
        </w:rPr>
        <w:t xml:space="preserve">na </w:t>
      </w:r>
      <w:r w:rsidRPr="009B17CD">
        <w:rPr>
          <w:sz w:val="24"/>
          <w:szCs w:val="24"/>
        </w:rPr>
        <w:t xml:space="preserve">poskytování </w:t>
      </w:r>
      <w:r>
        <w:rPr>
          <w:sz w:val="24"/>
          <w:szCs w:val="24"/>
        </w:rPr>
        <w:t xml:space="preserve">sociálních </w:t>
      </w:r>
      <w:r w:rsidRPr="009B17CD">
        <w:rPr>
          <w:sz w:val="24"/>
          <w:szCs w:val="24"/>
        </w:rPr>
        <w:t xml:space="preserve">služeb, zmírnění zdravotních rizik a zmírnění makroekonomického tlaku způsobeného tentokrát omezováním ekonomik v souvislosti s pandemií. </w:t>
      </w:r>
    </w:p>
    <w:p w14:paraId="26B9F755" w14:textId="5772553B" w:rsidR="00EB2193" w:rsidRPr="007E1832" w:rsidRDefault="00C42D8E" w:rsidP="002B6B2F">
      <w:pPr>
        <w:autoSpaceDE w:val="0"/>
        <w:autoSpaceDN w:val="0"/>
        <w:adjustRightInd w:val="0"/>
        <w:spacing w:after="100" w:afterAutospacing="1" w:line="240" w:lineRule="auto"/>
        <w:ind w:firstLine="567"/>
        <w:jc w:val="both"/>
        <w:rPr>
          <w:color w:val="000000" w:themeColor="text1"/>
          <w:sz w:val="24"/>
          <w:szCs w:val="24"/>
          <w:shd w:val="clear" w:color="auto" w:fill="FFFFFF"/>
        </w:rPr>
      </w:pPr>
      <w:r>
        <w:rPr>
          <w:color w:val="000000" w:themeColor="text1"/>
          <w:sz w:val="24"/>
          <w:szCs w:val="24"/>
          <w:shd w:val="clear" w:color="auto" w:fill="FFFFFF"/>
        </w:rPr>
        <w:t>Země</w:t>
      </w:r>
      <w:r w:rsidR="00EB2193" w:rsidRPr="00CF5874">
        <w:rPr>
          <w:color w:val="000000" w:themeColor="text1"/>
          <w:sz w:val="24"/>
          <w:szCs w:val="24"/>
          <w:shd w:val="clear" w:color="auto" w:fill="FFFFFF"/>
        </w:rPr>
        <w:t xml:space="preserve"> závisl</w:t>
      </w:r>
      <w:r>
        <w:rPr>
          <w:color w:val="000000" w:themeColor="text1"/>
          <w:sz w:val="24"/>
          <w:szCs w:val="24"/>
          <w:shd w:val="clear" w:color="auto" w:fill="FFFFFF"/>
        </w:rPr>
        <w:t>é</w:t>
      </w:r>
      <w:r w:rsidR="00EB2193" w:rsidRPr="00CF5874">
        <w:rPr>
          <w:color w:val="000000" w:themeColor="text1"/>
          <w:sz w:val="24"/>
          <w:szCs w:val="24"/>
          <w:shd w:val="clear" w:color="auto" w:fill="FFFFFF"/>
        </w:rPr>
        <w:t xml:space="preserve"> ve svých vývozech a příjmech na jedné komoditě </w:t>
      </w:r>
      <w:r w:rsidR="00EB2193" w:rsidRPr="006A22F8">
        <w:rPr>
          <w:color w:val="000000" w:themeColor="text1"/>
          <w:sz w:val="24"/>
          <w:szCs w:val="24"/>
          <w:shd w:val="clear" w:color="auto" w:fill="FFFFFF"/>
        </w:rPr>
        <w:t>jsou</w:t>
      </w:r>
      <w:r w:rsidRPr="006A22F8">
        <w:rPr>
          <w:color w:val="000000" w:themeColor="text1"/>
          <w:sz w:val="24"/>
          <w:szCs w:val="24"/>
          <w:shd w:val="clear" w:color="auto" w:fill="FFFFFF"/>
        </w:rPr>
        <w:t xml:space="preserve"> obecně</w:t>
      </w:r>
      <w:r w:rsidR="00EB2193" w:rsidRPr="006A22F8">
        <w:rPr>
          <w:color w:val="000000" w:themeColor="text1"/>
          <w:sz w:val="24"/>
          <w:szCs w:val="24"/>
          <w:shd w:val="clear" w:color="auto" w:fill="FFFFFF"/>
        </w:rPr>
        <w:t xml:space="preserve"> extrémně zranitelné tržní volatilitou ceny této komodity. Mnoho zemí MENA bylo</w:t>
      </w:r>
      <w:r w:rsidRPr="006A22F8">
        <w:rPr>
          <w:color w:val="000000" w:themeColor="text1"/>
          <w:sz w:val="24"/>
          <w:szCs w:val="24"/>
          <w:shd w:val="clear" w:color="auto" w:fill="FFFFFF"/>
        </w:rPr>
        <w:t xml:space="preserve"> již</w:t>
      </w:r>
      <w:r w:rsidRPr="00CF5874">
        <w:rPr>
          <w:color w:val="000000" w:themeColor="text1"/>
          <w:sz w:val="24"/>
          <w:szCs w:val="24"/>
          <w:shd w:val="clear" w:color="auto" w:fill="FFFFFF"/>
        </w:rPr>
        <w:t xml:space="preserve"> před současnou krizí </w:t>
      </w:r>
      <w:r w:rsidR="00EB2193" w:rsidRPr="00CF5874">
        <w:rPr>
          <w:color w:val="000000" w:themeColor="text1"/>
          <w:sz w:val="24"/>
          <w:szCs w:val="24"/>
          <w:shd w:val="clear" w:color="auto" w:fill="FFFFFF"/>
        </w:rPr>
        <w:t xml:space="preserve">takto křehkých </w:t>
      </w:r>
      <w:r w:rsidR="00EB2193">
        <w:rPr>
          <w:color w:val="000000" w:themeColor="text1"/>
          <w:sz w:val="24"/>
          <w:szCs w:val="24"/>
          <w:shd w:val="clear" w:color="auto" w:fill="FFFFFF"/>
        </w:rPr>
        <w:t>a</w:t>
      </w:r>
      <w:r w:rsidR="00EB2193" w:rsidRPr="00CF5874">
        <w:rPr>
          <w:color w:val="000000" w:themeColor="text1"/>
          <w:sz w:val="24"/>
          <w:szCs w:val="24"/>
          <w:shd w:val="clear" w:color="auto" w:fill="FFFFFF"/>
        </w:rPr>
        <w:t xml:space="preserve"> další zhoršení</w:t>
      </w:r>
      <w:r w:rsidR="00EB2193">
        <w:rPr>
          <w:color w:val="000000" w:themeColor="text1"/>
          <w:sz w:val="24"/>
          <w:szCs w:val="24"/>
          <w:shd w:val="clear" w:color="auto" w:fill="FFFFFF"/>
        </w:rPr>
        <w:t xml:space="preserve"> situace</w:t>
      </w:r>
      <w:r w:rsidR="00EB2193" w:rsidRPr="00CF5874">
        <w:rPr>
          <w:color w:val="000000" w:themeColor="text1"/>
          <w:sz w:val="24"/>
          <w:szCs w:val="24"/>
          <w:shd w:val="clear" w:color="auto" w:fill="FFFFFF"/>
        </w:rPr>
        <w:t xml:space="preserve"> </w:t>
      </w:r>
      <w:r w:rsidR="00EB2193">
        <w:rPr>
          <w:color w:val="000000" w:themeColor="text1"/>
          <w:sz w:val="24"/>
          <w:szCs w:val="24"/>
          <w:shd w:val="clear" w:color="auto" w:fill="FFFFFF"/>
        </w:rPr>
        <w:t xml:space="preserve">jejich </w:t>
      </w:r>
      <w:r w:rsidR="00EB2193" w:rsidRPr="00CF5874">
        <w:rPr>
          <w:color w:val="000000" w:themeColor="text1"/>
          <w:sz w:val="24"/>
          <w:szCs w:val="24"/>
          <w:shd w:val="clear" w:color="auto" w:fill="FFFFFF"/>
        </w:rPr>
        <w:t xml:space="preserve">zranitelnost ještě prohloubilo. </w:t>
      </w:r>
      <w:r>
        <w:rPr>
          <w:color w:val="000000" w:themeColor="text1"/>
          <w:sz w:val="24"/>
          <w:szCs w:val="24"/>
          <w:shd w:val="clear" w:color="auto" w:fill="FFFFFF"/>
        </w:rPr>
        <w:t>Dle OECD (2020</w:t>
      </w:r>
      <w:r w:rsidR="00F64F04">
        <w:rPr>
          <w:color w:val="000000" w:themeColor="text1"/>
          <w:sz w:val="24"/>
          <w:szCs w:val="24"/>
          <w:shd w:val="clear" w:color="auto" w:fill="FFFFFF"/>
        </w:rPr>
        <w:t>b</w:t>
      </w:r>
      <w:r>
        <w:rPr>
          <w:color w:val="000000" w:themeColor="text1"/>
          <w:sz w:val="24"/>
          <w:szCs w:val="24"/>
          <w:shd w:val="clear" w:color="auto" w:fill="FFFFFF"/>
        </w:rPr>
        <w:t>)</w:t>
      </w:r>
      <w:r w:rsidR="005500CE">
        <w:rPr>
          <w:color w:val="000000" w:themeColor="text1"/>
          <w:sz w:val="24"/>
          <w:szCs w:val="24"/>
          <w:shd w:val="clear" w:color="auto" w:fill="FFFFFF"/>
        </w:rPr>
        <w:t xml:space="preserve"> mezi zranitelné</w:t>
      </w:r>
      <w:r>
        <w:rPr>
          <w:color w:val="000000" w:themeColor="text1"/>
          <w:sz w:val="24"/>
          <w:szCs w:val="24"/>
          <w:shd w:val="clear" w:color="auto" w:fill="FFFFFF"/>
        </w:rPr>
        <w:t xml:space="preserve"> patřila v</w:t>
      </w:r>
      <w:r w:rsidR="00EB2193" w:rsidRPr="00CF5874">
        <w:rPr>
          <w:color w:val="000000" w:themeColor="text1"/>
          <w:sz w:val="24"/>
          <w:szCs w:val="24"/>
          <w:shd w:val="clear" w:color="auto" w:fill="FFFFFF"/>
        </w:rPr>
        <w:t>íce než polovina nízkopříjmových zemí a zemí s nižším středním příjmem závislých ve vývozu a příjmech na ropě a plynu.</w:t>
      </w:r>
      <w:r w:rsidR="005500CE">
        <w:rPr>
          <w:color w:val="000000" w:themeColor="text1"/>
          <w:sz w:val="24"/>
          <w:szCs w:val="24"/>
          <w:shd w:val="clear" w:color="auto" w:fill="FFFFFF"/>
        </w:rPr>
        <w:t xml:space="preserve"> V</w:t>
      </w:r>
      <w:r w:rsidR="005500CE" w:rsidRPr="00CF5874">
        <w:rPr>
          <w:color w:val="000000" w:themeColor="text1"/>
          <w:sz w:val="24"/>
          <w:szCs w:val="24"/>
          <w:shd w:val="clear" w:color="auto" w:fill="FFFFFF"/>
        </w:rPr>
        <w:t>elmi chabé</w:t>
      </w:r>
      <w:r w:rsidR="005500CE">
        <w:rPr>
          <w:color w:val="000000" w:themeColor="text1"/>
          <w:sz w:val="24"/>
          <w:szCs w:val="24"/>
          <w:shd w:val="clear" w:color="auto" w:fill="FFFFFF"/>
        </w:rPr>
        <w:t xml:space="preserve"> byl</w:t>
      </w:r>
      <w:r w:rsidR="00E60493">
        <w:rPr>
          <w:color w:val="000000" w:themeColor="text1"/>
          <w:sz w:val="24"/>
          <w:szCs w:val="24"/>
          <w:shd w:val="clear" w:color="auto" w:fill="FFFFFF"/>
        </w:rPr>
        <w:t>y</w:t>
      </w:r>
      <w:r w:rsidR="005500CE">
        <w:rPr>
          <w:color w:val="000000" w:themeColor="text1"/>
          <w:sz w:val="24"/>
          <w:szCs w:val="24"/>
          <w:shd w:val="clear" w:color="auto" w:fill="FFFFFF"/>
        </w:rPr>
        <w:t xml:space="preserve"> i</w:t>
      </w:r>
      <w:r w:rsidR="005500CE" w:rsidRPr="00CF5874">
        <w:rPr>
          <w:color w:val="000000" w:themeColor="text1"/>
          <w:sz w:val="24"/>
          <w:szCs w:val="24"/>
          <w:shd w:val="clear" w:color="auto" w:fill="FFFFFF"/>
        </w:rPr>
        <w:t xml:space="preserve"> v řadě metrik rozvoje, včetně ekonomického růstu (</w:t>
      </w:r>
      <w:proofErr w:type="spellStart"/>
      <w:r w:rsidR="005500CE" w:rsidRPr="00CF5874">
        <w:rPr>
          <w:color w:val="000000" w:themeColor="text1"/>
          <w:sz w:val="24"/>
          <w:szCs w:val="24"/>
          <w:shd w:val="clear" w:color="auto" w:fill="FFFFFF"/>
        </w:rPr>
        <w:t>Sachs</w:t>
      </w:r>
      <w:proofErr w:type="spellEnd"/>
      <w:r w:rsidR="005500CE" w:rsidRPr="00CF5874">
        <w:rPr>
          <w:color w:val="000000" w:themeColor="text1"/>
          <w:sz w:val="24"/>
          <w:szCs w:val="24"/>
          <w:shd w:val="clear" w:color="auto" w:fill="FFFFFF"/>
        </w:rPr>
        <w:t xml:space="preserve"> </w:t>
      </w:r>
      <w:r w:rsidR="00047059">
        <w:rPr>
          <w:color w:val="000000" w:themeColor="text1"/>
          <w:sz w:val="24"/>
          <w:szCs w:val="24"/>
          <w:shd w:val="clear" w:color="auto" w:fill="FFFFFF"/>
        </w:rPr>
        <w:t xml:space="preserve">– </w:t>
      </w:r>
      <w:proofErr w:type="spellStart"/>
      <w:r w:rsidR="005500CE" w:rsidRPr="00CF5874">
        <w:rPr>
          <w:color w:val="000000" w:themeColor="text1"/>
          <w:sz w:val="24"/>
          <w:szCs w:val="24"/>
          <w:shd w:val="clear" w:color="auto" w:fill="FFFFFF"/>
        </w:rPr>
        <w:t>Warner</w:t>
      </w:r>
      <w:proofErr w:type="spellEnd"/>
      <w:r w:rsidR="005500CE" w:rsidRPr="00CF5874">
        <w:rPr>
          <w:color w:val="000000" w:themeColor="text1"/>
          <w:sz w:val="24"/>
          <w:szCs w:val="24"/>
          <w:shd w:val="clear" w:color="auto" w:fill="FFFFFF"/>
        </w:rPr>
        <w:t xml:space="preserve"> 1995),</w:t>
      </w:r>
      <w:r w:rsidR="00047059">
        <w:rPr>
          <w:color w:val="000000" w:themeColor="text1"/>
          <w:sz w:val="24"/>
          <w:szCs w:val="24"/>
          <w:shd w:val="clear" w:color="auto" w:fill="FFFFFF"/>
        </w:rPr>
        <w:t xml:space="preserve"> v</w:t>
      </w:r>
      <w:r w:rsidR="005500CE" w:rsidRPr="00CF5874">
        <w:rPr>
          <w:color w:val="000000" w:themeColor="text1"/>
          <w:sz w:val="24"/>
          <w:szCs w:val="24"/>
          <w:shd w:val="clear" w:color="auto" w:fill="FFFFFF"/>
        </w:rPr>
        <w:t xml:space="preserve"> demokrati</w:t>
      </w:r>
      <w:r w:rsidR="005500CE">
        <w:rPr>
          <w:color w:val="000000" w:themeColor="text1"/>
          <w:sz w:val="24"/>
          <w:szCs w:val="24"/>
          <w:shd w:val="clear" w:color="auto" w:fill="FFFFFF"/>
        </w:rPr>
        <w:t>čnosti</w:t>
      </w:r>
      <w:r w:rsidR="005500CE" w:rsidRPr="00CF5874">
        <w:rPr>
          <w:color w:val="000000" w:themeColor="text1"/>
          <w:sz w:val="24"/>
          <w:szCs w:val="24"/>
          <w:shd w:val="clear" w:color="auto" w:fill="FFFFFF"/>
        </w:rPr>
        <w:t xml:space="preserve"> vlád</w:t>
      </w:r>
      <w:r w:rsidR="005500CE">
        <w:rPr>
          <w:color w:val="000000" w:themeColor="text1"/>
          <w:sz w:val="24"/>
          <w:szCs w:val="24"/>
          <w:shd w:val="clear" w:color="auto" w:fill="FFFFFF"/>
        </w:rPr>
        <w:t>y</w:t>
      </w:r>
      <w:r w:rsidR="005500CE" w:rsidRPr="00CF5874">
        <w:rPr>
          <w:color w:val="000000" w:themeColor="text1"/>
          <w:sz w:val="24"/>
          <w:szCs w:val="24"/>
          <w:shd w:val="clear" w:color="auto" w:fill="FFFFFF"/>
        </w:rPr>
        <w:t xml:space="preserve"> (</w:t>
      </w:r>
      <w:proofErr w:type="spellStart"/>
      <w:r w:rsidR="005500CE" w:rsidRPr="00CF5874">
        <w:rPr>
          <w:color w:val="000000" w:themeColor="text1"/>
          <w:sz w:val="24"/>
          <w:szCs w:val="24"/>
          <w:shd w:val="clear" w:color="auto" w:fill="FFFFFF"/>
        </w:rPr>
        <w:t>Ross</w:t>
      </w:r>
      <w:proofErr w:type="spellEnd"/>
      <w:r w:rsidR="005500CE" w:rsidRPr="00CF5874">
        <w:rPr>
          <w:color w:val="000000" w:themeColor="text1"/>
          <w:sz w:val="24"/>
          <w:szCs w:val="24"/>
          <w:shd w:val="clear" w:color="auto" w:fill="FFFFFF"/>
        </w:rPr>
        <w:t xml:space="preserve"> 2012) a v předcházení konfliktů</w:t>
      </w:r>
      <w:r w:rsidR="00047059">
        <w:rPr>
          <w:color w:val="000000" w:themeColor="text1"/>
          <w:sz w:val="24"/>
          <w:szCs w:val="24"/>
          <w:shd w:val="clear" w:color="auto" w:fill="FFFFFF"/>
        </w:rPr>
        <w:t>m</w:t>
      </w:r>
      <w:r w:rsidR="005500CE" w:rsidRPr="00CF5874">
        <w:rPr>
          <w:color w:val="000000" w:themeColor="text1"/>
          <w:sz w:val="24"/>
          <w:szCs w:val="24"/>
          <w:shd w:val="clear" w:color="auto" w:fill="FFFFFF"/>
        </w:rPr>
        <w:t xml:space="preserve"> (</w:t>
      </w:r>
      <w:proofErr w:type="spellStart"/>
      <w:r w:rsidR="005500CE" w:rsidRPr="00CF5874">
        <w:rPr>
          <w:color w:val="000000" w:themeColor="text1"/>
          <w:sz w:val="24"/>
          <w:szCs w:val="24"/>
          <w:shd w:val="clear" w:color="auto" w:fill="FFFFFF"/>
        </w:rPr>
        <w:t>World</w:t>
      </w:r>
      <w:proofErr w:type="spellEnd"/>
      <w:r w:rsidR="005500CE" w:rsidRPr="00CF5874">
        <w:rPr>
          <w:color w:val="000000" w:themeColor="text1"/>
          <w:sz w:val="24"/>
          <w:szCs w:val="24"/>
          <w:shd w:val="clear" w:color="auto" w:fill="FFFFFF"/>
        </w:rPr>
        <w:t xml:space="preserve"> Bank 2011).</w:t>
      </w:r>
      <w:r w:rsidR="00EB2193" w:rsidRPr="00CF5874">
        <w:rPr>
          <w:color w:val="000000" w:themeColor="text1"/>
          <w:sz w:val="24"/>
          <w:szCs w:val="24"/>
          <w:shd w:val="clear" w:color="auto" w:fill="FFFFFF"/>
        </w:rPr>
        <w:t xml:space="preserve"> </w:t>
      </w:r>
      <w:r w:rsidR="005500CE">
        <w:rPr>
          <w:color w:val="000000" w:themeColor="text1"/>
          <w:sz w:val="24"/>
          <w:szCs w:val="24"/>
          <w:shd w:val="clear" w:color="auto" w:fill="FFFFFF"/>
        </w:rPr>
        <w:t>Vlády těchto zemí nedokázaly</w:t>
      </w:r>
      <w:r w:rsidR="00EB2193" w:rsidRPr="00CF5874">
        <w:rPr>
          <w:color w:val="000000" w:themeColor="text1"/>
          <w:sz w:val="24"/>
          <w:szCs w:val="24"/>
          <w:shd w:val="clear" w:color="auto" w:fill="FFFFFF"/>
        </w:rPr>
        <w:t xml:space="preserve"> přemě</w:t>
      </w:r>
      <w:r w:rsidR="005500CE">
        <w:rPr>
          <w:color w:val="000000" w:themeColor="text1"/>
          <w:sz w:val="24"/>
          <w:szCs w:val="24"/>
          <w:shd w:val="clear" w:color="auto" w:fill="FFFFFF"/>
        </w:rPr>
        <w:t>ňovat</w:t>
      </w:r>
      <w:r w:rsidR="00EB2193" w:rsidRPr="00CF5874">
        <w:rPr>
          <w:color w:val="000000" w:themeColor="text1"/>
          <w:sz w:val="24"/>
          <w:szCs w:val="24"/>
          <w:shd w:val="clear" w:color="auto" w:fill="FFFFFF"/>
        </w:rPr>
        <w:t xml:space="preserve"> bohatství zdrojů do snížení chudoby a udržitelného růstu</w:t>
      </w:r>
      <w:r w:rsidR="00047059">
        <w:rPr>
          <w:color w:val="000000" w:themeColor="text1"/>
          <w:sz w:val="24"/>
          <w:szCs w:val="24"/>
          <w:shd w:val="clear" w:color="auto" w:fill="FFFFFF"/>
        </w:rPr>
        <w:t>.</w:t>
      </w:r>
      <w:r w:rsidR="00EB2193" w:rsidRPr="00CF5874">
        <w:rPr>
          <w:color w:val="000000" w:themeColor="text1"/>
          <w:sz w:val="24"/>
          <w:szCs w:val="24"/>
          <w:shd w:val="clear" w:color="auto" w:fill="FFFFFF"/>
        </w:rPr>
        <w:t xml:space="preserve"> </w:t>
      </w:r>
      <w:r w:rsidR="005500CE">
        <w:rPr>
          <w:color w:val="000000" w:themeColor="text1"/>
          <w:sz w:val="24"/>
          <w:szCs w:val="24"/>
          <w:shd w:val="clear" w:color="auto" w:fill="FFFFFF"/>
        </w:rPr>
        <w:t>Už před začátkem současné krize byly</w:t>
      </w:r>
      <w:r w:rsidR="00EB2193" w:rsidRPr="00CF5874">
        <w:rPr>
          <w:color w:val="000000" w:themeColor="text1"/>
          <w:sz w:val="24"/>
          <w:szCs w:val="24"/>
          <w:shd w:val="clear" w:color="auto" w:fill="FFFFFF"/>
        </w:rPr>
        <w:t xml:space="preserve"> sociální služby v rozvíjejících se zemích bohatých na ropu často nedostatečné a nezajišť</w:t>
      </w:r>
      <w:r w:rsidR="005500CE">
        <w:rPr>
          <w:color w:val="000000" w:themeColor="text1"/>
          <w:sz w:val="24"/>
          <w:szCs w:val="24"/>
          <w:shd w:val="clear" w:color="auto" w:fill="FFFFFF"/>
        </w:rPr>
        <w:t>ovaly</w:t>
      </w:r>
      <w:r w:rsidR="00EB2193" w:rsidRPr="00CF5874">
        <w:rPr>
          <w:color w:val="000000" w:themeColor="text1"/>
          <w:sz w:val="24"/>
          <w:szCs w:val="24"/>
          <w:shd w:val="clear" w:color="auto" w:fill="FFFFFF"/>
        </w:rPr>
        <w:t xml:space="preserve"> potřeby nejvíce zranitelné populace. Ačkoli </w:t>
      </w:r>
      <w:r w:rsidR="005500CE">
        <w:rPr>
          <w:color w:val="000000" w:themeColor="text1"/>
          <w:sz w:val="24"/>
          <w:szCs w:val="24"/>
          <w:shd w:val="clear" w:color="auto" w:fill="FFFFFF"/>
        </w:rPr>
        <w:t xml:space="preserve">vlády </w:t>
      </w:r>
      <w:r w:rsidR="003839DE">
        <w:rPr>
          <w:color w:val="000000" w:themeColor="text1"/>
          <w:sz w:val="24"/>
          <w:szCs w:val="24"/>
          <w:shd w:val="clear" w:color="auto" w:fill="FFFFFF"/>
        </w:rPr>
        <w:t>měly</w:t>
      </w:r>
      <w:r w:rsidR="00EB2193">
        <w:rPr>
          <w:color w:val="000000" w:themeColor="text1"/>
          <w:sz w:val="24"/>
          <w:szCs w:val="24"/>
          <w:shd w:val="clear" w:color="auto" w:fill="FFFFFF"/>
        </w:rPr>
        <w:t xml:space="preserve"> k dispozici</w:t>
      </w:r>
      <w:r w:rsidR="00EB2193" w:rsidRPr="00CF5874">
        <w:rPr>
          <w:color w:val="000000" w:themeColor="text1"/>
          <w:sz w:val="24"/>
          <w:szCs w:val="24"/>
          <w:shd w:val="clear" w:color="auto" w:fill="FFFFFF"/>
        </w:rPr>
        <w:t xml:space="preserve"> finanční </w:t>
      </w:r>
      <w:r w:rsidR="00EB2193">
        <w:rPr>
          <w:color w:val="000000" w:themeColor="text1"/>
          <w:sz w:val="24"/>
          <w:szCs w:val="24"/>
          <w:shd w:val="clear" w:color="auto" w:fill="FFFFFF"/>
        </w:rPr>
        <w:t xml:space="preserve">prostředky </w:t>
      </w:r>
      <w:r w:rsidR="00EB2193" w:rsidRPr="00CF5874">
        <w:rPr>
          <w:color w:val="000000" w:themeColor="text1"/>
          <w:sz w:val="24"/>
          <w:szCs w:val="24"/>
          <w:shd w:val="clear" w:color="auto" w:fill="FFFFFF"/>
        </w:rPr>
        <w:t xml:space="preserve">pro zlepšení </w:t>
      </w:r>
      <w:r w:rsidR="00EB2193">
        <w:rPr>
          <w:color w:val="000000" w:themeColor="text1"/>
          <w:sz w:val="24"/>
          <w:szCs w:val="24"/>
          <w:shd w:val="clear" w:color="auto" w:fill="FFFFFF"/>
        </w:rPr>
        <w:t xml:space="preserve">svých </w:t>
      </w:r>
      <w:r w:rsidR="00EB2193" w:rsidRPr="00CF5874">
        <w:rPr>
          <w:color w:val="000000" w:themeColor="text1"/>
          <w:sz w:val="24"/>
          <w:szCs w:val="24"/>
          <w:shd w:val="clear" w:color="auto" w:fill="FFFFFF"/>
        </w:rPr>
        <w:t>institucí, soustře</w:t>
      </w:r>
      <w:r w:rsidR="003839DE">
        <w:rPr>
          <w:color w:val="000000" w:themeColor="text1"/>
          <w:sz w:val="24"/>
          <w:szCs w:val="24"/>
          <w:shd w:val="clear" w:color="auto" w:fill="FFFFFF"/>
        </w:rPr>
        <w:t>dily</w:t>
      </w:r>
      <w:r w:rsidR="00EB2193" w:rsidRPr="00CF5874">
        <w:rPr>
          <w:color w:val="000000" w:themeColor="text1"/>
          <w:sz w:val="24"/>
          <w:szCs w:val="24"/>
          <w:shd w:val="clear" w:color="auto" w:fill="FFFFFF"/>
        </w:rPr>
        <w:t xml:space="preserve"> </w:t>
      </w:r>
      <w:r w:rsidR="00EB2193">
        <w:rPr>
          <w:color w:val="000000" w:themeColor="text1"/>
          <w:sz w:val="24"/>
          <w:szCs w:val="24"/>
          <w:shd w:val="clear" w:color="auto" w:fill="FFFFFF"/>
        </w:rPr>
        <w:t>se</w:t>
      </w:r>
      <w:r w:rsidR="000C6C05">
        <w:rPr>
          <w:color w:val="000000" w:themeColor="text1"/>
          <w:sz w:val="24"/>
          <w:szCs w:val="24"/>
          <w:shd w:val="clear" w:color="auto" w:fill="FFFFFF"/>
        </w:rPr>
        <w:t xml:space="preserve"> spíše</w:t>
      </w:r>
      <w:r w:rsidR="00EB2193">
        <w:rPr>
          <w:color w:val="000000" w:themeColor="text1"/>
          <w:sz w:val="24"/>
          <w:szCs w:val="24"/>
          <w:shd w:val="clear" w:color="auto" w:fill="FFFFFF"/>
        </w:rPr>
        <w:t xml:space="preserve"> </w:t>
      </w:r>
      <w:r w:rsidR="00EB2193" w:rsidRPr="00CF5874">
        <w:rPr>
          <w:color w:val="000000" w:themeColor="text1"/>
          <w:sz w:val="24"/>
          <w:szCs w:val="24"/>
          <w:shd w:val="clear" w:color="auto" w:fill="FFFFFF"/>
        </w:rPr>
        <w:t>na</w:t>
      </w:r>
      <w:r w:rsidR="000C6C05">
        <w:rPr>
          <w:color w:val="000000" w:themeColor="text1"/>
          <w:sz w:val="24"/>
          <w:szCs w:val="24"/>
          <w:shd w:val="clear" w:color="auto" w:fill="FFFFFF"/>
        </w:rPr>
        <w:t xml:space="preserve"> další</w:t>
      </w:r>
      <w:r w:rsidR="00455334">
        <w:rPr>
          <w:color w:val="000000" w:themeColor="text1"/>
          <w:sz w:val="24"/>
          <w:szCs w:val="24"/>
          <w:shd w:val="clear" w:color="auto" w:fill="FFFFFF"/>
        </w:rPr>
        <w:t xml:space="preserve"> investice do sektoru těžby ropy</w:t>
      </w:r>
      <w:r w:rsidR="00EB2193" w:rsidRPr="00CF5874">
        <w:rPr>
          <w:color w:val="000000" w:themeColor="text1"/>
          <w:sz w:val="24"/>
          <w:szCs w:val="24"/>
          <w:shd w:val="clear" w:color="auto" w:fill="FFFFFF"/>
        </w:rPr>
        <w:t xml:space="preserve"> než na poskytování veřejných statků či kolektivního blahobytu (</w:t>
      </w:r>
      <w:proofErr w:type="spellStart"/>
      <w:r w:rsidR="00EB2193" w:rsidRPr="00CF5874">
        <w:rPr>
          <w:color w:val="000000" w:themeColor="text1"/>
          <w:sz w:val="24"/>
          <w:szCs w:val="24"/>
          <w:shd w:val="clear" w:color="auto" w:fill="FFFFFF"/>
        </w:rPr>
        <w:t>Hertog</w:t>
      </w:r>
      <w:proofErr w:type="spellEnd"/>
      <w:r w:rsidR="00EB2193" w:rsidRPr="00CF5874">
        <w:rPr>
          <w:color w:val="000000" w:themeColor="text1"/>
          <w:sz w:val="24"/>
          <w:szCs w:val="24"/>
          <w:shd w:val="clear" w:color="auto" w:fill="FFFFFF"/>
        </w:rPr>
        <w:t xml:space="preserve"> 2010).</w:t>
      </w:r>
      <w:r w:rsidR="003839DE">
        <w:rPr>
          <w:color w:val="000000" w:themeColor="text1"/>
          <w:sz w:val="24"/>
          <w:szCs w:val="24"/>
          <w:shd w:val="clear" w:color="auto" w:fill="FFFFFF"/>
        </w:rPr>
        <w:t xml:space="preserve"> </w:t>
      </w:r>
      <w:r w:rsidR="003839DE">
        <w:rPr>
          <w:sz w:val="24"/>
          <w:szCs w:val="24"/>
        </w:rPr>
        <w:t>Po nástupu</w:t>
      </w:r>
      <w:r w:rsidR="000C6C05">
        <w:rPr>
          <w:sz w:val="24"/>
          <w:szCs w:val="24"/>
        </w:rPr>
        <w:t xml:space="preserve"> krize</w:t>
      </w:r>
      <w:r w:rsidR="003839DE">
        <w:rPr>
          <w:sz w:val="24"/>
          <w:szCs w:val="24"/>
        </w:rPr>
        <w:t xml:space="preserve"> </w:t>
      </w:r>
      <w:r w:rsidR="006E20D0" w:rsidRPr="009B17CD">
        <w:rPr>
          <w:sz w:val="24"/>
          <w:szCs w:val="24"/>
        </w:rPr>
        <w:t xml:space="preserve">se </w:t>
      </w:r>
      <w:r w:rsidR="00A8070D" w:rsidRPr="009B17CD">
        <w:rPr>
          <w:sz w:val="24"/>
          <w:szCs w:val="24"/>
        </w:rPr>
        <w:t>dost</w:t>
      </w:r>
      <w:r w:rsidR="00A8070D">
        <w:rPr>
          <w:sz w:val="24"/>
          <w:szCs w:val="24"/>
        </w:rPr>
        <w:t>al</w:t>
      </w:r>
      <w:r w:rsidR="003839DE">
        <w:rPr>
          <w:sz w:val="24"/>
          <w:szCs w:val="24"/>
        </w:rPr>
        <w:t>y</w:t>
      </w:r>
      <w:r w:rsidR="00A8070D" w:rsidRPr="009B17CD">
        <w:rPr>
          <w:sz w:val="24"/>
          <w:szCs w:val="24"/>
        </w:rPr>
        <w:t xml:space="preserve"> </w:t>
      </w:r>
      <w:r w:rsidR="006E20D0" w:rsidRPr="009B17CD">
        <w:rPr>
          <w:sz w:val="24"/>
          <w:szCs w:val="24"/>
        </w:rPr>
        <w:t xml:space="preserve">do situace, </w:t>
      </w:r>
      <w:r w:rsidR="003839DE">
        <w:rPr>
          <w:sz w:val="24"/>
          <w:szCs w:val="24"/>
        </w:rPr>
        <w:t>kdy</w:t>
      </w:r>
      <w:r w:rsidR="003839DE" w:rsidRPr="009B17CD">
        <w:rPr>
          <w:sz w:val="24"/>
          <w:szCs w:val="24"/>
        </w:rPr>
        <w:t xml:space="preserve"> </w:t>
      </w:r>
      <w:r w:rsidR="006E20D0" w:rsidRPr="009B17CD">
        <w:rPr>
          <w:sz w:val="24"/>
          <w:szCs w:val="24"/>
        </w:rPr>
        <w:t>nejsou schopn</w:t>
      </w:r>
      <w:r w:rsidR="003839DE">
        <w:rPr>
          <w:sz w:val="24"/>
          <w:szCs w:val="24"/>
        </w:rPr>
        <w:t>y</w:t>
      </w:r>
      <w:r w:rsidR="006E20D0" w:rsidRPr="009B17CD">
        <w:rPr>
          <w:sz w:val="24"/>
          <w:szCs w:val="24"/>
        </w:rPr>
        <w:t xml:space="preserve"> realizovat programy rozvoje infrastruktury, školství, modernizace ekonomiky a hrozí </w:t>
      </w:r>
      <w:r w:rsidR="006E20D0">
        <w:rPr>
          <w:sz w:val="24"/>
          <w:szCs w:val="24"/>
        </w:rPr>
        <w:t xml:space="preserve">další </w:t>
      </w:r>
      <w:r w:rsidR="006E20D0" w:rsidRPr="009B17CD">
        <w:rPr>
          <w:sz w:val="24"/>
          <w:szCs w:val="24"/>
        </w:rPr>
        <w:t xml:space="preserve">výpadky v sociálních programech. </w:t>
      </w:r>
    </w:p>
    <w:p w14:paraId="475246B4" w14:textId="2612211F" w:rsidR="006E20D0" w:rsidRPr="000F3F02" w:rsidRDefault="00B52A03" w:rsidP="002B6B2F">
      <w:pPr>
        <w:spacing w:after="100" w:afterAutospacing="1" w:line="240" w:lineRule="auto"/>
        <w:ind w:firstLine="709"/>
        <w:jc w:val="both"/>
        <w:rPr>
          <w:sz w:val="24"/>
          <w:szCs w:val="24"/>
        </w:rPr>
      </w:pPr>
      <w:r>
        <w:rPr>
          <w:sz w:val="24"/>
          <w:szCs w:val="24"/>
        </w:rPr>
        <w:t>Pokud jde o region</w:t>
      </w:r>
      <w:r w:rsidRPr="009B17CD">
        <w:rPr>
          <w:sz w:val="24"/>
          <w:szCs w:val="24"/>
        </w:rPr>
        <w:t xml:space="preserve"> </w:t>
      </w:r>
      <w:r w:rsidR="006E20D0" w:rsidRPr="009B17CD">
        <w:rPr>
          <w:sz w:val="24"/>
          <w:szCs w:val="24"/>
        </w:rPr>
        <w:t>MENA</w:t>
      </w:r>
      <w:r>
        <w:rPr>
          <w:sz w:val="24"/>
          <w:szCs w:val="24"/>
        </w:rPr>
        <w:t xml:space="preserve">, </w:t>
      </w:r>
      <w:r w:rsidR="006E20D0" w:rsidRPr="009B17CD">
        <w:rPr>
          <w:sz w:val="24"/>
          <w:szCs w:val="24"/>
        </w:rPr>
        <w:t>očekáv</w:t>
      </w:r>
      <w:r>
        <w:rPr>
          <w:sz w:val="24"/>
          <w:szCs w:val="24"/>
        </w:rPr>
        <w:t>á se</w:t>
      </w:r>
      <w:r w:rsidR="006E20D0" w:rsidRPr="009B17CD">
        <w:rPr>
          <w:sz w:val="24"/>
          <w:szCs w:val="24"/>
        </w:rPr>
        <w:t xml:space="preserve">, že </w:t>
      </w:r>
      <w:r w:rsidR="00FF5C39">
        <w:rPr>
          <w:sz w:val="24"/>
          <w:szCs w:val="24"/>
        </w:rPr>
        <w:t>dojde meziročně k poklesu HDP</w:t>
      </w:r>
      <w:r w:rsidR="006E20D0" w:rsidRPr="009B17CD">
        <w:rPr>
          <w:sz w:val="24"/>
          <w:szCs w:val="24"/>
        </w:rPr>
        <w:t xml:space="preserve"> čistých vývozců ropy o 6,6 % oproti 1 % u čistých dovozců</w:t>
      </w:r>
      <w:r w:rsidR="00B82057" w:rsidRPr="00FF5C39">
        <w:rPr>
          <w:sz w:val="24"/>
          <w:szCs w:val="24"/>
        </w:rPr>
        <w:t xml:space="preserve"> (</w:t>
      </w:r>
      <w:r w:rsidR="001E1073" w:rsidRPr="00455334">
        <w:rPr>
          <w:sz w:val="24"/>
          <w:szCs w:val="24"/>
        </w:rPr>
        <w:t>Al-</w:t>
      </w:r>
      <w:proofErr w:type="spellStart"/>
      <w:r w:rsidR="001E1073" w:rsidRPr="00455334">
        <w:rPr>
          <w:sz w:val="24"/>
          <w:szCs w:val="24"/>
        </w:rPr>
        <w:t>Saffar</w:t>
      </w:r>
      <w:proofErr w:type="spellEnd"/>
      <w:r w:rsidR="001E1073" w:rsidRPr="00455334">
        <w:rPr>
          <w:sz w:val="24"/>
          <w:szCs w:val="24"/>
        </w:rPr>
        <w:t xml:space="preserve"> </w:t>
      </w:r>
      <w:r w:rsidR="005821FC" w:rsidRPr="00455334">
        <w:rPr>
          <w:sz w:val="24"/>
          <w:szCs w:val="24"/>
        </w:rPr>
        <w:t>–</w:t>
      </w:r>
      <w:r w:rsidR="001E1073" w:rsidRPr="00455334">
        <w:rPr>
          <w:sz w:val="24"/>
          <w:szCs w:val="24"/>
        </w:rPr>
        <w:t xml:space="preserve"> Van der </w:t>
      </w:r>
      <w:proofErr w:type="spellStart"/>
      <w:r w:rsidR="001E1073" w:rsidRPr="00455334">
        <w:rPr>
          <w:sz w:val="24"/>
          <w:szCs w:val="24"/>
        </w:rPr>
        <w:t>Beeuren</w:t>
      </w:r>
      <w:proofErr w:type="spellEnd"/>
      <w:r w:rsidR="001E1073" w:rsidRPr="00455334">
        <w:rPr>
          <w:sz w:val="24"/>
          <w:szCs w:val="24"/>
        </w:rPr>
        <w:t xml:space="preserve"> </w:t>
      </w:r>
      <w:r w:rsidR="00B82057" w:rsidRPr="00FF5C39">
        <w:rPr>
          <w:sz w:val="24"/>
          <w:szCs w:val="24"/>
        </w:rPr>
        <w:t>2020)</w:t>
      </w:r>
      <w:r w:rsidR="006E20D0" w:rsidRPr="00FF5C39">
        <w:rPr>
          <w:sz w:val="24"/>
          <w:szCs w:val="24"/>
        </w:rPr>
        <w:t xml:space="preserve">. </w:t>
      </w:r>
      <w:r>
        <w:rPr>
          <w:sz w:val="24"/>
          <w:szCs w:val="24"/>
        </w:rPr>
        <w:t>Existuje</w:t>
      </w:r>
      <w:r w:rsidR="006E20D0" w:rsidRPr="009B17CD">
        <w:rPr>
          <w:sz w:val="24"/>
          <w:szCs w:val="24"/>
        </w:rPr>
        <w:t xml:space="preserve"> </w:t>
      </w:r>
      <w:r>
        <w:rPr>
          <w:sz w:val="24"/>
          <w:szCs w:val="24"/>
        </w:rPr>
        <w:t xml:space="preserve">tedy </w:t>
      </w:r>
      <w:r w:rsidR="006E20D0" w:rsidRPr="009B17CD">
        <w:rPr>
          <w:sz w:val="24"/>
          <w:szCs w:val="24"/>
        </w:rPr>
        <w:t xml:space="preserve">riziko neschopnosti </w:t>
      </w:r>
      <w:r w:rsidR="006E20D0">
        <w:rPr>
          <w:sz w:val="24"/>
          <w:szCs w:val="24"/>
        </w:rPr>
        <w:t xml:space="preserve">nastartovat a </w:t>
      </w:r>
      <w:r w:rsidR="006E20D0" w:rsidRPr="009B17CD">
        <w:rPr>
          <w:sz w:val="24"/>
          <w:szCs w:val="24"/>
        </w:rPr>
        <w:t>restrukturalizovat ekonomiky vzhledem k fiskálním omezením, což by však pouze oddálilo nezbytné změny</w:t>
      </w:r>
      <w:r w:rsidR="006E20D0">
        <w:rPr>
          <w:sz w:val="24"/>
          <w:szCs w:val="24"/>
        </w:rPr>
        <w:t>, včetně energetického sektoru</w:t>
      </w:r>
      <w:r w:rsidR="006E20D0" w:rsidRPr="009B17CD">
        <w:rPr>
          <w:sz w:val="24"/>
          <w:szCs w:val="24"/>
        </w:rPr>
        <w:t xml:space="preserve">. </w:t>
      </w:r>
      <w:r w:rsidR="006E20D0" w:rsidRPr="00CB005A">
        <w:rPr>
          <w:rStyle w:val="tlid-translation"/>
          <w:sz w:val="24"/>
          <w:szCs w:val="24"/>
        </w:rPr>
        <w:t>Podle M</w:t>
      </w:r>
      <w:r w:rsidR="006E20D0">
        <w:rPr>
          <w:rStyle w:val="tlid-translation"/>
          <w:sz w:val="24"/>
          <w:szCs w:val="24"/>
        </w:rPr>
        <w:t xml:space="preserve">MF </w:t>
      </w:r>
      <w:r w:rsidR="006E20D0" w:rsidRPr="00CB005A">
        <w:rPr>
          <w:rStyle w:val="tlid-translation"/>
          <w:sz w:val="24"/>
          <w:szCs w:val="24"/>
        </w:rPr>
        <w:t xml:space="preserve">nemůže žádná země produkující ropu vydělávat s cenou ropného barelu 40 </w:t>
      </w:r>
      <w:r w:rsidR="006E20D0" w:rsidRPr="000F3F02">
        <w:rPr>
          <w:rStyle w:val="tlid-translation"/>
          <w:sz w:val="24"/>
          <w:szCs w:val="24"/>
        </w:rPr>
        <w:t xml:space="preserve">USD </w:t>
      </w:r>
      <w:r w:rsidR="006E20D0" w:rsidRPr="00D22DAA">
        <w:rPr>
          <w:rStyle w:val="tlid-translation"/>
          <w:sz w:val="24"/>
          <w:szCs w:val="24"/>
        </w:rPr>
        <w:t>(</w:t>
      </w:r>
      <w:proofErr w:type="spellStart"/>
      <w:r w:rsidR="006E20D0" w:rsidRPr="00D22DAA">
        <w:rPr>
          <w:rStyle w:val="tlid-translation"/>
          <w:sz w:val="24"/>
          <w:szCs w:val="24"/>
        </w:rPr>
        <w:t>Valori</w:t>
      </w:r>
      <w:proofErr w:type="spellEnd"/>
      <w:r w:rsidR="006E20D0" w:rsidRPr="00D22DAA">
        <w:rPr>
          <w:rStyle w:val="tlid-translation"/>
          <w:sz w:val="24"/>
          <w:szCs w:val="24"/>
        </w:rPr>
        <w:t xml:space="preserve"> 2020).</w:t>
      </w:r>
      <w:r w:rsidR="006E20D0" w:rsidRPr="000F3F02">
        <w:rPr>
          <w:rStyle w:val="tlid-translation"/>
          <w:sz w:val="24"/>
          <w:szCs w:val="24"/>
        </w:rPr>
        <w:t xml:space="preserve"> </w:t>
      </w:r>
      <w:r w:rsidR="006E20D0" w:rsidRPr="000F3F02">
        <w:rPr>
          <w:sz w:val="24"/>
          <w:szCs w:val="24"/>
        </w:rPr>
        <w:t xml:space="preserve">Situace </w:t>
      </w:r>
      <w:r w:rsidR="006E20D0" w:rsidRPr="00E62C0E">
        <w:rPr>
          <w:sz w:val="24"/>
          <w:szCs w:val="24"/>
        </w:rPr>
        <w:t xml:space="preserve">je komplikována skutečností, že region Blízkého východu a severní Afriky má jednu z nejrychleji rostoucích populací na světě a mnoho zemí vnímá </w:t>
      </w:r>
      <w:r w:rsidR="006E20D0" w:rsidRPr="00D4178C">
        <w:rPr>
          <w:sz w:val="24"/>
          <w:szCs w:val="24"/>
        </w:rPr>
        <w:t xml:space="preserve">očekávaný růst nezaměstnanosti </w:t>
      </w:r>
      <w:r w:rsidR="006E20D0" w:rsidRPr="000F3F02">
        <w:rPr>
          <w:sz w:val="24"/>
          <w:szCs w:val="24"/>
        </w:rPr>
        <w:t>(zejména mladých) jako významn</w:t>
      </w:r>
      <w:r w:rsidRPr="000F3F02">
        <w:rPr>
          <w:sz w:val="24"/>
          <w:szCs w:val="24"/>
        </w:rPr>
        <w:t>ý</w:t>
      </w:r>
      <w:r w:rsidR="006E20D0" w:rsidRPr="000F3F02">
        <w:rPr>
          <w:sz w:val="24"/>
          <w:szCs w:val="24"/>
        </w:rPr>
        <w:t xml:space="preserve"> a potenciálně destabilizující </w:t>
      </w:r>
      <w:r w:rsidRPr="000F3F02">
        <w:rPr>
          <w:sz w:val="24"/>
          <w:szCs w:val="24"/>
        </w:rPr>
        <w:t>faktor</w:t>
      </w:r>
      <w:r w:rsidR="006E20D0" w:rsidRPr="000F3F02">
        <w:rPr>
          <w:sz w:val="24"/>
          <w:szCs w:val="24"/>
        </w:rPr>
        <w:t>.</w:t>
      </w:r>
    </w:p>
    <w:p w14:paraId="59A4C06A" w14:textId="6F73C611" w:rsidR="003839DE" w:rsidRPr="000F3F02" w:rsidRDefault="003839DE" w:rsidP="002B6B2F">
      <w:pPr>
        <w:spacing w:after="100" w:afterAutospacing="1" w:line="240" w:lineRule="auto"/>
        <w:jc w:val="both"/>
        <w:rPr>
          <w:i/>
        </w:rPr>
      </w:pPr>
      <w:r w:rsidRPr="000F3F02">
        <w:rPr>
          <w:i/>
          <w:sz w:val="24"/>
          <w:szCs w:val="24"/>
        </w:rPr>
        <w:t>Kontext krize způsobené ropným šokem: pandemie COVID-19, dopady závazků dekarbonizace a</w:t>
      </w:r>
      <w:r w:rsidR="000C6C05">
        <w:rPr>
          <w:i/>
          <w:sz w:val="24"/>
          <w:szCs w:val="24"/>
        </w:rPr>
        <w:t> </w:t>
      </w:r>
      <w:r w:rsidRPr="000F3F02">
        <w:rPr>
          <w:i/>
          <w:sz w:val="24"/>
          <w:szCs w:val="24"/>
        </w:rPr>
        <w:t>pokračující soupeření o kontrolu zdrojů</w:t>
      </w:r>
    </w:p>
    <w:p w14:paraId="20768664" w14:textId="7FC65183" w:rsidR="006E20D0" w:rsidRPr="000F3F02" w:rsidRDefault="006E20D0" w:rsidP="002B6B2F">
      <w:pPr>
        <w:spacing w:after="100" w:afterAutospacing="1" w:line="240" w:lineRule="auto"/>
        <w:jc w:val="both"/>
        <w:rPr>
          <w:sz w:val="24"/>
          <w:szCs w:val="24"/>
        </w:rPr>
      </w:pPr>
      <w:r w:rsidRPr="000F3F02">
        <w:rPr>
          <w:sz w:val="24"/>
          <w:szCs w:val="24"/>
        </w:rPr>
        <w:t xml:space="preserve">Současná krize se odehrává v širším kontextu strukturálního poklesu trhu s fosilními palivy, který je poháněn závazkem k dekarbonizaci mnoha zemí, stejně jako širšími technologickými změnami, díky nimž se obnovitelné zdroje </w:t>
      </w:r>
      <w:r w:rsidR="00D94D00">
        <w:rPr>
          <w:sz w:val="24"/>
          <w:szCs w:val="24"/>
        </w:rPr>
        <w:t xml:space="preserve">energie </w:t>
      </w:r>
      <w:r w:rsidR="006B112F">
        <w:rPr>
          <w:sz w:val="24"/>
          <w:szCs w:val="24"/>
        </w:rPr>
        <w:t>(OZE</w:t>
      </w:r>
      <w:r w:rsidR="00D94D00">
        <w:rPr>
          <w:sz w:val="24"/>
          <w:szCs w:val="24"/>
        </w:rPr>
        <w:t xml:space="preserve">) </w:t>
      </w:r>
      <w:r w:rsidRPr="000F3F02">
        <w:rPr>
          <w:sz w:val="24"/>
          <w:szCs w:val="24"/>
        </w:rPr>
        <w:t xml:space="preserve">stávají preferovanou a tržně obhajitelnou možností energie. </w:t>
      </w:r>
      <w:r w:rsidR="000C6C05">
        <w:rPr>
          <w:sz w:val="24"/>
          <w:szCs w:val="24"/>
        </w:rPr>
        <w:t>P</w:t>
      </w:r>
      <w:r w:rsidRPr="000F3F02">
        <w:rPr>
          <w:sz w:val="24"/>
          <w:szCs w:val="24"/>
        </w:rPr>
        <w:t>oslední desetiletí se vyznačuje rychlou transformací energetického sektoru ve vyspělých státech, zejména EU. V delším časovém horizontu se</w:t>
      </w:r>
      <w:r w:rsidR="00B52A03" w:rsidRPr="000F3F02">
        <w:rPr>
          <w:sz w:val="24"/>
          <w:szCs w:val="24"/>
        </w:rPr>
        <w:t xml:space="preserve"> s tím</w:t>
      </w:r>
      <w:r w:rsidRPr="000F3F02">
        <w:rPr>
          <w:sz w:val="24"/>
          <w:szCs w:val="24"/>
        </w:rPr>
        <w:t xml:space="preserve"> producenti ropy musí vyrovnat. Již před krizí totiž bylo zřejmé, že sektor těžby fosilních paliv bude procházet značnou restrukturalizací. </w:t>
      </w:r>
      <w:r w:rsidR="0094575D">
        <w:rPr>
          <w:sz w:val="24"/>
          <w:szCs w:val="24"/>
        </w:rPr>
        <w:t>Ekonomická</w:t>
      </w:r>
      <w:r w:rsidR="0094575D" w:rsidRPr="000F3F02">
        <w:rPr>
          <w:sz w:val="24"/>
          <w:szCs w:val="24"/>
        </w:rPr>
        <w:t xml:space="preserve"> </w:t>
      </w:r>
      <w:r w:rsidRPr="000F3F02">
        <w:rPr>
          <w:sz w:val="24"/>
          <w:szCs w:val="24"/>
        </w:rPr>
        <w:t xml:space="preserve">a zdravotní krize v roce 2020 toto </w:t>
      </w:r>
      <w:r w:rsidRPr="000F3F02">
        <w:rPr>
          <w:sz w:val="24"/>
          <w:szCs w:val="24"/>
        </w:rPr>
        <w:lastRenderedPageBreak/>
        <w:t xml:space="preserve">částečně potvrdila, </w:t>
      </w:r>
      <w:r w:rsidR="007D7122" w:rsidRPr="000F3F02">
        <w:rPr>
          <w:sz w:val="24"/>
          <w:szCs w:val="24"/>
        </w:rPr>
        <w:t xml:space="preserve">když </w:t>
      </w:r>
      <w:r w:rsidRPr="000F3F02">
        <w:rPr>
          <w:sz w:val="24"/>
          <w:szCs w:val="24"/>
        </w:rPr>
        <w:t>vedla k poklesu poptávky po hlavních palivech (nejen rop</w:t>
      </w:r>
      <w:r w:rsidR="000C6C05">
        <w:rPr>
          <w:sz w:val="24"/>
          <w:szCs w:val="24"/>
        </w:rPr>
        <w:t>ě</w:t>
      </w:r>
      <w:r w:rsidRPr="000F3F02">
        <w:rPr>
          <w:sz w:val="24"/>
          <w:szCs w:val="24"/>
        </w:rPr>
        <w:t>, ale rovněž uhlí a plyn</w:t>
      </w:r>
      <w:r w:rsidR="000C6C05">
        <w:rPr>
          <w:sz w:val="24"/>
          <w:szCs w:val="24"/>
        </w:rPr>
        <w:t>u</w:t>
      </w:r>
      <w:r w:rsidRPr="000F3F02">
        <w:rPr>
          <w:sz w:val="24"/>
          <w:szCs w:val="24"/>
        </w:rPr>
        <w:t>)</w:t>
      </w:r>
      <w:r w:rsidR="007D7122" w:rsidRPr="000F3F02">
        <w:rPr>
          <w:sz w:val="24"/>
          <w:szCs w:val="24"/>
        </w:rPr>
        <w:t>. N</w:t>
      </w:r>
      <w:r w:rsidRPr="000F3F02">
        <w:rPr>
          <w:sz w:val="24"/>
          <w:szCs w:val="24"/>
        </w:rPr>
        <w:t xml:space="preserve">edošlo ovšem k takto razantnímu propadu spotřeby elektřiny a krizi se zcela vyhnuly </w:t>
      </w:r>
      <w:r w:rsidR="00D94D00">
        <w:rPr>
          <w:sz w:val="24"/>
          <w:szCs w:val="24"/>
        </w:rPr>
        <w:t>OZE</w:t>
      </w:r>
      <w:r w:rsidRPr="000F3F02">
        <w:rPr>
          <w:sz w:val="24"/>
          <w:szCs w:val="24"/>
        </w:rPr>
        <w:t xml:space="preserve">. Zdá se tedy, že krize má asymetrický dopad na rozvoj energetického sektoru. </w:t>
      </w:r>
      <w:r w:rsidR="007D7122" w:rsidRPr="000F3F02">
        <w:rPr>
          <w:sz w:val="24"/>
          <w:szCs w:val="24"/>
        </w:rPr>
        <w:t>To potvrzují i reakce</w:t>
      </w:r>
      <w:r w:rsidRPr="000F3F02">
        <w:rPr>
          <w:sz w:val="24"/>
          <w:szCs w:val="24"/>
        </w:rPr>
        <w:t xml:space="preserve"> soukrom</w:t>
      </w:r>
      <w:r w:rsidR="007D7122" w:rsidRPr="000F3F02">
        <w:rPr>
          <w:sz w:val="24"/>
          <w:szCs w:val="24"/>
        </w:rPr>
        <w:t>ého</w:t>
      </w:r>
      <w:r w:rsidRPr="000F3F02">
        <w:rPr>
          <w:sz w:val="24"/>
          <w:szCs w:val="24"/>
        </w:rPr>
        <w:t xml:space="preserve"> sektor</w:t>
      </w:r>
      <w:r w:rsidR="007D7122" w:rsidRPr="000F3F02">
        <w:rPr>
          <w:sz w:val="24"/>
          <w:szCs w:val="24"/>
        </w:rPr>
        <w:t>u. S</w:t>
      </w:r>
      <w:r w:rsidRPr="000F3F02">
        <w:rPr>
          <w:sz w:val="24"/>
          <w:szCs w:val="24"/>
        </w:rPr>
        <w:t>polečnost BP</w:t>
      </w:r>
      <w:r w:rsidR="00455334">
        <w:rPr>
          <w:sz w:val="24"/>
          <w:szCs w:val="24"/>
        </w:rPr>
        <w:t xml:space="preserve"> </w:t>
      </w:r>
      <w:r w:rsidR="00455334" w:rsidRPr="000F3F02">
        <w:rPr>
          <w:sz w:val="24"/>
          <w:szCs w:val="24"/>
        </w:rPr>
        <w:t>se</w:t>
      </w:r>
      <w:r w:rsidRPr="000F3F02">
        <w:rPr>
          <w:sz w:val="24"/>
          <w:szCs w:val="24"/>
        </w:rPr>
        <w:t xml:space="preserve"> stala první</w:t>
      </w:r>
      <w:r w:rsidR="007D7122" w:rsidRPr="000F3F02">
        <w:rPr>
          <w:sz w:val="24"/>
          <w:szCs w:val="24"/>
        </w:rPr>
        <w:t>m</w:t>
      </w:r>
      <w:r w:rsidRPr="000F3F02">
        <w:rPr>
          <w:sz w:val="24"/>
          <w:szCs w:val="24"/>
        </w:rPr>
        <w:t xml:space="preserve"> z velkých producentů ropy, kteří uznávají tuto novou realitu</w:t>
      </w:r>
      <w:r w:rsidR="00455334">
        <w:rPr>
          <w:sz w:val="24"/>
          <w:szCs w:val="24"/>
        </w:rPr>
        <w:t>,</w:t>
      </w:r>
      <w:r w:rsidRPr="000F3F02">
        <w:rPr>
          <w:sz w:val="24"/>
          <w:szCs w:val="24"/>
        </w:rPr>
        <w:t xml:space="preserve"> a v</w:t>
      </w:r>
      <w:r w:rsidR="007D7122" w:rsidRPr="000F3F02">
        <w:rPr>
          <w:sz w:val="24"/>
          <w:szCs w:val="24"/>
        </w:rPr>
        <w:t> </w:t>
      </w:r>
      <w:r w:rsidRPr="000F3F02">
        <w:rPr>
          <w:sz w:val="24"/>
          <w:szCs w:val="24"/>
        </w:rPr>
        <w:t>roce</w:t>
      </w:r>
      <w:r w:rsidR="007D7122" w:rsidRPr="000F3F02">
        <w:rPr>
          <w:sz w:val="24"/>
          <w:szCs w:val="24"/>
        </w:rPr>
        <w:t xml:space="preserve"> 2020</w:t>
      </w:r>
      <w:r w:rsidRPr="000F3F02">
        <w:rPr>
          <w:sz w:val="24"/>
          <w:szCs w:val="24"/>
        </w:rPr>
        <w:t xml:space="preserve"> oznámila plány na snížení produkce ropy a zemního plynu </w:t>
      </w:r>
      <w:r w:rsidR="007D7122" w:rsidRPr="000F3F02">
        <w:rPr>
          <w:sz w:val="24"/>
          <w:szCs w:val="24"/>
        </w:rPr>
        <w:t>do konce</w:t>
      </w:r>
      <w:r w:rsidRPr="000F3F02">
        <w:rPr>
          <w:sz w:val="24"/>
          <w:szCs w:val="24"/>
        </w:rPr>
        <w:t xml:space="preserve"> </w:t>
      </w:r>
      <w:r w:rsidR="007D7122" w:rsidRPr="000F3F02">
        <w:rPr>
          <w:sz w:val="24"/>
          <w:szCs w:val="24"/>
        </w:rPr>
        <w:t xml:space="preserve">nadcházející dekády </w:t>
      </w:r>
      <w:r w:rsidRPr="000F3F02">
        <w:rPr>
          <w:sz w:val="24"/>
          <w:szCs w:val="24"/>
        </w:rPr>
        <w:t xml:space="preserve">o 30 až 40 </w:t>
      </w:r>
      <w:r w:rsidR="00455334">
        <w:rPr>
          <w:sz w:val="24"/>
          <w:szCs w:val="24"/>
        </w:rPr>
        <w:t>%</w:t>
      </w:r>
      <w:r w:rsidRPr="000F3F02">
        <w:rPr>
          <w:sz w:val="24"/>
          <w:szCs w:val="24"/>
        </w:rPr>
        <w:t xml:space="preserve"> a přerozdělení svých aktiv směrem k čisté energii </w:t>
      </w:r>
      <w:r w:rsidRPr="00FF5C39">
        <w:rPr>
          <w:sz w:val="24"/>
          <w:szCs w:val="24"/>
        </w:rPr>
        <w:t>(BP 2020</w:t>
      </w:r>
      <w:r w:rsidR="00B04CB8">
        <w:rPr>
          <w:sz w:val="24"/>
          <w:szCs w:val="24"/>
        </w:rPr>
        <w:t>c</w:t>
      </w:r>
      <w:r w:rsidRPr="00FF5C39">
        <w:rPr>
          <w:sz w:val="24"/>
          <w:szCs w:val="24"/>
        </w:rPr>
        <w:t>)</w:t>
      </w:r>
      <w:r w:rsidRPr="000F3F02">
        <w:rPr>
          <w:sz w:val="24"/>
          <w:szCs w:val="24"/>
        </w:rPr>
        <w:t>.</w:t>
      </w:r>
    </w:p>
    <w:p w14:paraId="7E0E62AC" w14:textId="5602DD3B" w:rsidR="006E20D0" w:rsidRPr="000F3F02" w:rsidRDefault="006E20D0" w:rsidP="002B6B2F">
      <w:pPr>
        <w:spacing w:after="100" w:afterAutospacing="1" w:line="240" w:lineRule="auto"/>
        <w:ind w:firstLine="709"/>
        <w:jc w:val="both"/>
        <w:rPr>
          <w:rStyle w:val="tlid-translation"/>
          <w:sz w:val="24"/>
          <w:szCs w:val="24"/>
        </w:rPr>
      </w:pPr>
      <w:r w:rsidRPr="00D4178C">
        <w:rPr>
          <w:sz w:val="24"/>
          <w:szCs w:val="24"/>
        </w:rPr>
        <w:t>V EU se</w:t>
      </w:r>
      <w:r w:rsidR="00E60493" w:rsidRPr="00D4178C">
        <w:rPr>
          <w:sz w:val="24"/>
          <w:szCs w:val="24"/>
        </w:rPr>
        <w:t xml:space="preserve"> </w:t>
      </w:r>
      <w:r w:rsidR="00E60493" w:rsidRPr="000F3F02">
        <w:rPr>
          <w:sz w:val="24"/>
          <w:szCs w:val="24"/>
        </w:rPr>
        <w:t>stávají reálnými výzvami nadvládě fosilních paliv</w:t>
      </w:r>
      <w:r w:rsidRPr="000F3F02">
        <w:rPr>
          <w:sz w:val="24"/>
          <w:szCs w:val="24"/>
        </w:rPr>
        <w:t xml:space="preserve"> </w:t>
      </w:r>
      <w:r w:rsidR="00D94D00">
        <w:rPr>
          <w:sz w:val="24"/>
          <w:szCs w:val="24"/>
        </w:rPr>
        <w:t>OZE</w:t>
      </w:r>
      <w:r w:rsidRPr="000F3F02">
        <w:rPr>
          <w:sz w:val="24"/>
          <w:szCs w:val="24"/>
        </w:rPr>
        <w:t xml:space="preserve"> a další zdroje, které se postupně vyrovnaly s technologickými a finančními překážkami. EU energetickou transformaci významně ovlivňuje využitím legislativních a finančních nástrojů a je programově jedním z hybatelů procesu dekarbonizace s velmi ambiciózními cíli. Masivní omezení fosilních paliv bude mít transformační dopad na světový obchod a změní mnoho </w:t>
      </w:r>
      <w:r w:rsidR="00E60493" w:rsidRPr="000F3F02">
        <w:rPr>
          <w:sz w:val="24"/>
          <w:szCs w:val="24"/>
        </w:rPr>
        <w:t xml:space="preserve">dodavatelsko-odběratelských </w:t>
      </w:r>
      <w:r w:rsidRPr="000F3F02">
        <w:rPr>
          <w:sz w:val="24"/>
          <w:szCs w:val="24"/>
        </w:rPr>
        <w:t>řetězců, což se bude týkat zejména významných producentů ropy. Zásadní je ovšem skutečnost, že tato očekávání jsou jednou z příčin udržování nižší ceny ropy</w:t>
      </w:r>
      <w:r w:rsidR="00455334">
        <w:rPr>
          <w:sz w:val="24"/>
          <w:szCs w:val="24"/>
        </w:rPr>
        <w:t>, což</w:t>
      </w:r>
      <w:r w:rsidRPr="000F3F02">
        <w:rPr>
          <w:sz w:val="24"/>
          <w:szCs w:val="24"/>
        </w:rPr>
        <w:t xml:space="preserve"> hrozí i do budoucna. V </w:t>
      </w:r>
      <w:r w:rsidR="00E60493" w:rsidRPr="000F3F02">
        <w:rPr>
          <w:sz w:val="24"/>
          <w:szCs w:val="24"/>
        </w:rPr>
        <w:t xml:space="preserve">uvedeném </w:t>
      </w:r>
      <w:r w:rsidRPr="000F3F02">
        <w:rPr>
          <w:sz w:val="24"/>
          <w:szCs w:val="24"/>
        </w:rPr>
        <w:t xml:space="preserve">kontextu se mění způsob naplňování energetické bezpečnosti a rovněž bude významně ovlivněna snaha o diverzifikaci. Zatímco v minulosti totiž používali vývozci a dovozci energii jako páku zahraniční politiky, lze očekávat, že ropa (a plyn) jako zdroj většiny emisí, se stanou méně důležitými a aliance založené na fosilních palivech ve světě se s dekarbonizací oslabí. </w:t>
      </w:r>
      <w:r w:rsidRPr="000F3F02">
        <w:rPr>
          <w:rStyle w:val="tlid-translation"/>
          <w:sz w:val="24"/>
          <w:szCs w:val="24"/>
        </w:rPr>
        <w:t xml:space="preserve">Zavádění </w:t>
      </w:r>
      <w:r w:rsidR="00D94D00">
        <w:rPr>
          <w:rStyle w:val="tlid-translation"/>
          <w:sz w:val="24"/>
          <w:szCs w:val="24"/>
        </w:rPr>
        <w:t>OZE</w:t>
      </w:r>
      <w:r w:rsidR="00455334">
        <w:rPr>
          <w:rStyle w:val="tlid-translation"/>
          <w:sz w:val="24"/>
          <w:szCs w:val="24"/>
        </w:rPr>
        <w:t xml:space="preserve"> </w:t>
      </w:r>
      <w:r w:rsidRPr="000F3F02">
        <w:rPr>
          <w:rStyle w:val="tlid-translation"/>
          <w:sz w:val="24"/>
          <w:szCs w:val="24"/>
        </w:rPr>
        <w:t>a opatření na zvýšení účinnosti může na druhou stranu vést v případě vyspělých ropných ekonomik k efektivnější alokaci kapitálu a mohlo</w:t>
      </w:r>
      <w:r w:rsidR="001C4ABC">
        <w:rPr>
          <w:rStyle w:val="tlid-translation"/>
          <w:sz w:val="24"/>
          <w:szCs w:val="24"/>
        </w:rPr>
        <w:t xml:space="preserve"> by </w:t>
      </w:r>
      <w:r w:rsidR="001C4ABC" w:rsidRPr="000F3F02">
        <w:rPr>
          <w:rStyle w:val="tlid-translation"/>
          <w:sz w:val="24"/>
          <w:szCs w:val="24"/>
        </w:rPr>
        <w:t>ekonomik</w:t>
      </w:r>
      <w:r w:rsidR="001C4ABC">
        <w:rPr>
          <w:rStyle w:val="tlid-translation"/>
          <w:sz w:val="24"/>
          <w:szCs w:val="24"/>
        </w:rPr>
        <w:t>ám</w:t>
      </w:r>
      <w:r w:rsidR="001C4ABC" w:rsidRPr="000F3F02">
        <w:rPr>
          <w:rStyle w:val="tlid-translation"/>
          <w:sz w:val="24"/>
          <w:szCs w:val="24"/>
        </w:rPr>
        <w:t xml:space="preserve"> producentů</w:t>
      </w:r>
      <w:r w:rsidRPr="000F3F02">
        <w:rPr>
          <w:rStyle w:val="tlid-translation"/>
          <w:sz w:val="24"/>
          <w:szCs w:val="24"/>
        </w:rPr>
        <w:t xml:space="preserve"> pomoci při</w:t>
      </w:r>
      <w:r w:rsidR="001C4ABC">
        <w:rPr>
          <w:rStyle w:val="tlid-translation"/>
          <w:sz w:val="24"/>
          <w:szCs w:val="24"/>
        </w:rPr>
        <w:t xml:space="preserve"> realizaci</w:t>
      </w:r>
      <w:r w:rsidRPr="000F3F02">
        <w:rPr>
          <w:rStyle w:val="tlid-translation"/>
          <w:sz w:val="24"/>
          <w:szCs w:val="24"/>
        </w:rPr>
        <w:t xml:space="preserve"> strategií diverzifikace </w:t>
      </w:r>
      <w:r w:rsidRPr="00FF5C39">
        <w:rPr>
          <w:rStyle w:val="tlid-translation"/>
          <w:sz w:val="24"/>
          <w:szCs w:val="24"/>
        </w:rPr>
        <w:t>(IRENA 2019).</w:t>
      </w:r>
    </w:p>
    <w:p w14:paraId="08EC511B" w14:textId="486ED955" w:rsidR="005A2F61" w:rsidRPr="000F3F02" w:rsidRDefault="006E20D0" w:rsidP="002B6B2F">
      <w:pPr>
        <w:spacing w:after="100" w:afterAutospacing="1" w:line="240" w:lineRule="auto"/>
        <w:ind w:firstLine="709"/>
        <w:jc w:val="both"/>
        <w:rPr>
          <w:sz w:val="24"/>
          <w:szCs w:val="24"/>
        </w:rPr>
      </w:pPr>
      <w:r w:rsidRPr="000F3F02">
        <w:rPr>
          <w:sz w:val="24"/>
          <w:szCs w:val="24"/>
        </w:rPr>
        <w:t xml:space="preserve">I v rámci dekarbonizace bude vnější závislost EU v dalších desetiletích </w:t>
      </w:r>
      <w:r w:rsidRPr="005B5D8A">
        <w:rPr>
          <w:sz w:val="24"/>
          <w:szCs w:val="24"/>
        </w:rPr>
        <w:t>zřejmá, významně</w:t>
      </w:r>
      <w:r w:rsidR="001C4ABC">
        <w:rPr>
          <w:sz w:val="24"/>
          <w:szCs w:val="24"/>
        </w:rPr>
        <w:t xml:space="preserve"> však</w:t>
      </w:r>
      <w:r w:rsidRPr="005B5D8A">
        <w:rPr>
          <w:sz w:val="24"/>
          <w:szCs w:val="24"/>
        </w:rPr>
        <w:t xml:space="preserve"> oslab</w:t>
      </w:r>
      <w:r w:rsidR="001C4ABC">
        <w:rPr>
          <w:sz w:val="24"/>
          <w:szCs w:val="24"/>
        </w:rPr>
        <w:t>í</w:t>
      </w:r>
      <w:r w:rsidRPr="005B5D8A">
        <w:rPr>
          <w:sz w:val="24"/>
          <w:szCs w:val="24"/>
        </w:rPr>
        <w:t xml:space="preserve"> strategický význam </w:t>
      </w:r>
      <w:r w:rsidRPr="00D4178C">
        <w:rPr>
          <w:sz w:val="24"/>
          <w:szCs w:val="24"/>
        </w:rPr>
        <w:t xml:space="preserve">fosilních </w:t>
      </w:r>
      <w:r w:rsidRPr="000F3F02">
        <w:rPr>
          <w:sz w:val="24"/>
          <w:szCs w:val="24"/>
        </w:rPr>
        <w:t xml:space="preserve">přírodních zdrojů (včetně ropy) a jejich souvislost s geografií. Zatímco u ropy jsou zásoby vysoce koncentrované v konkrétních částech světa (pět zemí světa představuje více než 60 % celkových zásob ropy), </w:t>
      </w:r>
      <w:r w:rsidR="001C4ABC" w:rsidRPr="000F3F02">
        <w:rPr>
          <w:sz w:val="24"/>
          <w:szCs w:val="24"/>
        </w:rPr>
        <w:t>geografick</w:t>
      </w:r>
      <w:r w:rsidR="001C4ABC">
        <w:rPr>
          <w:sz w:val="24"/>
          <w:szCs w:val="24"/>
        </w:rPr>
        <w:t>á</w:t>
      </w:r>
      <w:r w:rsidR="001C4ABC" w:rsidRPr="000F3F02">
        <w:rPr>
          <w:sz w:val="24"/>
          <w:szCs w:val="24"/>
        </w:rPr>
        <w:t xml:space="preserve"> koncentr</w:t>
      </w:r>
      <w:r w:rsidR="001C4ABC">
        <w:rPr>
          <w:sz w:val="24"/>
          <w:szCs w:val="24"/>
        </w:rPr>
        <w:t xml:space="preserve">ace </w:t>
      </w:r>
      <w:r w:rsidR="00D94D00">
        <w:rPr>
          <w:sz w:val="24"/>
          <w:szCs w:val="24"/>
        </w:rPr>
        <w:t>OZE</w:t>
      </w:r>
      <w:r w:rsidRPr="000F3F02">
        <w:rPr>
          <w:sz w:val="24"/>
          <w:szCs w:val="24"/>
        </w:rPr>
        <w:t xml:space="preserve"> </w:t>
      </w:r>
      <w:r w:rsidR="001C4ABC">
        <w:rPr>
          <w:sz w:val="24"/>
          <w:szCs w:val="24"/>
        </w:rPr>
        <w:t>je výrazně nižší</w:t>
      </w:r>
      <w:r w:rsidRPr="000F3F02">
        <w:rPr>
          <w:sz w:val="24"/>
          <w:szCs w:val="24"/>
        </w:rPr>
        <w:t>. Přestože se jedná spíše o střednědobou až dlouhodobou predikci, lze očekávat vznik nových energetických partner</w:t>
      </w:r>
      <w:r w:rsidR="001C4ABC">
        <w:rPr>
          <w:sz w:val="24"/>
          <w:szCs w:val="24"/>
        </w:rPr>
        <w:t>ství</w:t>
      </w:r>
      <w:r w:rsidRPr="000F3F02">
        <w:rPr>
          <w:sz w:val="24"/>
          <w:szCs w:val="24"/>
        </w:rPr>
        <w:t xml:space="preserve"> a nových aliancí s EU. </w:t>
      </w:r>
    </w:p>
    <w:p w14:paraId="1DF2B1AA" w14:textId="47D1CB42" w:rsidR="001C4ABC" w:rsidRDefault="006E20D0" w:rsidP="002B6B2F">
      <w:pPr>
        <w:spacing w:after="100" w:afterAutospacing="1" w:line="240" w:lineRule="auto"/>
        <w:ind w:firstLine="709"/>
        <w:jc w:val="both"/>
        <w:rPr>
          <w:rStyle w:val="tlid-translation"/>
          <w:sz w:val="24"/>
          <w:szCs w:val="24"/>
        </w:rPr>
      </w:pPr>
      <w:r w:rsidRPr="000F3F02">
        <w:rPr>
          <w:rStyle w:val="tlid-translation"/>
          <w:sz w:val="24"/>
          <w:szCs w:val="24"/>
        </w:rPr>
        <w:t>Určitý podíl budoucích dovozů energie bude nízkouhlíkový. EU bude nadále dovážet biopaliva (dřevo nebo motorov</w:t>
      </w:r>
      <w:r w:rsidR="005A2F61" w:rsidRPr="000F3F02">
        <w:rPr>
          <w:rStyle w:val="tlid-translation"/>
          <w:sz w:val="24"/>
          <w:szCs w:val="24"/>
        </w:rPr>
        <w:t>ou</w:t>
      </w:r>
      <w:r w:rsidRPr="000F3F02">
        <w:rPr>
          <w:rStyle w:val="tlid-translation"/>
          <w:sz w:val="24"/>
          <w:szCs w:val="24"/>
        </w:rPr>
        <w:t xml:space="preserve"> naft</w:t>
      </w:r>
      <w:r w:rsidR="001C4ABC">
        <w:rPr>
          <w:rStyle w:val="tlid-translation"/>
          <w:sz w:val="24"/>
          <w:szCs w:val="24"/>
        </w:rPr>
        <w:t>u</w:t>
      </w:r>
      <w:r w:rsidRPr="000F3F02">
        <w:rPr>
          <w:rStyle w:val="tlid-translation"/>
          <w:sz w:val="24"/>
          <w:szCs w:val="24"/>
        </w:rPr>
        <w:t xml:space="preserve"> pocházející z rostlin)</w:t>
      </w:r>
      <w:r w:rsidR="005A2F61" w:rsidRPr="000F3F02">
        <w:rPr>
          <w:rStyle w:val="tlid-translation"/>
          <w:sz w:val="24"/>
          <w:szCs w:val="24"/>
        </w:rPr>
        <w:t xml:space="preserve">, půjde však o </w:t>
      </w:r>
      <w:r w:rsidRPr="000F3F02">
        <w:rPr>
          <w:rStyle w:val="tlid-translation"/>
          <w:sz w:val="24"/>
          <w:szCs w:val="24"/>
        </w:rPr>
        <w:t>mal</w:t>
      </w:r>
      <w:r w:rsidR="005A2F61" w:rsidRPr="000F3F02">
        <w:rPr>
          <w:rStyle w:val="tlid-translation"/>
          <w:sz w:val="24"/>
          <w:szCs w:val="24"/>
        </w:rPr>
        <w:t>ou</w:t>
      </w:r>
      <w:r w:rsidRPr="000F3F02">
        <w:rPr>
          <w:rStyle w:val="tlid-translation"/>
          <w:sz w:val="24"/>
          <w:szCs w:val="24"/>
        </w:rPr>
        <w:t xml:space="preserve"> část celkové spotřeby</w:t>
      </w:r>
      <w:r w:rsidR="005A2F61" w:rsidRPr="000F3F02">
        <w:rPr>
          <w:rStyle w:val="tlid-translation"/>
          <w:sz w:val="24"/>
          <w:szCs w:val="24"/>
        </w:rPr>
        <w:t>.</w:t>
      </w:r>
      <w:r w:rsidRPr="000F3F02">
        <w:rPr>
          <w:rStyle w:val="tlid-translation"/>
          <w:sz w:val="24"/>
          <w:szCs w:val="24"/>
        </w:rPr>
        <w:t xml:space="preserve"> </w:t>
      </w:r>
      <w:r w:rsidR="005A2F61" w:rsidRPr="000F3F02">
        <w:rPr>
          <w:rStyle w:val="tlid-translation"/>
          <w:sz w:val="24"/>
          <w:szCs w:val="24"/>
        </w:rPr>
        <w:t xml:space="preserve">Jako zajímavější se jeví </w:t>
      </w:r>
      <w:r w:rsidRPr="000F3F02">
        <w:rPr>
          <w:rStyle w:val="tlid-translation"/>
          <w:sz w:val="24"/>
          <w:szCs w:val="24"/>
        </w:rPr>
        <w:t xml:space="preserve">možnost dovážet elektrickou energii ze zemí, které </w:t>
      </w:r>
      <w:r w:rsidR="00A57435">
        <w:rPr>
          <w:rStyle w:val="tlid-translation"/>
          <w:sz w:val="24"/>
          <w:szCs w:val="24"/>
        </w:rPr>
        <w:t xml:space="preserve">ji </w:t>
      </w:r>
      <w:r w:rsidRPr="000F3F02">
        <w:rPr>
          <w:rStyle w:val="tlid-translation"/>
          <w:sz w:val="24"/>
          <w:szCs w:val="24"/>
        </w:rPr>
        <w:t xml:space="preserve">mohou </w:t>
      </w:r>
      <w:r w:rsidR="006D30B4">
        <w:rPr>
          <w:rStyle w:val="tlid-translation"/>
          <w:sz w:val="24"/>
          <w:szCs w:val="24"/>
        </w:rPr>
        <w:t>l</w:t>
      </w:r>
      <w:r w:rsidRPr="000F3F02">
        <w:rPr>
          <w:rStyle w:val="tlid-translation"/>
          <w:sz w:val="24"/>
          <w:szCs w:val="24"/>
        </w:rPr>
        <w:t>evně vyrábět z </w:t>
      </w:r>
      <w:r w:rsidR="00D94D00">
        <w:rPr>
          <w:rStyle w:val="tlid-translation"/>
          <w:sz w:val="24"/>
          <w:szCs w:val="24"/>
        </w:rPr>
        <w:t>OZE</w:t>
      </w:r>
      <w:r w:rsidRPr="000F3F02">
        <w:rPr>
          <w:rStyle w:val="tlid-translation"/>
          <w:sz w:val="24"/>
          <w:szCs w:val="24"/>
        </w:rPr>
        <w:t>, jako je sluneční energie.</w:t>
      </w:r>
      <w:r w:rsidR="005A2F61" w:rsidRPr="000F3F02">
        <w:rPr>
          <w:rStyle w:val="Znakapoznpodarou"/>
          <w:sz w:val="24"/>
          <w:szCs w:val="24"/>
        </w:rPr>
        <w:footnoteReference w:id="1"/>
      </w:r>
      <w:r w:rsidRPr="000F3F02">
        <w:rPr>
          <w:rStyle w:val="tlid-translation"/>
          <w:sz w:val="24"/>
          <w:szCs w:val="24"/>
        </w:rPr>
        <w:t xml:space="preserve"> Podobně se ovšem vytvoří prostor pro zapojení starých partnerů v nových rolích. </w:t>
      </w:r>
    </w:p>
    <w:p w14:paraId="6CF02C95" w14:textId="4828B8F2" w:rsidR="00312D0A" w:rsidRDefault="005A2F61" w:rsidP="002B6B2F">
      <w:pPr>
        <w:spacing w:after="100" w:afterAutospacing="1" w:line="240" w:lineRule="auto"/>
        <w:ind w:firstLine="709"/>
        <w:jc w:val="both"/>
        <w:rPr>
          <w:rStyle w:val="tlid-translation"/>
          <w:sz w:val="24"/>
          <w:szCs w:val="24"/>
        </w:rPr>
      </w:pPr>
      <w:r w:rsidRPr="00D4178C">
        <w:rPr>
          <w:rStyle w:val="tlid-translation"/>
          <w:sz w:val="24"/>
          <w:szCs w:val="24"/>
        </w:rPr>
        <w:t>Z</w:t>
      </w:r>
      <w:r w:rsidR="006E20D0" w:rsidRPr="000F3F02">
        <w:rPr>
          <w:rStyle w:val="tlid-translation"/>
          <w:sz w:val="24"/>
          <w:szCs w:val="24"/>
        </w:rPr>
        <w:t>a nejslibnější nízkouhlíkový zdroj energie pro EU</w:t>
      </w:r>
      <w:r w:rsidRPr="000F3F02">
        <w:rPr>
          <w:rStyle w:val="tlid-translation"/>
          <w:sz w:val="24"/>
          <w:szCs w:val="24"/>
        </w:rPr>
        <w:t xml:space="preserve"> je nyní považován vodík</w:t>
      </w:r>
      <w:r w:rsidR="006E20D0" w:rsidRPr="000F3F02">
        <w:rPr>
          <w:rStyle w:val="tlid-translation"/>
          <w:sz w:val="24"/>
          <w:szCs w:val="24"/>
        </w:rPr>
        <w:t xml:space="preserve"> (Van de Graaf</w:t>
      </w:r>
      <w:r w:rsidR="00F64F04">
        <w:rPr>
          <w:rStyle w:val="tlid-translation"/>
          <w:sz w:val="24"/>
          <w:szCs w:val="24"/>
        </w:rPr>
        <w:t xml:space="preserve"> et al.</w:t>
      </w:r>
      <w:r w:rsidR="006E20D0" w:rsidRPr="000F3F02">
        <w:rPr>
          <w:rStyle w:val="tlid-translation"/>
          <w:sz w:val="24"/>
          <w:szCs w:val="24"/>
        </w:rPr>
        <w:t xml:space="preserve"> 2020)</w:t>
      </w:r>
      <w:r w:rsidRPr="000F3F02">
        <w:rPr>
          <w:rStyle w:val="tlid-translation"/>
          <w:sz w:val="24"/>
          <w:szCs w:val="24"/>
        </w:rPr>
        <w:t xml:space="preserve">. Vzniká tak </w:t>
      </w:r>
      <w:r w:rsidR="006E20D0" w:rsidRPr="000F3F02">
        <w:rPr>
          <w:rStyle w:val="tlid-translation"/>
          <w:sz w:val="24"/>
          <w:szCs w:val="24"/>
        </w:rPr>
        <w:t>prostor pro současné dodavatele ropy do EU</w:t>
      </w:r>
      <w:r w:rsidRPr="000F3F02">
        <w:rPr>
          <w:rStyle w:val="tlid-translation"/>
          <w:sz w:val="24"/>
          <w:szCs w:val="24"/>
        </w:rPr>
        <w:t>,</w:t>
      </w:r>
      <w:r w:rsidR="006E20D0" w:rsidRPr="000F3F02">
        <w:rPr>
          <w:rStyle w:val="tlid-translation"/>
          <w:sz w:val="24"/>
          <w:szCs w:val="24"/>
        </w:rPr>
        <w:t xml:space="preserve"> zejména Norsko a Rusko</w:t>
      </w:r>
      <w:r w:rsidRPr="000F3F02">
        <w:rPr>
          <w:rStyle w:val="tlid-translation"/>
          <w:sz w:val="24"/>
          <w:szCs w:val="24"/>
        </w:rPr>
        <w:t>. Z</w:t>
      </w:r>
      <w:r w:rsidR="006E20D0" w:rsidRPr="000F3F02">
        <w:rPr>
          <w:rStyle w:val="tlid-translation"/>
          <w:sz w:val="24"/>
          <w:szCs w:val="24"/>
        </w:rPr>
        <w:t>počátku</w:t>
      </w:r>
      <w:r w:rsidRPr="000F3F02">
        <w:rPr>
          <w:rStyle w:val="tlid-translation"/>
          <w:sz w:val="24"/>
          <w:szCs w:val="24"/>
        </w:rPr>
        <w:t xml:space="preserve"> by</w:t>
      </w:r>
      <w:r w:rsidR="006E20D0" w:rsidRPr="000F3F02">
        <w:rPr>
          <w:rStyle w:val="tlid-translation"/>
          <w:sz w:val="24"/>
          <w:szCs w:val="24"/>
        </w:rPr>
        <w:t xml:space="preserve"> </w:t>
      </w:r>
      <w:r w:rsidRPr="000F3F02">
        <w:rPr>
          <w:rStyle w:val="tlid-translation"/>
          <w:sz w:val="24"/>
          <w:szCs w:val="24"/>
        </w:rPr>
        <w:t xml:space="preserve">mohli </w:t>
      </w:r>
      <w:r w:rsidR="006E20D0" w:rsidRPr="000F3F02">
        <w:rPr>
          <w:rStyle w:val="tlid-translation"/>
          <w:sz w:val="24"/>
          <w:szCs w:val="24"/>
        </w:rPr>
        <w:t xml:space="preserve">exportovat „modrý“ vodík vyrobený ze zemního plynu, a nakonec by to měl být skutečně „zelený“ vodík vyrobený </w:t>
      </w:r>
      <w:r w:rsidR="006D30B4">
        <w:rPr>
          <w:rStyle w:val="tlid-translation"/>
          <w:sz w:val="24"/>
          <w:szCs w:val="24"/>
        </w:rPr>
        <w:t>s využitím</w:t>
      </w:r>
      <w:r w:rsidR="006E20D0" w:rsidRPr="000F3F02">
        <w:rPr>
          <w:rStyle w:val="tlid-translation"/>
          <w:sz w:val="24"/>
          <w:szCs w:val="24"/>
        </w:rPr>
        <w:t xml:space="preserve"> </w:t>
      </w:r>
      <w:r w:rsidR="00D94D00">
        <w:rPr>
          <w:rStyle w:val="tlid-translation"/>
          <w:sz w:val="24"/>
          <w:szCs w:val="24"/>
        </w:rPr>
        <w:t>„</w:t>
      </w:r>
      <w:r w:rsidR="006E20D0" w:rsidRPr="000F3F02">
        <w:rPr>
          <w:rStyle w:val="tlid-translation"/>
          <w:sz w:val="24"/>
          <w:szCs w:val="24"/>
        </w:rPr>
        <w:t>obnovitelné</w:t>
      </w:r>
      <w:r w:rsidR="00D94D00">
        <w:rPr>
          <w:rStyle w:val="tlid-translation"/>
          <w:sz w:val="24"/>
          <w:szCs w:val="24"/>
        </w:rPr>
        <w:t>“</w:t>
      </w:r>
      <w:r w:rsidR="006E20D0" w:rsidRPr="009B17CD">
        <w:rPr>
          <w:rStyle w:val="tlid-translation"/>
          <w:sz w:val="24"/>
          <w:szCs w:val="24"/>
        </w:rPr>
        <w:t xml:space="preserve"> elektřiny k rozdělení molekul vody na atomy vodíku a kyslíku.</w:t>
      </w:r>
      <w:r w:rsidR="006E20D0">
        <w:rPr>
          <w:rStyle w:val="tlid-translation"/>
          <w:sz w:val="24"/>
          <w:szCs w:val="24"/>
        </w:rPr>
        <w:t xml:space="preserve"> Vyspělí </w:t>
      </w:r>
      <w:r w:rsidR="006E20D0" w:rsidRPr="009B17CD">
        <w:rPr>
          <w:rStyle w:val="tlid-translation"/>
          <w:sz w:val="24"/>
          <w:szCs w:val="24"/>
        </w:rPr>
        <w:t>producent</w:t>
      </w:r>
      <w:r w:rsidR="006E20D0">
        <w:rPr>
          <w:rStyle w:val="tlid-translation"/>
          <w:sz w:val="24"/>
          <w:szCs w:val="24"/>
        </w:rPr>
        <w:t>i</w:t>
      </w:r>
      <w:r w:rsidR="006E20D0" w:rsidRPr="009B17CD">
        <w:rPr>
          <w:rStyle w:val="tlid-translation"/>
          <w:sz w:val="24"/>
          <w:szCs w:val="24"/>
        </w:rPr>
        <w:t xml:space="preserve"> ropy </w:t>
      </w:r>
      <w:r w:rsidR="006E20D0">
        <w:rPr>
          <w:rStyle w:val="tlid-translation"/>
          <w:sz w:val="24"/>
          <w:szCs w:val="24"/>
        </w:rPr>
        <w:t>(</w:t>
      </w:r>
      <w:r w:rsidR="006E20D0" w:rsidRPr="009B17CD">
        <w:rPr>
          <w:rStyle w:val="tlid-translation"/>
          <w:sz w:val="24"/>
          <w:szCs w:val="24"/>
        </w:rPr>
        <w:t>a zemního plynu</w:t>
      </w:r>
      <w:r w:rsidR="006E20D0">
        <w:rPr>
          <w:rStyle w:val="tlid-translation"/>
          <w:sz w:val="24"/>
          <w:szCs w:val="24"/>
        </w:rPr>
        <w:t>)</w:t>
      </w:r>
      <w:r w:rsidR="006E20D0" w:rsidRPr="009B17CD">
        <w:rPr>
          <w:rStyle w:val="tlid-translation"/>
          <w:sz w:val="24"/>
          <w:szCs w:val="24"/>
        </w:rPr>
        <w:t xml:space="preserve"> </w:t>
      </w:r>
      <w:r w:rsidR="006E20D0">
        <w:rPr>
          <w:rStyle w:val="tlid-translation"/>
          <w:sz w:val="24"/>
          <w:szCs w:val="24"/>
        </w:rPr>
        <w:t xml:space="preserve">budou mít </w:t>
      </w:r>
      <w:r w:rsidR="006E20D0" w:rsidRPr="009B17CD">
        <w:rPr>
          <w:rStyle w:val="tlid-translation"/>
          <w:sz w:val="24"/>
          <w:szCs w:val="24"/>
        </w:rPr>
        <w:t>při výrobě energie konkurenční výhodu. Jejich zdrojová základna je velká</w:t>
      </w:r>
      <w:r w:rsidR="006E20D0">
        <w:rPr>
          <w:rStyle w:val="tlid-translation"/>
          <w:sz w:val="24"/>
          <w:szCs w:val="24"/>
        </w:rPr>
        <w:t xml:space="preserve">, energie </w:t>
      </w:r>
      <w:r w:rsidR="006E20D0" w:rsidRPr="009B17CD">
        <w:rPr>
          <w:rStyle w:val="tlid-translation"/>
          <w:sz w:val="24"/>
          <w:szCs w:val="24"/>
        </w:rPr>
        <w:t xml:space="preserve">je relativně levná na výrobu </w:t>
      </w:r>
      <w:r w:rsidR="006E20D0">
        <w:rPr>
          <w:rStyle w:val="tlid-translation"/>
          <w:sz w:val="24"/>
          <w:szCs w:val="24"/>
        </w:rPr>
        <w:t xml:space="preserve">a mohou využít </w:t>
      </w:r>
      <w:r w:rsidR="006E20D0" w:rsidRPr="009B17CD">
        <w:rPr>
          <w:rStyle w:val="tlid-translation"/>
          <w:sz w:val="24"/>
          <w:szCs w:val="24"/>
        </w:rPr>
        <w:t xml:space="preserve">silné stránky, které sahají od manažerských zkušeností po zavedené </w:t>
      </w:r>
      <w:r w:rsidR="00312D0A" w:rsidRPr="009B17CD">
        <w:rPr>
          <w:rStyle w:val="tlid-translation"/>
          <w:sz w:val="24"/>
          <w:szCs w:val="24"/>
        </w:rPr>
        <w:t>dodavatelsk</w:t>
      </w:r>
      <w:r w:rsidR="00312D0A">
        <w:rPr>
          <w:rStyle w:val="tlid-translation"/>
          <w:sz w:val="24"/>
          <w:szCs w:val="24"/>
        </w:rPr>
        <w:t>o-odběratelské</w:t>
      </w:r>
      <w:r w:rsidR="00312D0A" w:rsidRPr="009B17CD">
        <w:rPr>
          <w:rStyle w:val="tlid-translation"/>
          <w:sz w:val="24"/>
          <w:szCs w:val="24"/>
        </w:rPr>
        <w:t xml:space="preserve"> </w:t>
      </w:r>
      <w:r w:rsidR="006E20D0" w:rsidRPr="009B17CD">
        <w:rPr>
          <w:rStyle w:val="tlid-translation"/>
          <w:sz w:val="24"/>
          <w:szCs w:val="24"/>
        </w:rPr>
        <w:t>řetězce.</w:t>
      </w:r>
      <w:r w:rsidR="000404DC">
        <w:rPr>
          <w:rStyle w:val="tlid-translation"/>
          <w:sz w:val="24"/>
          <w:szCs w:val="24"/>
        </w:rPr>
        <w:t xml:space="preserve"> </w:t>
      </w:r>
      <w:r w:rsidR="00312D0A">
        <w:rPr>
          <w:rStyle w:val="tlid-translation"/>
          <w:sz w:val="24"/>
          <w:szCs w:val="24"/>
        </w:rPr>
        <w:t>S </w:t>
      </w:r>
      <w:r w:rsidR="006E20D0">
        <w:rPr>
          <w:rStyle w:val="tlid-translation"/>
          <w:sz w:val="24"/>
          <w:szCs w:val="24"/>
        </w:rPr>
        <w:t>dekarbonizací</w:t>
      </w:r>
      <w:r w:rsidR="00312D0A">
        <w:rPr>
          <w:rStyle w:val="tlid-translation"/>
          <w:sz w:val="24"/>
          <w:szCs w:val="24"/>
        </w:rPr>
        <w:t xml:space="preserve"> </w:t>
      </w:r>
      <w:r w:rsidR="006E20D0" w:rsidRPr="009B17CD">
        <w:rPr>
          <w:rStyle w:val="tlid-translation"/>
          <w:sz w:val="24"/>
          <w:szCs w:val="24"/>
        </w:rPr>
        <w:t xml:space="preserve">očekává </w:t>
      </w:r>
      <w:r w:rsidR="00A57435">
        <w:rPr>
          <w:rStyle w:val="tlid-translation"/>
          <w:sz w:val="24"/>
          <w:szCs w:val="24"/>
        </w:rPr>
        <w:t xml:space="preserve">EU </w:t>
      </w:r>
      <w:r w:rsidR="006E20D0" w:rsidRPr="009B17CD">
        <w:rPr>
          <w:rStyle w:val="tlid-translation"/>
          <w:sz w:val="24"/>
          <w:szCs w:val="24"/>
        </w:rPr>
        <w:t xml:space="preserve">výrazné snížení </w:t>
      </w:r>
      <w:r w:rsidR="006E20D0" w:rsidRPr="009B17CD">
        <w:rPr>
          <w:rStyle w:val="tlid-translation"/>
          <w:sz w:val="24"/>
          <w:szCs w:val="24"/>
        </w:rPr>
        <w:lastRenderedPageBreak/>
        <w:t>nákladů, které každoročně vynakládá na dovoz fosilních paliv</w:t>
      </w:r>
      <w:r w:rsidR="006E20D0">
        <w:rPr>
          <w:rStyle w:val="tlid-translation"/>
          <w:sz w:val="24"/>
          <w:szCs w:val="24"/>
        </w:rPr>
        <w:t xml:space="preserve"> (EK 2018)</w:t>
      </w:r>
      <w:r w:rsidR="006E20D0" w:rsidRPr="009B17CD">
        <w:rPr>
          <w:rStyle w:val="tlid-translation"/>
          <w:sz w:val="24"/>
          <w:szCs w:val="24"/>
        </w:rPr>
        <w:t>. Poptávka E</w:t>
      </w:r>
      <w:r w:rsidR="006E20D0">
        <w:rPr>
          <w:rStyle w:val="tlid-translation"/>
          <w:sz w:val="24"/>
          <w:szCs w:val="24"/>
        </w:rPr>
        <w:t>vropy</w:t>
      </w:r>
      <w:r w:rsidR="006E20D0" w:rsidRPr="009B17CD">
        <w:rPr>
          <w:rStyle w:val="tlid-translation"/>
          <w:sz w:val="24"/>
          <w:szCs w:val="24"/>
        </w:rPr>
        <w:t xml:space="preserve"> po fosilních palivech bude klesat postupně</w:t>
      </w:r>
      <w:r w:rsidR="00312D0A">
        <w:rPr>
          <w:rStyle w:val="tlid-translation"/>
          <w:sz w:val="24"/>
          <w:szCs w:val="24"/>
        </w:rPr>
        <w:t>.</w:t>
      </w:r>
      <w:r w:rsidR="006E20D0" w:rsidRPr="009B17CD">
        <w:rPr>
          <w:rStyle w:val="tlid-translation"/>
          <w:sz w:val="24"/>
          <w:szCs w:val="24"/>
        </w:rPr>
        <w:t xml:space="preserve"> </w:t>
      </w:r>
      <w:r w:rsidR="00312D0A">
        <w:rPr>
          <w:rStyle w:val="tlid-translation"/>
          <w:sz w:val="24"/>
          <w:szCs w:val="24"/>
        </w:rPr>
        <w:t>Co se týče ropy, o</w:t>
      </w:r>
      <w:r w:rsidR="006E20D0" w:rsidRPr="009B17CD">
        <w:rPr>
          <w:rStyle w:val="tlid-translation"/>
          <w:sz w:val="24"/>
          <w:szCs w:val="24"/>
        </w:rPr>
        <w:t>čekává se, že v roce 2040</w:t>
      </w:r>
      <w:r w:rsidR="00312D0A">
        <w:rPr>
          <w:rStyle w:val="tlid-translation"/>
          <w:sz w:val="24"/>
          <w:szCs w:val="24"/>
        </w:rPr>
        <w:t xml:space="preserve"> by </w:t>
      </w:r>
      <w:r w:rsidR="006E20D0" w:rsidRPr="009B17CD">
        <w:rPr>
          <w:rStyle w:val="tlid-translation"/>
          <w:sz w:val="24"/>
          <w:szCs w:val="24"/>
        </w:rPr>
        <w:t>pokles</w:t>
      </w:r>
      <w:r w:rsidR="00312D0A">
        <w:rPr>
          <w:rStyle w:val="tlid-translation"/>
          <w:sz w:val="24"/>
          <w:szCs w:val="24"/>
        </w:rPr>
        <w:t xml:space="preserve"> mohl činit</w:t>
      </w:r>
      <w:r w:rsidR="006E20D0" w:rsidRPr="009B17CD">
        <w:rPr>
          <w:rStyle w:val="tlid-translation"/>
          <w:sz w:val="24"/>
          <w:szCs w:val="24"/>
        </w:rPr>
        <w:t xml:space="preserve"> 61 </w:t>
      </w:r>
      <w:r w:rsidR="001C4ABC">
        <w:rPr>
          <w:rStyle w:val="tlid-translation"/>
          <w:sz w:val="24"/>
          <w:szCs w:val="24"/>
        </w:rPr>
        <w:t>%</w:t>
      </w:r>
      <w:r w:rsidR="006E20D0" w:rsidRPr="009B17CD">
        <w:rPr>
          <w:rStyle w:val="tlid-translation"/>
          <w:sz w:val="24"/>
          <w:szCs w:val="24"/>
        </w:rPr>
        <w:t xml:space="preserve"> ve srovnání s rokem 2018</w:t>
      </w:r>
      <w:r w:rsidR="006E20D0">
        <w:rPr>
          <w:rStyle w:val="tlid-translation"/>
          <w:sz w:val="24"/>
          <w:szCs w:val="24"/>
        </w:rPr>
        <w:t xml:space="preserve"> (IEA 2019)</w:t>
      </w:r>
      <w:r w:rsidR="006E20D0" w:rsidRPr="009B17CD">
        <w:rPr>
          <w:rStyle w:val="tlid-translation"/>
          <w:sz w:val="24"/>
          <w:szCs w:val="24"/>
        </w:rPr>
        <w:t xml:space="preserve">. </w:t>
      </w:r>
    </w:p>
    <w:p w14:paraId="54EB3DAC" w14:textId="13A55252" w:rsidR="006E20D0" w:rsidRPr="009B17CD" w:rsidRDefault="00312D0A" w:rsidP="002B6B2F">
      <w:pPr>
        <w:spacing w:after="100" w:afterAutospacing="1" w:line="240" w:lineRule="auto"/>
        <w:ind w:firstLine="709"/>
        <w:jc w:val="both"/>
        <w:rPr>
          <w:rStyle w:val="tlid-translation"/>
          <w:sz w:val="24"/>
          <w:szCs w:val="24"/>
        </w:rPr>
      </w:pPr>
      <w:r>
        <w:rPr>
          <w:rStyle w:val="tlid-translation"/>
          <w:sz w:val="24"/>
          <w:szCs w:val="24"/>
        </w:rPr>
        <w:t>M</w:t>
      </w:r>
      <w:r w:rsidRPr="009B17CD">
        <w:rPr>
          <w:rStyle w:val="tlid-translation"/>
          <w:sz w:val="24"/>
          <w:szCs w:val="24"/>
        </w:rPr>
        <w:t xml:space="preserve">noho výzev </w:t>
      </w:r>
      <w:r w:rsidR="001C4ABC">
        <w:rPr>
          <w:rStyle w:val="tlid-translation"/>
          <w:sz w:val="24"/>
          <w:szCs w:val="24"/>
        </w:rPr>
        <w:t xml:space="preserve">s </w:t>
      </w:r>
      <w:r>
        <w:rPr>
          <w:rStyle w:val="tlid-translation"/>
          <w:sz w:val="24"/>
          <w:szCs w:val="24"/>
        </w:rPr>
        <w:t>dopadem na vnější vztahy</w:t>
      </w:r>
      <w:r w:rsidRPr="009B17CD">
        <w:rPr>
          <w:rStyle w:val="tlid-translation"/>
          <w:sz w:val="24"/>
          <w:szCs w:val="24"/>
        </w:rPr>
        <w:t xml:space="preserve"> </w:t>
      </w:r>
      <w:r w:rsidR="006E20D0" w:rsidRPr="009B17CD">
        <w:rPr>
          <w:rStyle w:val="tlid-translation"/>
          <w:sz w:val="24"/>
          <w:szCs w:val="24"/>
        </w:rPr>
        <w:t>přináší</w:t>
      </w:r>
      <w:r>
        <w:rPr>
          <w:rStyle w:val="tlid-translation"/>
          <w:sz w:val="24"/>
          <w:szCs w:val="24"/>
        </w:rPr>
        <w:t xml:space="preserve"> </w:t>
      </w:r>
      <w:r w:rsidRPr="009B17CD">
        <w:rPr>
          <w:rStyle w:val="tlid-translation"/>
          <w:sz w:val="24"/>
          <w:szCs w:val="24"/>
        </w:rPr>
        <w:t>Zelená dohoda</w:t>
      </w:r>
      <w:r w:rsidR="00A57435">
        <w:rPr>
          <w:rStyle w:val="tlid-translation"/>
          <w:sz w:val="24"/>
          <w:szCs w:val="24"/>
        </w:rPr>
        <w:t xml:space="preserve"> </w:t>
      </w:r>
      <w:r w:rsidR="00A57435" w:rsidRPr="006D30B4">
        <w:rPr>
          <w:rStyle w:val="tlid-translation"/>
          <w:sz w:val="24"/>
          <w:szCs w:val="24"/>
        </w:rPr>
        <w:t>pro Evropu</w:t>
      </w:r>
      <w:r w:rsidR="00A57435">
        <w:rPr>
          <w:rStyle w:val="tlid-translation"/>
          <w:sz w:val="24"/>
          <w:szCs w:val="24"/>
        </w:rPr>
        <w:t xml:space="preserve"> </w:t>
      </w:r>
      <w:r w:rsidR="00A57435" w:rsidRPr="006D30B4">
        <w:rPr>
          <w:rStyle w:val="tlid-translation"/>
          <w:sz w:val="24"/>
          <w:szCs w:val="24"/>
        </w:rPr>
        <w:t>navržen</w:t>
      </w:r>
      <w:r w:rsidR="006D30B4">
        <w:rPr>
          <w:rStyle w:val="tlid-translation"/>
          <w:sz w:val="24"/>
          <w:szCs w:val="24"/>
        </w:rPr>
        <w:t>á</w:t>
      </w:r>
      <w:r w:rsidR="00A57435" w:rsidRPr="006D30B4">
        <w:rPr>
          <w:rStyle w:val="tlid-translation"/>
          <w:sz w:val="24"/>
          <w:szCs w:val="24"/>
        </w:rPr>
        <w:t xml:space="preserve"> Evropskou komisí v prosinci 2019 jako balíček opatření</w:t>
      </w:r>
      <w:r w:rsidR="00A57435">
        <w:rPr>
          <w:rStyle w:val="tlid-translation"/>
          <w:sz w:val="24"/>
          <w:szCs w:val="24"/>
        </w:rPr>
        <w:t>.</w:t>
      </w:r>
      <w:r w:rsidR="006E20D0">
        <w:rPr>
          <w:rStyle w:val="tlid-translation"/>
          <w:sz w:val="24"/>
          <w:szCs w:val="24"/>
        </w:rPr>
        <w:t xml:space="preserve"> J</w:t>
      </w:r>
      <w:r w:rsidR="006E20D0" w:rsidRPr="009B17CD">
        <w:rPr>
          <w:rStyle w:val="tlid-translation"/>
          <w:sz w:val="24"/>
          <w:szCs w:val="24"/>
        </w:rPr>
        <w:t xml:space="preserve">edním z návrhů, který nejvíce zajímá vnější partnery, je plán zavedení </w:t>
      </w:r>
      <w:r w:rsidR="006E20D0" w:rsidRPr="00A57435">
        <w:rPr>
          <w:rStyle w:val="tlid-translation"/>
          <w:sz w:val="24"/>
          <w:szCs w:val="24"/>
        </w:rPr>
        <w:t>mechanismu pro uhlíkové vyrovnávání na hranicích</w:t>
      </w:r>
      <w:r w:rsidR="006E20D0" w:rsidRPr="009B17CD">
        <w:rPr>
          <w:rStyle w:val="tlid-translation"/>
          <w:bCs/>
          <w:sz w:val="24"/>
          <w:szCs w:val="24"/>
        </w:rPr>
        <w:t xml:space="preserve"> </w:t>
      </w:r>
      <w:proofErr w:type="gramStart"/>
      <w:r w:rsidR="006E20D0" w:rsidRPr="009B17CD">
        <w:rPr>
          <w:rStyle w:val="tlid-translation"/>
          <w:bCs/>
          <w:sz w:val="24"/>
          <w:szCs w:val="24"/>
        </w:rPr>
        <w:t xml:space="preserve">EU </w:t>
      </w:r>
      <w:r w:rsidR="004031C6">
        <w:rPr>
          <w:rStyle w:val="tlid-translation"/>
          <w:bCs/>
          <w:sz w:val="24"/>
          <w:szCs w:val="24"/>
        </w:rPr>
        <w:t xml:space="preserve"> (</w:t>
      </w:r>
      <w:proofErr w:type="gramEnd"/>
      <w:r w:rsidR="004031C6">
        <w:rPr>
          <w:rStyle w:val="tlid-translation"/>
          <w:bCs/>
          <w:sz w:val="24"/>
          <w:szCs w:val="24"/>
        </w:rPr>
        <w:t>uhlíkové clo)</w:t>
      </w:r>
      <w:r w:rsidR="006E20D0" w:rsidRPr="009B17CD">
        <w:rPr>
          <w:rStyle w:val="tlid-translation"/>
          <w:bCs/>
          <w:sz w:val="24"/>
          <w:szCs w:val="24"/>
        </w:rPr>
        <w:t xml:space="preserve">. </w:t>
      </w:r>
      <w:r w:rsidR="004031C6">
        <w:rPr>
          <w:rStyle w:val="tlid-translation"/>
          <w:sz w:val="24"/>
          <w:szCs w:val="24"/>
        </w:rPr>
        <w:t>Uhlíkové clo</w:t>
      </w:r>
      <w:r w:rsidR="006E20D0" w:rsidRPr="009B17CD">
        <w:rPr>
          <w:rStyle w:val="tlid-translation"/>
          <w:sz w:val="24"/>
          <w:szCs w:val="24"/>
        </w:rPr>
        <w:t>,</w:t>
      </w:r>
      <w:r w:rsidR="00DC3934">
        <w:rPr>
          <w:rStyle w:val="tlid-translation"/>
          <w:sz w:val="24"/>
          <w:szCs w:val="24"/>
        </w:rPr>
        <w:t xml:space="preserve"> </w:t>
      </w:r>
      <w:r w:rsidR="006E20D0" w:rsidRPr="009B17CD">
        <w:rPr>
          <w:rStyle w:val="tlid-translation"/>
          <w:sz w:val="24"/>
          <w:szCs w:val="24"/>
        </w:rPr>
        <w:t>kter</w:t>
      </w:r>
      <w:r w:rsidR="004031C6">
        <w:rPr>
          <w:rStyle w:val="tlid-translation"/>
          <w:sz w:val="24"/>
          <w:szCs w:val="24"/>
        </w:rPr>
        <w:t>é</w:t>
      </w:r>
      <w:r w:rsidR="006E20D0" w:rsidRPr="009B17CD">
        <w:rPr>
          <w:rStyle w:val="tlid-translation"/>
          <w:sz w:val="24"/>
          <w:szCs w:val="24"/>
        </w:rPr>
        <w:t xml:space="preserve"> má být do tří let zaveden</w:t>
      </w:r>
      <w:r w:rsidR="004031C6">
        <w:rPr>
          <w:rStyle w:val="tlid-translation"/>
          <w:sz w:val="24"/>
          <w:szCs w:val="24"/>
        </w:rPr>
        <w:t>o</w:t>
      </w:r>
      <w:r w:rsidR="006E20D0" w:rsidRPr="009B17CD">
        <w:rPr>
          <w:rStyle w:val="tlid-translation"/>
          <w:sz w:val="24"/>
          <w:szCs w:val="24"/>
        </w:rPr>
        <w:t>, je v zásadě speciální nová daň z dováženého zboží na základě obsahu uhlíku</w:t>
      </w:r>
      <w:r w:rsidR="004031C6">
        <w:rPr>
          <w:rStyle w:val="tlid-translation"/>
          <w:sz w:val="24"/>
          <w:szCs w:val="24"/>
        </w:rPr>
        <w:t xml:space="preserve"> </w:t>
      </w:r>
      <w:r w:rsidR="004031C6" w:rsidRPr="009B17CD">
        <w:rPr>
          <w:rStyle w:val="tlid-translation"/>
          <w:bCs/>
          <w:sz w:val="24"/>
          <w:szCs w:val="24"/>
        </w:rPr>
        <w:t>(jedná se o legislativní prioritu současné Komise)</w:t>
      </w:r>
      <w:r w:rsidR="006E20D0" w:rsidRPr="009B17CD">
        <w:rPr>
          <w:rStyle w:val="tlid-translation"/>
          <w:sz w:val="24"/>
          <w:szCs w:val="24"/>
        </w:rPr>
        <w:t xml:space="preserve">. Tím může být vyvolána </w:t>
      </w:r>
      <w:r w:rsidR="006E20D0" w:rsidRPr="009B17CD">
        <w:rPr>
          <w:sz w:val="24"/>
          <w:szCs w:val="24"/>
        </w:rPr>
        <w:t>investiční nejistota</w:t>
      </w:r>
      <w:r w:rsidR="006E20D0">
        <w:rPr>
          <w:sz w:val="24"/>
          <w:szCs w:val="24"/>
        </w:rPr>
        <w:t xml:space="preserve"> ohledně dopadů n</w:t>
      </w:r>
      <w:r w:rsidR="006E20D0" w:rsidRPr="009B17CD">
        <w:rPr>
          <w:rStyle w:val="tlid-translation"/>
          <w:sz w:val="24"/>
          <w:szCs w:val="24"/>
        </w:rPr>
        <w:t xml:space="preserve">a vztahy s důležitými partnery. </w:t>
      </w:r>
      <w:r w:rsidR="004031C6">
        <w:rPr>
          <w:sz w:val="24"/>
          <w:szCs w:val="24"/>
        </w:rPr>
        <w:t xml:space="preserve">Uhlíkové </w:t>
      </w:r>
      <w:proofErr w:type="gramStart"/>
      <w:r w:rsidR="004031C6">
        <w:rPr>
          <w:sz w:val="24"/>
          <w:szCs w:val="24"/>
        </w:rPr>
        <w:t xml:space="preserve">clo </w:t>
      </w:r>
      <w:r w:rsidR="006E20D0" w:rsidRPr="009B17CD">
        <w:rPr>
          <w:sz w:val="24"/>
          <w:szCs w:val="24"/>
        </w:rPr>
        <w:t xml:space="preserve"> by</w:t>
      </w:r>
      <w:proofErr w:type="gramEnd"/>
      <w:r w:rsidR="006E20D0" w:rsidRPr="009B17CD">
        <w:rPr>
          <w:sz w:val="24"/>
          <w:szCs w:val="24"/>
        </w:rPr>
        <w:t xml:space="preserve"> měl</w:t>
      </w:r>
      <w:r w:rsidR="004031C6">
        <w:rPr>
          <w:sz w:val="24"/>
          <w:szCs w:val="24"/>
        </w:rPr>
        <w:t>o</w:t>
      </w:r>
      <w:r w:rsidR="006E20D0" w:rsidRPr="009B17CD">
        <w:rPr>
          <w:sz w:val="24"/>
          <w:szCs w:val="24"/>
        </w:rPr>
        <w:t xml:space="preserve"> být podle Evropské komise jed</w:t>
      </w:r>
      <w:r w:rsidR="006D30B4">
        <w:rPr>
          <w:sz w:val="24"/>
          <w:szCs w:val="24"/>
        </w:rPr>
        <w:t>ním</w:t>
      </w:r>
      <w:r w:rsidR="006E20D0" w:rsidRPr="009B17CD">
        <w:rPr>
          <w:sz w:val="24"/>
          <w:szCs w:val="24"/>
        </w:rPr>
        <w:t xml:space="preserve"> z nových vlastních zdrojů rozpočtu EU v každoroční výši 5 až 14 miliard EUR, clo by se mělo nejprve vztahovat na elektroenergetiku a energeticky náročné průmyslové sektory</w:t>
      </w:r>
      <w:r w:rsidR="006E20D0">
        <w:rPr>
          <w:sz w:val="24"/>
          <w:szCs w:val="24"/>
        </w:rPr>
        <w:t xml:space="preserve"> </w:t>
      </w:r>
      <w:r w:rsidR="006E20D0" w:rsidRPr="00200AFF">
        <w:rPr>
          <w:sz w:val="24"/>
          <w:szCs w:val="24"/>
        </w:rPr>
        <w:t>(EK 2020</w:t>
      </w:r>
      <w:r w:rsidR="00200AFF" w:rsidRPr="00200AFF">
        <w:rPr>
          <w:sz w:val="24"/>
          <w:szCs w:val="24"/>
        </w:rPr>
        <w:t>a</w:t>
      </w:r>
      <w:r w:rsidR="006E20D0" w:rsidRPr="00200AFF">
        <w:rPr>
          <w:sz w:val="24"/>
          <w:szCs w:val="24"/>
        </w:rPr>
        <w:t>).</w:t>
      </w:r>
    </w:p>
    <w:p w14:paraId="2A96BFDD" w14:textId="77777777" w:rsidR="00823319" w:rsidRDefault="006E20D0" w:rsidP="002B6B2F">
      <w:pPr>
        <w:spacing w:after="100" w:afterAutospacing="1" w:line="240" w:lineRule="auto"/>
        <w:ind w:firstLine="709"/>
        <w:jc w:val="both"/>
        <w:rPr>
          <w:rStyle w:val="tlid-translation"/>
          <w:sz w:val="24"/>
          <w:szCs w:val="24"/>
        </w:rPr>
      </w:pPr>
      <w:r w:rsidRPr="009B17CD">
        <w:rPr>
          <w:rStyle w:val="tlid-translation"/>
          <w:sz w:val="24"/>
          <w:szCs w:val="24"/>
        </w:rPr>
        <w:t>Energetika zůst</w:t>
      </w:r>
      <w:r>
        <w:rPr>
          <w:rStyle w:val="tlid-translation"/>
          <w:sz w:val="24"/>
          <w:szCs w:val="24"/>
        </w:rPr>
        <w:t xml:space="preserve">ane </w:t>
      </w:r>
      <w:r w:rsidRPr="009B17CD">
        <w:rPr>
          <w:rStyle w:val="tlid-translation"/>
          <w:sz w:val="24"/>
          <w:szCs w:val="24"/>
        </w:rPr>
        <w:t>nadále důležitou součástí spolupráce pro mnoh</w:t>
      </w:r>
      <w:r>
        <w:rPr>
          <w:rStyle w:val="tlid-translation"/>
          <w:sz w:val="24"/>
          <w:szCs w:val="24"/>
        </w:rPr>
        <w:t>é</w:t>
      </w:r>
      <w:r w:rsidRPr="009B17CD">
        <w:rPr>
          <w:rStyle w:val="tlid-translation"/>
          <w:sz w:val="24"/>
          <w:szCs w:val="24"/>
        </w:rPr>
        <w:t xml:space="preserve"> partner</w:t>
      </w:r>
      <w:r>
        <w:rPr>
          <w:rStyle w:val="tlid-translation"/>
          <w:sz w:val="24"/>
          <w:szCs w:val="24"/>
        </w:rPr>
        <w:t>y EU</w:t>
      </w:r>
      <w:r w:rsidRPr="009B17CD">
        <w:rPr>
          <w:rStyle w:val="tlid-translation"/>
          <w:sz w:val="24"/>
          <w:szCs w:val="24"/>
        </w:rPr>
        <w:t xml:space="preserve"> ze sousedství, ale </w:t>
      </w:r>
      <w:r>
        <w:rPr>
          <w:rStyle w:val="tlid-translation"/>
          <w:sz w:val="24"/>
          <w:szCs w:val="24"/>
        </w:rPr>
        <w:t xml:space="preserve">v případě realizace scénáře dekarbonizace </w:t>
      </w:r>
      <w:r w:rsidRPr="009B17CD">
        <w:rPr>
          <w:rStyle w:val="tlid-translation"/>
          <w:sz w:val="24"/>
          <w:szCs w:val="24"/>
        </w:rPr>
        <w:t xml:space="preserve">již nebude nutně založena na </w:t>
      </w:r>
      <w:r>
        <w:rPr>
          <w:rStyle w:val="tlid-translation"/>
          <w:sz w:val="24"/>
          <w:szCs w:val="24"/>
        </w:rPr>
        <w:t xml:space="preserve">tradičním </w:t>
      </w:r>
      <w:r w:rsidRPr="009B17CD">
        <w:rPr>
          <w:rStyle w:val="tlid-translation"/>
          <w:sz w:val="24"/>
          <w:szCs w:val="24"/>
        </w:rPr>
        <w:t xml:space="preserve">vztahu </w:t>
      </w:r>
      <w:r>
        <w:rPr>
          <w:rStyle w:val="tlid-translation"/>
          <w:sz w:val="24"/>
          <w:szCs w:val="24"/>
        </w:rPr>
        <w:t xml:space="preserve">závislosti </w:t>
      </w:r>
      <w:r w:rsidRPr="009B17CD">
        <w:rPr>
          <w:rStyle w:val="tlid-translation"/>
          <w:sz w:val="24"/>
          <w:szCs w:val="24"/>
        </w:rPr>
        <w:t xml:space="preserve">dodavatel-odběratel. EU se chce </w:t>
      </w:r>
      <w:r>
        <w:rPr>
          <w:rStyle w:val="tlid-translation"/>
          <w:sz w:val="24"/>
          <w:szCs w:val="24"/>
        </w:rPr>
        <w:t xml:space="preserve">aktivně </w:t>
      </w:r>
      <w:r w:rsidRPr="009B17CD">
        <w:rPr>
          <w:rStyle w:val="tlid-translation"/>
          <w:sz w:val="24"/>
          <w:szCs w:val="24"/>
        </w:rPr>
        <w:t xml:space="preserve">podílet na transformaci energetického sektoru i u svých partnerů, zejména </w:t>
      </w:r>
      <w:r>
        <w:rPr>
          <w:rStyle w:val="tlid-translation"/>
          <w:sz w:val="24"/>
          <w:szCs w:val="24"/>
        </w:rPr>
        <w:t xml:space="preserve">chce využívat </w:t>
      </w:r>
      <w:r w:rsidRPr="009B17CD">
        <w:rPr>
          <w:rStyle w:val="tlid-translation"/>
          <w:sz w:val="24"/>
          <w:szCs w:val="24"/>
        </w:rPr>
        <w:t xml:space="preserve">kombinací nasazení finančních nástrojů a sdílení odborných znalostí. To s sebou nese zvýšený </w:t>
      </w:r>
      <w:r>
        <w:rPr>
          <w:rStyle w:val="tlid-translation"/>
          <w:sz w:val="24"/>
          <w:szCs w:val="24"/>
        </w:rPr>
        <w:t xml:space="preserve">evropský vliv v zemích vyvážejících ropu </w:t>
      </w:r>
      <w:r w:rsidRPr="009B17CD">
        <w:rPr>
          <w:rStyle w:val="tlid-translation"/>
          <w:sz w:val="24"/>
          <w:szCs w:val="24"/>
        </w:rPr>
        <w:t xml:space="preserve">a vznik nových </w:t>
      </w:r>
      <w:r>
        <w:rPr>
          <w:rStyle w:val="tlid-translation"/>
          <w:sz w:val="24"/>
          <w:szCs w:val="24"/>
        </w:rPr>
        <w:t xml:space="preserve">forem </w:t>
      </w:r>
      <w:r w:rsidRPr="009B17CD">
        <w:rPr>
          <w:rStyle w:val="tlid-translation"/>
          <w:sz w:val="24"/>
          <w:szCs w:val="24"/>
        </w:rPr>
        <w:t>závislost</w:t>
      </w:r>
      <w:r>
        <w:rPr>
          <w:rStyle w:val="tlid-translation"/>
          <w:sz w:val="24"/>
          <w:szCs w:val="24"/>
        </w:rPr>
        <w:t>i</w:t>
      </w:r>
      <w:r w:rsidRPr="009B17CD">
        <w:rPr>
          <w:rStyle w:val="tlid-translation"/>
          <w:sz w:val="24"/>
          <w:szCs w:val="24"/>
        </w:rPr>
        <w:t>, tentokrát v</w:t>
      </w:r>
      <w:r>
        <w:rPr>
          <w:rStyle w:val="tlid-translation"/>
          <w:sz w:val="24"/>
          <w:szCs w:val="24"/>
        </w:rPr>
        <w:t xml:space="preserve"> </w:t>
      </w:r>
      <w:r w:rsidRPr="009B17CD">
        <w:rPr>
          <w:rStyle w:val="tlid-translation"/>
          <w:sz w:val="24"/>
          <w:szCs w:val="24"/>
        </w:rPr>
        <w:t xml:space="preserve">opačném směru. </w:t>
      </w:r>
    </w:p>
    <w:p w14:paraId="5FA9DEE7" w14:textId="30E65530" w:rsidR="006E20D0" w:rsidRDefault="006E20D0" w:rsidP="002B6B2F">
      <w:pPr>
        <w:spacing w:after="100" w:afterAutospacing="1" w:line="240" w:lineRule="auto"/>
        <w:ind w:firstLine="709"/>
        <w:jc w:val="both"/>
        <w:rPr>
          <w:rStyle w:val="tlid-translation"/>
          <w:sz w:val="24"/>
          <w:szCs w:val="24"/>
        </w:rPr>
      </w:pPr>
      <w:r w:rsidRPr="009B17CD">
        <w:rPr>
          <w:rStyle w:val="tlid-translation"/>
          <w:sz w:val="24"/>
          <w:szCs w:val="24"/>
        </w:rPr>
        <w:t xml:space="preserve">Provádění právního rámce Zelené dohody </w:t>
      </w:r>
      <w:r w:rsidR="0091103B">
        <w:rPr>
          <w:rStyle w:val="tlid-translation"/>
          <w:sz w:val="24"/>
          <w:szCs w:val="24"/>
        </w:rPr>
        <w:t xml:space="preserve">pro Evropu </w:t>
      </w:r>
      <w:r w:rsidRPr="009B17CD">
        <w:rPr>
          <w:rStyle w:val="tlid-translation"/>
          <w:sz w:val="24"/>
          <w:szCs w:val="24"/>
        </w:rPr>
        <w:t>a její expanze směrem k partnerům posílí vliv EU jako normotvůrce</w:t>
      </w:r>
      <w:r>
        <w:rPr>
          <w:rStyle w:val="tlid-translation"/>
          <w:sz w:val="24"/>
          <w:szCs w:val="24"/>
        </w:rPr>
        <w:t>, kdy</w:t>
      </w:r>
      <w:r w:rsidRPr="009B17CD">
        <w:rPr>
          <w:rStyle w:val="tlid-translation"/>
          <w:sz w:val="24"/>
          <w:szCs w:val="24"/>
        </w:rPr>
        <w:t xml:space="preserve"> EU bude pravděpodobně první</w:t>
      </w:r>
      <w:r w:rsidR="00823319">
        <w:rPr>
          <w:rStyle w:val="tlid-translation"/>
          <w:sz w:val="24"/>
          <w:szCs w:val="24"/>
        </w:rPr>
        <w:t>m</w:t>
      </w:r>
      <w:r w:rsidRPr="009B17CD">
        <w:rPr>
          <w:rStyle w:val="tlid-translation"/>
          <w:sz w:val="24"/>
          <w:szCs w:val="24"/>
        </w:rPr>
        <w:t xml:space="preserve"> z</w:t>
      </w:r>
      <w:r>
        <w:rPr>
          <w:rStyle w:val="tlid-translation"/>
          <w:sz w:val="24"/>
          <w:szCs w:val="24"/>
        </w:rPr>
        <w:t> velkých aktérů</w:t>
      </w:r>
      <w:r w:rsidRPr="009B17CD">
        <w:rPr>
          <w:rStyle w:val="tlid-translation"/>
          <w:sz w:val="24"/>
          <w:szCs w:val="24"/>
        </w:rPr>
        <w:t>, kter</w:t>
      </w:r>
      <w:r>
        <w:rPr>
          <w:rStyle w:val="tlid-translation"/>
          <w:sz w:val="24"/>
          <w:szCs w:val="24"/>
        </w:rPr>
        <w:t>ý</w:t>
      </w:r>
      <w:r w:rsidRPr="009B17CD">
        <w:rPr>
          <w:rStyle w:val="tlid-translation"/>
          <w:sz w:val="24"/>
          <w:szCs w:val="24"/>
        </w:rPr>
        <w:t xml:space="preserve"> bude směřovat k dosažení uhlíkové neutrality</w:t>
      </w:r>
      <w:r>
        <w:rPr>
          <w:rStyle w:val="tlid-translation"/>
          <w:sz w:val="24"/>
          <w:szCs w:val="24"/>
        </w:rPr>
        <w:t xml:space="preserve">. To </w:t>
      </w:r>
      <w:r w:rsidRPr="009B17CD">
        <w:rPr>
          <w:rStyle w:val="tlid-translation"/>
          <w:sz w:val="24"/>
          <w:szCs w:val="24"/>
        </w:rPr>
        <w:t>z ní činí zajímavý testovací případ</w:t>
      </w:r>
      <w:r>
        <w:rPr>
          <w:rStyle w:val="tlid-translation"/>
          <w:sz w:val="24"/>
          <w:szCs w:val="24"/>
        </w:rPr>
        <w:t xml:space="preserve"> i s ohledem na vnější energetické vztahy</w:t>
      </w:r>
      <w:r w:rsidRPr="009B17CD">
        <w:rPr>
          <w:rStyle w:val="tlid-translation"/>
          <w:sz w:val="24"/>
          <w:szCs w:val="24"/>
        </w:rPr>
        <w:t xml:space="preserve">. EU </w:t>
      </w:r>
      <w:r>
        <w:rPr>
          <w:rStyle w:val="tlid-translation"/>
          <w:sz w:val="24"/>
          <w:szCs w:val="24"/>
        </w:rPr>
        <w:t xml:space="preserve">se pokouší </w:t>
      </w:r>
      <w:r w:rsidRPr="009B17CD">
        <w:rPr>
          <w:rStyle w:val="tlid-translation"/>
          <w:sz w:val="24"/>
          <w:szCs w:val="24"/>
        </w:rPr>
        <w:t>stanov</w:t>
      </w:r>
      <w:r>
        <w:rPr>
          <w:rStyle w:val="tlid-translation"/>
          <w:sz w:val="24"/>
          <w:szCs w:val="24"/>
        </w:rPr>
        <w:t>it</w:t>
      </w:r>
      <w:r w:rsidRPr="009B17CD">
        <w:rPr>
          <w:rStyle w:val="tlid-translation"/>
          <w:sz w:val="24"/>
          <w:szCs w:val="24"/>
        </w:rPr>
        <w:t xml:space="preserve"> pravidla ohledně toho, co je správné a normální a jak </w:t>
      </w:r>
      <w:r w:rsidR="00B832B2">
        <w:rPr>
          <w:rStyle w:val="tlid-translation"/>
          <w:sz w:val="24"/>
          <w:szCs w:val="24"/>
        </w:rPr>
        <w:t xml:space="preserve">to </w:t>
      </w:r>
      <w:r w:rsidRPr="009B17CD">
        <w:rPr>
          <w:rStyle w:val="tlid-translation"/>
          <w:sz w:val="24"/>
          <w:szCs w:val="24"/>
        </w:rPr>
        <w:t xml:space="preserve">má být prováděno. Kromě toho se </w:t>
      </w:r>
      <w:r w:rsidR="00D94D00">
        <w:rPr>
          <w:rStyle w:val="tlid-translation"/>
          <w:sz w:val="24"/>
          <w:szCs w:val="24"/>
        </w:rPr>
        <w:t>OZE</w:t>
      </w:r>
      <w:r w:rsidRPr="009B17CD">
        <w:rPr>
          <w:rStyle w:val="tlid-translation"/>
          <w:sz w:val="24"/>
          <w:szCs w:val="24"/>
        </w:rPr>
        <w:t xml:space="preserve"> vyskytují po celém světě a představují příležitost narušit hegemonii států bohatých na zdroje a „demokratizovat“ </w:t>
      </w:r>
      <w:r>
        <w:rPr>
          <w:rStyle w:val="tlid-translation"/>
          <w:sz w:val="24"/>
          <w:szCs w:val="24"/>
        </w:rPr>
        <w:t xml:space="preserve">tak </w:t>
      </w:r>
      <w:r w:rsidRPr="009B17CD">
        <w:rPr>
          <w:rStyle w:val="tlid-translation"/>
          <w:sz w:val="24"/>
          <w:szCs w:val="24"/>
        </w:rPr>
        <w:t>mezinárodní energetické prostředí</w:t>
      </w:r>
      <w:r>
        <w:rPr>
          <w:rStyle w:val="tlid-translation"/>
          <w:sz w:val="24"/>
          <w:szCs w:val="24"/>
        </w:rPr>
        <w:t xml:space="preserve"> (IRENA 2019)</w:t>
      </w:r>
      <w:r w:rsidRPr="009B17CD">
        <w:rPr>
          <w:rStyle w:val="tlid-translation"/>
          <w:sz w:val="24"/>
          <w:szCs w:val="24"/>
        </w:rPr>
        <w:t>.</w:t>
      </w:r>
      <w:r>
        <w:rPr>
          <w:rStyle w:val="tlid-translation"/>
          <w:sz w:val="24"/>
          <w:szCs w:val="24"/>
        </w:rPr>
        <w:t xml:space="preserve"> </w:t>
      </w:r>
      <w:r w:rsidRPr="009B17CD">
        <w:rPr>
          <w:rStyle w:val="tlid-translation"/>
          <w:sz w:val="24"/>
          <w:szCs w:val="24"/>
        </w:rPr>
        <w:t>Pro ekonomiky producentů ropy představují změny v energetickém sektoru značnou nejistotu. Cesty transformace energetiky a následný prudký pokles poptávky po ropě by vedly k</w:t>
      </w:r>
      <w:r>
        <w:rPr>
          <w:rStyle w:val="tlid-translation"/>
          <w:sz w:val="24"/>
          <w:szCs w:val="24"/>
        </w:rPr>
        <w:t xml:space="preserve"> dlouhodobému výpadku </w:t>
      </w:r>
      <w:r w:rsidRPr="009B17CD">
        <w:rPr>
          <w:rStyle w:val="tlid-translation"/>
          <w:sz w:val="24"/>
          <w:szCs w:val="24"/>
        </w:rPr>
        <w:t xml:space="preserve">příjmů těchto zemí a znamenalo by to kolaps růstu, pokud </w:t>
      </w:r>
      <w:r>
        <w:rPr>
          <w:rStyle w:val="tlid-translation"/>
          <w:sz w:val="24"/>
          <w:szCs w:val="24"/>
        </w:rPr>
        <w:t xml:space="preserve">v </w:t>
      </w:r>
      <w:r w:rsidRPr="009B17CD">
        <w:rPr>
          <w:rStyle w:val="tlid-translation"/>
          <w:sz w:val="24"/>
          <w:szCs w:val="24"/>
        </w:rPr>
        <w:t>úsilí o diverzifikaci ekonomik producentů neuspějí. Ústup od fosilních paliv na globální úrovni může být ovšem po</w:t>
      </w:r>
      <w:r>
        <w:rPr>
          <w:rStyle w:val="tlid-translation"/>
          <w:sz w:val="24"/>
          <w:szCs w:val="24"/>
        </w:rPr>
        <w:t>zvolnější,</w:t>
      </w:r>
      <w:r w:rsidRPr="009B17CD">
        <w:rPr>
          <w:rStyle w:val="tlid-translation"/>
          <w:sz w:val="24"/>
          <w:szCs w:val="24"/>
        </w:rPr>
        <w:t xml:space="preserve"> </w:t>
      </w:r>
      <w:r>
        <w:rPr>
          <w:rStyle w:val="tlid-translation"/>
          <w:sz w:val="24"/>
          <w:szCs w:val="24"/>
        </w:rPr>
        <w:t xml:space="preserve">než je očekáváno, </w:t>
      </w:r>
      <w:r w:rsidRPr="009B17CD">
        <w:rPr>
          <w:rStyle w:val="tlid-translation"/>
          <w:sz w:val="24"/>
          <w:szCs w:val="24"/>
        </w:rPr>
        <w:t xml:space="preserve">a jejich geostrategický význam bude </w:t>
      </w:r>
      <w:r w:rsidR="001457C7">
        <w:rPr>
          <w:rStyle w:val="tlid-translation"/>
          <w:sz w:val="24"/>
          <w:szCs w:val="24"/>
        </w:rPr>
        <w:t>nadále</w:t>
      </w:r>
      <w:r w:rsidR="009D608E">
        <w:rPr>
          <w:rStyle w:val="tlid-translation"/>
          <w:sz w:val="24"/>
          <w:szCs w:val="24"/>
        </w:rPr>
        <w:t xml:space="preserve"> </w:t>
      </w:r>
      <w:r w:rsidRPr="009B17CD">
        <w:rPr>
          <w:rStyle w:val="tlid-translation"/>
          <w:sz w:val="24"/>
          <w:szCs w:val="24"/>
        </w:rPr>
        <w:t xml:space="preserve">v dalších desetiletích zachován. </w:t>
      </w:r>
    </w:p>
    <w:p w14:paraId="12D92195" w14:textId="3DFF439C" w:rsidR="006E20D0" w:rsidRPr="00CE1546" w:rsidRDefault="006E20D0" w:rsidP="002B6B2F">
      <w:pPr>
        <w:spacing w:after="100" w:afterAutospacing="1" w:line="240" w:lineRule="auto"/>
        <w:ind w:firstLine="709"/>
        <w:jc w:val="both"/>
        <w:rPr>
          <w:rStyle w:val="tlid-translation"/>
          <w:sz w:val="24"/>
          <w:szCs w:val="24"/>
        </w:rPr>
      </w:pPr>
      <w:r>
        <w:rPr>
          <w:rStyle w:val="tlid-translation"/>
          <w:sz w:val="24"/>
          <w:szCs w:val="24"/>
        </w:rPr>
        <w:t xml:space="preserve">Pohled na probíhající násilné </w:t>
      </w:r>
      <w:r w:rsidRPr="009B17CD">
        <w:rPr>
          <w:rStyle w:val="tlid-translation"/>
          <w:sz w:val="24"/>
          <w:szCs w:val="24"/>
        </w:rPr>
        <w:t>konflikt</w:t>
      </w:r>
      <w:r>
        <w:rPr>
          <w:rStyle w:val="tlid-translation"/>
          <w:sz w:val="24"/>
          <w:szCs w:val="24"/>
        </w:rPr>
        <w:t>y</w:t>
      </w:r>
      <w:r w:rsidRPr="009B17CD">
        <w:rPr>
          <w:rStyle w:val="tlid-translation"/>
          <w:sz w:val="24"/>
          <w:szCs w:val="24"/>
        </w:rPr>
        <w:t xml:space="preserve"> v okolí Evropy a </w:t>
      </w:r>
      <w:r>
        <w:rPr>
          <w:rStyle w:val="tlid-translation"/>
          <w:sz w:val="24"/>
          <w:szCs w:val="24"/>
        </w:rPr>
        <w:t xml:space="preserve">uznání růstu napětí a </w:t>
      </w:r>
      <w:r w:rsidRPr="009B17CD">
        <w:rPr>
          <w:rStyle w:val="tlid-translation"/>
          <w:sz w:val="24"/>
          <w:szCs w:val="24"/>
        </w:rPr>
        <w:t xml:space="preserve">destabilizace celých regionů v sousedství EU spíše </w:t>
      </w:r>
      <w:r>
        <w:rPr>
          <w:rStyle w:val="tlid-translation"/>
          <w:sz w:val="24"/>
          <w:szCs w:val="24"/>
        </w:rPr>
        <w:t>po</w:t>
      </w:r>
      <w:r w:rsidRPr="009B17CD">
        <w:rPr>
          <w:rStyle w:val="tlid-translation"/>
          <w:sz w:val="24"/>
          <w:szCs w:val="24"/>
        </w:rPr>
        <w:t>ukazuje na fakt, že snaha o kontrolu nad fosilními zdroji</w:t>
      </w:r>
      <w:r>
        <w:rPr>
          <w:rStyle w:val="tlid-translation"/>
          <w:sz w:val="24"/>
          <w:szCs w:val="24"/>
        </w:rPr>
        <w:t xml:space="preserve"> (včetně ropy)</w:t>
      </w:r>
      <w:r w:rsidRPr="009B17CD">
        <w:rPr>
          <w:rStyle w:val="tlid-translation"/>
          <w:sz w:val="24"/>
          <w:szCs w:val="24"/>
        </w:rPr>
        <w:t xml:space="preserve"> a jejich dopravními cestami nadále hraje </w:t>
      </w:r>
      <w:r>
        <w:rPr>
          <w:rStyle w:val="tlid-translation"/>
          <w:sz w:val="24"/>
          <w:szCs w:val="24"/>
        </w:rPr>
        <w:t>důležitou</w:t>
      </w:r>
      <w:r w:rsidRPr="009B17CD">
        <w:rPr>
          <w:rStyle w:val="tlid-translation"/>
          <w:sz w:val="24"/>
          <w:szCs w:val="24"/>
        </w:rPr>
        <w:t xml:space="preserve"> roli.</w:t>
      </w:r>
      <w:r>
        <w:rPr>
          <w:rStyle w:val="tlid-translation"/>
          <w:sz w:val="24"/>
          <w:szCs w:val="24"/>
        </w:rPr>
        <w:t xml:space="preserve"> V éře dekarbonizace toto nové „soupeření o zdroje“ může ukázat opětovný návrat politiky energií k mapě (</w:t>
      </w:r>
      <w:proofErr w:type="spellStart"/>
      <w:r>
        <w:rPr>
          <w:rStyle w:val="tlid-translation"/>
          <w:sz w:val="24"/>
          <w:szCs w:val="24"/>
        </w:rPr>
        <w:t>Yergin</w:t>
      </w:r>
      <w:proofErr w:type="spellEnd"/>
      <w:r>
        <w:rPr>
          <w:rStyle w:val="tlid-translation"/>
          <w:sz w:val="24"/>
          <w:szCs w:val="24"/>
        </w:rPr>
        <w:t xml:space="preserve"> 2020). V tomto kontextu lze </w:t>
      </w:r>
      <w:r w:rsidR="009D608E">
        <w:rPr>
          <w:rStyle w:val="tlid-translation"/>
          <w:sz w:val="24"/>
          <w:szCs w:val="24"/>
        </w:rPr>
        <w:t xml:space="preserve">nadále </w:t>
      </w:r>
      <w:r>
        <w:rPr>
          <w:rStyle w:val="tlid-translation"/>
          <w:sz w:val="24"/>
          <w:szCs w:val="24"/>
        </w:rPr>
        <w:t xml:space="preserve">vidět ropu jako součást mocenského soupeření a </w:t>
      </w:r>
      <w:r w:rsidR="00FB38A4">
        <w:rPr>
          <w:rStyle w:val="tlid-translation"/>
          <w:sz w:val="24"/>
          <w:szCs w:val="24"/>
        </w:rPr>
        <w:t xml:space="preserve">jako </w:t>
      </w:r>
      <w:r>
        <w:rPr>
          <w:rStyle w:val="tlid-translation"/>
          <w:sz w:val="24"/>
          <w:szCs w:val="24"/>
        </w:rPr>
        <w:t xml:space="preserve">nástroj k posílení mocenského vlivu. Ropa a další energetické zdroje hrají důležitou úlohu v čínské iniciativě </w:t>
      </w:r>
      <w:proofErr w:type="spellStart"/>
      <w:r>
        <w:rPr>
          <w:rStyle w:val="tlid-translation"/>
          <w:sz w:val="24"/>
          <w:szCs w:val="24"/>
        </w:rPr>
        <w:t>Belt</w:t>
      </w:r>
      <w:proofErr w:type="spellEnd"/>
      <w:r>
        <w:rPr>
          <w:rStyle w:val="tlid-translation"/>
          <w:sz w:val="24"/>
          <w:szCs w:val="24"/>
        </w:rPr>
        <w:t xml:space="preserve"> and </w:t>
      </w:r>
      <w:proofErr w:type="spellStart"/>
      <w:r>
        <w:rPr>
          <w:rStyle w:val="tlid-translation"/>
          <w:sz w:val="24"/>
          <w:szCs w:val="24"/>
        </w:rPr>
        <w:t>Road</w:t>
      </w:r>
      <w:proofErr w:type="spellEnd"/>
      <w:r>
        <w:rPr>
          <w:rStyle w:val="tlid-translation"/>
          <w:sz w:val="24"/>
          <w:szCs w:val="24"/>
        </w:rPr>
        <w:t xml:space="preserve"> i v </w:t>
      </w:r>
      <w:r w:rsidRPr="00BE42DE">
        <w:rPr>
          <w:rStyle w:val="tlid-translation"/>
          <w:sz w:val="24"/>
          <w:szCs w:val="24"/>
        </w:rPr>
        <w:t xml:space="preserve">pivotu ruského prezidenta Vladimíra Putina </w:t>
      </w:r>
      <w:r>
        <w:rPr>
          <w:rStyle w:val="tlid-translation"/>
          <w:sz w:val="24"/>
          <w:szCs w:val="24"/>
        </w:rPr>
        <w:t>„</w:t>
      </w:r>
      <w:proofErr w:type="spellStart"/>
      <w:r w:rsidRPr="00BE42DE">
        <w:rPr>
          <w:rStyle w:val="tlid-translation"/>
          <w:sz w:val="24"/>
          <w:szCs w:val="24"/>
        </w:rPr>
        <w:t>Look</w:t>
      </w:r>
      <w:proofErr w:type="spellEnd"/>
      <w:r w:rsidRPr="00BE42DE">
        <w:rPr>
          <w:rStyle w:val="tlid-translation"/>
          <w:sz w:val="24"/>
          <w:szCs w:val="24"/>
        </w:rPr>
        <w:t xml:space="preserve"> East</w:t>
      </w:r>
      <w:r>
        <w:rPr>
          <w:rStyle w:val="tlid-translation"/>
          <w:sz w:val="24"/>
          <w:szCs w:val="24"/>
        </w:rPr>
        <w:t>“</w:t>
      </w:r>
      <w:r w:rsidRPr="00BE42DE">
        <w:rPr>
          <w:rStyle w:val="tlid-translation"/>
          <w:sz w:val="24"/>
          <w:szCs w:val="24"/>
        </w:rPr>
        <w:t>.</w:t>
      </w:r>
      <w:r>
        <w:rPr>
          <w:rStyle w:val="tlid-translation"/>
          <w:sz w:val="24"/>
          <w:szCs w:val="24"/>
        </w:rPr>
        <w:t xml:space="preserve"> </w:t>
      </w:r>
      <w:r w:rsidRPr="006C57A2">
        <w:rPr>
          <w:rStyle w:val="tlid-translation"/>
          <w:sz w:val="24"/>
          <w:szCs w:val="24"/>
        </w:rPr>
        <w:t xml:space="preserve">Čína </w:t>
      </w:r>
      <w:r w:rsidR="00FB38A4">
        <w:rPr>
          <w:rStyle w:val="tlid-translation"/>
          <w:sz w:val="24"/>
          <w:szCs w:val="24"/>
        </w:rPr>
        <w:t xml:space="preserve">svou </w:t>
      </w:r>
      <w:r w:rsidRPr="006C57A2">
        <w:rPr>
          <w:rStyle w:val="tlid-translation"/>
          <w:sz w:val="24"/>
          <w:szCs w:val="24"/>
        </w:rPr>
        <w:t xml:space="preserve">závislost na dovážené ropě považuje za strategický problém (dováží 75 % </w:t>
      </w:r>
      <w:r w:rsidR="00E966DC">
        <w:rPr>
          <w:rStyle w:val="tlid-translation"/>
          <w:sz w:val="24"/>
          <w:szCs w:val="24"/>
        </w:rPr>
        <w:t xml:space="preserve">ropy </w:t>
      </w:r>
      <w:r w:rsidRPr="006C57A2">
        <w:rPr>
          <w:rStyle w:val="tlid-translation"/>
          <w:sz w:val="24"/>
          <w:szCs w:val="24"/>
        </w:rPr>
        <w:t>ze zahraničí</w:t>
      </w:r>
      <w:r>
        <w:rPr>
          <w:rStyle w:val="tlid-translation"/>
          <w:sz w:val="24"/>
          <w:szCs w:val="24"/>
        </w:rPr>
        <w:t xml:space="preserve"> a je v současnosti největším importérem ropy na světě</w:t>
      </w:r>
      <w:r w:rsidRPr="006C57A2">
        <w:rPr>
          <w:rStyle w:val="tlid-translation"/>
          <w:sz w:val="24"/>
          <w:szCs w:val="24"/>
        </w:rPr>
        <w:t xml:space="preserve">), protože velká část této ropy prochází Malackou úžinou a do Jihočínského moře. </w:t>
      </w:r>
      <w:r>
        <w:rPr>
          <w:rStyle w:val="tlid-translation"/>
          <w:sz w:val="24"/>
          <w:szCs w:val="24"/>
        </w:rPr>
        <w:t>Vedle Číny</w:t>
      </w:r>
      <w:r w:rsidR="006D30B4">
        <w:rPr>
          <w:rStyle w:val="tlid-translation"/>
          <w:sz w:val="24"/>
          <w:szCs w:val="24"/>
        </w:rPr>
        <w:t xml:space="preserve"> a</w:t>
      </w:r>
      <w:r>
        <w:rPr>
          <w:rStyle w:val="tlid-translation"/>
          <w:sz w:val="24"/>
          <w:szCs w:val="24"/>
        </w:rPr>
        <w:t xml:space="preserve"> Ruska jsou důležitou součástí geopolitické hry o energie USA a země Perského zálivu/OPEC. </w:t>
      </w:r>
      <w:proofErr w:type="spellStart"/>
      <w:r>
        <w:rPr>
          <w:rStyle w:val="tlid-translation"/>
          <w:sz w:val="24"/>
          <w:szCs w:val="24"/>
        </w:rPr>
        <w:t>Yergin</w:t>
      </w:r>
      <w:proofErr w:type="spellEnd"/>
      <w:r>
        <w:rPr>
          <w:rStyle w:val="tlid-translation"/>
          <w:sz w:val="24"/>
          <w:szCs w:val="24"/>
        </w:rPr>
        <w:t xml:space="preserve"> (2020) v případě ropy hovoří o velké trojce</w:t>
      </w:r>
      <w:r w:rsidR="006D30B4">
        <w:rPr>
          <w:rStyle w:val="tlid-translation"/>
          <w:sz w:val="24"/>
          <w:szCs w:val="24"/>
        </w:rPr>
        <w:t xml:space="preserve"> –</w:t>
      </w:r>
      <w:r>
        <w:rPr>
          <w:rStyle w:val="tlid-translation"/>
          <w:sz w:val="24"/>
          <w:szCs w:val="24"/>
        </w:rPr>
        <w:t xml:space="preserve"> USA (</w:t>
      </w:r>
      <w:r w:rsidR="006D30B4">
        <w:rPr>
          <w:rStyle w:val="tlid-translation"/>
          <w:sz w:val="24"/>
          <w:szCs w:val="24"/>
        </w:rPr>
        <w:t xml:space="preserve">tj. </w:t>
      </w:r>
      <w:r>
        <w:rPr>
          <w:rStyle w:val="tlid-translation"/>
          <w:sz w:val="24"/>
          <w:szCs w:val="24"/>
        </w:rPr>
        <w:t>největší</w:t>
      </w:r>
      <w:r w:rsidR="006D30B4">
        <w:rPr>
          <w:rStyle w:val="tlid-translation"/>
          <w:sz w:val="24"/>
          <w:szCs w:val="24"/>
        </w:rPr>
        <w:t>m</w:t>
      </w:r>
      <w:r>
        <w:rPr>
          <w:rStyle w:val="tlid-translation"/>
          <w:sz w:val="24"/>
          <w:szCs w:val="24"/>
        </w:rPr>
        <w:t xml:space="preserve"> světov</w:t>
      </w:r>
      <w:r w:rsidR="006D30B4">
        <w:rPr>
          <w:rStyle w:val="tlid-translation"/>
          <w:sz w:val="24"/>
          <w:szCs w:val="24"/>
        </w:rPr>
        <w:t>ém</w:t>
      </w:r>
      <w:r>
        <w:rPr>
          <w:rStyle w:val="tlid-translation"/>
          <w:sz w:val="24"/>
          <w:szCs w:val="24"/>
        </w:rPr>
        <w:t xml:space="preserve"> producent</w:t>
      </w:r>
      <w:r w:rsidR="006D30B4">
        <w:rPr>
          <w:rStyle w:val="tlid-translation"/>
          <w:sz w:val="24"/>
          <w:szCs w:val="24"/>
        </w:rPr>
        <w:t>ovi</w:t>
      </w:r>
      <w:r>
        <w:rPr>
          <w:rStyle w:val="tlid-translation"/>
          <w:sz w:val="24"/>
          <w:szCs w:val="24"/>
        </w:rPr>
        <w:t xml:space="preserve"> ropy v současnosti), </w:t>
      </w:r>
      <w:r>
        <w:rPr>
          <w:rStyle w:val="tlid-translation"/>
          <w:sz w:val="24"/>
          <w:szCs w:val="24"/>
        </w:rPr>
        <w:lastRenderedPageBreak/>
        <w:t>Rusku a Sa</w:t>
      </w:r>
      <w:r w:rsidR="00B832B2">
        <w:rPr>
          <w:rStyle w:val="tlid-translation"/>
          <w:sz w:val="24"/>
          <w:szCs w:val="24"/>
        </w:rPr>
        <w:t>ú</w:t>
      </w:r>
      <w:r>
        <w:rPr>
          <w:rStyle w:val="tlid-translation"/>
          <w:sz w:val="24"/>
          <w:szCs w:val="24"/>
        </w:rPr>
        <w:t xml:space="preserve">dské Arábii. V tomto pohledu cenový šok v roce 2020 může být považován </w:t>
      </w:r>
      <w:r w:rsidR="006D30B4">
        <w:rPr>
          <w:rStyle w:val="tlid-translation"/>
          <w:sz w:val="24"/>
          <w:szCs w:val="24"/>
        </w:rPr>
        <w:t>za</w:t>
      </w:r>
      <w:r>
        <w:rPr>
          <w:rStyle w:val="tlid-translation"/>
          <w:sz w:val="24"/>
          <w:szCs w:val="24"/>
        </w:rPr>
        <w:t xml:space="preserve"> jeden z hlavních nástrojů soupeření a zároveň za výsledek nastavování rovnováhy mezi těmito aktéry (navíc může čistit trh v momentě, kdy z něj odejdou vysoce nákladoví producenti). Moc v rámci restrukturalizace energetického sektoru se pak </w:t>
      </w:r>
      <w:r w:rsidRPr="00CE1546">
        <w:rPr>
          <w:rStyle w:val="tlid-translation"/>
          <w:sz w:val="24"/>
          <w:szCs w:val="24"/>
        </w:rPr>
        <w:t>přesouvá z dlouholetých ropných gigantů (jako je Rusko a Saúdská Arábie) na inovátory, jako je Čína a potenciálně USA.</w:t>
      </w:r>
    </w:p>
    <w:p w14:paraId="47DDFFB7" w14:textId="2E955E03" w:rsidR="007E1832" w:rsidRPr="008513FE" w:rsidRDefault="007E1832" w:rsidP="002B6B2F">
      <w:pPr>
        <w:spacing w:after="100" w:afterAutospacing="1" w:line="240" w:lineRule="auto"/>
        <w:ind w:firstLine="709"/>
        <w:jc w:val="both"/>
        <w:rPr>
          <w:sz w:val="24"/>
          <w:szCs w:val="24"/>
        </w:rPr>
      </w:pPr>
      <w:r w:rsidRPr="008513FE">
        <w:rPr>
          <w:sz w:val="24"/>
          <w:szCs w:val="24"/>
        </w:rPr>
        <w:t xml:space="preserve">Představený kontext bude mít větší dopady spíše ve střednědobém a dlouhodobějším horizontu (zejména co se týká dopadů změn v souvislosti s naplňováním cílů spojených s dekarbonizací). Snaha o kontrolu nad fosilními zdroji, včetně dodavatelských řetězců a kontroly nad dopravními cestami, může mít </w:t>
      </w:r>
      <w:r w:rsidR="00E966DC" w:rsidRPr="008513FE">
        <w:rPr>
          <w:sz w:val="24"/>
          <w:szCs w:val="24"/>
        </w:rPr>
        <w:t xml:space="preserve">ovšem </w:t>
      </w:r>
      <w:r w:rsidRPr="008513FE">
        <w:rPr>
          <w:sz w:val="24"/>
          <w:szCs w:val="24"/>
        </w:rPr>
        <w:t xml:space="preserve">efekty v krátkodobém, střednědobém i dlouhodobém horizontu. </w:t>
      </w:r>
    </w:p>
    <w:p w14:paraId="15D9725A" w14:textId="67D7A663" w:rsidR="007E1832" w:rsidRPr="009B17CD" w:rsidRDefault="007E1832" w:rsidP="002B6B2F">
      <w:pPr>
        <w:spacing w:after="100" w:afterAutospacing="1" w:line="240" w:lineRule="auto"/>
        <w:ind w:firstLine="709"/>
        <w:jc w:val="both"/>
        <w:rPr>
          <w:rStyle w:val="tlid-translation"/>
          <w:sz w:val="24"/>
          <w:szCs w:val="24"/>
        </w:rPr>
      </w:pPr>
      <w:r w:rsidRPr="008513FE">
        <w:rPr>
          <w:sz w:val="24"/>
          <w:szCs w:val="24"/>
        </w:rPr>
        <w:t xml:space="preserve">Nová politika energií, do níž vstupují hlavní energetičtí hráči, </w:t>
      </w:r>
      <w:r w:rsidR="00E966DC" w:rsidRPr="008513FE">
        <w:rPr>
          <w:sz w:val="24"/>
          <w:szCs w:val="24"/>
        </w:rPr>
        <w:t xml:space="preserve">přitom </w:t>
      </w:r>
      <w:r w:rsidRPr="008513FE">
        <w:rPr>
          <w:sz w:val="24"/>
          <w:szCs w:val="24"/>
        </w:rPr>
        <w:t>nebude omezena na fosilní paliva. Radikální změny v energetickém sektoru vytvář</w:t>
      </w:r>
      <w:r w:rsidR="00D37FF8" w:rsidRPr="008513FE">
        <w:rPr>
          <w:sz w:val="24"/>
          <w:szCs w:val="24"/>
        </w:rPr>
        <w:t>ejí</w:t>
      </w:r>
      <w:r w:rsidRPr="008513FE">
        <w:rPr>
          <w:sz w:val="24"/>
          <w:szCs w:val="24"/>
        </w:rPr>
        <w:t xml:space="preserve"> a budou vytvářet </w:t>
      </w:r>
      <w:r w:rsidR="00E966DC" w:rsidRPr="008513FE">
        <w:rPr>
          <w:sz w:val="24"/>
          <w:szCs w:val="24"/>
        </w:rPr>
        <w:t>staron</w:t>
      </w:r>
      <w:r w:rsidRPr="008513FE">
        <w:rPr>
          <w:sz w:val="24"/>
          <w:szCs w:val="24"/>
        </w:rPr>
        <w:t xml:space="preserve">ové impulsy </w:t>
      </w:r>
      <w:r w:rsidR="00E966DC" w:rsidRPr="008513FE">
        <w:rPr>
          <w:sz w:val="24"/>
          <w:szCs w:val="24"/>
        </w:rPr>
        <w:t xml:space="preserve">nejen pro růst </w:t>
      </w:r>
      <w:r w:rsidRPr="008513FE">
        <w:rPr>
          <w:sz w:val="24"/>
          <w:szCs w:val="24"/>
        </w:rPr>
        <w:t xml:space="preserve">napětí, ale rovněž </w:t>
      </w:r>
      <w:r w:rsidR="006D30B4" w:rsidRPr="008513FE">
        <w:rPr>
          <w:sz w:val="24"/>
          <w:szCs w:val="24"/>
        </w:rPr>
        <w:t xml:space="preserve">prostor </w:t>
      </w:r>
      <w:r w:rsidRPr="008513FE">
        <w:rPr>
          <w:sz w:val="24"/>
          <w:szCs w:val="24"/>
        </w:rPr>
        <w:t xml:space="preserve">pro spolupráci. EU potenciálně svou vedoucí pozicí v procesu dekarbonizace získává komparativní výhodu, která již v krátkodobém horizontu posiluje její pozice při transformaci energetického sektoru (liberalizace, efektivita, </w:t>
      </w:r>
      <w:r w:rsidR="00D94D00" w:rsidRPr="008513FE">
        <w:rPr>
          <w:sz w:val="24"/>
          <w:szCs w:val="24"/>
        </w:rPr>
        <w:t>OZE</w:t>
      </w:r>
      <w:r w:rsidRPr="008513FE">
        <w:rPr>
          <w:sz w:val="24"/>
          <w:szCs w:val="24"/>
        </w:rPr>
        <w:t xml:space="preserve">) partnerských států. Toto se týká zejména států, které mají rozvinuté vztahy s EU a </w:t>
      </w:r>
      <w:r w:rsidR="00FB38A4" w:rsidRPr="008513FE">
        <w:rPr>
          <w:sz w:val="24"/>
          <w:szCs w:val="24"/>
        </w:rPr>
        <w:t xml:space="preserve">mají </w:t>
      </w:r>
      <w:r w:rsidRPr="008513FE">
        <w:rPr>
          <w:sz w:val="24"/>
          <w:szCs w:val="24"/>
        </w:rPr>
        <w:t xml:space="preserve">s ní </w:t>
      </w:r>
      <w:r w:rsidR="00FB38A4" w:rsidRPr="008513FE">
        <w:rPr>
          <w:sz w:val="24"/>
          <w:szCs w:val="24"/>
        </w:rPr>
        <w:t xml:space="preserve">navázány </w:t>
      </w:r>
      <w:r w:rsidRPr="008513FE">
        <w:rPr>
          <w:sz w:val="24"/>
          <w:szCs w:val="24"/>
        </w:rPr>
        <w:t xml:space="preserve">i formální vazby (včetně </w:t>
      </w:r>
      <w:r w:rsidR="00E966DC" w:rsidRPr="008513FE">
        <w:rPr>
          <w:sz w:val="24"/>
          <w:szCs w:val="24"/>
        </w:rPr>
        <w:t xml:space="preserve">regulace </w:t>
      </w:r>
      <w:r w:rsidRPr="008513FE">
        <w:rPr>
          <w:sz w:val="24"/>
          <w:szCs w:val="24"/>
        </w:rPr>
        <w:t>energetických vztahů), pokud se ovšem podaří ze strany E</w:t>
      </w:r>
      <w:r w:rsidR="00266FBD" w:rsidRPr="008513FE">
        <w:rPr>
          <w:sz w:val="24"/>
          <w:szCs w:val="24"/>
        </w:rPr>
        <w:t>U</w:t>
      </w:r>
      <w:r w:rsidRPr="008513FE">
        <w:rPr>
          <w:sz w:val="24"/>
          <w:szCs w:val="24"/>
        </w:rPr>
        <w:t xml:space="preserve"> finančně podpořit tyto změny a pokud tyto státy nebudou dříve ohroženy selháním </w:t>
      </w:r>
      <w:r w:rsidR="008520BA" w:rsidRPr="008513FE">
        <w:rPr>
          <w:sz w:val="24"/>
          <w:szCs w:val="24"/>
        </w:rPr>
        <w:t>svých domácích</w:t>
      </w:r>
      <w:r w:rsidR="00550C4F" w:rsidRPr="008513FE">
        <w:rPr>
          <w:sz w:val="24"/>
          <w:szCs w:val="24"/>
        </w:rPr>
        <w:t xml:space="preserve"> </w:t>
      </w:r>
      <w:r w:rsidRPr="008513FE">
        <w:rPr>
          <w:sz w:val="24"/>
          <w:szCs w:val="24"/>
        </w:rPr>
        <w:t xml:space="preserve">institucí (zejména </w:t>
      </w:r>
      <w:r w:rsidR="00266FBD" w:rsidRPr="008513FE">
        <w:rPr>
          <w:sz w:val="24"/>
          <w:szCs w:val="24"/>
        </w:rPr>
        <w:t xml:space="preserve">se jedná o </w:t>
      </w:r>
      <w:r w:rsidRPr="008513FE">
        <w:rPr>
          <w:sz w:val="24"/>
          <w:szCs w:val="24"/>
        </w:rPr>
        <w:t>Liby</w:t>
      </w:r>
      <w:r w:rsidR="00266FBD" w:rsidRPr="008513FE">
        <w:rPr>
          <w:sz w:val="24"/>
          <w:szCs w:val="24"/>
        </w:rPr>
        <w:t>i</w:t>
      </w:r>
      <w:r w:rsidRPr="008513FE">
        <w:rPr>
          <w:sz w:val="24"/>
          <w:szCs w:val="24"/>
        </w:rPr>
        <w:t>, Irák a Alžírsko).</w:t>
      </w:r>
    </w:p>
    <w:p w14:paraId="630A3C9E" w14:textId="77777777" w:rsidR="006E20D0" w:rsidRPr="008C6D8B" w:rsidRDefault="006E20D0" w:rsidP="002B6B2F">
      <w:pPr>
        <w:spacing w:after="100" w:afterAutospacing="1" w:line="240" w:lineRule="auto"/>
        <w:jc w:val="both"/>
        <w:rPr>
          <w:i/>
        </w:rPr>
      </w:pPr>
      <w:r w:rsidRPr="008C6D8B">
        <w:rPr>
          <w:i/>
          <w:sz w:val="24"/>
          <w:szCs w:val="24"/>
        </w:rPr>
        <w:t>Přímé dopady ropného cenového šoku na producentské státy: vztahy mezi ekonomickou a politickou, sociální a bezpečnostní nestabilitou</w:t>
      </w:r>
    </w:p>
    <w:p w14:paraId="1AC45ABC" w14:textId="77777777" w:rsidR="006E20D0" w:rsidRDefault="006E20D0" w:rsidP="002B6B2F">
      <w:pPr>
        <w:spacing w:after="100" w:afterAutospacing="1" w:line="240" w:lineRule="auto"/>
        <w:jc w:val="both"/>
        <w:rPr>
          <w:sz w:val="24"/>
          <w:szCs w:val="24"/>
        </w:rPr>
      </w:pPr>
      <w:r>
        <w:rPr>
          <w:sz w:val="24"/>
          <w:szCs w:val="24"/>
        </w:rPr>
        <w:t xml:space="preserve">Makroekonomická nestabilita má tendenci se přelévat do nestability politické a sociální. Daný efekt ovšem nefunguje okamžitě a má diverzifikované dopady na jednotlivé země. Efekt přelévání je závislý na několika ekonomických a mimoekonomických faktorech. Mezi ekonomické faktory patří míra diverzifikace ropných ekonomik, výrobní náklady ropy, vyspělost a bohatství ropných ekonomik a konečně jejich schopnost pokrývat krátkodobé výkyvy pomocí rezervních fondů. Mezi neekonomické faktory patří dlouhodobá politická stabilita, sociální úroveň a bezpečnostní situace. </w:t>
      </w:r>
    </w:p>
    <w:p w14:paraId="79D98FE5" w14:textId="60E31546" w:rsidR="006E20D0" w:rsidRDefault="006E20D0" w:rsidP="002B6B2F">
      <w:pPr>
        <w:spacing w:after="100" w:afterAutospacing="1" w:line="240" w:lineRule="auto"/>
        <w:ind w:firstLine="709"/>
        <w:jc w:val="both"/>
        <w:rPr>
          <w:rStyle w:val="tlid-translation"/>
          <w:sz w:val="24"/>
          <w:szCs w:val="24"/>
        </w:rPr>
      </w:pPr>
      <w:r w:rsidRPr="009B17CD">
        <w:rPr>
          <w:rStyle w:val="tlid-translation"/>
          <w:sz w:val="24"/>
          <w:szCs w:val="24"/>
        </w:rPr>
        <w:t xml:space="preserve">Ekonomiky států v okolí Evropy produkujících ropu jsou obecně méně diverzifikované, odvětvově závislé ekonomiky, přičemž ropa významně přispívá vládním příjmům. V březnu letošního roku IEA odhadovala, že klíčové země produkující ropu, mohou dokonce zaznamenat pokles čistého příjmu pro rok 2020 o 50 % až 85 % ve srovnání s rokem 2019 (IEA 2020). To by představovalo nejnižší příjem, který tyto země z tohoto sektoru získaly za více než dvě desetiletí, a IEA varovala, že výnosy by mohly dále klesat v závislosti na budoucích </w:t>
      </w:r>
      <w:r>
        <w:rPr>
          <w:rStyle w:val="tlid-translation"/>
          <w:sz w:val="24"/>
          <w:szCs w:val="24"/>
        </w:rPr>
        <w:t>po</w:t>
      </w:r>
      <w:r w:rsidRPr="009B17CD">
        <w:rPr>
          <w:rStyle w:val="tlid-translation"/>
          <w:sz w:val="24"/>
          <w:szCs w:val="24"/>
        </w:rPr>
        <w:t>změněných tržních podmínkách.</w:t>
      </w:r>
      <w:r>
        <w:rPr>
          <w:rStyle w:val="tlid-translation"/>
          <w:sz w:val="24"/>
          <w:szCs w:val="24"/>
        </w:rPr>
        <w:t xml:space="preserve"> Zejména rozvojové ekonomiky, jako Alžírsko, Irák, Irán, nebo Libye,</w:t>
      </w:r>
      <w:r w:rsidRPr="009B17CD">
        <w:rPr>
          <w:rStyle w:val="tlid-translation"/>
          <w:sz w:val="24"/>
          <w:szCs w:val="24"/>
        </w:rPr>
        <w:t xml:space="preserve"> </w:t>
      </w:r>
      <w:r>
        <w:rPr>
          <w:rStyle w:val="tlid-translation"/>
          <w:sz w:val="24"/>
          <w:szCs w:val="24"/>
        </w:rPr>
        <w:t>jsou ohrožené v případě jejich výpadku (</w:t>
      </w:r>
      <w:r w:rsidRPr="00897949">
        <w:rPr>
          <w:rStyle w:val="tlid-translation"/>
          <w:sz w:val="24"/>
          <w:szCs w:val="24"/>
        </w:rPr>
        <w:t>OECD</w:t>
      </w:r>
      <w:r w:rsidR="00FF5C39">
        <w:rPr>
          <w:rStyle w:val="tlid-translation"/>
          <w:sz w:val="24"/>
          <w:szCs w:val="24"/>
        </w:rPr>
        <w:t xml:space="preserve"> </w:t>
      </w:r>
      <w:r w:rsidRPr="00897949">
        <w:rPr>
          <w:rStyle w:val="tlid-translation"/>
          <w:sz w:val="24"/>
          <w:szCs w:val="24"/>
        </w:rPr>
        <w:t>2020</w:t>
      </w:r>
      <w:r w:rsidR="00897949" w:rsidRPr="003A56A4">
        <w:rPr>
          <w:rStyle w:val="tlid-translation"/>
          <w:sz w:val="24"/>
          <w:szCs w:val="24"/>
        </w:rPr>
        <w:t>c</w:t>
      </w:r>
      <w:r>
        <w:rPr>
          <w:rStyle w:val="tlid-translation"/>
          <w:sz w:val="24"/>
          <w:szCs w:val="24"/>
        </w:rPr>
        <w:t>). N</w:t>
      </w:r>
      <w:r w:rsidRPr="009B17CD">
        <w:rPr>
          <w:rStyle w:val="tlid-translation"/>
          <w:sz w:val="24"/>
          <w:szCs w:val="24"/>
        </w:rPr>
        <w:t xml:space="preserve">ízká cena vytváří okamžitý tlak </w:t>
      </w:r>
      <w:r>
        <w:rPr>
          <w:rStyle w:val="tlid-translation"/>
          <w:sz w:val="24"/>
          <w:szCs w:val="24"/>
        </w:rPr>
        <w:t xml:space="preserve">nejen </w:t>
      </w:r>
      <w:r w:rsidRPr="009B17CD">
        <w:rPr>
          <w:rStyle w:val="tlid-translation"/>
          <w:sz w:val="24"/>
          <w:szCs w:val="24"/>
        </w:rPr>
        <w:t>na státní finance</w:t>
      </w:r>
      <w:r>
        <w:rPr>
          <w:rStyle w:val="tlid-translation"/>
          <w:sz w:val="24"/>
          <w:szCs w:val="24"/>
        </w:rPr>
        <w:t xml:space="preserve">, ale </w:t>
      </w:r>
      <w:r w:rsidRPr="009B17CD">
        <w:rPr>
          <w:rStyle w:val="tlid-translation"/>
          <w:sz w:val="24"/>
          <w:szCs w:val="24"/>
        </w:rPr>
        <w:t xml:space="preserve">jsou vytvářeny </w:t>
      </w:r>
      <w:r w:rsidR="002F06AA">
        <w:rPr>
          <w:rStyle w:val="tlid-translation"/>
          <w:sz w:val="24"/>
          <w:szCs w:val="24"/>
        </w:rPr>
        <w:t xml:space="preserve">i </w:t>
      </w:r>
      <w:r w:rsidRPr="009B17CD">
        <w:rPr>
          <w:rStyle w:val="tlid-translation"/>
          <w:sz w:val="24"/>
          <w:szCs w:val="24"/>
        </w:rPr>
        <w:t>inflační tlaky</w:t>
      </w:r>
      <w:r>
        <w:rPr>
          <w:rStyle w:val="tlid-translation"/>
          <w:sz w:val="24"/>
          <w:szCs w:val="24"/>
        </w:rPr>
        <w:t xml:space="preserve"> v ekonomice, která je závislá na importech</w:t>
      </w:r>
      <w:r w:rsidRPr="009B17CD">
        <w:rPr>
          <w:rStyle w:val="tlid-translation"/>
          <w:sz w:val="24"/>
          <w:szCs w:val="24"/>
        </w:rPr>
        <w:t>. T</w:t>
      </w:r>
      <w:r>
        <w:rPr>
          <w:rStyle w:val="tlid-translation"/>
          <w:sz w:val="24"/>
          <w:szCs w:val="24"/>
        </w:rPr>
        <w:t>o</w:t>
      </w:r>
      <w:r w:rsidRPr="009B17CD">
        <w:rPr>
          <w:rStyle w:val="tlid-translation"/>
          <w:sz w:val="24"/>
          <w:szCs w:val="24"/>
        </w:rPr>
        <w:t>to m</w:t>
      </w:r>
      <w:r>
        <w:rPr>
          <w:rStyle w:val="tlid-translation"/>
          <w:sz w:val="24"/>
          <w:szCs w:val="24"/>
        </w:rPr>
        <w:t>á</w:t>
      </w:r>
      <w:r w:rsidRPr="009B17CD">
        <w:rPr>
          <w:rStyle w:val="tlid-translation"/>
          <w:sz w:val="24"/>
          <w:szCs w:val="24"/>
        </w:rPr>
        <w:t xml:space="preserve"> přímý dopad v sociální oblasti, kdy rostou životní náklady </w:t>
      </w:r>
      <w:r>
        <w:rPr>
          <w:rStyle w:val="tlid-translation"/>
          <w:sz w:val="24"/>
          <w:szCs w:val="24"/>
        </w:rPr>
        <w:t>(zejména sociálně slabších skupin obyvatelstva)</w:t>
      </w:r>
      <w:r w:rsidR="002F06AA">
        <w:rPr>
          <w:rStyle w:val="tlid-translation"/>
          <w:sz w:val="24"/>
          <w:szCs w:val="24"/>
        </w:rPr>
        <w:t>,</w:t>
      </w:r>
      <w:r>
        <w:rPr>
          <w:rStyle w:val="tlid-translation"/>
          <w:sz w:val="24"/>
          <w:szCs w:val="24"/>
        </w:rPr>
        <w:t xml:space="preserve"> </w:t>
      </w:r>
      <w:r w:rsidRPr="009B17CD">
        <w:rPr>
          <w:rStyle w:val="tlid-translation"/>
          <w:sz w:val="24"/>
          <w:szCs w:val="24"/>
        </w:rPr>
        <w:t>a zároveň klesá schopnost státu financovat sociální, vzdělávací a penzijní programy</w:t>
      </w:r>
      <w:r>
        <w:rPr>
          <w:rStyle w:val="tlid-translation"/>
          <w:sz w:val="24"/>
          <w:szCs w:val="24"/>
        </w:rPr>
        <w:t xml:space="preserve"> a obecně státní sektor (např. v případě Kuvajtu platy státních zaměstnanců)</w:t>
      </w:r>
      <w:r w:rsidRPr="009B17CD">
        <w:rPr>
          <w:rStyle w:val="tlid-translation"/>
          <w:sz w:val="24"/>
          <w:szCs w:val="24"/>
        </w:rPr>
        <w:t xml:space="preserve">. </w:t>
      </w:r>
    </w:p>
    <w:p w14:paraId="2A724DD6" w14:textId="3583CB2D" w:rsidR="006E20D0" w:rsidRDefault="006E20D0" w:rsidP="002B6B2F">
      <w:pPr>
        <w:spacing w:after="100" w:afterAutospacing="1" w:line="240" w:lineRule="auto"/>
        <w:ind w:firstLine="709"/>
        <w:jc w:val="both"/>
        <w:rPr>
          <w:rStyle w:val="tlid-translation"/>
          <w:sz w:val="24"/>
          <w:szCs w:val="24"/>
        </w:rPr>
      </w:pPr>
      <w:r w:rsidRPr="009B17CD">
        <w:rPr>
          <w:rStyle w:val="tlid-translation"/>
          <w:sz w:val="24"/>
          <w:szCs w:val="24"/>
        </w:rPr>
        <w:lastRenderedPageBreak/>
        <w:t xml:space="preserve">Rozsah současného cenového šoku z ropy se v jednotlivých zemích liší v závislosti na </w:t>
      </w:r>
      <w:r>
        <w:rPr>
          <w:rStyle w:val="tlid-translation"/>
          <w:sz w:val="24"/>
          <w:szCs w:val="24"/>
        </w:rPr>
        <w:t xml:space="preserve">stupni diverzifikace jejich ekonomik, vývozní </w:t>
      </w:r>
      <w:r w:rsidRPr="009B17CD">
        <w:rPr>
          <w:rStyle w:val="tlid-translation"/>
          <w:sz w:val="24"/>
          <w:szCs w:val="24"/>
        </w:rPr>
        <w:t>koncentraci</w:t>
      </w:r>
      <w:r>
        <w:rPr>
          <w:rStyle w:val="tlid-translation"/>
          <w:sz w:val="24"/>
          <w:szCs w:val="24"/>
        </w:rPr>
        <w:t xml:space="preserve">, </w:t>
      </w:r>
      <w:r w:rsidRPr="009B17CD">
        <w:rPr>
          <w:rStyle w:val="tlid-translation"/>
          <w:sz w:val="24"/>
          <w:szCs w:val="24"/>
        </w:rPr>
        <w:t>odhadovaných zásobách ropy</w:t>
      </w:r>
      <w:r w:rsidRPr="007A62A4">
        <w:rPr>
          <w:rStyle w:val="tlid-translation"/>
          <w:sz w:val="24"/>
          <w:szCs w:val="24"/>
        </w:rPr>
        <w:t xml:space="preserve"> </w:t>
      </w:r>
      <w:r>
        <w:rPr>
          <w:rStyle w:val="tlid-translation"/>
          <w:sz w:val="24"/>
          <w:szCs w:val="24"/>
        </w:rPr>
        <w:t xml:space="preserve">a rovněž </w:t>
      </w:r>
      <w:r w:rsidRPr="009B17CD">
        <w:rPr>
          <w:rStyle w:val="tlid-translation"/>
          <w:sz w:val="24"/>
          <w:szCs w:val="24"/>
        </w:rPr>
        <w:t>výrobních nákladech. Očekává se, že nízkonákladoví producenti ropy (Sa</w:t>
      </w:r>
      <w:r w:rsidR="006D30B4">
        <w:rPr>
          <w:rStyle w:val="tlid-translation"/>
          <w:sz w:val="24"/>
          <w:szCs w:val="24"/>
        </w:rPr>
        <w:t>ú</w:t>
      </w:r>
      <w:r w:rsidRPr="009B17CD">
        <w:rPr>
          <w:rStyle w:val="tlid-translation"/>
          <w:sz w:val="24"/>
          <w:szCs w:val="24"/>
        </w:rPr>
        <w:t>dská Arábie, Irák, Irán, Rusko) mo</w:t>
      </w:r>
      <w:r>
        <w:rPr>
          <w:rStyle w:val="tlid-translation"/>
          <w:sz w:val="24"/>
          <w:szCs w:val="24"/>
        </w:rPr>
        <w:t>hou</w:t>
      </w:r>
      <w:r w:rsidRPr="009B17CD">
        <w:rPr>
          <w:rStyle w:val="tlid-translation"/>
          <w:sz w:val="24"/>
          <w:szCs w:val="24"/>
        </w:rPr>
        <w:t xml:space="preserve"> pokračovat v produkci po značnou dobu</w:t>
      </w:r>
      <w:r>
        <w:rPr>
          <w:rStyle w:val="tlid-translation"/>
          <w:sz w:val="24"/>
          <w:szCs w:val="24"/>
        </w:rPr>
        <w:t>,</w:t>
      </w:r>
      <w:r w:rsidRPr="009B17CD">
        <w:rPr>
          <w:rStyle w:val="tlid-translation"/>
          <w:sz w:val="24"/>
          <w:szCs w:val="24"/>
        </w:rPr>
        <w:t xml:space="preserve"> i v případě </w:t>
      </w:r>
      <w:r>
        <w:rPr>
          <w:rStyle w:val="tlid-translation"/>
          <w:sz w:val="24"/>
          <w:szCs w:val="24"/>
        </w:rPr>
        <w:t xml:space="preserve">souběhu scénáře nižších cen ropy a </w:t>
      </w:r>
      <w:r w:rsidRPr="009B17CD">
        <w:rPr>
          <w:rStyle w:val="tlid-translation"/>
          <w:sz w:val="24"/>
          <w:szCs w:val="24"/>
        </w:rPr>
        <w:t xml:space="preserve">realizace nastíněného nízkouhlíkového scénáře. Současná krize </w:t>
      </w:r>
      <w:r>
        <w:rPr>
          <w:rStyle w:val="tlid-translation"/>
          <w:sz w:val="24"/>
          <w:szCs w:val="24"/>
        </w:rPr>
        <w:t xml:space="preserve">pro ropné ekonomiky </w:t>
      </w:r>
      <w:r w:rsidRPr="009B17CD">
        <w:rPr>
          <w:rStyle w:val="tlid-translation"/>
          <w:sz w:val="24"/>
          <w:szCs w:val="24"/>
        </w:rPr>
        <w:t>rozhodně představuje nové pobídky a přináší tlak na plnou realizaci tržního prostředí v těžbě ropy (např. dotace na pohonné hmoty</w:t>
      </w:r>
      <w:r>
        <w:rPr>
          <w:rStyle w:val="tlid-translation"/>
          <w:sz w:val="24"/>
          <w:szCs w:val="24"/>
        </w:rPr>
        <w:t xml:space="preserve"> v některých zemích MENA</w:t>
      </w:r>
      <w:r w:rsidRPr="009B17CD">
        <w:rPr>
          <w:rStyle w:val="tlid-translation"/>
          <w:sz w:val="24"/>
          <w:szCs w:val="24"/>
        </w:rPr>
        <w:t>) a diverzifika</w:t>
      </w:r>
      <w:r w:rsidR="007B3054">
        <w:rPr>
          <w:rStyle w:val="tlid-translation"/>
          <w:sz w:val="24"/>
          <w:szCs w:val="24"/>
        </w:rPr>
        <w:t>ci</w:t>
      </w:r>
      <w:r w:rsidRPr="009B17CD">
        <w:rPr>
          <w:rStyle w:val="tlid-translation"/>
          <w:sz w:val="24"/>
          <w:szCs w:val="24"/>
        </w:rPr>
        <w:t xml:space="preserve"> směrem k dalším průmyslovým odvětvím. Přísnější veřejné finance</w:t>
      </w:r>
      <w:r w:rsidR="00D75A29">
        <w:rPr>
          <w:rStyle w:val="tlid-translation"/>
          <w:sz w:val="24"/>
          <w:szCs w:val="24"/>
        </w:rPr>
        <w:t>,</w:t>
      </w:r>
      <w:r w:rsidRPr="009B17CD">
        <w:rPr>
          <w:rStyle w:val="tlid-translation"/>
          <w:sz w:val="24"/>
          <w:szCs w:val="24"/>
        </w:rPr>
        <w:t xml:space="preserve"> jako výsledek nutnosti reagovat na pokles cen ropy</w:t>
      </w:r>
      <w:r w:rsidR="00D75A29">
        <w:rPr>
          <w:rStyle w:val="tlid-translation"/>
          <w:sz w:val="24"/>
          <w:szCs w:val="24"/>
        </w:rPr>
        <w:t>,</w:t>
      </w:r>
      <w:r w:rsidRPr="009B17CD">
        <w:rPr>
          <w:rStyle w:val="tlid-translation"/>
          <w:sz w:val="24"/>
          <w:szCs w:val="24"/>
        </w:rPr>
        <w:t xml:space="preserve"> omezí </w:t>
      </w:r>
      <w:r>
        <w:rPr>
          <w:rStyle w:val="tlid-translation"/>
          <w:sz w:val="24"/>
          <w:szCs w:val="24"/>
        </w:rPr>
        <w:t xml:space="preserve">u všech států produkujících ropu </w:t>
      </w:r>
      <w:r w:rsidRPr="009B17CD">
        <w:rPr>
          <w:rStyle w:val="tlid-translation"/>
          <w:sz w:val="24"/>
          <w:szCs w:val="24"/>
        </w:rPr>
        <w:t>finanční prostředky dostupné na veřejné služby</w:t>
      </w:r>
      <w:r>
        <w:rPr>
          <w:rStyle w:val="tlid-translation"/>
          <w:sz w:val="24"/>
          <w:szCs w:val="24"/>
        </w:rPr>
        <w:t xml:space="preserve">, ale i plánované </w:t>
      </w:r>
      <w:r w:rsidRPr="009B17CD">
        <w:rPr>
          <w:rStyle w:val="tlid-translation"/>
          <w:sz w:val="24"/>
          <w:szCs w:val="24"/>
        </w:rPr>
        <w:t xml:space="preserve">projekty infrastruktury. </w:t>
      </w:r>
    </w:p>
    <w:p w14:paraId="7E20D824" w14:textId="262D881F" w:rsidR="006E20D0" w:rsidRDefault="006E20D0" w:rsidP="002B6B2F">
      <w:pPr>
        <w:spacing w:after="100" w:afterAutospacing="1" w:line="240" w:lineRule="auto"/>
        <w:ind w:firstLine="709"/>
        <w:jc w:val="both"/>
        <w:rPr>
          <w:rStyle w:val="tlid-translation"/>
          <w:sz w:val="24"/>
          <w:szCs w:val="24"/>
        </w:rPr>
      </w:pPr>
      <w:r w:rsidRPr="009B17CD">
        <w:rPr>
          <w:rStyle w:val="tlid-translation"/>
          <w:sz w:val="24"/>
          <w:szCs w:val="24"/>
        </w:rPr>
        <w:t xml:space="preserve">Byly </w:t>
      </w:r>
      <w:r>
        <w:rPr>
          <w:rStyle w:val="tlid-translation"/>
          <w:sz w:val="24"/>
          <w:szCs w:val="24"/>
        </w:rPr>
        <w:t xml:space="preserve">tak </w:t>
      </w:r>
      <w:r w:rsidRPr="009B17CD">
        <w:rPr>
          <w:rStyle w:val="tlid-translation"/>
          <w:sz w:val="24"/>
          <w:szCs w:val="24"/>
        </w:rPr>
        <w:t xml:space="preserve">zpochybněny nové, i již </w:t>
      </w:r>
      <w:r>
        <w:rPr>
          <w:rStyle w:val="tlid-translation"/>
          <w:sz w:val="24"/>
          <w:szCs w:val="24"/>
        </w:rPr>
        <w:t xml:space="preserve">částečně </w:t>
      </w:r>
      <w:r w:rsidRPr="009B17CD">
        <w:rPr>
          <w:rStyle w:val="tlid-translation"/>
          <w:sz w:val="24"/>
          <w:szCs w:val="24"/>
        </w:rPr>
        <w:t xml:space="preserve">proběhlé investice do sektoru těžby ropy. V roce 2020 byl zaregistrován pokles poptávky investorů po projektech fosilních paliv a společnosti začaly regulovat nové projekty a dočasně nebo trvale zastavují vysoce nákladné operace (IEA 2020). Investoři jsou známí svým „útěkem do bezpečí“, snaží se přesunout svá aktiva do bezpečnějších a stabilnějších ekonomik, což v době volatility </w:t>
      </w:r>
      <w:r>
        <w:rPr>
          <w:rStyle w:val="tlid-translation"/>
          <w:sz w:val="24"/>
          <w:szCs w:val="24"/>
        </w:rPr>
        <w:t xml:space="preserve">trhu s ropou </w:t>
      </w:r>
      <w:r w:rsidRPr="009B17CD">
        <w:rPr>
          <w:rStyle w:val="tlid-translation"/>
          <w:sz w:val="24"/>
          <w:szCs w:val="24"/>
        </w:rPr>
        <w:t>pro producenty ropy neplatí. Dopad je ovšem nerovnoměrný, očekává se, že s poklesem investic plánovaných projektů budou nejvíce zasaženy menší, nebo nové producentské země (</w:t>
      </w:r>
      <w:proofErr w:type="spellStart"/>
      <w:r w:rsidRPr="005342BB">
        <w:rPr>
          <w:rStyle w:val="tlid-translation"/>
          <w:sz w:val="24"/>
          <w:szCs w:val="24"/>
        </w:rPr>
        <w:t>Petroleum</w:t>
      </w:r>
      <w:proofErr w:type="spellEnd"/>
      <w:r w:rsidRPr="005342BB">
        <w:rPr>
          <w:rStyle w:val="tlid-translation"/>
          <w:sz w:val="24"/>
          <w:szCs w:val="24"/>
        </w:rPr>
        <w:t xml:space="preserve"> </w:t>
      </w:r>
      <w:proofErr w:type="spellStart"/>
      <w:r w:rsidRPr="005342BB">
        <w:rPr>
          <w:rStyle w:val="tlid-translation"/>
          <w:sz w:val="24"/>
          <w:szCs w:val="24"/>
        </w:rPr>
        <w:t>Economist</w:t>
      </w:r>
      <w:proofErr w:type="spellEnd"/>
      <w:r w:rsidRPr="005342BB">
        <w:rPr>
          <w:rStyle w:val="tlid-translation"/>
          <w:sz w:val="24"/>
          <w:szCs w:val="24"/>
        </w:rPr>
        <w:t>, 2020</w:t>
      </w:r>
      <w:r w:rsidRPr="009B17CD">
        <w:rPr>
          <w:rStyle w:val="tlid-translation"/>
          <w:sz w:val="24"/>
          <w:szCs w:val="24"/>
        </w:rPr>
        <w:t>).</w:t>
      </w:r>
    </w:p>
    <w:p w14:paraId="427423A2" w14:textId="44275F01" w:rsidR="00D22DAA" w:rsidRDefault="006E20D0" w:rsidP="002B6B2F">
      <w:pPr>
        <w:spacing w:after="100" w:afterAutospacing="1" w:line="240" w:lineRule="auto"/>
        <w:ind w:firstLine="709"/>
        <w:jc w:val="both"/>
        <w:rPr>
          <w:rStyle w:val="tlid-translation"/>
          <w:sz w:val="24"/>
          <w:szCs w:val="24"/>
        </w:rPr>
      </w:pPr>
      <w:r>
        <w:rPr>
          <w:rStyle w:val="tlid-translation"/>
          <w:sz w:val="24"/>
          <w:szCs w:val="24"/>
        </w:rPr>
        <w:t>Z</w:t>
      </w:r>
      <w:r w:rsidRPr="009B17CD">
        <w:rPr>
          <w:rStyle w:val="tlid-translation"/>
          <w:sz w:val="24"/>
          <w:szCs w:val="24"/>
        </w:rPr>
        <w:t>emě mohou přek</w:t>
      </w:r>
      <w:r>
        <w:rPr>
          <w:rStyle w:val="tlid-translation"/>
          <w:sz w:val="24"/>
          <w:szCs w:val="24"/>
        </w:rPr>
        <w:t>lenovat</w:t>
      </w:r>
      <w:r w:rsidRPr="009B17CD">
        <w:rPr>
          <w:rStyle w:val="tlid-translation"/>
          <w:sz w:val="24"/>
          <w:szCs w:val="24"/>
        </w:rPr>
        <w:t xml:space="preserve"> současnou krizi využitím státních investičních fondů (jedná se </w:t>
      </w:r>
      <w:r>
        <w:rPr>
          <w:rStyle w:val="tlid-translation"/>
          <w:sz w:val="24"/>
          <w:szCs w:val="24"/>
        </w:rPr>
        <w:t xml:space="preserve">zejména </w:t>
      </w:r>
      <w:r w:rsidRPr="009B17CD">
        <w:rPr>
          <w:rStyle w:val="tlid-translation"/>
          <w:sz w:val="24"/>
          <w:szCs w:val="24"/>
        </w:rPr>
        <w:t>o bohaté ropné ekonomiky</w:t>
      </w:r>
      <w:r>
        <w:rPr>
          <w:rStyle w:val="tlid-translation"/>
          <w:sz w:val="24"/>
          <w:szCs w:val="24"/>
        </w:rPr>
        <w:t xml:space="preserve"> Perského zálivu jako Sa</w:t>
      </w:r>
      <w:r w:rsidR="006D30B4">
        <w:rPr>
          <w:rStyle w:val="tlid-translation"/>
          <w:sz w:val="24"/>
          <w:szCs w:val="24"/>
        </w:rPr>
        <w:t>ú</w:t>
      </w:r>
      <w:r>
        <w:rPr>
          <w:rStyle w:val="tlid-translation"/>
          <w:sz w:val="24"/>
          <w:szCs w:val="24"/>
        </w:rPr>
        <w:t>dská Arábie, Kuvajt,</w:t>
      </w:r>
      <w:r w:rsidRPr="00CE027E">
        <w:rPr>
          <w:rStyle w:val="tlid-translation"/>
          <w:sz w:val="24"/>
          <w:szCs w:val="24"/>
        </w:rPr>
        <w:t xml:space="preserve"> SAE, Bahrajn, Omán a Katar</w:t>
      </w:r>
      <w:r w:rsidRPr="009B17CD">
        <w:rPr>
          <w:rStyle w:val="tlid-translation"/>
          <w:sz w:val="24"/>
          <w:szCs w:val="24"/>
        </w:rPr>
        <w:t>)</w:t>
      </w:r>
      <w:r>
        <w:rPr>
          <w:rStyle w:val="tlid-translation"/>
          <w:sz w:val="24"/>
          <w:szCs w:val="24"/>
        </w:rPr>
        <w:t>,</w:t>
      </w:r>
      <w:r w:rsidRPr="009B17CD">
        <w:rPr>
          <w:rStyle w:val="tlid-translation"/>
          <w:sz w:val="24"/>
          <w:szCs w:val="24"/>
        </w:rPr>
        <w:t xml:space="preserve"> růstem zadlužení </w:t>
      </w:r>
      <w:r>
        <w:rPr>
          <w:rStyle w:val="tlid-translation"/>
          <w:sz w:val="24"/>
          <w:szCs w:val="24"/>
        </w:rPr>
        <w:t xml:space="preserve">díky nárůstu schodku státních rozpočtů (v realitě na 10 % HDP a více) nebo výjimečně mohou zasažené ekonomiky </w:t>
      </w:r>
      <w:r w:rsidRPr="00CB005A">
        <w:rPr>
          <w:rStyle w:val="tlid-translation"/>
          <w:sz w:val="24"/>
          <w:szCs w:val="24"/>
        </w:rPr>
        <w:t>dočasně zastavit veřejné výdaje</w:t>
      </w:r>
      <w:r>
        <w:rPr>
          <w:rStyle w:val="tlid-translation"/>
          <w:sz w:val="24"/>
          <w:szCs w:val="24"/>
        </w:rPr>
        <w:t xml:space="preserve"> (</w:t>
      </w:r>
      <w:proofErr w:type="spellStart"/>
      <w:r>
        <w:rPr>
          <w:rStyle w:val="tlid-translation"/>
          <w:sz w:val="24"/>
          <w:szCs w:val="24"/>
        </w:rPr>
        <w:t>Valori</w:t>
      </w:r>
      <w:proofErr w:type="spellEnd"/>
      <w:r>
        <w:rPr>
          <w:rStyle w:val="tlid-translation"/>
          <w:sz w:val="24"/>
          <w:szCs w:val="24"/>
        </w:rPr>
        <w:t xml:space="preserve"> 2020). To</w:t>
      </w:r>
      <w:r w:rsidR="002B6B2F">
        <w:rPr>
          <w:rStyle w:val="tlid-translation"/>
          <w:sz w:val="24"/>
          <w:szCs w:val="24"/>
        </w:rPr>
        <w:t>to řešení</w:t>
      </w:r>
      <w:r>
        <w:rPr>
          <w:rStyle w:val="tlid-translation"/>
          <w:sz w:val="24"/>
          <w:szCs w:val="24"/>
        </w:rPr>
        <w:t xml:space="preserve"> je ovšem</w:t>
      </w:r>
      <w:r w:rsidR="002B6B2F">
        <w:rPr>
          <w:rStyle w:val="tlid-translation"/>
          <w:sz w:val="24"/>
          <w:szCs w:val="24"/>
        </w:rPr>
        <w:t xml:space="preserve"> funkční</w:t>
      </w:r>
      <w:r>
        <w:rPr>
          <w:rStyle w:val="tlid-translation"/>
          <w:sz w:val="24"/>
          <w:szCs w:val="24"/>
        </w:rPr>
        <w:t xml:space="preserve"> pouze krátkodobě a je udržitelné </w:t>
      </w:r>
      <w:r w:rsidRPr="009B17CD">
        <w:rPr>
          <w:rStyle w:val="tlid-translation"/>
          <w:sz w:val="24"/>
          <w:szCs w:val="24"/>
        </w:rPr>
        <w:t>v případě relativně nízké úrovně veřejného dluhu</w:t>
      </w:r>
      <w:r>
        <w:rPr>
          <w:rStyle w:val="tlid-translation"/>
          <w:sz w:val="24"/>
          <w:szCs w:val="24"/>
        </w:rPr>
        <w:t xml:space="preserve">. </w:t>
      </w:r>
    </w:p>
    <w:p w14:paraId="4D10CF45" w14:textId="22DF25EA" w:rsidR="006E20D0" w:rsidRDefault="00D22DAA" w:rsidP="002B6B2F">
      <w:pPr>
        <w:spacing w:after="100" w:afterAutospacing="1" w:line="240" w:lineRule="auto"/>
        <w:ind w:firstLine="709"/>
        <w:jc w:val="both"/>
        <w:rPr>
          <w:rStyle w:val="tlid-translation"/>
          <w:sz w:val="24"/>
          <w:szCs w:val="24"/>
        </w:rPr>
      </w:pPr>
      <w:r>
        <w:rPr>
          <w:rStyle w:val="tlid-translation"/>
          <w:sz w:val="24"/>
          <w:szCs w:val="24"/>
        </w:rPr>
        <w:t>V roce 2020 byly státy</w:t>
      </w:r>
      <w:r w:rsidR="006E20D0">
        <w:rPr>
          <w:rStyle w:val="tlid-translation"/>
          <w:sz w:val="24"/>
          <w:szCs w:val="24"/>
        </w:rPr>
        <w:t xml:space="preserve"> vyvážející ropu nuceny </w:t>
      </w:r>
      <w:r w:rsidR="006E20D0" w:rsidRPr="009B17CD">
        <w:rPr>
          <w:rStyle w:val="tlid-translation"/>
          <w:sz w:val="24"/>
          <w:szCs w:val="24"/>
        </w:rPr>
        <w:t xml:space="preserve">skokově korigovat </w:t>
      </w:r>
      <w:r w:rsidR="006E20D0">
        <w:rPr>
          <w:rStyle w:val="tlid-translation"/>
          <w:sz w:val="24"/>
          <w:szCs w:val="24"/>
        </w:rPr>
        <w:t xml:space="preserve">střednědobé </w:t>
      </w:r>
      <w:r w:rsidR="006E20D0" w:rsidRPr="009B17CD">
        <w:rPr>
          <w:rStyle w:val="tlid-translation"/>
          <w:sz w:val="24"/>
          <w:szCs w:val="24"/>
        </w:rPr>
        <w:t>ekonomické odhady (korekce růstu HDP, schodku rozpočtu a korekce výdajové stránky)</w:t>
      </w:r>
      <w:r w:rsidR="006E20D0">
        <w:rPr>
          <w:rStyle w:val="tlid-translation"/>
          <w:sz w:val="24"/>
          <w:szCs w:val="24"/>
        </w:rPr>
        <w:t xml:space="preserve"> (</w:t>
      </w:r>
      <w:proofErr w:type="spellStart"/>
      <w:r w:rsidR="006E20D0">
        <w:rPr>
          <w:rStyle w:val="tlid-translation"/>
          <w:sz w:val="24"/>
          <w:szCs w:val="24"/>
        </w:rPr>
        <w:t>World</w:t>
      </w:r>
      <w:proofErr w:type="spellEnd"/>
      <w:r w:rsidR="006E20D0">
        <w:rPr>
          <w:rStyle w:val="tlid-translation"/>
          <w:sz w:val="24"/>
          <w:szCs w:val="24"/>
        </w:rPr>
        <w:t xml:space="preserve"> Bank 2020</w:t>
      </w:r>
      <w:r w:rsidR="0039635A">
        <w:rPr>
          <w:rStyle w:val="tlid-translation"/>
          <w:sz w:val="24"/>
          <w:szCs w:val="24"/>
        </w:rPr>
        <w:t>a</w:t>
      </w:r>
      <w:r w:rsidR="006E20D0">
        <w:rPr>
          <w:rStyle w:val="tlid-translation"/>
          <w:sz w:val="24"/>
          <w:szCs w:val="24"/>
        </w:rPr>
        <w:t xml:space="preserve">). Nutností oslabovat veřejný sektor, případně přistupovat k privatizaci energetického sektoru, je dále </w:t>
      </w:r>
      <w:r w:rsidR="006E20D0" w:rsidRPr="009B17CD">
        <w:rPr>
          <w:rStyle w:val="tlid-translation"/>
          <w:sz w:val="24"/>
          <w:szCs w:val="24"/>
        </w:rPr>
        <w:t>prohlub</w:t>
      </w:r>
      <w:r w:rsidR="006E20D0">
        <w:rPr>
          <w:rStyle w:val="tlid-translation"/>
          <w:sz w:val="24"/>
          <w:szCs w:val="24"/>
        </w:rPr>
        <w:t>ována</w:t>
      </w:r>
      <w:r w:rsidR="006E20D0" w:rsidRPr="009B17CD">
        <w:rPr>
          <w:rStyle w:val="tlid-translation"/>
          <w:sz w:val="24"/>
          <w:szCs w:val="24"/>
        </w:rPr>
        <w:t xml:space="preserve"> mnohostranná ekonomická a sociální křehkost společnosti. Zatímco před krizí byly devizové rezervy </w:t>
      </w:r>
      <w:r w:rsidR="006E20D0">
        <w:rPr>
          <w:rStyle w:val="tlid-translation"/>
          <w:sz w:val="24"/>
          <w:szCs w:val="24"/>
        </w:rPr>
        <w:t xml:space="preserve">a státní rezervní fondy </w:t>
      </w:r>
      <w:r w:rsidR="006E20D0" w:rsidRPr="009B17CD">
        <w:rPr>
          <w:rStyle w:val="tlid-translation"/>
          <w:sz w:val="24"/>
          <w:szCs w:val="24"/>
        </w:rPr>
        <w:t xml:space="preserve">považovány spíše za vysoké, očekává se, že nebudou dostatečné k uspokojení mnohostranných požadavků, kterým nyní čelí země těžící ropu. Ekonomiky </w:t>
      </w:r>
      <w:r w:rsidR="006E20D0">
        <w:rPr>
          <w:rStyle w:val="tlid-translation"/>
          <w:sz w:val="24"/>
          <w:szCs w:val="24"/>
        </w:rPr>
        <w:t xml:space="preserve">některých </w:t>
      </w:r>
      <w:r w:rsidR="006E20D0" w:rsidRPr="009B17CD">
        <w:rPr>
          <w:rStyle w:val="tlid-translation"/>
          <w:sz w:val="24"/>
          <w:szCs w:val="24"/>
        </w:rPr>
        <w:t xml:space="preserve">producentů ropy se navíc plně nezotavily z předchozího cenového kolapsu </w:t>
      </w:r>
      <w:r w:rsidR="006E20D0">
        <w:rPr>
          <w:rStyle w:val="tlid-translation"/>
          <w:sz w:val="24"/>
          <w:szCs w:val="24"/>
        </w:rPr>
        <w:t>po</w:t>
      </w:r>
      <w:r w:rsidR="006E20D0" w:rsidRPr="009B17CD">
        <w:rPr>
          <w:rStyle w:val="tlid-translation"/>
          <w:sz w:val="24"/>
          <w:szCs w:val="24"/>
        </w:rPr>
        <w:t xml:space="preserve"> roce 2014</w:t>
      </w:r>
      <w:r w:rsidR="006E20D0">
        <w:rPr>
          <w:rStyle w:val="tlid-translation"/>
          <w:sz w:val="24"/>
          <w:szCs w:val="24"/>
        </w:rPr>
        <w:t xml:space="preserve"> (Alžírsko, Irák, Libye)</w:t>
      </w:r>
      <w:r w:rsidR="006E20D0" w:rsidRPr="009B17CD">
        <w:rPr>
          <w:rStyle w:val="tlid-translation"/>
          <w:sz w:val="24"/>
          <w:szCs w:val="24"/>
        </w:rPr>
        <w:t xml:space="preserve">. </w:t>
      </w:r>
      <w:r w:rsidR="006E20D0">
        <w:rPr>
          <w:rStyle w:val="tlid-translation"/>
          <w:sz w:val="24"/>
          <w:szCs w:val="24"/>
        </w:rPr>
        <w:t xml:space="preserve">Stabilita závisí rovněž </w:t>
      </w:r>
      <w:r w:rsidR="006E20D0" w:rsidRPr="00CB005A">
        <w:rPr>
          <w:rStyle w:val="tlid-translation"/>
          <w:sz w:val="24"/>
          <w:szCs w:val="24"/>
        </w:rPr>
        <w:t xml:space="preserve">na </w:t>
      </w:r>
      <w:r w:rsidR="006E20D0">
        <w:rPr>
          <w:rStyle w:val="tlid-translation"/>
          <w:sz w:val="24"/>
          <w:szCs w:val="24"/>
        </w:rPr>
        <w:t xml:space="preserve">jiných </w:t>
      </w:r>
      <w:r w:rsidR="006E20D0" w:rsidRPr="00CB005A">
        <w:rPr>
          <w:rStyle w:val="tlid-translation"/>
          <w:sz w:val="24"/>
          <w:szCs w:val="24"/>
        </w:rPr>
        <w:t>politických a strukturálních otázkách</w:t>
      </w:r>
      <w:r w:rsidR="006E20D0">
        <w:rPr>
          <w:rStyle w:val="tlid-translation"/>
          <w:sz w:val="24"/>
          <w:szCs w:val="24"/>
        </w:rPr>
        <w:t xml:space="preserve"> souvisejících s produkcí ropy</w:t>
      </w:r>
      <w:r w:rsidR="006E20D0" w:rsidRPr="00CB005A">
        <w:rPr>
          <w:rStyle w:val="tlid-translation"/>
          <w:sz w:val="24"/>
          <w:szCs w:val="24"/>
        </w:rPr>
        <w:t xml:space="preserve">: přítomnost zahraniční pracovní síly, kterou lze snadno poslat pryč (Saúdská Arábie); možnost využití jiných forem energie (Maroko) nebo </w:t>
      </w:r>
      <w:r w:rsidR="006E20D0">
        <w:rPr>
          <w:rStyle w:val="tlid-translation"/>
          <w:sz w:val="24"/>
          <w:szCs w:val="24"/>
        </w:rPr>
        <w:t xml:space="preserve">dopad přetrvávání </w:t>
      </w:r>
      <w:r w:rsidR="006E20D0" w:rsidRPr="00CB005A">
        <w:rPr>
          <w:rStyle w:val="tlid-translation"/>
          <w:sz w:val="24"/>
          <w:szCs w:val="24"/>
        </w:rPr>
        <w:t>starého sociálního státu na cen</w:t>
      </w:r>
      <w:r w:rsidR="006E20D0">
        <w:rPr>
          <w:rStyle w:val="tlid-translation"/>
          <w:sz w:val="24"/>
          <w:szCs w:val="24"/>
        </w:rPr>
        <w:t>ě</w:t>
      </w:r>
      <w:r w:rsidR="006E20D0" w:rsidRPr="00CB005A">
        <w:rPr>
          <w:rStyle w:val="tlid-translation"/>
          <w:sz w:val="24"/>
          <w:szCs w:val="24"/>
        </w:rPr>
        <w:t xml:space="preserve"> ropy (Alžírsko)</w:t>
      </w:r>
      <w:r w:rsidR="006E20D0">
        <w:rPr>
          <w:rStyle w:val="tlid-translation"/>
          <w:sz w:val="24"/>
          <w:szCs w:val="24"/>
        </w:rPr>
        <w:t xml:space="preserve"> (</w:t>
      </w:r>
      <w:proofErr w:type="spellStart"/>
      <w:r w:rsidR="006E20D0">
        <w:rPr>
          <w:rStyle w:val="tlid-translation"/>
          <w:sz w:val="24"/>
          <w:szCs w:val="24"/>
        </w:rPr>
        <w:t>Valori</w:t>
      </w:r>
      <w:proofErr w:type="spellEnd"/>
      <w:r w:rsidR="006E20D0">
        <w:rPr>
          <w:rStyle w:val="tlid-translation"/>
          <w:sz w:val="24"/>
          <w:szCs w:val="24"/>
        </w:rPr>
        <w:t xml:space="preserve"> 2020)</w:t>
      </w:r>
      <w:r w:rsidR="006E20D0" w:rsidRPr="00CB005A">
        <w:rPr>
          <w:rStyle w:val="tlid-translation"/>
          <w:sz w:val="24"/>
          <w:szCs w:val="24"/>
        </w:rPr>
        <w:t>.</w:t>
      </w:r>
    </w:p>
    <w:p w14:paraId="18EC5D04" w14:textId="0C8E5666" w:rsidR="006E20D0" w:rsidRDefault="006E20D0" w:rsidP="002B6B2F">
      <w:pPr>
        <w:spacing w:after="100" w:afterAutospacing="1" w:line="240" w:lineRule="auto"/>
        <w:ind w:firstLine="709"/>
        <w:jc w:val="both"/>
        <w:rPr>
          <w:sz w:val="24"/>
          <w:szCs w:val="24"/>
        </w:rPr>
      </w:pPr>
      <w:r w:rsidRPr="009B17CD">
        <w:rPr>
          <w:rStyle w:val="tlid-translation"/>
          <w:sz w:val="24"/>
          <w:szCs w:val="24"/>
        </w:rPr>
        <w:t xml:space="preserve">Jestliže v krátkodobé perspektivě jsou producenti ropy schopni reagovat s ohledem </w:t>
      </w:r>
      <w:r>
        <w:rPr>
          <w:rStyle w:val="tlid-translation"/>
          <w:sz w:val="24"/>
          <w:szCs w:val="24"/>
        </w:rPr>
        <w:t xml:space="preserve">na hrazení výpadku </w:t>
      </w:r>
      <w:r w:rsidRPr="009B17CD">
        <w:rPr>
          <w:rStyle w:val="tlid-translation"/>
          <w:sz w:val="24"/>
          <w:szCs w:val="24"/>
        </w:rPr>
        <w:t>příjmů, problémem se stává</w:t>
      </w:r>
      <w:r>
        <w:rPr>
          <w:rStyle w:val="tlid-translation"/>
          <w:sz w:val="24"/>
          <w:szCs w:val="24"/>
        </w:rPr>
        <w:t xml:space="preserve"> delší období</w:t>
      </w:r>
      <w:r w:rsidRPr="009B17CD">
        <w:rPr>
          <w:rStyle w:val="tlid-translation"/>
          <w:sz w:val="24"/>
          <w:szCs w:val="24"/>
        </w:rPr>
        <w:t xml:space="preserve">, </w:t>
      </w:r>
      <w:r>
        <w:rPr>
          <w:rStyle w:val="tlid-translation"/>
          <w:sz w:val="24"/>
          <w:szCs w:val="24"/>
        </w:rPr>
        <w:t xml:space="preserve">zejména </w:t>
      </w:r>
      <w:r w:rsidRPr="009B17CD">
        <w:rPr>
          <w:rStyle w:val="tlid-translation"/>
          <w:sz w:val="24"/>
          <w:szCs w:val="24"/>
        </w:rPr>
        <w:t>pokud se země ocitnou ve spirále zadlužení a půjčky se stanou neudržitelné.</w:t>
      </w:r>
      <w:r w:rsidRPr="000A19B8">
        <w:rPr>
          <w:sz w:val="24"/>
          <w:szCs w:val="24"/>
        </w:rPr>
        <w:t xml:space="preserve"> </w:t>
      </w:r>
      <w:r>
        <w:rPr>
          <w:sz w:val="24"/>
          <w:szCs w:val="24"/>
        </w:rPr>
        <w:t xml:space="preserve">Státní sektor </w:t>
      </w:r>
      <w:r w:rsidR="00551294">
        <w:rPr>
          <w:sz w:val="24"/>
          <w:szCs w:val="24"/>
        </w:rPr>
        <w:t xml:space="preserve">poté </w:t>
      </w:r>
      <w:r>
        <w:rPr>
          <w:sz w:val="24"/>
          <w:szCs w:val="24"/>
        </w:rPr>
        <w:t xml:space="preserve">bude redukován a bude docházet k další sociální destabilizaci. </w:t>
      </w:r>
      <w:r w:rsidRPr="009B17CD">
        <w:rPr>
          <w:sz w:val="24"/>
          <w:szCs w:val="24"/>
        </w:rPr>
        <w:t xml:space="preserve">Pokud </w:t>
      </w:r>
      <w:r>
        <w:rPr>
          <w:sz w:val="24"/>
          <w:szCs w:val="24"/>
        </w:rPr>
        <w:t>budou</w:t>
      </w:r>
      <w:r w:rsidRPr="009B17CD">
        <w:rPr>
          <w:sz w:val="24"/>
          <w:szCs w:val="24"/>
        </w:rPr>
        <w:t xml:space="preserve"> s touto situací konfrontovány státy potýkající se s dlouhodobou </w:t>
      </w:r>
      <w:r>
        <w:rPr>
          <w:sz w:val="24"/>
          <w:szCs w:val="24"/>
        </w:rPr>
        <w:t xml:space="preserve">politickou a bezpečnostní </w:t>
      </w:r>
      <w:r w:rsidRPr="009B17CD">
        <w:rPr>
          <w:sz w:val="24"/>
          <w:szCs w:val="24"/>
        </w:rPr>
        <w:t xml:space="preserve">nestabilitou nebo </w:t>
      </w:r>
      <w:r w:rsidR="00551294">
        <w:rPr>
          <w:sz w:val="24"/>
          <w:szCs w:val="24"/>
        </w:rPr>
        <w:t xml:space="preserve">pokud </w:t>
      </w:r>
      <w:r w:rsidRPr="009B17CD">
        <w:rPr>
          <w:sz w:val="24"/>
          <w:szCs w:val="24"/>
        </w:rPr>
        <w:t xml:space="preserve">na jejich území probíhají </w:t>
      </w:r>
      <w:r w:rsidR="00551294">
        <w:rPr>
          <w:sz w:val="24"/>
          <w:szCs w:val="24"/>
        </w:rPr>
        <w:t xml:space="preserve">násilné </w:t>
      </w:r>
      <w:r w:rsidRPr="009B17CD">
        <w:rPr>
          <w:sz w:val="24"/>
          <w:szCs w:val="24"/>
        </w:rPr>
        <w:t xml:space="preserve">konflikty (Alžírsko, Irák, Libye a Sýrie), nezvládnutí ekonomického zotavení </w:t>
      </w:r>
      <w:r w:rsidRPr="009B17CD">
        <w:rPr>
          <w:sz w:val="24"/>
          <w:szCs w:val="24"/>
        </w:rPr>
        <w:lastRenderedPageBreak/>
        <w:t xml:space="preserve">může vyvolat </w:t>
      </w:r>
      <w:r>
        <w:rPr>
          <w:sz w:val="24"/>
          <w:szCs w:val="24"/>
        </w:rPr>
        <w:t xml:space="preserve">nebo spíše prohloubit </w:t>
      </w:r>
      <w:r w:rsidRPr="009B17CD">
        <w:rPr>
          <w:sz w:val="24"/>
          <w:szCs w:val="24"/>
        </w:rPr>
        <w:t>další napětí ve společnosti</w:t>
      </w:r>
      <w:r>
        <w:rPr>
          <w:sz w:val="24"/>
          <w:szCs w:val="24"/>
        </w:rPr>
        <w:t xml:space="preserve"> a </w:t>
      </w:r>
      <w:r w:rsidR="00551294">
        <w:rPr>
          <w:sz w:val="24"/>
          <w:szCs w:val="24"/>
        </w:rPr>
        <w:t xml:space="preserve">eskalovat </w:t>
      </w:r>
      <w:r>
        <w:rPr>
          <w:sz w:val="24"/>
          <w:szCs w:val="24"/>
        </w:rPr>
        <w:t>nepokoje</w:t>
      </w:r>
      <w:r w:rsidRPr="009B17CD">
        <w:rPr>
          <w:sz w:val="24"/>
          <w:szCs w:val="24"/>
        </w:rPr>
        <w:t>.</w:t>
      </w:r>
      <w:r>
        <w:rPr>
          <w:sz w:val="24"/>
          <w:szCs w:val="24"/>
        </w:rPr>
        <w:t xml:space="preserve"> Rok 2020 naznačuje, že efekt ovšem není okamžitý. Očekávané pokračování další vlny „arabského jara“ z roku 2019 (zasáhla zejména Alžírsko, </w:t>
      </w:r>
      <w:r w:rsidR="0006243E" w:rsidRPr="00C63D23">
        <w:rPr>
          <w:sz w:val="24"/>
          <w:szCs w:val="24"/>
        </w:rPr>
        <w:t>Liby</w:t>
      </w:r>
      <w:r w:rsidR="0006243E">
        <w:rPr>
          <w:sz w:val="24"/>
          <w:szCs w:val="24"/>
        </w:rPr>
        <w:t>i</w:t>
      </w:r>
      <w:r w:rsidRPr="00C63D23">
        <w:rPr>
          <w:sz w:val="24"/>
          <w:szCs w:val="24"/>
        </w:rPr>
        <w:t xml:space="preserve">, </w:t>
      </w:r>
      <w:r>
        <w:rPr>
          <w:sz w:val="24"/>
          <w:szCs w:val="24"/>
        </w:rPr>
        <w:t xml:space="preserve">Irák, Irán) se v souvislosti s dopady cenového šoku se v těchto státech nedostavilo. </w:t>
      </w:r>
    </w:p>
    <w:p w14:paraId="3EB918DA" w14:textId="4B9534D6" w:rsidR="006E20D0" w:rsidRDefault="006E20D0" w:rsidP="002B6B2F">
      <w:pPr>
        <w:spacing w:after="100" w:afterAutospacing="1" w:line="240" w:lineRule="auto"/>
        <w:ind w:firstLine="709"/>
        <w:jc w:val="both"/>
        <w:rPr>
          <w:sz w:val="24"/>
          <w:szCs w:val="24"/>
        </w:rPr>
      </w:pPr>
      <w:r>
        <w:rPr>
          <w:sz w:val="24"/>
          <w:szCs w:val="24"/>
        </w:rPr>
        <w:t>Destabilizace politické, sociální i bezpečnostní oblasti v producentských státech souvisí s </w:t>
      </w:r>
      <w:r w:rsidR="00B04D32">
        <w:rPr>
          <w:sz w:val="24"/>
          <w:szCs w:val="24"/>
        </w:rPr>
        <w:t xml:space="preserve">mnoha </w:t>
      </w:r>
      <w:r>
        <w:rPr>
          <w:sz w:val="24"/>
          <w:szCs w:val="24"/>
        </w:rPr>
        <w:t>faktory</w:t>
      </w:r>
      <w:r w:rsidR="002B6B2F">
        <w:rPr>
          <w:sz w:val="24"/>
          <w:szCs w:val="24"/>
        </w:rPr>
        <w:t>;</w:t>
      </w:r>
      <w:r>
        <w:rPr>
          <w:sz w:val="24"/>
          <w:szCs w:val="24"/>
        </w:rPr>
        <w:t xml:space="preserve"> cenový šok není jediným, který má zprostředkovaně dopad na sociální situaci obyvatelstva. Může mít spíše kumulativní efekt, který se ovšem ve zhoršení politické a bezpečnostní situace projeví ve střednědobé perspektivě. Krátkodobě lze jako více imanentní faktory vidět nespokojenost s korupcí, povahou politického režimu a </w:t>
      </w:r>
      <w:r w:rsidR="009A02BA">
        <w:rPr>
          <w:sz w:val="24"/>
          <w:szCs w:val="24"/>
        </w:rPr>
        <w:t xml:space="preserve">s </w:t>
      </w:r>
      <w:r>
        <w:rPr>
          <w:sz w:val="24"/>
          <w:szCs w:val="24"/>
        </w:rPr>
        <w:t>rozdělením moci ve státě. Omezení v rámci boje s pandemií COVID</w:t>
      </w:r>
      <w:r w:rsidR="005821FC">
        <w:rPr>
          <w:sz w:val="24"/>
          <w:szCs w:val="24"/>
        </w:rPr>
        <w:t>-</w:t>
      </w:r>
      <w:r>
        <w:rPr>
          <w:sz w:val="24"/>
          <w:szCs w:val="24"/>
        </w:rPr>
        <w:t xml:space="preserve">19 mohou přechodně projevy rostoucího napětí a destabilizace tlumit. Bezpochyby však nezvládnutí sociální situace, zejména v případě neschopnosti udržet výdaje a nenavyšovat nezaměstnanost může být katalyzátorem nestabilit a ropný šok se může se zpožděním ukázat jako </w:t>
      </w:r>
      <w:r w:rsidRPr="000B5E98">
        <w:rPr>
          <w:sz w:val="24"/>
          <w:szCs w:val="24"/>
        </w:rPr>
        <w:t xml:space="preserve">bod zlomu fiskální krize a </w:t>
      </w:r>
      <w:r>
        <w:rPr>
          <w:sz w:val="24"/>
          <w:szCs w:val="24"/>
        </w:rPr>
        <w:t xml:space="preserve">následně </w:t>
      </w:r>
      <w:r w:rsidRPr="000B5E98">
        <w:rPr>
          <w:sz w:val="24"/>
          <w:szCs w:val="24"/>
        </w:rPr>
        <w:t>sociálních a politických nepokojů (OECD</w:t>
      </w:r>
      <w:r w:rsidR="00B832B2">
        <w:rPr>
          <w:sz w:val="24"/>
          <w:szCs w:val="24"/>
        </w:rPr>
        <w:t xml:space="preserve"> </w:t>
      </w:r>
      <w:r w:rsidRPr="000B5E98">
        <w:rPr>
          <w:sz w:val="24"/>
          <w:szCs w:val="24"/>
        </w:rPr>
        <w:t>2020</w:t>
      </w:r>
      <w:r w:rsidR="005342BB">
        <w:rPr>
          <w:sz w:val="24"/>
          <w:szCs w:val="24"/>
        </w:rPr>
        <w:t>c</w:t>
      </w:r>
      <w:r w:rsidRPr="000B5E98">
        <w:rPr>
          <w:sz w:val="24"/>
          <w:szCs w:val="24"/>
        </w:rPr>
        <w:t>).</w:t>
      </w:r>
    </w:p>
    <w:p w14:paraId="43B33749" w14:textId="3618CEE8" w:rsidR="00D37FF8" w:rsidRPr="006128E2" w:rsidRDefault="00D37FF8" w:rsidP="002B6B2F">
      <w:pPr>
        <w:spacing w:after="100" w:afterAutospacing="1" w:line="240" w:lineRule="auto"/>
        <w:ind w:firstLine="709"/>
        <w:jc w:val="both"/>
        <w:rPr>
          <w:sz w:val="24"/>
          <w:szCs w:val="24"/>
        </w:rPr>
      </w:pPr>
      <w:r>
        <w:rPr>
          <w:sz w:val="24"/>
          <w:szCs w:val="24"/>
        </w:rPr>
        <w:t xml:space="preserve">Vybrané země </w:t>
      </w:r>
      <w:r w:rsidRPr="00283CAC">
        <w:rPr>
          <w:sz w:val="24"/>
          <w:szCs w:val="24"/>
        </w:rPr>
        <w:t xml:space="preserve">mohou selhat, nebudou vypláceny platy ve veřejném sektoru a </w:t>
      </w:r>
      <w:r w:rsidRPr="00D5395A">
        <w:rPr>
          <w:sz w:val="24"/>
          <w:szCs w:val="24"/>
        </w:rPr>
        <w:t xml:space="preserve">sociální služby budou do značné míry omezeny. To může být </w:t>
      </w:r>
      <w:r>
        <w:rPr>
          <w:sz w:val="24"/>
          <w:szCs w:val="24"/>
        </w:rPr>
        <w:t xml:space="preserve">rozbuškou </w:t>
      </w:r>
      <w:r w:rsidRPr="00D5395A">
        <w:rPr>
          <w:sz w:val="24"/>
          <w:szCs w:val="24"/>
        </w:rPr>
        <w:t>velk</w:t>
      </w:r>
      <w:r>
        <w:rPr>
          <w:sz w:val="24"/>
          <w:szCs w:val="24"/>
        </w:rPr>
        <w:t>é</w:t>
      </w:r>
      <w:r w:rsidRPr="00D5395A">
        <w:rPr>
          <w:sz w:val="24"/>
          <w:szCs w:val="24"/>
        </w:rPr>
        <w:t xml:space="preserve"> politick</w:t>
      </w:r>
      <w:r>
        <w:rPr>
          <w:sz w:val="24"/>
          <w:szCs w:val="24"/>
        </w:rPr>
        <w:t>é</w:t>
      </w:r>
      <w:r w:rsidRPr="00D5395A">
        <w:rPr>
          <w:sz w:val="24"/>
          <w:szCs w:val="24"/>
        </w:rPr>
        <w:t xml:space="preserve"> nestabilit</w:t>
      </w:r>
      <w:r>
        <w:rPr>
          <w:sz w:val="24"/>
          <w:szCs w:val="24"/>
        </w:rPr>
        <w:t>y,</w:t>
      </w:r>
      <w:r w:rsidRPr="00D5395A">
        <w:rPr>
          <w:sz w:val="24"/>
          <w:szCs w:val="24"/>
        </w:rPr>
        <w:t xml:space="preserve"> </w:t>
      </w:r>
      <w:r>
        <w:rPr>
          <w:sz w:val="24"/>
          <w:szCs w:val="24"/>
        </w:rPr>
        <w:t xml:space="preserve">nebo dokonce </w:t>
      </w:r>
      <w:r w:rsidRPr="00D5395A">
        <w:rPr>
          <w:sz w:val="24"/>
          <w:szCs w:val="24"/>
        </w:rPr>
        <w:t xml:space="preserve">vojenské krize (Alžírsko, Irák, Irán, </w:t>
      </w:r>
      <w:r w:rsidRPr="006128E2">
        <w:rPr>
          <w:sz w:val="24"/>
          <w:szCs w:val="24"/>
        </w:rPr>
        <w:t xml:space="preserve">Omán). Potenciálně by to umožnilo rozšíření „terorismu“ (a „džihádu“), který může využít ohnisek nových </w:t>
      </w:r>
      <w:r w:rsidR="00C26991" w:rsidRPr="006128E2">
        <w:rPr>
          <w:sz w:val="24"/>
          <w:szCs w:val="24"/>
        </w:rPr>
        <w:t>konfliktů</w:t>
      </w:r>
      <w:r w:rsidRPr="006128E2">
        <w:rPr>
          <w:sz w:val="24"/>
          <w:szCs w:val="24"/>
        </w:rPr>
        <w:t>. Může se pokusit ovládnout zhroucené státy nebo oblasti opuštěné legitimními vládami. Mohlo by to rovněž podpořit nekontrolovaný rozmach mezinárodní kriminality, která může ze zhroucených států udělat základny pro útok na stále relativně zdravé ekonomiky (</w:t>
      </w:r>
      <w:r w:rsidR="00F52C1C" w:rsidRPr="006128E2">
        <w:rPr>
          <w:sz w:val="24"/>
          <w:szCs w:val="24"/>
        </w:rPr>
        <w:t>a to i</w:t>
      </w:r>
      <w:r w:rsidRPr="006128E2">
        <w:rPr>
          <w:sz w:val="24"/>
          <w:szCs w:val="24"/>
        </w:rPr>
        <w:t xml:space="preserve"> </w:t>
      </w:r>
      <w:r w:rsidR="00F52C1C" w:rsidRPr="006128E2">
        <w:rPr>
          <w:sz w:val="24"/>
          <w:szCs w:val="24"/>
        </w:rPr>
        <w:t xml:space="preserve">evropských </w:t>
      </w:r>
      <w:r w:rsidRPr="006128E2">
        <w:rPr>
          <w:sz w:val="24"/>
          <w:szCs w:val="24"/>
        </w:rPr>
        <w:t xml:space="preserve">zemí). </w:t>
      </w:r>
    </w:p>
    <w:p w14:paraId="4E4AB69D" w14:textId="0941D0DA" w:rsidR="00D37FF8" w:rsidRPr="00D5395A" w:rsidRDefault="00D37FF8" w:rsidP="002B6B2F">
      <w:pPr>
        <w:spacing w:after="100" w:afterAutospacing="1" w:line="240" w:lineRule="auto"/>
        <w:ind w:firstLine="709"/>
        <w:jc w:val="both"/>
        <w:rPr>
          <w:sz w:val="24"/>
          <w:szCs w:val="24"/>
        </w:rPr>
      </w:pPr>
      <w:r w:rsidRPr="006128E2">
        <w:rPr>
          <w:sz w:val="24"/>
          <w:szCs w:val="24"/>
        </w:rPr>
        <w:t>Dopadů ropné krize na Irák (jehož HDP podle MMF letos poklesne o 12,1 % a který čelí krizové finanční situaci nejen díky nízkým cenám ropy</w:t>
      </w:r>
      <w:r w:rsidR="00FD1491" w:rsidRPr="006128E2">
        <w:rPr>
          <w:sz w:val="24"/>
          <w:szCs w:val="24"/>
        </w:rPr>
        <w:t>,</w:t>
      </w:r>
      <w:r w:rsidR="008520BA" w:rsidRPr="006128E2">
        <w:rPr>
          <w:sz w:val="24"/>
          <w:szCs w:val="24"/>
        </w:rPr>
        <w:t xml:space="preserve"> </w:t>
      </w:r>
      <w:r w:rsidRPr="006128E2">
        <w:rPr>
          <w:sz w:val="24"/>
          <w:szCs w:val="24"/>
        </w:rPr>
        <w:t>ale rovněž produkčním kvótám) již aktivně využívá Kurdská regionální vláda k prosazování své agendy a provádění finančního tlaku na iráckou vládu. Kurdistán zejména nechce sn</w:t>
      </w:r>
      <w:r w:rsidR="00F52C1C" w:rsidRPr="006128E2">
        <w:rPr>
          <w:sz w:val="24"/>
          <w:szCs w:val="24"/>
        </w:rPr>
        <w:t>i</w:t>
      </w:r>
      <w:r w:rsidRPr="006128E2">
        <w:rPr>
          <w:sz w:val="24"/>
          <w:szCs w:val="24"/>
        </w:rPr>
        <w:t>ž</w:t>
      </w:r>
      <w:r w:rsidR="00F52C1C" w:rsidRPr="006128E2">
        <w:rPr>
          <w:sz w:val="24"/>
          <w:szCs w:val="24"/>
        </w:rPr>
        <w:t>ovat</w:t>
      </w:r>
      <w:r w:rsidRPr="006128E2">
        <w:rPr>
          <w:sz w:val="24"/>
          <w:szCs w:val="24"/>
        </w:rPr>
        <w:t xml:space="preserve"> produkci ropy, kterou má pod svou kontrolou. Spor má rovněž mezinárodní rozměr, neboť v roce 2017 ruský koncern </w:t>
      </w:r>
      <w:proofErr w:type="spellStart"/>
      <w:r w:rsidRPr="006128E2">
        <w:rPr>
          <w:sz w:val="24"/>
          <w:szCs w:val="24"/>
        </w:rPr>
        <w:t>Rosněfť</w:t>
      </w:r>
      <w:proofErr w:type="spellEnd"/>
      <w:r w:rsidRPr="006128E2">
        <w:rPr>
          <w:sz w:val="24"/>
          <w:szCs w:val="24"/>
        </w:rPr>
        <w:t xml:space="preserve"> s Kurdskou regionální vládou uzavřel dohodu o spolupráci v oblasti dodavatelského řetězce, infrastruktury, logistiky a obchodování s ropou. Rusko </w:t>
      </w:r>
      <w:r w:rsidR="00F52C1C" w:rsidRPr="006128E2">
        <w:rPr>
          <w:sz w:val="24"/>
          <w:szCs w:val="24"/>
        </w:rPr>
        <w:t xml:space="preserve">zřejmě chce </w:t>
      </w:r>
      <w:r w:rsidRPr="006128E2">
        <w:rPr>
          <w:sz w:val="24"/>
          <w:szCs w:val="24"/>
        </w:rPr>
        <w:t>využít situaci ke zprostředkování dohody umožňující řešení finančních toků mezi Kurdskou regionální vládou a iráckou vládou a posílit vliv v samotném Iráku (</w:t>
      </w:r>
      <w:r w:rsidR="00F52C1C" w:rsidRPr="006128E2">
        <w:rPr>
          <w:sz w:val="24"/>
          <w:szCs w:val="24"/>
        </w:rPr>
        <w:t xml:space="preserve">viz. </w:t>
      </w:r>
      <w:r w:rsidRPr="006128E2">
        <w:rPr>
          <w:sz w:val="24"/>
          <w:szCs w:val="24"/>
        </w:rPr>
        <w:t xml:space="preserve">dohody o průzkumu a rozvoji ropných a plynárenských polí, dohoda o vývoji iráckého bloku 17 ruským </w:t>
      </w:r>
      <w:proofErr w:type="spellStart"/>
      <w:r w:rsidRPr="006128E2">
        <w:rPr>
          <w:sz w:val="24"/>
          <w:szCs w:val="24"/>
        </w:rPr>
        <w:t>Stroytransgazem</w:t>
      </w:r>
      <w:proofErr w:type="spellEnd"/>
      <w:r w:rsidRPr="006128E2">
        <w:rPr>
          <w:sz w:val="24"/>
          <w:szCs w:val="24"/>
        </w:rPr>
        <w:t>, obecně získání kontroly nad energetickým a dopravním koridorem z Íránu přes Irák a do Sýrie). (</w:t>
      </w:r>
      <w:proofErr w:type="spellStart"/>
      <w:r w:rsidRPr="006128E2">
        <w:rPr>
          <w:sz w:val="24"/>
          <w:szCs w:val="24"/>
        </w:rPr>
        <w:t>Watkins</w:t>
      </w:r>
      <w:proofErr w:type="spellEnd"/>
      <w:r w:rsidRPr="006128E2">
        <w:rPr>
          <w:sz w:val="24"/>
          <w:szCs w:val="24"/>
        </w:rPr>
        <w:t xml:space="preserve"> 2020).  </w:t>
      </w:r>
      <w:r w:rsidR="008F35AF" w:rsidRPr="006128E2">
        <w:rPr>
          <w:sz w:val="24"/>
          <w:szCs w:val="24"/>
        </w:rPr>
        <w:t xml:space="preserve">Je rovněž nutné reflektovat potenciál </w:t>
      </w:r>
      <w:r w:rsidRPr="006128E2">
        <w:rPr>
          <w:sz w:val="24"/>
          <w:szCs w:val="24"/>
        </w:rPr>
        <w:t>zvýšení regionálního napětí, které by se mohlo stát racionální možností pro některé producentské země (eskalace napětí mezi Íránem a Saúdskou Arábií) (</w:t>
      </w:r>
      <w:proofErr w:type="spellStart"/>
      <w:r w:rsidRPr="006128E2">
        <w:rPr>
          <w:sz w:val="24"/>
          <w:szCs w:val="24"/>
        </w:rPr>
        <w:t>Valori</w:t>
      </w:r>
      <w:proofErr w:type="spellEnd"/>
      <w:r w:rsidRPr="006128E2">
        <w:rPr>
          <w:sz w:val="24"/>
          <w:szCs w:val="24"/>
        </w:rPr>
        <w:t xml:space="preserve"> 2020).</w:t>
      </w:r>
    </w:p>
    <w:p w14:paraId="09A39C7B" w14:textId="3B306DCC" w:rsidR="006E20D0" w:rsidRPr="009B17CD" w:rsidRDefault="006E20D0" w:rsidP="002B6B2F">
      <w:pPr>
        <w:spacing w:after="100" w:afterAutospacing="1" w:line="240" w:lineRule="auto"/>
        <w:ind w:firstLine="709"/>
        <w:jc w:val="both"/>
        <w:rPr>
          <w:rStyle w:val="tlid-translation"/>
          <w:sz w:val="24"/>
          <w:szCs w:val="24"/>
        </w:rPr>
      </w:pPr>
      <w:r>
        <w:rPr>
          <w:rStyle w:val="tlid-translation"/>
          <w:sz w:val="24"/>
          <w:szCs w:val="24"/>
        </w:rPr>
        <w:t>Velmi specifickým dopadem cenového šoku, a tím snížených příjmů státních rozpočtů, bezprostředně souvisejícím se sektorem bezpečnosti státu</w:t>
      </w:r>
      <w:r w:rsidR="00343738">
        <w:rPr>
          <w:rStyle w:val="tlid-translation"/>
          <w:sz w:val="24"/>
          <w:szCs w:val="24"/>
        </w:rPr>
        <w:t>,</w:t>
      </w:r>
      <w:r>
        <w:rPr>
          <w:rStyle w:val="tlid-translation"/>
          <w:sz w:val="24"/>
          <w:szCs w:val="24"/>
        </w:rPr>
        <w:t xml:space="preserve"> je omezení výdajů na bezpečnostní složky (vnitřní </w:t>
      </w:r>
      <w:r w:rsidR="00343FC7">
        <w:rPr>
          <w:rStyle w:val="tlid-translation"/>
          <w:sz w:val="24"/>
          <w:szCs w:val="24"/>
        </w:rPr>
        <w:t xml:space="preserve">bezpečnost </w:t>
      </w:r>
      <w:r>
        <w:rPr>
          <w:rStyle w:val="tlid-translation"/>
          <w:sz w:val="24"/>
          <w:szCs w:val="24"/>
        </w:rPr>
        <w:t xml:space="preserve">i </w:t>
      </w:r>
      <w:r w:rsidR="00343FC7">
        <w:rPr>
          <w:rStyle w:val="tlid-translation"/>
          <w:sz w:val="24"/>
          <w:szCs w:val="24"/>
        </w:rPr>
        <w:t>ozbrojené síly</w:t>
      </w:r>
      <w:r>
        <w:rPr>
          <w:rStyle w:val="tlid-translation"/>
          <w:sz w:val="24"/>
          <w:szCs w:val="24"/>
        </w:rPr>
        <w:t>)</w:t>
      </w:r>
      <w:r w:rsidR="00FD1491">
        <w:rPr>
          <w:rStyle w:val="tlid-translation"/>
          <w:sz w:val="24"/>
          <w:szCs w:val="24"/>
        </w:rPr>
        <w:t>,</w:t>
      </w:r>
      <w:r>
        <w:rPr>
          <w:rStyle w:val="tlid-translation"/>
          <w:sz w:val="24"/>
          <w:szCs w:val="24"/>
        </w:rPr>
        <w:t xml:space="preserve"> a zejména omezení vojenských akvizičních programů. Sledované ekonomiky patří k významným dovozcům zbraňových systémů (s výjimkou Ruska, které je naopak exportérem)</w:t>
      </w:r>
      <w:r w:rsidR="005821FC">
        <w:rPr>
          <w:rStyle w:val="tlid-translation"/>
          <w:sz w:val="24"/>
          <w:szCs w:val="24"/>
        </w:rPr>
        <w:t xml:space="preserve">. </w:t>
      </w:r>
      <w:r>
        <w:rPr>
          <w:rStyle w:val="tlid-translation"/>
          <w:sz w:val="24"/>
          <w:szCs w:val="24"/>
        </w:rPr>
        <w:t xml:space="preserve"> </w:t>
      </w:r>
      <w:r w:rsidR="005821FC">
        <w:rPr>
          <w:rStyle w:val="tlid-translation"/>
          <w:sz w:val="24"/>
          <w:szCs w:val="24"/>
        </w:rPr>
        <w:t>P</w:t>
      </w:r>
      <w:r>
        <w:rPr>
          <w:rStyle w:val="tlid-translation"/>
          <w:sz w:val="24"/>
          <w:szCs w:val="24"/>
        </w:rPr>
        <w:t>odíl výdajů na obranu vůči HDP</w:t>
      </w:r>
      <w:r w:rsidR="00FD1491">
        <w:rPr>
          <w:rStyle w:val="tlid-translation"/>
          <w:sz w:val="24"/>
          <w:szCs w:val="24"/>
        </w:rPr>
        <w:t>,</w:t>
      </w:r>
      <w:r>
        <w:rPr>
          <w:rStyle w:val="tlid-translation"/>
          <w:sz w:val="24"/>
          <w:szCs w:val="24"/>
        </w:rPr>
        <w:t xml:space="preserve"> a zejména celkový objem výdajů na obranu je značný (s ohledem na velikost jejich ekonomik) </w:t>
      </w:r>
      <w:r w:rsidR="005821FC">
        <w:rPr>
          <w:rStyle w:val="tlid-translation"/>
          <w:sz w:val="24"/>
          <w:szCs w:val="24"/>
        </w:rPr>
        <w:t>–</w:t>
      </w:r>
      <w:r>
        <w:rPr>
          <w:rStyle w:val="tlid-translation"/>
          <w:sz w:val="24"/>
          <w:szCs w:val="24"/>
        </w:rPr>
        <w:t xml:space="preserve"> Saudská Arábie má v současnosti páté největší výdaje na obranu (SIPRI 2020). Pokles příjmů z ropy </w:t>
      </w:r>
      <w:r>
        <w:rPr>
          <w:rStyle w:val="tlid-translation"/>
          <w:sz w:val="24"/>
          <w:szCs w:val="24"/>
        </w:rPr>
        <w:lastRenderedPageBreak/>
        <w:t>přitom nutí státy přehodnocovat programy nákupů, nakupovat méně a zároveň levněji (což je vede k orientaci na nové partnery).</w:t>
      </w:r>
    </w:p>
    <w:p w14:paraId="5482C764" w14:textId="725B32B6" w:rsidR="006E20D0" w:rsidRDefault="002B6B2F" w:rsidP="002B6B2F">
      <w:pPr>
        <w:spacing w:after="100" w:afterAutospacing="1" w:line="240" w:lineRule="auto"/>
        <w:jc w:val="both"/>
        <w:rPr>
          <w:i/>
          <w:sz w:val="24"/>
          <w:szCs w:val="24"/>
        </w:rPr>
      </w:pPr>
      <w:r>
        <w:rPr>
          <w:i/>
          <w:sz w:val="24"/>
          <w:szCs w:val="24"/>
        </w:rPr>
        <w:t>M</w:t>
      </w:r>
      <w:r w:rsidR="006E20D0" w:rsidRPr="008C6D8B">
        <w:rPr>
          <w:i/>
          <w:sz w:val="24"/>
          <w:szCs w:val="24"/>
        </w:rPr>
        <w:t>ožné</w:t>
      </w:r>
      <w:r>
        <w:rPr>
          <w:i/>
          <w:sz w:val="24"/>
          <w:szCs w:val="24"/>
        </w:rPr>
        <w:t xml:space="preserve"> nepřímé</w:t>
      </w:r>
      <w:r w:rsidR="006E20D0" w:rsidRPr="008C6D8B">
        <w:rPr>
          <w:i/>
          <w:sz w:val="24"/>
          <w:szCs w:val="24"/>
        </w:rPr>
        <w:t xml:space="preserve"> </w:t>
      </w:r>
      <w:r w:rsidR="005821FC">
        <w:rPr>
          <w:i/>
          <w:sz w:val="24"/>
          <w:szCs w:val="24"/>
        </w:rPr>
        <w:t>dopady na</w:t>
      </w:r>
      <w:r w:rsidR="006E20D0" w:rsidRPr="008C6D8B">
        <w:rPr>
          <w:i/>
          <w:sz w:val="24"/>
          <w:szCs w:val="24"/>
        </w:rPr>
        <w:t xml:space="preserve"> bilaterální vazby producentských zemí v klíčových regionech s odběratelskými zeměmi</w:t>
      </w:r>
    </w:p>
    <w:p w14:paraId="38283BB1" w14:textId="5A899AD0" w:rsidR="007B572A" w:rsidRPr="00CF5874" w:rsidRDefault="007B572A" w:rsidP="002B6B2F">
      <w:pPr>
        <w:autoSpaceDE w:val="0"/>
        <w:autoSpaceDN w:val="0"/>
        <w:adjustRightInd w:val="0"/>
        <w:spacing w:after="100" w:afterAutospacing="1" w:line="240" w:lineRule="auto"/>
        <w:jc w:val="both"/>
        <w:rPr>
          <w:color w:val="000000" w:themeColor="text1"/>
          <w:sz w:val="24"/>
          <w:szCs w:val="24"/>
          <w:shd w:val="clear" w:color="auto" w:fill="FFFFFF"/>
        </w:rPr>
      </w:pPr>
      <w:r w:rsidRPr="00CF5874">
        <w:rPr>
          <w:color w:val="000000" w:themeColor="text1"/>
          <w:sz w:val="24"/>
          <w:szCs w:val="24"/>
          <w:shd w:val="clear" w:color="auto" w:fill="FFFFFF"/>
        </w:rPr>
        <w:t>Země MENA čelily v první polovině roku 2020</w:t>
      </w:r>
      <w:r>
        <w:rPr>
          <w:color w:val="000000" w:themeColor="text1"/>
          <w:sz w:val="24"/>
          <w:szCs w:val="24"/>
          <w:shd w:val="clear" w:color="auto" w:fill="FFFFFF"/>
        </w:rPr>
        <w:t xml:space="preserve"> </w:t>
      </w:r>
      <w:r w:rsidRPr="00CF5874">
        <w:rPr>
          <w:color w:val="000000" w:themeColor="text1"/>
          <w:sz w:val="24"/>
          <w:szCs w:val="24"/>
          <w:shd w:val="clear" w:color="auto" w:fill="FFFFFF"/>
        </w:rPr>
        <w:t>d</w:t>
      </w:r>
      <w:r>
        <w:rPr>
          <w:color w:val="000000" w:themeColor="text1"/>
          <w:sz w:val="24"/>
          <w:szCs w:val="24"/>
          <w:shd w:val="clear" w:color="auto" w:fill="FFFFFF"/>
        </w:rPr>
        <w:t>vojí</w:t>
      </w:r>
      <w:r w:rsidRPr="00CF5874">
        <w:rPr>
          <w:color w:val="000000" w:themeColor="text1"/>
          <w:sz w:val="24"/>
          <w:szCs w:val="24"/>
          <w:shd w:val="clear" w:color="auto" w:fill="FFFFFF"/>
        </w:rPr>
        <w:t>mu šoku v podobě pandemie COVID-19 a kolapsu cen ropy. Negativní poptávkový šok je stejně tak globální, jako</w:t>
      </w:r>
      <w:r>
        <w:rPr>
          <w:color w:val="000000" w:themeColor="text1"/>
          <w:sz w:val="24"/>
          <w:szCs w:val="24"/>
          <w:shd w:val="clear" w:color="auto" w:fill="FFFFFF"/>
        </w:rPr>
        <w:t xml:space="preserve">ž i </w:t>
      </w:r>
      <w:r w:rsidRPr="00CF5874">
        <w:rPr>
          <w:color w:val="000000" w:themeColor="text1"/>
          <w:sz w:val="24"/>
          <w:szCs w:val="24"/>
          <w:shd w:val="clear" w:color="auto" w:fill="FFFFFF"/>
        </w:rPr>
        <w:t>regionální. Ekonomické problémy po celém světě</w:t>
      </w:r>
      <w:r>
        <w:rPr>
          <w:color w:val="000000" w:themeColor="text1"/>
          <w:sz w:val="24"/>
          <w:szCs w:val="24"/>
          <w:shd w:val="clear" w:color="auto" w:fill="FFFFFF"/>
        </w:rPr>
        <w:t xml:space="preserve"> a</w:t>
      </w:r>
      <w:r w:rsidRPr="00CF5874">
        <w:rPr>
          <w:color w:val="000000" w:themeColor="text1"/>
          <w:sz w:val="24"/>
          <w:szCs w:val="24"/>
          <w:shd w:val="clear" w:color="auto" w:fill="FFFFFF"/>
        </w:rPr>
        <w:t xml:space="preserve"> narušení globálních hodnotových řetězců snížily poptávku po zboží a službách tohoto regionu, tedy zejména po ropě a turismu. Jelikož vývoz ropy zaujímá hlavní podíl v celkových exportech těchto zemí, dramatický propad cen ropy vede k</w:t>
      </w:r>
      <w:r>
        <w:rPr>
          <w:color w:val="000000" w:themeColor="text1"/>
          <w:sz w:val="24"/>
          <w:szCs w:val="24"/>
          <w:shd w:val="clear" w:color="auto" w:fill="FFFFFF"/>
        </w:rPr>
        <w:t xml:space="preserve"> jejich </w:t>
      </w:r>
      <w:r w:rsidRPr="00CF5874">
        <w:rPr>
          <w:color w:val="000000" w:themeColor="text1"/>
          <w:sz w:val="24"/>
          <w:szCs w:val="24"/>
          <w:shd w:val="clear" w:color="auto" w:fill="FFFFFF"/>
        </w:rPr>
        <w:t>nižšímu ekonomickému růstu, vyššímu deficit</w:t>
      </w:r>
      <w:r>
        <w:rPr>
          <w:color w:val="000000" w:themeColor="text1"/>
          <w:sz w:val="24"/>
          <w:szCs w:val="24"/>
          <w:shd w:val="clear" w:color="auto" w:fill="FFFFFF"/>
        </w:rPr>
        <w:t>u státního rozpočtu</w:t>
      </w:r>
      <w:r w:rsidRPr="00CF5874">
        <w:rPr>
          <w:color w:val="000000" w:themeColor="text1"/>
          <w:sz w:val="24"/>
          <w:szCs w:val="24"/>
          <w:shd w:val="clear" w:color="auto" w:fill="FFFFFF"/>
        </w:rPr>
        <w:t>, a nakonec i k ekonomické recesi. Protože dané země používají pevný měnový kurz, centrální banky čelí problémům s prodejem zahraničních aktiv</w:t>
      </w:r>
      <w:r>
        <w:rPr>
          <w:color w:val="000000" w:themeColor="text1"/>
          <w:sz w:val="24"/>
          <w:szCs w:val="24"/>
          <w:shd w:val="clear" w:color="auto" w:fill="FFFFFF"/>
        </w:rPr>
        <w:t xml:space="preserve"> z devizových rezerv</w:t>
      </w:r>
      <w:r w:rsidRPr="00CF5874">
        <w:rPr>
          <w:color w:val="000000" w:themeColor="text1"/>
          <w:sz w:val="24"/>
          <w:szCs w:val="24"/>
          <w:shd w:val="clear" w:color="auto" w:fill="FFFFFF"/>
        </w:rPr>
        <w:t>.</w:t>
      </w:r>
    </w:p>
    <w:p w14:paraId="78FA9E2F" w14:textId="6C84B83B" w:rsidR="00185D63" w:rsidRPr="00BE61AC" w:rsidRDefault="007B572A" w:rsidP="002B6B2F">
      <w:pPr>
        <w:spacing w:after="100" w:afterAutospacing="1" w:line="240" w:lineRule="auto"/>
        <w:ind w:firstLine="567"/>
        <w:jc w:val="both"/>
        <w:rPr>
          <w:rFonts w:eastAsia="Times New Roman" w:cs="Calibri"/>
          <w:color w:val="000000"/>
          <w:sz w:val="24"/>
          <w:szCs w:val="24"/>
          <w:lang w:eastAsia="cs-CZ"/>
        </w:rPr>
      </w:pPr>
      <w:r w:rsidRPr="00BE61AC">
        <w:rPr>
          <w:color w:val="000000" w:themeColor="text1"/>
          <w:sz w:val="24"/>
          <w:szCs w:val="24"/>
          <w:shd w:val="clear" w:color="auto" w:fill="FFFFFF"/>
        </w:rPr>
        <w:t>Souvis</w:t>
      </w:r>
      <w:r w:rsidR="00BE61AC" w:rsidRPr="00BE61AC">
        <w:rPr>
          <w:color w:val="000000" w:themeColor="text1"/>
          <w:sz w:val="24"/>
          <w:szCs w:val="24"/>
          <w:shd w:val="clear" w:color="auto" w:fill="FFFFFF"/>
        </w:rPr>
        <w:t>l</w:t>
      </w:r>
      <w:r w:rsidRPr="00BE61AC">
        <w:rPr>
          <w:color w:val="000000" w:themeColor="text1"/>
          <w:sz w:val="24"/>
          <w:szCs w:val="24"/>
          <w:shd w:val="clear" w:color="auto" w:fill="FFFFFF"/>
        </w:rPr>
        <w:t xml:space="preserve">osti poklesu cen ropy pro země MENA, které jsou exportéry ropy, jsou dle očekávání negativní.  Mezi zeměmi však existují podstatné rozdíly. Vliv poklesu cen ropy na HDP totiž velice závisí na stupni závislosti země na vývozech ropy a dále na tom, jaká část příjmů z ropy jde státu. </w:t>
      </w:r>
      <w:r w:rsidR="00BE61AC" w:rsidRPr="00BE61AC">
        <w:rPr>
          <w:rFonts w:eastAsia="Times New Roman" w:cs="Calibri"/>
          <w:color w:val="000000"/>
          <w:sz w:val="24"/>
          <w:szCs w:val="24"/>
          <w:shd w:val="clear" w:color="auto" w:fill="FFFFFF"/>
          <w:lang w:eastAsia="cs-CZ"/>
        </w:rPr>
        <w:t>Obecně se očekává, že v roce 2020 HDP ekonomik</w:t>
      </w:r>
      <w:r w:rsidR="009F2A4E">
        <w:rPr>
          <w:rFonts w:eastAsia="Times New Roman" w:cs="Calibri"/>
          <w:color w:val="000000"/>
          <w:sz w:val="24"/>
          <w:szCs w:val="24"/>
          <w:shd w:val="clear" w:color="auto" w:fill="FFFFFF"/>
          <w:lang w:eastAsia="cs-CZ"/>
        </w:rPr>
        <w:t>y</w:t>
      </w:r>
      <w:r w:rsidR="00BE61AC" w:rsidRPr="00BE61AC">
        <w:rPr>
          <w:rFonts w:eastAsia="Times New Roman" w:cs="Calibri"/>
          <w:color w:val="000000"/>
          <w:sz w:val="24"/>
          <w:szCs w:val="24"/>
          <w:shd w:val="clear" w:color="auto" w:fill="FFFFFF"/>
          <w:lang w:eastAsia="cs-CZ"/>
        </w:rPr>
        <w:t xml:space="preserve"> region</w:t>
      </w:r>
      <w:r w:rsidR="009F2A4E">
        <w:rPr>
          <w:rFonts w:eastAsia="Times New Roman" w:cs="Calibri"/>
          <w:color w:val="000000"/>
          <w:sz w:val="24"/>
          <w:szCs w:val="24"/>
          <w:shd w:val="clear" w:color="auto" w:fill="FFFFFF"/>
          <w:lang w:eastAsia="cs-CZ"/>
        </w:rPr>
        <w:t>u</w:t>
      </w:r>
      <w:r w:rsidR="00BE61AC" w:rsidRPr="00BE61AC">
        <w:rPr>
          <w:rFonts w:eastAsia="Times New Roman" w:cs="Calibri"/>
          <w:color w:val="000000"/>
          <w:sz w:val="24"/>
          <w:szCs w:val="24"/>
          <w:shd w:val="clear" w:color="auto" w:fill="FFFFFF"/>
          <w:lang w:eastAsia="cs-CZ"/>
        </w:rPr>
        <w:t xml:space="preserve"> poklesn</w:t>
      </w:r>
      <w:r w:rsidR="009F2A4E">
        <w:rPr>
          <w:rFonts w:eastAsia="Times New Roman" w:cs="Calibri"/>
          <w:color w:val="000000"/>
          <w:sz w:val="24"/>
          <w:szCs w:val="24"/>
          <w:shd w:val="clear" w:color="auto" w:fill="FFFFFF"/>
          <w:lang w:eastAsia="cs-CZ"/>
        </w:rPr>
        <w:t>ou</w:t>
      </w:r>
      <w:r w:rsidR="00BE61AC" w:rsidRPr="00BE61AC">
        <w:rPr>
          <w:rFonts w:eastAsia="Times New Roman" w:cs="Calibri"/>
          <w:color w:val="000000"/>
          <w:sz w:val="24"/>
          <w:szCs w:val="24"/>
          <w:shd w:val="clear" w:color="auto" w:fill="FFFFFF"/>
          <w:lang w:eastAsia="cs-CZ"/>
        </w:rPr>
        <w:t xml:space="preserve"> o 5,2 %</w:t>
      </w:r>
      <w:r w:rsidR="009F2A4E">
        <w:rPr>
          <w:rFonts w:eastAsia="Times New Roman" w:cs="Calibri"/>
          <w:color w:val="000000"/>
          <w:sz w:val="24"/>
          <w:szCs w:val="24"/>
          <w:shd w:val="clear" w:color="auto" w:fill="FFFFFF"/>
          <w:lang w:eastAsia="cs-CZ"/>
        </w:rPr>
        <w:t>,</w:t>
      </w:r>
      <w:r w:rsidR="00BE61AC" w:rsidRPr="00BE61AC">
        <w:rPr>
          <w:rFonts w:eastAsia="Times New Roman" w:cs="Calibri"/>
          <w:color w:val="000000"/>
          <w:sz w:val="24"/>
          <w:szCs w:val="24"/>
          <w:shd w:val="clear" w:color="auto" w:fill="FFFFFF"/>
          <w:lang w:eastAsia="cs-CZ"/>
        </w:rPr>
        <w:t> deficity běžných účtů platebních bilancí a státních rozpočtů</w:t>
      </w:r>
      <w:r w:rsidR="00BE61AC">
        <w:rPr>
          <w:rFonts w:eastAsia="Times New Roman" w:cs="Calibri"/>
          <w:color w:val="000000"/>
          <w:sz w:val="24"/>
          <w:szCs w:val="24"/>
          <w:shd w:val="clear" w:color="auto" w:fill="FFFFFF"/>
          <w:lang w:eastAsia="cs-CZ"/>
        </w:rPr>
        <w:t xml:space="preserve"> budou</w:t>
      </w:r>
      <w:r w:rsidR="00BE61AC" w:rsidRPr="00BE61AC">
        <w:rPr>
          <w:rFonts w:eastAsia="Times New Roman" w:cs="Calibri"/>
          <w:color w:val="000000"/>
          <w:sz w:val="24"/>
          <w:szCs w:val="24"/>
          <w:shd w:val="clear" w:color="auto" w:fill="FFFFFF"/>
          <w:lang w:eastAsia="cs-CZ"/>
        </w:rPr>
        <w:t xml:space="preserve"> 4,8 %, resp. 10,1 % HDP, a též že veřejný dluh v příštích několika letech podstatně vzroste z 45 % HDP v roce 2019 na 58 % HDP v roce 2022 (</w:t>
      </w:r>
      <w:proofErr w:type="spellStart"/>
      <w:r w:rsidR="00BE61AC" w:rsidRPr="00BE61AC">
        <w:rPr>
          <w:rFonts w:eastAsia="Times New Roman" w:cs="Calibri"/>
          <w:color w:val="000000"/>
          <w:sz w:val="24"/>
          <w:szCs w:val="24"/>
          <w:shd w:val="clear" w:color="auto" w:fill="FFFFFF"/>
          <w:lang w:eastAsia="cs-CZ"/>
        </w:rPr>
        <w:t>World</w:t>
      </w:r>
      <w:proofErr w:type="spellEnd"/>
      <w:r w:rsidR="00BE61AC" w:rsidRPr="00BE61AC">
        <w:rPr>
          <w:rFonts w:eastAsia="Times New Roman" w:cs="Calibri"/>
          <w:color w:val="000000"/>
          <w:sz w:val="24"/>
          <w:szCs w:val="24"/>
          <w:shd w:val="clear" w:color="auto" w:fill="FFFFFF"/>
          <w:lang w:eastAsia="cs-CZ"/>
        </w:rPr>
        <w:t xml:space="preserve"> Ba</w:t>
      </w:r>
      <w:r w:rsidR="009F2A4E">
        <w:rPr>
          <w:rFonts w:eastAsia="Times New Roman" w:cs="Calibri"/>
          <w:color w:val="000000"/>
          <w:sz w:val="24"/>
          <w:szCs w:val="24"/>
          <w:shd w:val="clear" w:color="auto" w:fill="FFFFFF"/>
          <w:lang w:eastAsia="cs-CZ"/>
        </w:rPr>
        <w:t>n</w:t>
      </w:r>
      <w:r w:rsidR="00BE61AC" w:rsidRPr="00BE61AC">
        <w:rPr>
          <w:rFonts w:eastAsia="Times New Roman" w:cs="Calibri"/>
          <w:color w:val="000000"/>
          <w:sz w:val="24"/>
          <w:szCs w:val="24"/>
          <w:shd w:val="clear" w:color="auto" w:fill="FFFFFF"/>
          <w:lang w:eastAsia="cs-CZ"/>
        </w:rPr>
        <w:t>k, 2020b).</w:t>
      </w:r>
    </w:p>
    <w:p w14:paraId="7A86D282" w14:textId="45A4BBCB" w:rsidR="007B572A" w:rsidRDefault="007B572A" w:rsidP="002B6B2F">
      <w:pPr>
        <w:autoSpaceDE w:val="0"/>
        <w:autoSpaceDN w:val="0"/>
        <w:adjustRightInd w:val="0"/>
        <w:spacing w:after="100" w:afterAutospacing="1" w:line="240" w:lineRule="auto"/>
        <w:ind w:firstLine="567"/>
        <w:jc w:val="both"/>
        <w:rPr>
          <w:color w:val="000000" w:themeColor="text1"/>
          <w:sz w:val="24"/>
          <w:szCs w:val="24"/>
          <w:shd w:val="clear" w:color="auto" w:fill="FFFFFF"/>
        </w:rPr>
      </w:pPr>
      <w:r w:rsidRPr="00185D63">
        <w:rPr>
          <w:color w:val="000000" w:themeColor="text1"/>
          <w:sz w:val="24"/>
          <w:szCs w:val="24"/>
          <w:shd w:val="clear" w:color="auto" w:fill="FFFFFF"/>
        </w:rPr>
        <w:t xml:space="preserve">Jedním ze způsobů, jak ilustrovat zranitelnost zemí vyvážejících ropu, je vypočítat tzv. ceny </w:t>
      </w:r>
      <w:r w:rsidR="000A3A42" w:rsidRPr="00185D63">
        <w:rPr>
          <w:color w:val="000000" w:themeColor="text1"/>
          <w:sz w:val="24"/>
          <w:szCs w:val="24"/>
          <w:shd w:val="clear" w:color="auto" w:fill="FFFFFF"/>
        </w:rPr>
        <w:t>vnějšího</w:t>
      </w:r>
      <w:r w:rsidR="0039032C" w:rsidRPr="00185D63">
        <w:rPr>
          <w:color w:val="000000" w:themeColor="text1"/>
          <w:sz w:val="24"/>
          <w:szCs w:val="24"/>
          <w:shd w:val="clear" w:color="auto" w:fill="FFFFFF"/>
        </w:rPr>
        <w:t xml:space="preserve"> a fiskálního</w:t>
      </w:r>
      <w:r w:rsidRPr="00185D63">
        <w:rPr>
          <w:color w:val="000000" w:themeColor="text1"/>
          <w:sz w:val="24"/>
          <w:szCs w:val="24"/>
          <w:shd w:val="clear" w:color="auto" w:fill="FFFFFF"/>
        </w:rPr>
        <w:t xml:space="preserve"> zvratu. Jsou to ceny ropy, při kterých mají vlády zemí vyvážejících ropu vyrovnané rozpočty. Tyto ceny se mezi zeměmi</w:t>
      </w:r>
      <w:r w:rsidR="00607813" w:rsidRPr="00185D63">
        <w:rPr>
          <w:color w:val="000000" w:themeColor="text1"/>
          <w:sz w:val="24"/>
          <w:szCs w:val="24"/>
          <w:shd w:val="clear" w:color="auto" w:fill="FFFFFF"/>
        </w:rPr>
        <w:t xml:space="preserve"> podstatně</w:t>
      </w:r>
      <w:r w:rsidRPr="00185D63">
        <w:rPr>
          <w:color w:val="000000" w:themeColor="text1"/>
          <w:sz w:val="24"/>
          <w:szCs w:val="24"/>
          <w:shd w:val="clear" w:color="auto" w:fill="FFFFFF"/>
        </w:rPr>
        <w:t xml:space="preserve"> liší a </w:t>
      </w:r>
      <w:r w:rsidR="00DC3934" w:rsidRPr="00185D63">
        <w:rPr>
          <w:color w:val="000000" w:themeColor="text1"/>
          <w:sz w:val="24"/>
          <w:szCs w:val="24"/>
          <w:shd w:val="clear" w:color="auto" w:fill="FFFFFF"/>
        </w:rPr>
        <w:t>v řadě případů jsou poměrně</w:t>
      </w:r>
      <w:r w:rsidRPr="00185D63">
        <w:rPr>
          <w:color w:val="000000" w:themeColor="text1"/>
          <w:sz w:val="24"/>
          <w:szCs w:val="24"/>
          <w:shd w:val="clear" w:color="auto" w:fill="FFFFFF"/>
        </w:rPr>
        <w:t xml:space="preserve"> vysoké (</w:t>
      </w:r>
      <w:proofErr w:type="spellStart"/>
      <w:r w:rsidRPr="00185D63">
        <w:rPr>
          <w:color w:val="000000" w:themeColor="text1"/>
          <w:sz w:val="24"/>
          <w:szCs w:val="24"/>
          <w:shd w:val="clear" w:color="auto" w:fill="FFFFFF"/>
        </w:rPr>
        <w:t>Arezki</w:t>
      </w:r>
      <w:proofErr w:type="spellEnd"/>
      <w:r w:rsidRPr="00185D63">
        <w:rPr>
          <w:color w:val="000000" w:themeColor="text1"/>
          <w:sz w:val="24"/>
          <w:szCs w:val="24"/>
          <w:shd w:val="clear" w:color="auto" w:fill="FFFFFF"/>
        </w:rPr>
        <w:t xml:space="preserve"> et </w:t>
      </w:r>
      <w:r w:rsidR="006B375E" w:rsidRPr="00185D63">
        <w:rPr>
          <w:color w:val="000000" w:themeColor="text1"/>
          <w:sz w:val="24"/>
          <w:szCs w:val="24"/>
          <w:shd w:val="clear" w:color="auto" w:fill="FFFFFF"/>
        </w:rPr>
        <w:t>a</w:t>
      </w:r>
      <w:r w:rsidRPr="00185D63">
        <w:rPr>
          <w:color w:val="000000" w:themeColor="text1"/>
          <w:sz w:val="24"/>
          <w:szCs w:val="24"/>
          <w:shd w:val="clear" w:color="auto" w:fill="FFFFFF"/>
        </w:rPr>
        <w:t>l. 2014).</w:t>
      </w:r>
      <w:r w:rsidRPr="0039032C">
        <w:rPr>
          <w:color w:val="000000" w:themeColor="text1"/>
          <w:sz w:val="24"/>
          <w:szCs w:val="24"/>
          <w:shd w:val="clear" w:color="auto" w:fill="FFFFFF"/>
        </w:rPr>
        <w:t xml:space="preserve"> </w:t>
      </w:r>
      <w:r w:rsidR="002B6B2F">
        <w:rPr>
          <w:color w:val="000000" w:themeColor="text1"/>
          <w:sz w:val="24"/>
          <w:szCs w:val="24"/>
          <w:shd w:val="clear" w:color="auto" w:fill="FFFFFF"/>
        </w:rPr>
        <w:t xml:space="preserve"> Situaci v posledních 5 letech zachycují tabulky 1 a 2.</w:t>
      </w:r>
    </w:p>
    <w:p w14:paraId="13B5E17B" w14:textId="77777777" w:rsidR="00DC4EF2" w:rsidRDefault="00DC4EF2" w:rsidP="007B572A">
      <w:pPr>
        <w:autoSpaceDE w:val="0"/>
        <w:autoSpaceDN w:val="0"/>
        <w:adjustRightInd w:val="0"/>
        <w:spacing w:after="0" w:line="240" w:lineRule="auto"/>
        <w:ind w:firstLine="567"/>
        <w:jc w:val="both"/>
        <w:rPr>
          <w:color w:val="000000" w:themeColor="text1"/>
          <w:sz w:val="24"/>
          <w:szCs w:val="24"/>
          <w:shd w:val="clear" w:color="auto" w:fill="FFFFFF"/>
        </w:rPr>
      </w:pPr>
    </w:p>
    <w:p w14:paraId="6B565727" w14:textId="023C115B" w:rsidR="0039032C" w:rsidRDefault="00222678" w:rsidP="00976967">
      <w:pPr>
        <w:rPr>
          <w:color w:val="000000" w:themeColor="text1"/>
          <w:sz w:val="24"/>
          <w:szCs w:val="24"/>
          <w:shd w:val="clear" w:color="auto" w:fill="FFFFFF"/>
        </w:rPr>
      </w:pPr>
      <w:r>
        <w:rPr>
          <w:color w:val="000000" w:themeColor="text1"/>
          <w:sz w:val="24"/>
          <w:szCs w:val="24"/>
          <w:shd w:val="clear" w:color="auto" w:fill="FFFFFF"/>
        </w:rPr>
        <w:br w:type="page"/>
      </w:r>
    </w:p>
    <w:p w14:paraId="2146C3EF" w14:textId="6388629D" w:rsidR="000A3A42" w:rsidRPr="00CD4874" w:rsidRDefault="0039032C" w:rsidP="00976967">
      <w:pPr>
        <w:pStyle w:val="Nadpis3"/>
        <w:jc w:val="center"/>
        <w:rPr>
          <w:shd w:val="clear" w:color="auto" w:fill="FFFFFF"/>
        </w:rPr>
      </w:pPr>
      <w:bookmarkStart w:id="29" w:name="_Toc61261286"/>
      <w:bookmarkStart w:id="30" w:name="_Toc61262036"/>
      <w:bookmarkStart w:id="31" w:name="_Toc61262160"/>
      <w:r w:rsidRPr="00CD4874">
        <w:rPr>
          <w:shd w:val="clear" w:color="auto" w:fill="FFFFFF"/>
        </w:rPr>
        <w:lastRenderedPageBreak/>
        <w:t>Tabulka 1: Ceny vnějšího zvratu</w:t>
      </w:r>
      <w:bookmarkEnd w:id="29"/>
      <w:bookmarkEnd w:id="30"/>
      <w:bookmarkEnd w:id="31"/>
    </w:p>
    <w:tbl>
      <w:tblPr>
        <w:tblStyle w:val="Tabulkasmkou2zvraznn1"/>
        <w:tblW w:w="5000" w:type="pct"/>
        <w:tblLook w:val="04A0" w:firstRow="1" w:lastRow="0" w:firstColumn="1" w:lastColumn="0" w:noHBand="0" w:noVBand="1"/>
      </w:tblPr>
      <w:tblGrid>
        <w:gridCol w:w="3628"/>
        <w:gridCol w:w="1523"/>
        <w:gridCol w:w="856"/>
        <w:gridCol w:w="925"/>
        <w:gridCol w:w="856"/>
        <w:gridCol w:w="925"/>
        <w:gridCol w:w="925"/>
      </w:tblGrid>
      <w:tr w:rsidR="0039032C" w:rsidRPr="00976967" w14:paraId="6BCBE7D0" w14:textId="77777777" w:rsidTr="00DC4EF2">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22452115" w14:textId="77777777" w:rsidR="0039032C" w:rsidRPr="00976967" w:rsidRDefault="0039032C" w:rsidP="000A3A42">
            <w:pPr>
              <w:rPr>
                <w:rFonts w:eastAsia="Times New Roman" w:cs="Arial"/>
                <w:sz w:val="21"/>
                <w:szCs w:val="21"/>
                <w:lang w:eastAsia="cs-CZ"/>
              </w:rPr>
            </w:pPr>
            <w:r w:rsidRPr="00976967">
              <w:rPr>
                <w:rFonts w:eastAsia="Times New Roman" w:cs="Arial"/>
                <w:sz w:val="21"/>
                <w:szCs w:val="21"/>
                <w:lang w:eastAsia="cs-CZ"/>
              </w:rPr>
              <w:t> </w:t>
            </w:r>
          </w:p>
        </w:tc>
        <w:tc>
          <w:tcPr>
            <w:tcW w:w="2158" w:type="pct"/>
            <w:gridSpan w:val="4"/>
            <w:noWrap/>
            <w:hideMark/>
          </w:tcPr>
          <w:p w14:paraId="4D9D47E1" w14:textId="1D53933C" w:rsidR="0039032C" w:rsidRPr="00976967" w:rsidRDefault="0039032C" w:rsidP="0039032C">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Průměr</w:t>
            </w:r>
          </w:p>
        </w:tc>
        <w:tc>
          <w:tcPr>
            <w:tcW w:w="960" w:type="pct"/>
            <w:gridSpan w:val="2"/>
            <w:noWrap/>
            <w:hideMark/>
          </w:tcPr>
          <w:p w14:paraId="25DB5EAD" w14:textId="77777777" w:rsidR="0039032C" w:rsidRPr="00976967" w:rsidRDefault="0039032C" w:rsidP="000A3A42">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Projekce</w:t>
            </w:r>
          </w:p>
        </w:tc>
      </w:tr>
      <w:tr w:rsidR="000A3A42" w:rsidRPr="00976967" w14:paraId="2DAD8669" w14:textId="77777777" w:rsidTr="00DC4E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08891605" w14:textId="77777777" w:rsidR="000A3A42" w:rsidRPr="00976967" w:rsidRDefault="000A3A42" w:rsidP="000A3A42">
            <w:pPr>
              <w:rPr>
                <w:rFonts w:eastAsia="Times New Roman" w:cs="Arial"/>
                <w:sz w:val="21"/>
                <w:szCs w:val="21"/>
                <w:lang w:eastAsia="cs-CZ"/>
              </w:rPr>
            </w:pPr>
            <w:r w:rsidRPr="00976967">
              <w:rPr>
                <w:rFonts w:eastAsia="Times New Roman" w:cs="Arial"/>
                <w:sz w:val="21"/>
                <w:szCs w:val="21"/>
                <w:lang w:eastAsia="cs-CZ"/>
              </w:rPr>
              <w:t> </w:t>
            </w:r>
          </w:p>
        </w:tc>
        <w:tc>
          <w:tcPr>
            <w:tcW w:w="790" w:type="pct"/>
            <w:noWrap/>
            <w:hideMark/>
          </w:tcPr>
          <w:p w14:paraId="0E1E703F"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2000–2016</w:t>
            </w:r>
          </w:p>
        </w:tc>
        <w:tc>
          <w:tcPr>
            <w:tcW w:w="444" w:type="pct"/>
            <w:noWrap/>
            <w:hideMark/>
          </w:tcPr>
          <w:p w14:paraId="40C4DDBB"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2017</w:t>
            </w:r>
          </w:p>
        </w:tc>
        <w:tc>
          <w:tcPr>
            <w:tcW w:w="480" w:type="pct"/>
            <w:noWrap/>
            <w:hideMark/>
          </w:tcPr>
          <w:p w14:paraId="5B7B154A"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2018</w:t>
            </w:r>
          </w:p>
        </w:tc>
        <w:tc>
          <w:tcPr>
            <w:tcW w:w="444" w:type="pct"/>
            <w:noWrap/>
            <w:hideMark/>
          </w:tcPr>
          <w:p w14:paraId="1BECA73B"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2019</w:t>
            </w:r>
          </w:p>
        </w:tc>
        <w:tc>
          <w:tcPr>
            <w:tcW w:w="480" w:type="pct"/>
            <w:noWrap/>
            <w:hideMark/>
          </w:tcPr>
          <w:p w14:paraId="60D832C3"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2020</w:t>
            </w:r>
          </w:p>
        </w:tc>
        <w:tc>
          <w:tcPr>
            <w:tcW w:w="480" w:type="pct"/>
            <w:noWrap/>
            <w:hideMark/>
          </w:tcPr>
          <w:p w14:paraId="612042BF"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2021</w:t>
            </w:r>
          </w:p>
        </w:tc>
      </w:tr>
      <w:tr w:rsidR="00DC4EF2" w:rsidRPr="00976967" w14:paraId="27DE84A8" w14:textId="77777777" w:rsidTr="00DC4EF2">
        <w:trPr>
          <w:trHeight w:val="222"/>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4D113301" w14:textId="3F7873F9" w:rsidR="00DC4EF2" w:rsidRPr="00976967" w:rsidRDefault="00DC4EF2" w:rsidP="000A3A42">
            <w:pPr>
              <w:rPr>
                <w:rFonts w:eastAsia="Times New Roman" w:cs="Arial"/>
                <w:b w:val="0"/>
                <w:bCs w:val="0"/>
                <w:sz w:val="21"/>
                <w:szCs w:val="21"/>
                <w:lang w:eastAsia="cs-CZ"/>
              </w:rPr>
            </w:pPr>
            <w:r w:rsidRPr="00976967">
              <w:rPr>
                <w:rFonts w:eastAsia="Times New Roman" w:cs="Arial"/>
                <w:sz w:val="21"/>
                <w:szCs w:val="21"/>
                <w:lang w:eastAsia="cs-CZ"/>
              </w:rPr>
              <w:t>MENA</w:t>
            </w:r>
          </w:p>
        </w:tc>
      </w:tr>
      <w:tr w:rsidR="0039032C" w:rsidRPr="00976967" w14:paraId="53CF2700" w14:textId="77777777" w:rsidTr="00DC4E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1E93EBF6"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Alžírsko</w:t>
            </w:r>
          </w:p>
        </w:tc>
        <w:tc>
          <w:tcPr>
            <w:tcW w:w="790" w:type="pct"/>
            <w:noWrap/>
            <w:hideMark/>
          </w:tcPr>
          <w:p w14:paraId="2BD0086C"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81,4</w:t>
            </w:r>
          </w:p>
        </w:tc>
        <w:tc>
          <w:tcPr>
            <w:tcW w:w="444" w:type="pct"/>
            <w:noWrap/>
            <w:hideMark/>
          </w:tcPr>
          <w:p w14:paraId="66DFD8B8"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90,1</w:t>
            </w:r>
          </w:p>
        </w:tc>
        <w:tc>
          <w:tcPr>
            <w:tcW w:w="480" w:type="pct"/>
            <w:noWrap/>
            <w:hideMark/>
          </w:tcPr>
          <w:p w14:paraId="348A019B"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101,7</w:t>
            </w:r>
          </w:p>
        </w:tc>
        <w:tc>
          <w:tcPr>
            <w:tcW w:w="444" w:type="pct"/>
            <w:noWrap/>
            <w:hideMark/>
          </w:tcPr>
          <w:p w14:paraId="2D6C6D54"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97,3</w:t>
            </w:r>
          </w:p>
        </w:tc>
        <w:tc>
          <w:tcPr>
            <w:tcW w:w="480" w:type="pct"/>
            <w:noWrap/>
            <w:hideMark/>
          </w:tcPr>
          <w:p w14:paraId="33AAF713"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88,9</w:t>
            </w:r>
          </w:p>
        </w:tc>
        <w:tc>
          <w:tcPr>
            <w:tcW w:w="480" w:type="pct"/>
            <w:noWrap/>
            <w:hideMark/>
          </w:tcPr>
          <w:p w14:paraId="40D55949"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105,7</w:t>
            </w:r>
          </w:p>
        </w:tc>
      </w:tr>
      <w:tr w:rsidR="0039032C" w:rsidRPr="00976967" w14:paraId="25C2ACAA" w14:textId="77777777" w:rsidTr="00DC4EF2">
        <w:trPr>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4D1810E7"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Bahrajn</w:t>
            </w:r>
          </w:p>
        </w:tc>
        <w:tc>
          <w:tcPr>
            <w:tcW w:w="790" w:type="pct"/>
            <w:noWrap/>
            <w:hideMark/>
          </w:tcPr>
          <w:p w14:paraId="2F4D48F5"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47,2</w:t>
            </w:r>
          </w:p>
        </w:tc>
        <w:tc>
          <w:tcPr>
            <w:tcW w:w="444" w:type="pct"/>
            <w:noWrap/>
            <w:hideMark/>
          </w:tcPr>
          <w:p w14:paraId="42F4AD14"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70,6</w:t>
            </w:r>
          </w:p>
        </w:tc>
        <w:tc>
          <w:tcPr>
            <w:tcW w:w="480" w:type="pct"/>
            <w:noWrap/>
            <w:hideMark/>
          </w:tcPr>
          <w:p w14:paraId="3FA0BC72"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102,5</w:t>
            </w:r>
          </w:p>
        </w:tc>
        <w:tc>
          <w:tcPr>
            <w:tcW w:w="444" w:type="pct"/>
            <w:noWrap/>
            <w:hideMark/>
          </w:tcPr>
          <w:p w14:paraId="146A35A3"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72,1</w:t>
            </w:r>
          </w:p>
        </w:tc>
        <w:tc>
          <w:tcPr>
            <w:tcW w:w="480" w:type="pct"/>
            <w:noWrap/>
            <w:hideMark/>
          </w:tcPr>
          <w:p w14:paraId="499867FC"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78,5</w:t>
            </w:r>
          </w:p>
        </w:tc>
        <w:tc>
          <w:tcPr>
            <w:tcW w:w="480" w:type="pct"/>
            <w:noWrap/>
            <w:hideMark/>
          </w:tcPr>
          <w:p w14:paraId="76DA0A1B"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74,3</w:t>
            </w:r>
          </w:p>
        </w:tc>
      </w:tr>
      <w:tr w:rsidR="0039032C" w:rsidRPr="00976967" w14:paraId="6777E15A" w14:textId="77777777" w:rsidTr="00DC4E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3866BD2A"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Írán</w:t>
            </w:r>
          </w:p>
        </w:tc>
        <w:tc>
          <w:tcPr>
            <w:tcW w:w="790" w:type="pct"/>
            <w:noWrap/>
            <w:hideMark/>
          </w:tcPr>
          <w:p w14:paraId="5873D211"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41,5</w:t>
            </w:r>
          </w:p>
        </w:tc>
        <w:tc>
          <w:tcPr>
            <w:tcW w:w="444" w:type="pct"/>
            <w:noWrap/>
            <w:hideMark/>
          </w:tcPr>
          <w:p w14:paraId="6E4EBFE6"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35,9</w:t>
            </w:r>
          </w:p>
        </w:tc>
        <w:tc>
          <w:tcPr>
            <w:tcW w:w="480" w:type="pct"/>
            <w:noWrap/>
            <w:hideMark/>
          </w:tcPr>
          <w:p w14:paraId="5E24BFB5"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28,8</w:t>
            </w:r>
          </w:p>
        </w:tc>
        <w:tc>
          <w:tcPr>
            <w:tcW w:w="444" w:type="pct"/>
            <w:noWrap/>
            <w:hideMark/>
          </w:tcPr>
          <w:p w14:paraId="42DB64FC"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29,3</w:t>
            </w:r>
          </w:p>
        </w:tc>
        <w:tc>
          <w:tcPr>
            <w:tcW w:w="480" w:type="pct"/>
            <w:noWrap/>
            <w:hideMark/>
          </w:tcPr>
          <w:p w14:paraId="75BDF667"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42,9</w:t>
            </w:r>
          </w:p>
        </w:tc>
        <w:tc>
          <w:tcPr>
            <w:tcW w:w="480" w:type="pct"/>
            <w:noWrap/>
            <w:hideMark/>
          </w:tcPr>
          <w:p w14:paraId="13A2CBFA"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31,4</w:t>
            </w:r>
          </w:p>
        </w:tc>
      </w:tr>
      <w:tr w:rsidR="0039032C" w:rsidRPr="00976967" w14:paraId="354890EE" w14:textId="77777777" w:rsidTr="00DC4EF2">
        <w:trPr>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7D0D27FD"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Irák</w:t>
            </w:r>
          </w:p>
        </w:tc>
        <w:tc>
          <w:tcPr>
            <w:tcW w:w="790" w:type="pct"/>
            <w:noWrap/>
            <w:hideMark/>
          </w:tcPr>
          <w:p w14:paraId="7CC3FD22"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67,4</w:t>
            </w:r>
          </w:p>
        </w:tc>
        <w:tc>
          <w:tcPr>
            <w:tcW w:w="444" w:type="pct"/>
            <w:noWrap/>
            <w:hideMark/>
          </w:tcPr>
          <w:p w14:paraId="05D2F4AC"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45,4</w:t>
            </w:r>
          </w:p>
        </w:tc>
        <w:tc>
          <w:tcPr>
            <w:tcW w:w="480" w:type="pct"/>
            <w:noWrap/>
            <w:hideMark/>
          </w:tcPr>
          <w:p w14:paraId="09010C95"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53,2</w:t>
            </w:r>
          </w:p>
        </w:tc>
        <w:tc>
          <w:tcPr>
            <w:tcW w:w="444" w:type="pct"/>
            <w:noWrap/>
            <w:hideMark/>
          </w:tcPr>
          <w:p w14:paraId="084C560C"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56,7</w:t>
            </w:r>
          </w:p>
        </w:tc>
        <w:tc>
          <w:tcPr>
            <w:tcW w:w="480" w:type="pct"/>
            <w:noWrap/>
            <w:hideMark/>
          </w:tcPr>
          <w:p w14:paraId="738DBA63"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56,2</w:t>
            </w:r>
          </w:p>
        </w:tc>
        <w:tc>
          <w:tcPr>
            <w:tcW w:w="480" w:type="pct"/>
            <w:noWrap/>
            <w:hideMark/>
          </w:tcPr>
          <w:p w14:paraId="1F34525E"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61,9</w:t>
            </w:r>
          </w:p>
        </w:tc>
      </w:tr>
      <w:tr w:rsidR="0039032C" w:rsidRPr="00976967" w14:paraId="67527993" w14:textId="77777777" w:rsidTr="00DC4E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3BECB774"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Kuvajt</w:t>
            </w:r>
            <w:r w:rsidRPr="00976967">
              <w:rPr>
                <w:rFonts w:eastAsia="Times New Roman" w:cs="Arial"/>
                <w:b w:val="0"/>
                <w:bCs w:val="0"/>
                <w:sz w:val="21"/>
                <w:szCs w:val="21"/>
                <w:vertAlign w:val="superscript"/>
                <w:lang w:eastAsia="cs-CZ"/>
              </w:rPr>
              <w:t>1</w:t>
            </w:r>
          </w:p>
        </w:tc>
        <w:tc>
          <w:tcPr>
            <w:tcW w:w="790" w:type="pct"/>
            <w:noWrap/>
            <w:hideMark/>
          </w:tcPr>
          <w:p w14:paraId="0346B170"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35,3</w:t>
            </w:r>
          </w:p>
        </w:tc>
        <w:tc>
          <w:tcPr>
            <w:tcW w:w="444" w:type="pct"/>
            <w:noWrap/>
            <w:hideMark/>
          </w:tcPr>
          <w:p w14:paraId="4A11D66D"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43,1</w:t>
            </w:r>
          </w:p>
        </w:tc>
        <w:tc>
          <w:tcPr>
            <w:tcW w:w="480" w:type="pct"/>
            <w:noWrap/>
            <w:hideMark/>
          </w:tcPr>
          <w:p w14:paraId="295BEB0B"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48,6</w:t>
            </w:r>
          </w:p>
        </w:tc>
        <w:tc>
          <w:tcPr>
            <w:tcW w:w="444" w:type="pct"/>
            <w:noWrap/>
            <w:hideMark/>
          </w:tcPr>
          <w:p w14:paraId="4654CE80"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49,9</w:t>
            </w:r>
          </w:p>
        </w:tc>
        <w:tc>
          <w:tcPr>
            <w:tcW w:w="480" w:type="pct"/>
            <w:noWrap/>
            <w:hideMark/>
          </w:tcPr>
          <w:p w14:paraId="3E82E59C"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53,6</w:t>
            </w:r>
          </w:p>
        </w:tc>
        <w:tc>
          <w:tcPr>
            <w:tcW w:w="480" w:type="pct"/>
            <w:noWrap/>
            <w:hideMark/>
          </w:tcPr>
          <w:p w14:paraId="3EAF54BC"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53,8</w:t>
            </w:r>
          </w:p>
        </w:tc>
      </w:tr>
      <w:tr w:rsidR="0039032C" w:rsidRPr="00976967" w14:paraId="5266F2B0" w14:textId="77777777" w:rsidTr="00DC4EF2">
        <w:trPr>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620EEEF7"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Libye</w:t>
            </w:r>
          </w:p>
        </w:tc>
        <w:tc>
          <w:tcPr>
            <w:tcW w:w="790" w:type="pct"/>
            <w:noWrap/>
            <w:hideMark/>
          </w:tcPr>
          <w:p w14:paraId="71F26F84"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54,6</w:t>
            </w:r>
          </w:p>
        </w:tc>
        <w:tc>
          <w:tcPr>
            <w:tcW w:w="444" w:type="pct"/>
            <w:noWrap/>
            <w:hideMark/>
          </w:tcPr>
          <w:p w14:paraId="7CAD0978"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43,5</w:t>
            </w:r>
          </w:p>
        </w:tc>
        <w:tc>
          <w:tcPr>
            <w:tcW w:w="480" w:type="pct"/>
            <w:noWrap/>
            <w:hideMark/>
          </w:tcPr>
          <w:p w14:paraId="15513DCD"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65,8</w:t>
            </w:r>
          </w:p>
        </w:tc>
        <w:tc>
          <w:tcPr>
            <w:tcW w:w="444" w:type="pct"/>
            <w:noWrap/>
            <w:hideMark/>
          </w:tcPr>
          <w:p w14:paraId="68BCA907"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57,4</w:t>
            </w:r>
          </w:p>
        </w:tc>
        <w:tc>
          <w:tcPr>
            <w:tcW w:w="480" w:type="pct"/>
            <w:noWrap/>
            <w:hideMark/>
          </w:tcPr>
          <w:p w14:paraId="28AD5D4B"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252,0</w:t>
            </w:r>
          </w:p>
        </w:tc>
        <w:tc>
          <w:tcPr>
            <w:tcW w:w="480" w:type="pct"/>
            <w:noWrap/>
            <w:hideMark/>
          </w:tcPr>
          <w:p w14:paraId="1DE0C15E"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81,5</w:t>
            </w:r>
          </w:p>
        </w:tc>
      </w:tr>
      <w:tr w:rsidR="0039032C" w:rsidRPr="00976967" w14:paraId="7365547F" w14:textId="77777777" w:rsidTr="00DC4E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527924F9" w14:textId="77777777" w:rsidR="000A3A42" w:rsidRPr="00976967" w:rsidRDefault="00235135"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Omán</w:t>
            </w:r>
          </w:p>
        </w:tc>
        <w:tc>
          <w:tcPr>
            <w:tcW w:w="790" w:type="pct"/>
            <w:noWrap/>
            <w:hideMark/>
          </w:tcPr>
          <w:p w14:paraId="0C8C58E6"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45,5</w:t>
            </w:r>
          </w:p>
        </w:tc>
        <w:tc>
          <w:tcPr>
            <w:tcW w:w="444" w:type="pct"/>
            <w:noWrap/>
            <w:hideMark/>
          </w:tcPr>
          <w:p w14:paraId="7F3B2D5E"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85,8</w:t>
            </w:r>
          </w:p>
        </w:tc>
        <w:tc>
          <w:tcPr>
            <w:tcW w:w="480" w:type="pct"/>
            <w:noWrap/>
            <w:hideMark/>
          </w:tcPr>
          <w:p w14:paraId="1C4869BC"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78,3</w:t>
            </w:r>
          </w:p>
        </w:tc>
        <w:tc>
          <w:tcPr>
            <w:tcW w:w="444" w:type="pct"/>
            <w:noWrap/>
            <w:hideMark/>
          </w:tcPr>
          <w:p w14:paraId="210D0B12"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74,5</w:t>
            </w:r>
          </w:p>
        </w:tc>
        <w:tc>
          <w:tcPr>
            <w:tcW w:w="480" w:type="pct"/>
            <w:noWrap/>
            <w:hideMark/>
          </w:tcPr>
          <w:p w14:paraId="0C6E66BE"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62,1</w:t>
            </w:r>
          </w:p>
        </w:tc>
        <w:tc>
          <w:tcPr>
            <w:tcW w:w="480" w:type="pct"/>
            <w:noWrap/>
            <w:hideMark/>
          </w:tcPr>
          <w:p w14:paraId="02683928"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56,3</w:t>
            </w:r>
          </w:p>
        </w:tc>
      </w:tr>
      <w:tr w:rsidR="0039032C" w:rsidRPr="00976967" w14:paraId="35ACF40A" w14:textId="77777777" w:rsidTr="00DC4EF2">
        <w:trPr>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11678959" w14:textId="77777777" w:rsidR="000A3A42" w:rsidRPr="00976967" w:rsidRDefault="00235135"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Katar</w:t>
            </w:r>
          </w:p>
        </w:tc>
        <w:tc>
          <w:tcPr>
            <w:tcW w:w="790" w:type="pct"/>
            <w:noWrap/>
            <w:hideMark/>
          </w:tcPr>
          <w:p w14:paraId="4C0CD374"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50,2</w:t>
            </w:r>
          </w:p>
        </w:tc>
        <w:tc>
          <w:tcPr>
            <w:tcW w:w="444" w:type="pct"/>
            <w:noWrap/>
            <w:hideMark/>
          </w:tcPr>
          <w:p w14:paraId="2318E4DB"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45,7</w:t>
            </w:r>
          </w:p>
        </w:tc>
        <w:tc>
          <w:tcPr>
            <w:tcW w:w="480" w:type="pct"/>
            <w:noWrap/>
            <w:hideMark/>
          </w:tcPr>
          <w:p w14:paraId="0D1065A0"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52,0</w:t>
            </w:r>
          </w:p>
        </w:tc>
        <w:tc>
          <w:tcPr>
            <w:tcW w:w="444" w:type="pct"/>
            <w:noWrap/>
            <w:hideMark/>
          </w:tcPr>
          <w:p w14:paraId="49176A37"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56,7</w:t>
            </w:r>
          </w:p>
        </w:tc>
        <w:tc>
          <w:tcPr>
            <w:tcW w:w="480" w:type="pct"/>
            <w:noWrap/>
            <w:hideMark/>
          </w:tcPr>
          <w:p w14:paraId="22529793"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41,4</w:t>
            </w:r>
          </w:p>
        </w:tc>
        <w:tc>
          <w:tcPr>
            <w:tcW w:w="480" w:type="pct"/>
            <w:noWrap/>
            <w:hideMark/>
          </w:tcPr>
          <w:p w14:paraId="558DA2D7"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42,0</w:t>
            </w:r>
          </w:p>
        </w:tc>
      </w:tr>
      <w:tr w:rsidR="0039032C" w:rsidRPr="00976967" w14:paraId="0FBF1D92" w14:textId="77777777" w:rsidTr="00DC4E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471AE69E"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Saúdská Arábie</w:t>
            </w:r>
          </w:p>
        </w:tc>
        <w:tc>
          <w:tcPr>
            <w:tcW w:w="790" w:type="pct"/>
            <w:noWrap/>
            <w:hideMark/>
          </w:tcPr>
          <w:p w14:paraId="6E0E2412"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57,2</w:t>
            </w:r>
          </w:p>
        </w:tc>
        <w:tc>
          <w:tcPr>
            <w:tcW w:w="444" w:type="pct"/>
            <w:noWrap/>
            <w:hideMark/>
          </w:tcPr>
          <w:p w14:paraId="2F8ABD3A"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49,9</w:t>
            </w:r>
          </w:p>
        </w:tc>
        <w:tc>
          <w:tcPr>
            <w:tcW w:w="480" w:type="pct"/>
            <w:noWrap/>
            <w:hideMark/>
          </w:tcPr>
          <w:p w14:paraId="788A291E"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46,8</w:t>
            </w:r>
          </w:p>
        </w:tc>
        <w:tc>
          <w:tcPr>
            <w:tcW w:w="444" w:type="pct"/>
            <w:noWrap/>
            <w:hideMark/>
          </w:tcPr>
          <w:p w14:paraId="675855F0"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51,1</w:t>
            </w:r>
          </w:p>
        </w:tc>
        <w:tc>
          <w:tcPr>
            <w:tcW w:w="480" w:type="pct"/>
            <w:noWrap/>
            <w:hideMark/>
          </w:tcPr>
          <w:p w14:paraId="42E5C3B6"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47,6</w:t>
            </w:r>
          </w:p>
        </w:tc>
        <w:tc>
          <w:tcPr>
            <w:tcW w:w="480" w:type="pct"/>
            <w:noWrap/>
            <w:hideMark/>
          </w:tcPr>
          <w:p w14:paraId="0391E9B3"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50,7</w:t>
            </w:r>
          </w:p>
        </w:tc>
      </w:tr>
      <w:tr w:rsidR="0039032C" w:rsidRPr="00976967" w14:paraId="15694B6F" w14:textId="77777777" w:rsidTr="00DC4EF2">
        <w:trPr>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31DE1D97"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Spojené arabské emiráty</w:t>
            </w:r>
          </w:p>
        </w:tc>
        <w:tc>
          <w:tcPr>
            <w:tcW w:w="790" w:type="pct"/>
            <w:noWrap/>
            <w:hideMark/>
          </w:tcPr>
          <w:p w14:paraId="3122027F"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52,5</w:t>
            </w:r>
          </w:p>
        </w:tc>
        <w:tc>
          <w:tcPr>
            <w:tcW w:w="444" w:type="pct"/>
            <w:noWrap/>
            <w:hideMark/>
          </w:tcPr>
          <w:p w14:paraId="00C69769"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28,7</w:t>
            </w:r>
          </w:p>
        </w:tc>
        <w:tc>
          <w:tcPr>
            <w:tcW w:w="480" w:type="pct"/>
            <w:noWrap/>
            <w:hideMark/>
          </w:tcPr>
          <w:p w14:paraId="5DAB3F61"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28,3</w:t>
            </w:r>
          </w:p>
        </w:tc>
        <w:tc>
          <w:tcPr>
            <w:tcW w:w="444" w:type="pct"/>
            <w:noWrap/>
            <w:hideMark/>
          </w:tcPr>
          <w:p w14:paraId="0DAB5AD6"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26,3</w:t>
            </w:r>
          </w:p>
        </w:tc>
        <w:tc>
          <w:tcPr>
            <w:tcW w:w="480" w:type="pct"/>
            <w:noWrap/>
            <w:hideMark/>
          </w:tcPr>
          <w:p w14:paraId="01C88695"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29,7</w:t>
            </w:r>
          </w:p>
        </w:tc>
        <w:tc>
          <w:tcPr>
            <w:tcW w:w="480" w:type="pct"/>
            <w:noWrap/>
            <w:hideMark/>
          </w:tcPr>
          <w:p w14:paraId="04DFB682"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17,6</w:t>
            </w:r>
          </w:p>
        </w:tc>
      </w:tr>
      <w:tr w:rsidR="0039032C" w:rsidRPr="00976967" w14:paraId="73820C8B" w14:textId="77777777" w:rsidTr="00DC4E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037FA042" w14:textId="2FA73AC8"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Jemen</w:t>
            </w:r>
          </w:p>
        </w:tc>
        <w:tc>
          <w:tcPr>
            <w:tcW w:w="790" w:type="pct"/>
            <w:noWrap/>
            <w:hideMark/>
          </w:tcPr>
          <w:p w14:paraId="5233BE62"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145,0</w:t>
            </w:r>
          </w:p>
        </w:tc>
        <w:tc>
          <w:tcPr>
            <w:tcW w:w="444" w:type="pct"/>
            <w:noWrap/>
            <w:hideMark/>
          </w:tcPr>
          <w:p w14:paraId="261B92DA"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480" w:type="pct"/>
            <w:noWrap/>
            <w:hideMark/>
          </w:tcPr>
          <w:p w14:paraId="0ADD7DE1"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444" w:type="pct"/>
            <w:noWrap/>
            <w:hideMark/>
          </w:tcPr>
          <w:p w14:paraId="6E32DB8E"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480" w:type="pct"/>
            <w:noWrap/>
            <w:hideMark/>
          </w:tcPr>
          <w:p w14:paraId="301DC6FB"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480" w:type="pct"/>
            <w:noWrap/>
            <w:hideMark/>
          </w:tcPr>
          <w:p w14:paraId="01675059"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r>
      <w:tr w:rsidR="00DC4EF2" w:rsidRPr="00976967" w14:paraId="0182D76E" w14:textId="77777777" w:rsidTr="00DC4EF2">
        <w:trPr>
          <w:trHeight w:val="222"/>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66706941" w14:textId="115E37FC" w:rsidR="00DC4EF2" w:rsidRPr="00976967" w:rsidRDefault="00DC4EF2" w:rsidP="000A3A42">
            <w:pPr>
              <w:rPr>
                <w:rFonts w:eastAsia="Times New Roman" w:cs="Arial"/>
                <w:b w:val="0"/>
                <w:bCs w:val="0"/>
                <w:sz w:val="21"/>
                <w:szCs w:val="21"/>
                <w:lang w:eastAsia="cs-CZ"/>
              </w:rPr>
            </w:pPr>
            <w:r w:rsidRPr="00976967">
              <w:rPr>
                <w:rFonts w:eastAsia="Times New Roman" w:cs="Arial"/>
                <w:sz w:val="21"/>
                <w:szCs w:val="21"/>
                <w:lang w:eastAsia="cs-CZ"/>
              </w:rPr>
              <w:t>Kavkaz a střední Asie </w:t>
            </w:r>
          </w:p>
        </w:tc>
      </w:tr>
      <w:tr w:rsidR="0039032C" w:rsidRPr="00976967" w14:paraId="4C6AAE33" w14:textId="77777777" w:rsidTr="00DC4E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138F5142"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Ázerb</w:t>
            </w:r>
            <w:r w:rsidR="00235135" w:rsidRPr="00976967">
              <w:rPr>
                <w:rFonts w:eastAsia="Times New Roman" w:cs="Arial"/>
                <w:b w:val="0"/>
                <w:bCs w:val="0"/>
                <w:sz w:val="21"/>
                <w:szCs w:val="21"/>
                <w:lang w:eastAsia="cs-CZ"/>
              </w:rPr>
              <w:t>á</w:t>
            </w:r>
            <w:r w:rsidRPr="00976967">
              <w:rPr>
                <w:rFonts w:eastAsia="Times New Roman" w:cs="Arial"/>
                <w:b w:val="0"/>
                <w:bCs w:val="0"/>
                <w:sz w:val="21"/>
                <w:szCs w:val="21"/>
                <w:lang w:eastAsia="cs-CZ"/>
              </w:rPr>
              <w:t>jdžán</w:t>
            </w:r>
          </w:p>
        </w:tc>
        <w:tc>
          <w:tcPr>
            <w:tcW w:w="790" w:type="pct"/>
            <w:noWrap/>
            <w:hideMark/>
          </w:tcPr>
          <w:p w14:paraId="7C2D1097"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55,1</w:t>
            </w:r>
          </w:p>
        </w:tc>
        <w:tc>
          <w:tcPr>
            <w:tcW w:w="444" w:type="pct"/>
            <w:noWrap/>
            <w:hideMark/>
          </w:tcPr>
          <w:p w14:paraId="67E25E5C"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57,8</w:t>
            </w:r>
          </w:p>
        </w:tc>
        <w:tc>
          <w:tcPr>
            <w:tcW w:w="480" w:type="pct"/>
            <w:noWrap/>
            <w:hideMark/>
          </w:tcPr>
          <w:p w14:paraId="724AEE6C"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73,9</w:t>
            </w:r>
          </w:p>
        </w:tc>
        <w:tc>
          <w:tcPr>
            <w:tcW w:w="444" w:type="pct"/>
            <w:noWrap/>
            <w:hideMark/>
          </w:tcPr>
          <w:p w14:paraId="3FA9A0DE"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79,1</w:t>
            </w:r>
          </w:p>
        </w:tc>
        <w:tc>
          <w:tcPr>
            <w:tcW w:w="480" w:type="pct"/>
            <w:noWrap/>
            <w:hideMark/>
          </w:tcPr>
          <w:p w14:paraId="698D3365"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77,9</w:t>
            </w:r>
          </w:p>
        </w:tc>
        <w:tc>
          <w:tcPr>
            <w:tcW w:w="480" w:type="pct"/>
            <w:noWrap/>
            <w:hideMark/>
          </w:tcPr>
          <w:p w14:paraId="68F9A638"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91,3</w:t>
            </w:r>
          </w:p>
        </w:tc>
      </w:tr>
      <w:tr w:rsidR="0039032C" w:rsidRPr="00976967" w14:paraId="056DFE12" w14:textId="77777777" w:rsidTr="00DC4EF2">
        <w:trPr>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33A9BE08"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Kazachstán</w:t>
            </w:r>
          </w:p>
        </w:tc>
        <w:tc>
          <w:tcPr>
            <w:tcW w:w="790" w:type="pct"/>
            <w:noWrap/>
            <w:hideMark/>
          </w:tcPr>
          <w:p w14:paraId="11EC1B24"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86,0</w:t>
            </w:r>
          </w:p>
        </w:tc>
        <w:tc>
          <w:tcPr>
            <w:tcW w:w="444" w:type="pct"/>
            <w:noWrap/>
            <w:hideMark/>
          </w:tcPr>
          <w:p w14:paraId="29D9EC93"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82,7</w:t>
            </w:r>
          </w:p>
        </w:tc>
        <w:tc>
          <w:tcPr>
            <w:tcW w:w="480" w:type="pct"/>
            <w:noWrap/>
            <w:hideMark/>
          </w:tcPr>
          <w:p w14:paraId="28559B98"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76,0</w:t>
            </w:r>
          </w:p>
        </w:tc>
        <w:tc>
          <w:tcPr>
            <w:tcW w:w="444" w:type="pct"/>
            <w:noWrap/>
            <w:hideMark/>
          </w:tcPr>
          <w:p w14:paraId="773EE80A"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99,6</w:t>
            </w:r>
          </w:p>
        </w:tc>
        <w:tc>
          <w:tcPr>
            <w:tcW w:w="480" w:type="pct"/>
            <w:noWrap/>
            <w:hideMark/>
          </w:tcPr>
          <w:p w14:paraId="4358AEF6"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91,4</w:t>
            </w:r>
          </w:p>
        </w:tc>
        <w:tc>
          <w:tcPr>
            <w:tcW w:w="480" w:type="pct"/>
            <w:noWrap/>
            <w:hideMark/>
          </w:tcPr>
          <w:p w14:paraId="3C3CD96D"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79,6</w:t>
            </w:r>
          </w:p>
        </w:tc>
      </w:tr>
      <w:tr w:rsidR="0039032C" w:rsidRPr="00976967" w14:paraId="3011C20C" w14:textId="77777777" w:rsidTr="00DC4EF2">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67B8B95A"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Turkmenistán</w:t>
            </w:r>
          </w:p>
        </w:tc>
        <w:tc>
          <w:tcPr>
            <w:tcW w:w="790" w:type="pct"/>
            <w:noWrap/>
            <w:hideMark/>
          </w:tcPr>
          <w:p w14:paraId="34AB901B"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444" w:type="pct"/>
            <w:noWrap/>
            <w:hideMark/>
          </w:tcPr>
          <w:p w14:paraId="34C4308E"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62,6</w:t>
            </w:r>
          </w:p>
        </w:tc>
        <w:tc>
          <w:tcPr>
            <w:tcW w:w="480" w:type="pct"/>
            <w:noWrap/>
            <w:hideMark/>
          </w:tcPr>
          <w:p w14:paraId="65877BC5"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46,0</w:t>
            </w:r>
          </w:p>
        </w:tc>
        <w:tc>
          <w:tcPr>
            <w:tcW w:w="444" w:type="pct"/>
            <w:noWrap/>
            <w:hideMark/>
          </w:tcPr>
          <w:p w14:paraId="19A419A6"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57,1</w:t>
            </w:r>
          </w:p>
        </w:tc>
        <w:tc>
          <w:tcPr>
            <w:tcW w:w="480" w:type="pct"/>
            <w:noWrap/>
            <w:hideMark/>
          </w:tcPr>
          <w:p w14:paraId="4778AA0E"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51,7</w:t>
            </w:r>
          </w:p>
        </w:tc>
        <w:tc>
          <w:tcPr>
            <w:tcW w:w="480" w:type="pct"/>
            <w:noWrap/>
            <w:hideMark/>
          </w:tcPr>
          <w:p w14:paraId="7B20B020" w14:textId="77777777" w:rsidR="000A3A42" w:rsidRPr="00976967" w:rsidRDefault="000A3A42" w:rsidP="000A3A42">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40,7</w:t>
            </w:r>
          </w:p>
        </w:tc>
      </w:tr>
      <w:tr w:rsidR="0039032C" w:rsidRPr="00976967" w14:paraId="02E509B7" w14:textId="77777777" w:rsidTr="00DC4EF2">
        <w:trPr>
          <w:trHeight w:val="222"/>
        </w:trPr>
        <w:tc>
          <w:tcPr>
            <w:cnfStyle w:val="001000000000" w:firstRow="0" w:lastRow="0" w:firstColumn="1" w:lastColumn="0" w:oddVBand="0" w:evenVBand="0" w:oddHBand="0" w:evenHBand="0" w:firstRowFirstColumn="0" w:firstRowLastColumn="0" w:lastRowFirstColumn="0" w:lastRowLastColumn="0"/>
            <w:tcW w:w="1882" w:type="pct"/>
            <w:noWrap/>
            <w:hideMark/>
          </w:tcPr>
          <w:p w14:paraId="344E1B1B" w14:textId="77777777" w:rsidR="000A3A42" w:rsidRPr="00976967" w:rsidRDefault="000A3A42" w:rsidP="000A3A42">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Uzbekistán</w:t>
            </w:r>
          </w:p>
        </w:tc>
        <w:tc>
          <w:tcPr>
            <w:tcW w:w="790" w:type="pct"/>
            <w:noWrap/>
            <w:hideMark/>
          </w:tcPr>
          <w:p w14:paraId="33729EFF"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444" w:type="pct"/>
            <w:noWrap/>
            <w:hideMark/>
          </w:tcPr>
          <w:p w14:paraId="4F4A5B5A"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480" w:type="pct"/>
            <w:noWrap/>
            <w:hideMark/>
          </w:tcPr>
          <w:p w14:paraId="729F66CE"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444" w:type="pct"/>
            <w:noWrap/>
            <w:hideMark/>
          </w:tcPr>
          <w:p w14:paraId="6837E83E"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480" w:type="pct"/>
            <w:noWrap/>
            <w:hideMark/>
          </w:tcPr>
          <w:p w14:paraId="43D572A8"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480" w:type="pct"/>
            <w:noWrap/>
            <w:hideMark/>
          </w:tcPr>
          <w:p w14:paraId="6E9C7297" w14:textId="77777777" w:rsidR="000A3A42" w:rsidRPr="00976967" w:rsidRDefault="000A3A42" w:rsidP="000A3A42">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r>
      <w:tr w:rsidR="000A3A42" w:rsidRPr="00976967" w14:paraId="18358722" w14:textId="77777777" w:rsidTr="00DC4EF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000" w:type="pct"/>
            <w:gridSpan w:val="7"/>
            <w:hideMark/>
          </w:tcPr>
          <w:p w14:paraId="314AA8AB" w14:textId="0E85160B" w:rsidR="0039032C" w:rsidRPr="00976967" w:rsidRDefault="000A3A42" w:rsidP="000A3A42">
            <w:pPr>
              <w:rPr>
                <w:rFonts w:eastAsia="Times New Roman" w:cs="Arial"/>
                <w:b w:val="0"/>
                <w:bCs w:val="0"/>
                <w:sz w:val="21"/>
                <w:szCs w:val="21"/>
                <w:lang w:eastAsia="cs-CZ"/>
              </w:rPr>
            </w:pPr>
            <w:r w:rsidRPr="00976967">
              <w:rPr>
                <w:rFonts w:eastAsia="Times New Roman" w:cs="Arial"/>
                <w:b w:val="0"/>
                <w:bCs w:val="0"/>
                <w:sz w:val="21"/>
                <w:szCs w:val="21"/>
                <w:vertAlign w:val="superscript"/>
                <w:lang w:eastAsia="cs-CZ"/>
              </w:rPr>
              <w:t xml:space="preserve">1 </w:t>
            </w:r>
            <w:r w:rsidRPr="00976967">
              <w:rPr>
                <w:rFonts w:eastAsia="Times New Roman" w:cs="Arial"/>
                <w:b w:val="0"/>
                <w:bCs w:val="0"/>
                <w:sz w:val="21"/>
                <w:szCs w:val="21"/>
                <w:lang w:eastAsia="cs-CZ"/>
              </w:rPr>
              <w:t>Bod</w:t>
            </w:r>
            <w:r w:rsidR="002B6B2F">
              <w:rPr>
                <w:rFonts w:eastAsia="Times New Roman" w:cs="Arial"/>
                <w:b w:val="0"/>
                <w:bCs w:val="0"/>
                <w:sz w:val="21"/>
                <w:szCs w:val="21"/>
                <w:lang w:eastAsia="cs-CZ"/>
              </w:rPr>
              <w:t xml:space="preserve"> vnějšího</w:t>
            </w:r>
            <w:r w:rsidRPr="00976967">
              <w:rPr>
                <w:rFonts w:eastAsia="Times New Roman" w:cs="Arial"/>
                <w:b w:val="0"/>
                <w:bCs w:val="0"/>
                <w:sz w:val="21"/>
                <w:szCs w:val="21"/>
                <w:lang w:eastAsia="cs-CZ"/>
              </w:rPr>
              <w:t xml:space="preserve"> zvratu před povinným odvodem 10 % příjmu do Fondu budoucích generací včetně příjmů z investic. </w:t>
            </w:r>
          </w:p>
        </w:tc>
      </w:tr>
    </w:tbl>
    <w:p w14:paraId="26149366" w14:textId="1954C14D" w:rsidR="000A3A42" w:rsidRPr="00976967" w:rsidRDefault="00DC08A0" w:rsidP="00976967">
      <w:pPr>
        <w:autoSpaceDE w:val="0"/>
        <w:autoSpaceDN w:val="0"/>
        <w:adjustRightInd w:val="0"/>
        <w:spacing w:after="0" w:line="240" w:lineRule="auto"/>
        <w:jc w:val="center"/>
        <w:rPr>
          <w:color w:val="000000" w:themeColor="text1"/>
          <w:sz w:val="20"/>
          <w:szCs w:val="20"/>
          <w:shd w:val="clear" w:color="auto" w:fill="FFFFFF"/>
        </w:rPr>
      </w:pPr>
      <w:r w:rsidRPr="00976967">
        <w:rPr>
          <w:color w:val="000000" w:themeColor="text1"/>
          <w:sz w:val="20"/>
          <w:szCs w:val="20"/>
          <w:shd w:val="clear" w:color="auto" w:fill="FFFFFF"/>
        </w:rPr>
        <w:t xml:space="preserve">Zdroj: IMF </w:t>
      </w:r>
      <w:r w:rsidR="00976967" w:rsidRPr="00976967">
        <w:rPr>
          <w:color w:val="000000" w:themeColor="text1"/>
          <w:sz w:val="20"/>
          <w:szCs w:val="20"/>
          <w:shd w:val="clear" w:color="auto" w:fill="FFFFFF"/>
        </w:rPr>
        <w:t>2020a.</w:t>
      </w:r>
    </w:p>
    <w:p w14:paraId="2477F3E8" w14:textId="77777777" w:rsidR="00222678" w:rsidRDefault="00222678" w:rsidP="00222678">
      <w:pPr>
        <w:rPr>
          <w:color w:val="000000" w:themeColor="text1"/>
          <w:sz w:val="24"/>
          <w:szCs w:val="24"/>
          <w:shd w:val="clear" w:color="auto" w:fill="FFFFFF"/>
        </w:rPr>
      </w:pPr>
    </w:p>
    <w:p w14:paraId="7E676EFE" w14:textId="623BA00D" w:rsidR="00DC08A0" w:rsidRPr="00222678" w:rsidRDefault="00DC4EF2" w:rsidP="00976967">
      <w:pPr>
        <w:pStyle w:val="Nadpis3"/>
        <w:jc w:val="center"/>
        <w:rPr>
          <w:color w:val="000000" w:themeColor="text1"/>
          <w:shd w:val="clear" w:color="auto" w:fill="FFFFFF"/>
        </w:rPr>
      </w:pPr>
      <w:bookmarkStart w:id="32" w:name="_Toc61261287"/>
      <w:bookmarkStart w:id="33" w:name="_Toc61262037"/>
      <w:bookmarkStart w:id="34" w:name="_Toc61262161"/>
      <w:r>
        <w:rPr>
          <w:shd w:val="clear" w:color="auto" w:fill="FFFFFF"/>
        </w:rPr>
        <w:t>Tabulka 2: Ceny fiskálního zvratu</w:t>
      </w:r>
      <w:bookmarkEnd w:id="32"/>
      <w:bookmarkEnd w:id="33"/>
      <w:bookmarkEnd w:id="34"/>
    </w:p>
    <w:tbl>
      <w:tblPr>
        <w:tblStyle w:val="Tabulkasmkou2zvraznn1"/>
        <w:tblW w:w="0" w:type="auto"/>
        <w:tblLook w:val="04A0" w:firstRow="1" w:lastRow="0" w:firstColumn="1" w:lastColumn="0" w:noHBand="0" w:noVBand="1"/>
      </w:tblPr>
      <w:tblGrid>
        <w:gridCol w:w="3557"/>
        <w:gridCol w:w="1561"/>
        <w:gridCol w:w="904"/>
        <w:gridCol w:w="904"/>
        <w:gridCol w:w="904"/>
        <w:gridCol w:w="904"/>
        <w:gridCol w:w="904"/>
      </w:tblGrid>
      <w:tr w:rsidR="0039032C" w:rsidRPr="000A3A42" w14:paraId="04FB6B5E" w14:textId="77777777" w:rsidTr="009753B7">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71B5E7EB" w14:textId="77777777" w:rsidR="0039032C" w:rsidRPr="00976967" w:rsidRDefault="0039032C" w:rsidP="009753B7">
            <w:pPr>
              <w:rPr>
                <w:rFonts w:eastAsia="Times New Roman" w:cs="Arial"/>
                <w:sz w:val="21"/>
                <w:szCs w:val="21"/>
                <w:lang w:eastAsia="cs-CZ"/>
              </w:rPr>
            </w:pPr>
            <w:r w:rsidRPr="00976967">
              <w:rPr>
                <w:rFonts w:eastAsia="Times New Roman" w:cs="Arial"/>
                <w:sz w:val="21"/>
                <w:szCs w:val="21"/>
                <w:lang w:eastAsia="cs-CZ"/>
              </w:rPr>
              <w:t> </w:t>
            </w:r>
          </w:p>
        </w:tc>
        <w:tc>
          <w:tcPr>
            <w:tcW w:w="0" w:type="auto"/>
            <w:gridSpan w:val="4"/>
            <w:noWrap/>
            <w:hideMark/>
          </w:tcPr>
          <w:p w14:paraId="6A8F178F" w14:textId="77777777" w:rsidR="0039032C" w:rsidRPr="00976967" w:rsidRDefault="0039032C" w:rsidP="009753B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Průměr</w:t>
            </w:r>
          </w:p>
        </w:tc>
        <w:tc>
          <w:tcPr>
            <w:tcW w:w="0" w:type="auto"/>
            <w:gridSpan w:val="2"/>
            <w:noWrap/>
            <w:hideMark/>
          </w:tcPr>
          <w:p w14:paraId="0E87A617" w14:textId="77777777" w:rsidR="0039032C" w:rsidRPr="00976967" w:rsidRDefault="0039032C" w:rsidP="009753B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Projekce</w:t>
            </w:r>
          </w:p>
        </w:tc>
      </w:tr>
      <w:tr w:rsidR="0039032C" w:rsidRPr="000A3A42" w14:paraId="08F5E63B" w14:textId="77777777" w:rsidTr="009753B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3C52B2AA" w14:textId="77777777" w:rsidR="0039032C" w:rsidRPr="00976967" w:rsidRDefault="0039032C" w:rsidP="009753B7">
            <w:pPr>
              <w:rPr>
                <w:rFonts w:eastAsia="Times New Roman" w:cs="Arial"/>
                <w:sz w:val="21"/>
                <w:szCs w:val="21"/>
                <w:lang w:eastAsia="cs-CZ"/>
              </w:rPr>
            </w:pPr>
            <w:r w:rsidRPr="00976967">
              <w:rPr>
                <w:rFonts w:eastAsia="Times New Roman" w:cs="Arial"/>
                <w:sz w:val="21"/>
                <w:szCs w:val="21"/>
                <w:lang w:eastAsia="cs-CZ"/>
              </w:rPr>
              <w:t> </w:t>
            </w:r>
          </w:p>
        </w:tc>
        <w:tc>
          <w:tcPr>
            <w:tcW w:w="0" w:type="auto"/>
            <w:noWrap/>
            <w:hideMark/>
          </w:tcPr>
          <w:p w14:paraId="4B9D0277"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2000–2016</w:t>
            </w:r>
          </w:p>
        </w:tc>
        <w:tc>
          <w:tcPr>
            <w:tcW w:w="0" w:type="auto"/>
            <w:noWrap/>
            <w:hideMark/>
          </w:tcPr>
          <w:p w14:paraId="61747FD9"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2017</w:t>
            </w:r>
          </w:p>
        </w:tc>
        <w:tc>
          <w:tcPr>
            <w:tcW w:w="0" w:type="auto"/>
            <w:noWrap/>
            <w:hideMark/>
          </w:tcPr>
          <w:p w14:paraId="4D5981E5"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2018</w:t>
            </w:r>
          </w:p>
        </w:tc>
        <w:tc>
          <w:tcPr>
            <w:tcW w:w="0" w:type="auto"/>
            <w:noWrap/>
            <w:hideMark/>
          </w:tcPr>
          <w:p w14:paraId="7DD914C4"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2019</w:t>
            </w:r>
          </w:p>
        </w:tc>
        <w:tc>
          <w:tcPr>
            <w:tcW w:w="0" w:type="auto"/>
            <w:noWrap/>
            <w:hideMark/>
          </w:tcPr>
          <w:p w14:paraId="0BFE9699"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2020</w:t>
            </w:r>
          </w:p>
        </w:tc>
        <w:tc>
          <w:tcPr>
            <w:tcW w:w="0" w:type="auto"/>
            <w:noWrap/>
            <w:hideMark/>
          </w:tcPr>
          <w:p w14:paraId="40E41491"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2021</w:t>
            </w:r>
          </w:p>
        </w:tc>
      </w:tr>
      <w:tr w:rsidR="00DC4EF2" w:rsidRPr="000A3A42" w14:paraId="2BA39485" w14:textId="77777777" w:rsidTr="009753B7">
        <w:trPr>
          <w:trHeight w:val="222"/>
        </w:trPr>
        <w:tc>
          <w:tcPr>
            <w:cnfStyle w:val="001000000000" w:firstRow="0" w:lastRow="0" w:firstColumn="1" w:lastColumn="0" w:oddVBand="0" w:evenVBand="0" w:oddHBand="0" w:evenHBand="0" w:firstRowFirstColumn="0" w:firstRowLastColumn="0" w:lastRowFirstColumn="0" w:lastRowLastColumn="0"/>
            <w:tcW w:w="0" w:type="auto"/>
            <w:gridSpan w:val="7"/>
            <w:noWrap/>
            <w:hideMark/>
          </w:tcPr>
          <w:p w14:paraId="0220492A" w14:textId="4F6105B1" w:rsidR="00DC4EF2" w:rsidRPr="00976967" w:rsidRDefault="00DC4EF2" w:rsidP="00DC4EF2">
            <w:pPr>
              <w:rPr>
                <w:rFonts w:eastAsia="Times New Roman" w:cs="Arial"/>
                <w:b w:val="0"/>
                <w:bCs w:val="0"/>
                <w:sz w:val="21"/>
                <w:szCs w:val="21"/>
                <w:lang w:eastAsia="cs-CZ"/>
              </w:rPr>
            </w:pPr>
            <w:r w:rsidRPr="00976967">
              <w:rPr>
                <w:rFonts w:eastAsia="Times New Roman" w:cs="Arial"/>
                <w:sz w:val="21"/>
                <w:szCs w:val="21"/>
                <w:lang w:eastAsia="cs-CZ"/>
              </w:rPr>
              <w:t>MENA</w:t>
            </w:r>
          </w:p>
        </w:tc>
      </w:tr>
      <w:tr w:rsidR="00DC4EF2" w:rsidRPr="000A3A42" w14:paraId="528EBFCA" w14:textId="77777777" w:rsidTr="009753B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3D857801"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Alžírsko</w:t>
            </w:r>
          </w:p>
        </w:tc>
        <w:tc>
          <w:tcPr>
            <w:tcW w:w="0" w:type="auto"/>
            <w:noWrap/>
            <w:hideMark/>
          </w:tcPr>
          <w:p w14:paraId="445985FF"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102,6</w:t>
            </w:r>
          </w:p>
        </w:tc>
        <w:tc>
          <w:tcPr>
            <w:tcW w:w="0" w:type="auto"/>
            <w:noWrap/>
            <w:hideMark/>
          </w:tcPr>
          <w:p w14:paraId="397653FD"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91,4</w:t>
            </w:r>
          </w:p>
        </w:tc>
        <w:tc>
          <w:tcPr>
            <w:tcW w:w="0" w:type="auto"/>
            <w:noWrap/>
            <w:hideMark/>
          </w:tcPr>
          <w:p w14:paraId="0B80EE46"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101,4</w:t>
            </w:r>
          </w:p>
        </w:tc>
        <w:tc>
          <w:tcPr>
            <w:tcW w:w="0" w:type="auto"/>
            <w:noWrap/>
            <w:hideMark/>
          </w:tcPr>
          <w:p w14:paraId="6C41B357"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106,3</w:t>
            </w:r>
          </w:p>
        </w:tc>
        <w:tc>
          <w:tcPr>
            <w:tcW w:w="0" w:type="auto"/>
            <w:noWrap/>
            <w:hideMark/>
          </w:tcPr>
          <w:p w14:paraId="2F8A0E7C"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118,2</w:t>
            </w:r>
          </w:p>
        </w:tc>
        <w:tc>
          <w:tcPr>
            <w:tcW w:w="0" w:type="auto"/>
            <w:noWrap/>
            <w:hideMark/>
          </w:tcPr>
          <w:p w14:paraId="5E5A8AE1"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135,2</w:t>
            </w:r>
          </w:p>
        </w:tc>
      </w:tr>
      <w:tr w:rsidR="00DC4EF2" w:rsidRPr="00DC08A0" w14:paraId="258185F5" w14:textId="77777777" w:rsidTr="009753B7">
        <w:trPr>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4960915B"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Bahrajn</w:t>
            </w:r>
          </w:p>
        </w:tc>
        <w:tc>
          <w:tcPr>
            <w:tcW w:w="0" w:type="auto"/>
            <w:noWrap/>
            <w:hideMark/>
          </w:tcPr>
          <w:p w14:paraId="18B53C42"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76,0</w:t>
            </w:r>
          </w:p>
        </w:tc>
        <w:tc>
          <w:tcPr>
            <w:tcW w:w="0" w:type="auto"/>
            <w:noWrap/>
            <w:hideMark/>
          </w:tcPr>
          <w:p w14:paraId="7BD56E8A"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112,6</w:t>
            </w:r>
          </w:p>
        </w:tc>
        <w:tc>
          <w:tcPr>
            <w:tcW w:w="0" w:type="auto"/>
            <w:noWrap/>
            <w:hideMark/>
          </w:tcPr>
          <w:p w14:paraId="45FE97AC"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118,4</w:t>
            </w:r>
          </w:p>
        </w:tc>
        <w:tc>
          <w:tcPr>
            <w:tcW w:w="0" w:type="auto"/>
            <w:noWrap/>
            <w:hideMark/>
          </w:tcPr>
          <w:p w14:paraId="530D7EEB"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106,3</w:t>
            </w:r>
          </w:p>
        </w:tc>
        <w:tc>
          <w:tcPr>
            <w:tcW w:w="0" w:type="auto"/>
            <w:noWrap/>
            <w:hideMark/>
          </w:tcPr>
          <w:p w14:paraId="47CAEA9E"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93,2</w:t>
            </w:r>
          </w:p>
        </w:tc>
        <w:tc>
          <w:tcPr>
            <w:tcW w:w="0" w:type="auto"/>
            <w:noWrap/>
            <w:hideMark/>
          </w:tcPr>
          <w:p w14:paraId="4E9782CB"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83,4</w:t>
            </w:r>
          </w:p>
        </w:tc>
      </w:tr>
      <w:tr w:rsidR="00DC4EF2" w:rsidRPr="000A3A42" w14:paraId="74ED6463" w14:textId="77777777" w:rsidTr="009753B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74FCC42B"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Írán</w:t>
            </w:r>
          </w:p>
        </w:tc>
        <w:tc>
          <w:tcPr>
            <w:tcW w:w="0" w:type="auto"/>
            <w:noWrap/>
            <w:hideMark/>
          </w:tcPr>
          <w:p w14:paraId="1FFEA05B"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56,1</w:t>
            </w:r>
          </w:p>
        </w:tc>
        <w:tc>
          <w:tcPr>
            <w:tcW w:w="0" w:type="auto"/>
            <w:noWrap/>
            <w:hideMark/>
          </w:tcPr>
          <w:p w14:paraId="065A8AEB"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64,8</w:t>
            </w:r>
          </w:p>
        </w:tc>
        <w:tc>
          <w:tcPr>
            <w:tcW w:w="0" w:type="auto"/>
            <w:noWrap/>
            <w:hideMark/>
          </w:tcPr>
          <w:p w14:paraId="5A901443"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67,8</w:t>
            </w:r>
          </w:p>
        </w:tc>
        <w:tc>
          <w:tcPr>
            <w:tcW w:w="0" w:type="auto"/>
            <w:noWrap/>
            <w:hideMark/>
          </w:tcPr>
          <w:p w14:paraId="646645B3"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279,5</w:t>
            </w:r>
          </w:p>
        </w:tc>
        <w:tc>
          <w:tcPr>
            <w:tcW w:w="0" w:type="auto"/>
            <w:noWrap/>
            <w:hideMark/>
          </w:tcPr>
          <w:p w14:paraId="428CCB6E"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521,2</w:t>
            </w:r>
          </w:p>
        </w:tc>
        <w:tc>
          <w:tcPr>
            <w:tcW w:w="0" w:type="auto"/>
            <w:noWrap/>
            <w:hideMark/>
          </w:tcPr>
          <w:p w14:paraId="2E6507EA"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395,3</w:t>
            </w:r>
          </w:p>
        </w:tc>
      </w:tr>
      <w:tr w:rsidR="00DC4EF2" w:rsidRPr="000A3A42" w14:paraId="6415E35C" w14:textId="77777777" w:rsidTr="009753B7">
        <w:trPr>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523115A3"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Irák</w:t>
            </w:r>
          </w:p>
        </w:tc>
        <w:tc>
          <w:tcPr>
            <w:tcW w:w="0" w:type="auto"/>
            <w:noWrap/>
            <w:hideMark/>
          </w:tcPr>
          <w:p w14:paraId="4017E8CE"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82,5</w:t>
            </w:r>
          </w:p>
        </w:tc>
        <w:tc>
          <w:tcPr>
            <w:tcW w:w="0" w:type="auto"/>
            <w:noWrap/>
            <w:hideMark/>
          </w:tcPr>
          <w:p w14:paraId="704AF176"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42,3</w:t>
            </w:r>
          </w:p>
        </w:tc>
        <w:tc>
          <w:tcPr>
            <w:tcW w:w="0" w:type="auto"/>
            <w:noWrap/>
            <w:hideMark/>
          </w:tcPr>
          <w:p w14:paraId="061E38C7"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45,4</w:t>
            </w:r>
          </w:p>
        </w:tc>
        <w:tc>
          <w:tcPr>
            <w:tcW w:w="0" w:type="auto"/>
            <w:noWrap/>
            <w:hideMark/>
          </w:tcPr>
          <w:p w14:paraId="5074D5FA"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52,3</w:t>
            </w:r>
          </w:p>
        </w:tc>
        <w:tc>
          <w:tcPr>
            <w:tcW w:w="0" w:type="auto"/>
            <w:noWrap/>
            <w:hideMark/>
          </w:tcPr>
          <w:p w14:paraId="2D41ADB1"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63,6</w:t>
            </w:r>
          </w:p>
        </w:tc>
        <w:tc>
          <w:tcPr>
            <w:tcW w:w="0" w:type="auto"/>
            <w:noWrap/>
            <w:hideMark/>
          </w:tcPr>
          <w:p w14:paraId="4BB118EC"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64,0</w:t>
            </w:r>
          </w:p>
        </w:tc>
      </w:tr>
      <w:tr w:rsidR="00DC4EF2" w:rsidRPr="000A3A42" w14:paraId="643590B8" w14:textId="77777777" w:rsidTr="009753B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36C02128"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Kuvajt</w:t>
            </w:r>
            <w:r w:rsidRPr="00976967">
              <w:rPr>
                <w:rFonts w:eastAsia="Times New Roman" w:cs="Arial"/>
                <w:b w:val="0"/>
                <w:bCs w:val="0"/>
                <w:sz w:val="21"/>
                <w:szCs w:val="21"/>
                <w:vertAlign w:val="superscript"/>
                <w:lang w:eastAsia="cs-CZ"/>
              </w:rPr>
              <w:t>1</w:t>
            </w:r>
          </w:p>
        </w:tc>
        <w:tc>
          <w:tcPr>
            <w:tcW w:w="0" w:type="auto"/>
            <w:noWrap/>
            <w:hideMark/>
          </w:tcPr>
          <w:p w14:paraId="03C4C21E"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43,7</w:t>
            </w:r>
          </w:p>
        </w:tc>
        <w:tc>
          <w:tcPr>
            <w:tcW w:w="0" w:type="auto"/>
            <w:noWrap/>
            <w:hideMark/>
          </w:tcPr>
          <w:p w14:paraId="2E57B06C"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45,7</w:t>
            </w:r>
          </w:p>
        </w:tc>
        <w:tc>
          <w:tcPr>
            <w:tcW w:w="0" w:type="auto"/>
            <w:noWrap/>
            <w:hideMark/>
          </w:tcPr>
          <w:p w14:paraId="7517E98F"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53,6</w:t>
            </w:r>
          </w:p>
        </w:tc>
        <w:tc>
          <w:tcPr>
            <w:tcW w:w="0" w:type="auto"/>
            <w:noWrap/>
            <w:hideMark/>
          </w:tcPr>
          <w:p w14:paraId="31681A59"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53,0</w:t>
            </w:r>
          </w:p>
        </w:tc>
        <w:tc>
          <w:tcPr>
            <w:tcW w:w="0" w:type="auto"/>
            <w:noWrap/>
            <w:hideMark/>
          </w:tcPr>
          <w:p w14:paraId="01C78481"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64,5</w:t>
            </w:r>
          </w:p>
        </w:tc>
        <w:tc>
          <w:tcPr>
            <w:tcW w:w="0" w:type="auto"/>
            <w:noWrap/>
            <w:hideMark/>
          </w:tcPr>
          <w:p w14:paraId="5E32F6DE"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65,7</w:t>
            </w:r>
          </w:p>
        </w:tc>
      </w:tr>
      <w:tr w:rsidR="00DC4EF2" w:rsidRPr="000A3A42" w14:paraId="3409136B" w14:textId="77777777" w:rsidTr="009753B7">
        <w:trPr>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75FDCD2A"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Libye</w:t>
            </w:r>
          </w:p>
        </w:tc>
        <w:tc>
          <w:tcPr>
            <w:tcW w:w="0" w:type="auto"/>
            <w:noWrap/>
            <w:hideMark/>
          </w:tcPr>
          <w:p w14:paraId="24B4BACC"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80,7</w:t>
            </w:r>
          </w:p>
        </w:tc>
        <w:tc>
          <w:tcPr>
            <w:tcW w:w="0" w:type="auto"/>
            <w:noWrap/>
            <w:hideMark/>
          </w:tcPr>
          <w:p w14:paraId="446EE55F"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108,3</w:t>
            </w:r>
          </w:p>
        </w:tc>
        <w:tc>
          <w:tcPr>
            <w:tcW w:w="0" w:type="auto"/>
            <w:noWrap/>
            <w:hideMark/>
          </w:tcPr>
          <w:p w14:paraId="6D624F5E"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84,4</w:t>
            </w:r>
          </w:p>
        </w:tc>
        <w:tc>
          <w:tcPr>
            <w:tcW w:w="0" w:type="auto"/>
            <w:noWrap/>
            <w:hideMark/>
          </w:tcPr>
          <w:p w14:paraId="6F8BAB87"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66,7</w:t>
            </w:r>
          </w:p>
        </w:tc>
        <w:tc>
          <w:tcPr>
            <w:tcW w:w="0" w:type="auto"/>
            <w:noWrap/>
            <w:hideMark/>
          </w:tcPr>
          <w:p w14:paraId="5C4046EA"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414,8</w:t>
            </w:r>
          </w:p>
        </w:tc>
        <w:tc>
          <w:tcPr>
            <w:tcW w:w="0" w:type="auto"/>
            <w:noWrap/>
            <w:hideMark/>
          </w:tcPr>
          <w:p w14:paraId="28ED5600"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124,4</w:t>
            </w:r>
          </w:p>
        </w:tc>
      </w:tr>
      <w:tr w:rsidR="00DC4EF2" w:rsidRPr="000A3A42" w14:paraId="13235C38" w14:textId="77777777" w:rsidTr="009753B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5B3ACC68"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Omán</w:t>
            </w:r>
          </w:p>
        </w:tc>
        <w:tc>
          <w:tcPr>
            <w:tcW w:w="0" w:type="auto"/>
            <w:noWrap/>
            <w:hideMark/>
          </w:tcPr>
          <w:p w14:paraId="79C09821"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65,3</w:t>
            </w:r>
          </w:p>
        </w:tc>
        <w:tc>
          <w:tcPr>
            <w:tcW w:w="0" w:type="auto"/>
            <w:noWrap/>
            <w:hideMark/>
          </w:tcPr>
          <w:p w14:paraId="6C992ED5"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96,9</w:t>
            </w:r>
          </w:p>
        </w:tc>
        <w:tc>
          <w:tcPr>
            <w:tcW w:w="0" w:type="auto"/>
            <w:noWrap/>
            <w:hideMark/>
          </w:tcPr>
          <w:p w14:paraId="4BA6A387"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96,7</w:t>
            </w:r>
          </w:p>
        </w:tc>
        <w:tc>
          <w:tcPr>
            <w:tcW w:w="0" w:type="auto"/>
            <w:noWrap/>
            <w:hideMark/>
          </w:tcPr>
          <w:p w14:paraId="52DC5F83"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92,9</w:t>
            </w:r>
          </w:p>
        </w:tc>
        <w:tc>
          <w:tcPr>
            <w:tcW w:w="0" w:type="auto"/>
            <w:noWrap/>
            <w:hideMark/>
          </w:tcPr>
          <w:p w14:paraId="6B490CE3"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104,5</w:t>
            </w:r>
          </w:p>
        </w:tc>
        <w:tc>
          <w:tcPr>
            <w:tcW w:w="0" w:type="auto"/>
            <w:noWrap/>
            <w:hideMark/>
          </w:tcPr>
          <w:p w14:paraId="6C805AAC"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109,5</w:t>
            </w:r>
          </w:p>
        </w:tc>
      </w:tr>
      <w:tr w:rsidR="00DC4EF2" w:rsidRPr="000A3A42" w14:paraId="4B88BCDC" w14:textId="77777777" w:rsidTr="009753B7">
        <w:trPr>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4E957AD4"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Katar</w:t>
            </w:r>
          </w:p>
        </w:tc>
        <w:tc>
          <w:tcPr>
            <w:tcW w:w="0" w:type="auto"/>
            <w:noWrap/>
            <w:hideMark/>
          </w:tcPr>
          <w:p w14:paraId="5795F07B"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44,3</w:t>
            </w:r>
          </w:p>
        </w:tc>
        <w:tc>
          <w:tcPr>
            <w:tcW w:w="0" w:type="auto"/>
            <w:noWrap/>
            <w:hideMark/>
          </w:tcPr>
          <w:p w14:paraId="2E3773E1"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46,9</w:t>
            </w:r>
          </w:p>
        </w:tc>
        <w:tc>
          <w:tcPr>
            <w:tcW w:w="0" w:type="auto"/>
            <w:noWrap/>
            <w:hideMark/>
          </w:tcPr>
          <w:p w14:paraId="2065465F"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48,7</w:t>
            </w:r>
          </w:p>
        </w:tc>
        <w:tc>
          <w:tcPr>
            <w:tcW w:w="0" w:type="auto"/>
            <w:noWrap/>
            <w:hideMark/>
          </w:tcPr>
          <w:p w14:paraId="684976DD"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46,6</w:t>
            </w:r>
          </w:p>
        </w:tc>
        <w:tc>
          <w:tcPr>
            <w:tcW w:w="0" w:type="auto"/>
            <w:noWrap/>
            <w:hideMark/>
          </w:tcPr>
          <w:p w14:paraId="6561D9A5"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42,0</w:t>
            </w:r>
          </w:p>
        </w:tc>
        <w:tc>
          <w:tcPr>
            <w:tcW w:w="0" w:type="auto"/>
            <w:noWrap/>
            <w:hideMark/>
          </w:tcPr>
          <w:p w14:paraId="75E77537"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38,1</w:t>
            </w:r>
          </w:p>
        </w:tc>
      </w:tr>
      <w:tr w:rsidR="00DC4EF2" w:rsidRPr="000A3A42" w14:paraId="0571D541" w14:textId="77777777" w:rsidTr="009753B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57C223C1"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Saúdská Arábie</w:t>
            </w:r>
          </w:p>
        </w:tc>
        <w:tc>
          <w:tcPr>
            <w:tcW w:w="0" w:type="auto"/>
            <w:noWrap/>
            <w:hideMark/>
          </w:tcPr>
          <w:p w14:paraId="4DE2892A"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80,0</w:t>
            </w:r>
          </w:p>
        </w:tc>
        <w:tc>
          <w:tcPr>
            <w:tcW w:w="0" w:type="auto"/>
            <w:noWrap/>
            <w:hideMark/>
          </w:tcPr>
          <w:p w14:paraId="06B4F93C"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83,7</w:t>
            </w:r>
          </w:p>
        </w:tc>
        <w:tc>
          <w:tcPr>
            <w:tcW w:w="0" w:type="auto"/>
            <w:noWrap/>
            <w:hideMark/>
          </w:tcPr>
          <w:p w14:paraId="67CA38A1"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88,6</w:t>
            </w:r>
          </w:p>
        </w:tc>
        <w:tc>
          <w:tcPr>
            <w:tcW w:w="0" w:type="auto"/>
            <w:noWrap/>
            <w:hideMark/>
          </w:tcPr>
          <w:p w14:paraId="53EB5D6A"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82,6</w:t>
            </w:r>
          </w:p>
        </w:tc>
        <w:tc>
          <w:tcPr>
            <w:tcW w:w="0" w:type="auto"/>
            <w:noWrap/>
            <w:hideMark/>
          </w:tcPr>
          <w:p w14:paraId="076B9F0D"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78,2</w:t>
            </w:r>
          </w:p>
        </w:tc>
        <w:tc>
          <w:tcPr>
            <w:tcW w:w="0" w:type="auto"/>
            <w:noWrap/>
            <w:hideMark/>
          </w:tcPr>
          <w:p w14:paraId="46C16CA5"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67,9</w:t>
            </w:r>
          </w:p>
        </w:tc>
      </w:tr>
      <w:tr w:rsidR="00DC4EF2" w:rsidRPr="000A3A42" w14:paraId="5191BCB6" w14:textId="77777777" w:rsidTr="009753B7">
        <w:trPr>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7B0ED3E2"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Spojené arabské emiráty</w:t>
            </w:r>
          </w:p>
        </w:tc>
        <w:tc>
          <w:tcPr>
            <w:tcW w:w="0" w:type="auto"/>
            <w:noWrap/>
            <w:hideMark/>
          </w:tcPr>
          <w:p w14:paraId="02E38AED"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48,0</w:t>
            </w:r>
          </w:p>
        </w:tc>
        <w:tc>
          <w:tcPr>
            <w:tcW w:w="0" w:type="auto"/>
            <w:noWrap/>
            <w:hideMark/>
          </w:tcPr>
          <w:p w14:paraId="6E556975"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62,0</w:t>
            </w:r>
          </w:p>
        </w:tc>
        <w:tc>
          <w:tcPr>
            <w:tcW w:w="0" w:type="auto"/>
            <w:noWrap/>
            <w:hideMark/>
          </w:tcPr>
          <w:p w14:paraId="5DBB92A8"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64,1</w:t>
            </w:r>
          </w:p>
        </w:tc>
        <w:tc>
          <w:tcPr>
            <w:tcW w:w="0" w:type="auto"/>
            <w:noWrap/>
            <w:hideMark/>
          </w:tcPr>
          <w:p w14:paraId="7FF63030"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67,1</w:t>
            </w:r>
          </w:p>
        </w:tc>
        <w:tc>
          <w:tcPr>
            <w:tcW w:w="0" w:type="auto"/>
            <w:noWrap/>
            <w:hideMark/>
          </w:tcPr>
          <w:p w14:paraId="22A396A1"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75,9</w:t>
            </w:r>
          </w:p>
        </w:tc>
        <w:tc>
          <w:tcPr>
            <w:tcW w:w="0" w:type="auto"/>
            <w:noWrap/>
            <w:hideMark/>
          </w:tcPr>
          <w:p w14:paraId="78D65542"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66,5</w:t>
            </w:r>
          </w:p>
        </w:tc>
      </w:tr>
      <w:tr w:rsidR="00DC4EF2" w:rsidRPr="000A3A42" w14:paraId="2D32810C" w14:textId="77777777" w:rsidTr="009753B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5F017625" w14:textId="610C3F22"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Jemen</w:t>
            </w:r>
          </w:p>
        </w:tc>
        <w:tc>
          <w:tcPr>
            <w:tcW w:w="0" w:type="auto"/>
            <w:noWrap/>
            <w:hideMark/>
          </w:tcPr>
          <w:p w14:paraId="561E5616"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218,0</w:t>
            </w:r>
          </w:p>
        </w:tc>
        <w:tc>
          <w:tcPr>
            <w:tcW w:w="0" w:type="auto"/>
            <w:noWrap/>
            <w:hideMark/>
          </w:tcPr>
          <w:p w14:paraId="64D9725E"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125,0</w:t>
            </w:r>
          </w:p>
        </w:tc>
        <w:tc>
          <w:tcPr>
            <w:tcW w:w="0" w:type="auto"/>
            <w:noWrap/>
            <w:hideMark/>
          </w:tcPr>
          <w:p w14:paraId="05055AF7"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0" w:type="auto"/>
            <w:noWrap/>
            <w:hideMark/>
          </w:tcPr>
          <w:p w14:paraId="397F6EE7"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0" w:type="auto"/>
            <w:noWrap/>
            <w:hideMark/>
          </w:tcPr>
          <w:p w14:paraId="68CE5E18"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0" w:type="auto"/>
            <w:noWrap/>
            <w:hideMark/>
          </w:tcPr>
          <w:p w14:paraId="4FFCB82D"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r>
      <w:tr w:rsidR="00DC4EF2" w:rsidRPr="000A3A42" w14:paraId="23C1CB20" w14:textId="77777777" w:rsidTr="009753B7">
        <w:trPr>
          <w:trHeight w:val="222"/>
        </w:trPr>
        <w:tc>
          <w:tcPr>
            <w:cnfStyle w:val="001000000000" w:firstRow="0" w:lastRow="0" w:firstColumn="1" w:lastColumn="0" w:oddVBand="0" w:evenVBand="0" w:oddHBand="0" w:evenHBand="0" w:firstRowFirstColumn="0" w:firstRowLastColumn="0" w:lastRowFirstColumn="0" w:lastRowLastColumn="0"/>
            <w:tcW w:w="0" w:type="auto"/>
            <w:gridSpan w:val="7"/>
            <w:noWrap/>
            <w:hideMark/>
          </w:tcPr>
          <w:p w14:paraId="60792D0A" w14:textId="6C145DBD" w:rsidR="00DC4EF2" w:rsidRPr="00976967" w:rsidRDefault="00DC4EF2" w:rsidP="009753B7">
            <w:pPr>
              <w:rPr>
                <w:rFonts w:eastAsia="Times New Roman" w:cs="Arial"/>
                <w:b w:val="0"/>
                <w:bCs w:val="0"/>
                <w:sz w:val="21"/>
                <w:szCs w:val="21"/>
                <w:lang w:eastAsia="cs-CZ"/>
              </w:rPr>
            </w:pPr>
            <w:r w:rsidRPr="00976967">
              <w:rPr>
                <w:rFonts w:eastAsia="Times New Roman" w:cs="Arial"/>
                <w:sz w:val="21"/>
                <w:szCs w:val="21"/>
                <w:lang w:eastAsia="cs-CZ"/>
              </w:rPr>
              <w:t>Kavkaz a střední Asie</w:t>
            </w:r>
          </w:p>
        </w:tc>
      </w:tr>
      <w:tr w:rsidR="00DC4EF2" w:rsidRPr="000A3A42" w14:paraId="5BE66E02" w14:textId="77777777" w:rsidTr="009753B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5C9A5314"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Ázerbájdžán</w:t>
            </w:r>
          </w:p>
        </w:tc>
        <w:tc>
          <w:tcPr>
            <w:tcW w:w="0" w:type="auto"/>
            <w:noWrap/>
            <w:hideMark/>
          </w:tcPr>
          <w:p w14:paraId="277218E8"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51,6</w:t>
            </w:r>
          </w:p>
        </w:tc>
        <w:tc>
          <w:tcPr>
            <w:tcW w:w="0" w:type="auto"/>
            <w:noWrap/>
            <w:hideMark/>
          </w:tcPr>
          <w:p w14:paraId="5F3252AC"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60,9</w:t>
            </w:r>
          </w:p>
        </w:tc>
        <w:tc>
          <w:tcPr>
            <w:tcW w:w="0" w:type="auto"/>
            <w:noWrap/>
            <w:hideMark/>
          </w:tcPr>
          <w:p w14:paraId="289A7AE2"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56,5</w:t>
            </w:r>
          </w:p>
        </w:tc>
        <w:tc>
          <w:tcPr>
            <w:tcW w:w="0" w:type="auto"/>
            <w:noWrap/>
            <w:hideMark/>
          </w:tcPr>
          <w:p w14:paraId="4969073E"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45,1</w:t>
            </w:r>
          </w:p>
        </w:tc>
        <w:tc>
          <w:tcPr>
            <w:tcW w:w="0" w:type="auto"/>
            <w:noWrap/>
            <w:hideMark/>
          </w:tcPr>
          <w:p w14:paraId="5D47B8E0"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63,0</w:t>
            </w:r>
          </w:p>
        </w:tc>
        <w:tc>
          <w:tcPr>
            <w:tcW w:w="0" w:type="auto"/>
            <w:noWrap/>
            <w:hideMark/>
          </w:tcPr>
          <w:p w14:paraId="238C6409"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67,4</w:t>
            </w:r>
          </w:p>
        </w:tc>
      </w:tr>
      <w:tr w:rsidR="00DC4EF2" w:rsidRPr="000A3A42" w14:paraId="37366681" w14:textId="77777777" w:rsidTr="009753B7">
        <w:trPr>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32171A2B"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Kazachstán</w:t>
            </w:r>
          </w:p>
        </w:tc>
        <w:tc>
          <w:tcPr>
            <w:tcW w:w="0" w:type="auto"/>
            <w:noWrap/>
            <w:hideMark/>
          </w:tcPr>
          <w:p w14:paraId="3B53BC7D"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0" w:type="auto"/>
            <w:noWrap/>
            <w:hideMark/>
          </w:tcPr>
          <w:p w14:paraId="1672CB39"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105,2</w:t>
            </w:r>
          </w:p>
        </w:tc>
        <w:tc>
          <w:tcPr>
            <w:tcW w:w="0" w:type="auto"/>
            <w:noWrap/>
            <w:hideMark/>
          </w:tcPr>
          <w:p w14:paraId="4CEB0BF1"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37,9</w:t>
            </w:r>
          </w:p>
        </w:tc>
        <w:tc>
          <w:tcPr>
            <w:tcW w:w="0" w:type="auto"/>
            <w:noWrap/>
            <w:hideMark/>
          </w:tcPr>
          <w:p w14:paraId="70360C44"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68,4</w:t>
            </w:r>
          </w:p>
        </w:tc>
        <w:tc>
          <w:tcPr>
            <w:tcW w:w="0" w:type="auto"/>
            <w:noWrap/>
            <w:hideMark/>
          </w:tcPr>
          <w:p w14:paraId="6481863C"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100,7</w:t>
            </w:r>
          </w:p>
        </w:tc>
        <w:tc>
          <w:tcPr>
            <w:tcW w:w="0" w:type="auto"/>
            <w:noWrap/>
            <w:hideMark/>
          </w:tcPr>
          <w:p w14:paraId="58079D9D"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87,0</w:t>
            </w:r>
          </w:p>
        </w:tc>
      </w:tr>
      <w:tr w:rsidR="00DC4EF2" w:rsidRPr="000A3A42" w14:paraId="3723F566" w14:textId="77777777" w:rsidTr="009753B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3D072DDE"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Turkmenistán</w:t>
            </w:r>
          </w:p>
        </w:tc>
        <w:tc>
          <w:tcPr>
            <w:tcW w:w="0" w:type="auto"/>
            <w:noWrap/>
            <w:hideMark/>
          </w:tcPr>
          <w:p w14:paraId="577770AB"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0" w:type="auto"/>
            <w:noWrap/>
            <w:hideMark/>
          </w:tcPr>
          <w:p w14:paraId="1C2A33DA"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55,9</w:t>
            </w:r>
          </w:p>
        </w:tc>
        <w:tc>
          <w:tcPr>
            <w:tcW w:w="0" w:type="auto"/>
            <w:noWrap/>
            <w:hideMark/>
          </w:tcPr>
          <w:p w14:paraId="1A1402F8"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60,9</w:t>
            </w:r>
          </w:p>
        </w:tc>
        <w:tc>
          <w:tcPr>
            <w:tcW w:w="0" w:type="auto"/>
            <w:noWrap/>
            <w:hideMark/>
          </w:tcPr>
          <w:p w14:paraId="0CC2B698"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55,1</w:t>
            </w:r>
          </w:p>
        </w:tc>
        <w:tc>
          <w:tcPr>
            <w:tcW w:w="0" w:type="auto"/>
            <w:noWrap/>
            <w:hideMark/>
          </w:tcPr>
          <w:p w14:paraId="24E3982C"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45,7</w:t>
            </w:r>
          </w:p>
        </w:tc>
        <w:tc>
          <w:tcPr>
            <w:tcW w:w="0" w:type="auto"/>
            <w:noWrap/>
            <w:hideMark/>
          </w:tcPr>
          <w:p w14:paraId="4A51973E" w14:textId="77777777" w:rsidR="0039032C" w:rsidRPr="00976967" w:rsidRDefault="0039032C" w:rsidP="009753B7">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49,2</w:t>
            </w:r>
          </w:p>
        </w:tc>
      </w:tr>
      <w:tr w:rsidR="00DC4EF2" w:rsidRPr="000A3A42" w14:paraId="5EEE3F03" w14:textId="77777777" w:rsidTr="009753B7">
        <w:trPr>
          <w:trHeight w:val="222"/>
        </w:trPr>
        <w:tc>
          <w:tcPr>
            <w:cnfStyle w:val="001000000000" w:firstRow="0" w:lastRow="0" w:firstColumn="1" w:lastColumn="0" w:oddVBand="0" w:evenVBand="0" w:oddHBand="0" w:evenHBand="0" w:firstRowFirstColumn="0" w:firstRowLastColumn="0" w:lastRowFirstColumn="0" w:lastRowLastColumn="0"/>
            <w:tcW w:w="0" w:type="auto"/>
            <w:noWrap/>
            <w:hideMark/>
          </w:tcPr>
          <w:p w14:paraId="798A15A7" w14:textId="77777777" w:rsidR="0039032C" w:rsidRPr="00976967" w:rsidRDefault="0039032C" w:rsidP="009753B7">
            <w:pPr>
              <w:ind w:firstLineChars="200" w:firstLine="420"/>
              <w:rPr>
                <w:rFonts w:eastAsia="Times New Roman" w:cs="Arial"/>
                <w:b w:val="0"/>
                <w:bCs w:val="0"/>
                <w:sz w:val="21"/>
                <w:szCs w:val="21"/>
                <w:lang w:eastAsia="cs-CZ"/>
              </w:rPr>
            </w:pPr>
            <w:r w:rsidRPr="00976967">
              <w:rPr>
                <w:rFonts w:eastAsia="Times New Roman" w:cs="Arial"/>
                <w:b w:val="0"/>
                <w:bCs w:val="0"/>
                <w:sz w:val="21"/>
                <w:szCs w:val="21"/>
                <w:lang w:eastAsia="cs-CZ"/>
              </w:rPr>
              <w:t>Uzbekistán</w:t>
            </w:r>
          </w:p>
        </w:tc>
        <w:tc>
          <w:tcPr>
            <w:tcW w:w="0" w:type="auto"/>
            <w:noWrap/>
            <w:hideMark/>
          </w:tcPr>
          <w:p w14:paraId="416DB26F"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0" w:type="auto"/>
            <w:noWrap/>
            <w:hideMark/>
          </w:tcPr>
          <w:p w14:paraId="28633573"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0" w:type="auto"/>
            <w:noWrap/>
            <w:hideMark/>
          </w:tcPr>
          <w:p w14:paraId="0106508D"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0" w:type="auto"/>
            <w:noWrap/>
            <w:hideMark/>
          </w:tcPr>
          <w:p w14:paraId="6A4CE78B"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0" w:type="auto"/>
            <w:noWrap/>
            <w:hideMark/>
          </w:tcPr>
          <w:p w14:paraId="235BB3CA"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c>
          <w:tcPr>
            <w:tcW w:w="0" w:type="auto"/>
            <w:noWrap/>
            <w:hideMark/>
          </w:tcPr>
          <w:p w14:paraId="100D07BB" w14:textId="77777777" w:rsidR="0039032C" w:rsidRPr="00976967" w:rsidRDefault="0039032C" w:rsidP="009753B7">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eastAsia="cs-CZ"/>
              </w:rPr>
            </w:pPr>
            <w:r w:rsidRPr="00976967">
              <w:rPr>
                <w:rFonts w:eastAsia="Times New Roman" w:cs="Arial"/>
                <w:sz w:val="21"/>
                <w:szCs w:val="21"/>
                <w:lang w:eastAsia="cs-CZ"/>
              </w:rPr>
              <w:t>...</w:t>
            </w:r>
          </w:p>
        </w:tc>
      </w:tr>
      <w:tr w:rsidR="0039032C" w:rsidRPr="000A3A42" w14:paraId="6A853A8A" w14:textId="77777777" w:rsidTr="00DC4EF2">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gridSpan w:val="7"/>
            <w:hideMark/>
          </w:tcPr>
          <w:p w14:paraId="1E602C03" w14:textId="286A49B7" w:rsidR="0039032C" w:rsidRPr="00976967" w:rsidRDefault="0039032C" w:rsidP="009753B7">
            <w:pPr>
              <w:rPr>
                <w:rFonts w:eastAsia="Times New Roman" w:cs="Arial"/>
                <w:b w:val="0"/>
                <w:bCs w:val="0"/>
                <w:sz w:val="21"/>
                <w:szCs w:val="21"/>
                <w:lang w:eastAsia="cs-CZ"/>
              </w:rPr>
            </w:pPr>
            <w:r w:rsidRPr="00976967">
              <w:rPr>
                <w:rFonts w:eastAsia="Times New Roman" w:cs="Arial"/>
                <w:b w:val="0"/>
                <w:bCs w:val="0"/>
                <w:sz w:val="21"/>
                <w:szCs w:val="21"/>
                <w:vertAlign w:val="superscript"/>
                <w:lang w:eastAsia="cs-CZ"/>
              </w:rPr>
              <w:t xml:space="preserve">1 </w:t>
            </w:r>
            <w:r w:rsidRPr="00976967">
              <w:rPr>
                <w:rFonts w:eastAsia="Times New Roman" w:cs="Arial"/>
                <w:b w:val="0"/>
                <w:bCs w:val="0"/>
                <w:sz w:val="21"/>
                <w:szCs w:val="21"/>
                <w:lang w:eastAsia="cs-CZ"/>
              </w:rPr>
              <w:t>Bod fiskálního zvratu před povinným odvodem 10 % příjmu do Fondu budoucích generací včetně příjmů z investic.</w:t>
            </w:r>
          </w:p>
        </w:tc>
      </w:tr>
    </w:tbl>
    <w:p w14:paraId="17B9306B" w14:textId="31054E3C" w:rsidR="00CD4874" w:rsidRPr="00976967" w:rsidRDefault="00CD4874" w:rsidP="00976967">
      <w:pPr>
        <w:autoSpaceDE w:val="0"/>
        <w:autoSpaceDN w:val="0"/>
        <w:adjustRightInd w:val="0"/>
        <w:spacing w:after="0" w:line="240" w:lineRule="auto"/>
        <w:jc w:val="center"/>
        <w:rPr>
          <w:color w:val="000000" w:themeColor="text1"/>
          <w:sz w:val="20"/>
          <w:szCs w:val="20"/>
          <w:shd w:val="clear" w:color="auto" w:fill="FFFFFF"/>
        </w:rPr>
      </w:pPr>
      <w:r w:rsidRPr="00976967">
        <w:rPr>
          <w:color w:val="000000" w:themeColor="text1"/>
          <w:sz w:val="20"/>
          <w:szCs w:val="20"/>
          <w:shd w:val="clear" w:color="auto" w:fill="FFFFFF"/>
        </w:rPr>
        <w:t xml:space="preserve">Zdroj: IMF </w:t>
      </w:r>
      <w:r w:rsidR="00976967" w:rsidRPr="00976967">
        <w:rPr>
          <w:color w:val="000000" w:themeColor="text1"/>
          <w:sz w:val="20"/>
          <w:szCs w:val="20"/>
          <w:shd w:val="clear" w:color="auto" w:fill="FFFFFF"/>
        </w:rPr>
        <w:t>2020a.</w:t>
      </w:r>
    </w:p>
    <w:p w14:paraId="3BCEBC95" w14:textId="05256105" w:rsidR="0039032C" w:rsidRDefault="0039032C" w:rsidP="007B572A">
      <w:pPr>
        <w:autoSpaceDE w:val="0"/>
        <w:autoSpaceDN w:val="0"/>
        <w:adjustRightInd w:val="0"/>
        <w:spacing w:after="0" w:line="240" w:lineRule="auto"/>
        <w:ind w:firstLine="567"/>
        <w:jc w:val="both"/>
        <w:rPr>
          <w:color w:val="000000" w:themeColor="text1"/>
          <w:sz w:val="24"/>
          <w:szCs w:val="24"/>
          <w:shd w:val="clear" w:color="auto" w:fill="FFFFFF"/>
        </w:rPr>
      </w:pPr>
    </w:p>
    <w:p w14:paraId="4DF891A5" w14:textId="0B7333CB" w:rsidR="001F1FFB" w:rsidRPr="00976967" w:rsidRDefault="001F1FFB" w:rsidP="00F1190A">
      <w:pPr>
        <w:autoSpaceDE w:val="0"/>
        <w:autoSpaceDN w:val="0"/>
        <w:adjustRightInd w:val="0"/>
        <w:spacing w:after="100" w:afterAutospacing="1" w:line="240" w:lineRule="auto"/>
        <w:ind w:firstLine="567"/>
        <w:jc w:val="both"/>
        <w:rPr>
          <w:color w:val="000000" w:themeColor="text1"/>
          <w:sz w:val="24"/>
          <w:szCs w:val="24"/>
          <w:shd w:val="clear" w:color="auto" w:fill="FFFFFF"/>
        </w:rPr>
      </w:pPr>
      <w:r w:rsidRPr="00976967">
        <w:rPr>
          <w:color w:val="000000" w:themeColor="text1"/>
          <w:sz w:val="24"/>
          <w:szCs w:val="24"/>
          <w:shd w:val="clear" w:color="auto" w:fill="FFFFFF"/>
        </w:rPr>
        <w:lastRenderedPageBreak/>
        <w:t>Původně se mělo za to, že v roce 2020 bude průměrná cena ropy 41,69 USD (IMF</w:t>
      </w:r>
      <w:r w:rsidR="00976967">
        <w:rPr>
          <w:color w:val="000000" w:themeColor="text1"/>
          <w:sz w:val="24"/>
          <w:szCs w:val="24"/>
          <w:shd w:val="clear" w:color="auto" w:fill="FFFFFF"/>
        </w:rPr>
        <w:t xml:space="preserve"> </w:t>
      </w:r>
      <w:r w:rsidRPr="00976967">
        <w:rPr>
          <w:color w:val="000000" w:themeColor="text1"/>
          <w:sz w:val="24"/>
          <w:szCs w:val="24"/>
          <w:shd w:val="clear" w:color="auto" w:fill="FFFFFF"/>
        </w:rPr>
        <w:t>2020</w:t>
      </w:r>
      <w:r w:rsidR="00C26213" w:rsidRPr="00976967">
        <w:rPr>
          <w:color w:val="000000" w:themeColor="text1"/>
          <w:sz w:val="24"/>
          <w:szCs w:val="24"/>
          <w:shd w:val="clear" w:color="auto" w:fill="FFFFFF"/>
        </w:rPr>
        <w:t>b</w:t>
      </w:r>
      <w:r w:rsidRPr="00976967">
        <w:rPr>
          <w:color w:val="000000" w:themeColor="text1"/>
          <w:sz w:val="24"/>
          <w:szCs w:val="24"/>
          <w:shd w:val="clear" w:color="auto" w:fill="FFFFFF"/>
        </w:rPr>
        <w:t xml:space="preserve">), a výdaje vlád proto byly nastaveny dle této ceny. </w:t>
      </w:r>
      <w:r w:rsidR="00C94F73">
        <w:rPr>
          <w:color w:val="000000" w:themeColor="text1"/>
          <w:sz w:val="24"/>
          <w:szCs w:val="24"/>
          <w:shd w:val="clear" w:color="auto" w:fill="FFFFFF"/>
        </w:rPr>
        <w:t>Jak je zřejmé z</w:t>
      </w:r>
      <w:r w:rsidRPr="00976967">
        <w:rPr>
          <w:color w:val="000000" w:themeColor="text1"/>
          <w:sz w:val="24"/>
          <w:szCs w:val="24"/>
          <w:shd w:val="clear" w:color="auto" w:fill="FFFFFF"/>
        </w:rPr>
        <w:t xml:space="preserve"> odhadů IMF</w:t>
      </w:r>
      <w:r w:rsidR="00C94F73">
        <w:rPr>
          <w:color w:val="000000" w:themeColor="text1"/>
          <w:sz w:val="24"/>
          <w:szCs w:val="24"/>
          <w:shd w:val="clear" w:color="auto" w:fill="FFFFFF"/>
        </w:rPr>
        <w:t>,</w:t>
      </w:r>
      <w:r w:rsidRPr="00976967">
        <w:rPr>
          <w:color w:val="000000" w:themeColor="text1"/>
          <w:sz w:val="24"/>
          <w:szCs w:val="24"/>
          <w:shd w:val="clear" w:color="auto" w:fill="FFFFFF"/>
        </w:rPr>
        <w:t xml:space="preserve"> zachycených v tabulkách 1 a 2</w:t>
      </w:r>
      <w:r w:rsidR="00C94F73">
        <w:rPr>
          <w:color w:val="000000" w:themeColor="text1"/>
          <w:sz w:val="24"/>
          <w:szCs w:val="24"/>
          <w:shd w:val="clear" w:color="auto" w:fill="FFFFFF"/>
        </w:rPr>
        <w:t>,</w:t>
      </w:r>
      <w:r w:rsidRPr="00976967">
        <w:rPr>
          <w:color w:val="000000" w:themeColor="text1"/>
          <w:sz w:val="24"/>
          <w:szCs w:val="24"/>
          <w:shd w:val="clear" w:color="auto" w:fill="FFFFFF"/>
        </w:rPr>
        <w:t xml:space="preserve"> </w:t>
      </w:r>
      <w:r w:rsidR="00C94F73">
        <w:rPr>
          <w:color w:val="000000" w:themeColor="text1"/>
          <w:sz w:val="24"/>
          <w:szCs w:val="24"/>
          <w:shd w:val="clear" w:color="auto" w:fill="FFFFFF"/>
        </w:rPr>
        <w:t>p</w:t>
      </w:r>
      <w:r w:rsidRPr="00976967">
        <w:rPr>
          <w:color w:val="000000" w:themeColor="text1"/>
          <w:sz w:val="24"/>
          <w:szCs w:val="24"/>
          <w:shd w:val="clear" w:color="auto" w:fill="FFFFFF"/>
        </w:rPr>
        <w:t xml:space="preserve">ro Irák činí bod </w:t>
      </w:r>
      <w:r w:rsidR="002B6B2F">
        <w:rPr>
          <w:color w:val="000000" w:themeColor="text1"/>
          <w:sz w:val="24"/>
          <w:szCs w:val="24"/>
          <w:shd w:val="clear" w:color="auto" w:fill="FFFFFF"/>
        </w:rPr>
        <w:t xml:space="preserve">fiskálního zvratu </w:t>
      </w:r>
      <w:r w:rsidRPr="00976967">
        <w:rPr>
          <w:color w:val="000000" w:themeColor="text1"/>
          <w:sz w:val="24"/>
          <w:szCs w:val="24"/>
          <w:shd w:val="clear" w:color="auto" w:fill="FFFFFF"/>
        </w:rPr>
        <w:t>cena 63,5 USD, pro Kuvajt 64,5 USD, pro Saúdskou Arábii 78,2 USD</w:t>
      </w:r>
      <w:r w:rsidR="002B6B2F">
        <w:rPr>
          <w:color w:val="000000" w:themeColor="text1"/>
          <w:sz w:val="24"/>
          <w:szCs w:val="24"/>
          <w:shd w:val="clear" w:color="auto" w:fill="FFFFFF"/>
        </w:rPr>
        <w:t>.</w:t>
      </w:r>
      <w:r w:rsidRPr="00976967">
        <w:rPr>
          <w:color w:val="000000" w:themeColor="text1"/>
          <w:sz w:val="24"/>
          <w:szCs w:val="24"/>
          <w:shd w:val="clear" w:color="auto" w:fill="FFFFFF"/>
        </w:rPr>
        <w:t xml:space="preserve"> </w:t>
      </w:r>
      <w:r w:rsidR="009D52BF">
        <w:rPr>
          <w:color w:val="000000" w:themeColor="text1"/>
          <w:sz w:val="24"/>
          <w:szCs w:val="24"/>
          <w:shd w:val="clear" w:color="auto" w:fill="FFFFFF"/>
        </w:rPr>
        <w:t xml:space="preserve">V případě Ománu </w:t>
      </w:r>
      <w:r w:rsidRPr="00976967">
        <w:rPr>
          <w:color w:val="000000" w:themeColor="text1"/>
          <w:sz w:val="24"/>
          <w:szCs w:val="24"/>
          <w:shd w:val="clear" w:color="auto" w:fill="FFFFFF"/>
        </w:rPr>
        <w:t>je tato cena</w:t>
      </w:r>
      <w:r w:rsidR="009D52BF">
        <w:rPr>
          <w:color w:val="000000" w:themeColor="text1"/>
          <w:sz w:val="24"/>
          <w:szCs w:val="24"/>
          <w:shd w:val="clear" w:color="auto" w:fill="FFFFFF"/>
        </w:rPr>
        <w:t>104 USD</w:t>
      </w:r>
      <w:r w:rsidRPr="00976967">
        <w:rPr>
          <w:color w:val="000000" w:themeColor="text1"/>
          <w:sz w:val="24"/>
          <w:szCs w:val="24"/>
          <w:shd w:val="clear" w:color="auto" w:fill="FFFFFF"/>
        </w:rPr>
        <w:t xml:space="preserve">, 118,2 USD u Alžírska a 414,8 USD u Libye (IMF, </w:t>
      </w:r>
      <w:proofErr w:type="gramStart"/>
      <w:r w:rsidRPr="00976967">
        <w:rPr>
          <w:color w:val="000000" w:themeColor="text1"/>
          <w:sz w:val="24"/>
          <w:szCs w:val="24"/>
          <w:shd w:val="clear" w:color="auto" w:fill="FFFFFF"/>
        </w:rPr>
        <w:t>2020</w:t>
      </w:r>
      <w:r w:rsidR="00C26213" w:rsidRPr="00976967">
        <w:rPr>
          <w:color w:val="000000" w:themeColor="text1"/>
          <w:sz w:val="24"/>
          <w:szCs w:val="24"/>
          <w:shd w:val="clear" w:color="auto" w:fill="FFFFFF"/>
        </w:rPr>
        <w:t>b</w:t>
      </w:r>
      <w:proofErr w:type="gramEnd"/>
      <w:r w:rsidRPr="00976967">
        <w:rPr>
          <w:color w:val="000000" w:themeColor="text1"/>
          <w:sz w:val="24"/>
          <w:szCs w:val="24"/>
          <w:shd w:val="clear" w:color="auto" w:fill="FFFFFF"/>
        </w:rPr>
        <w:t xml:space="preserve">). Je tedy zřejmé, že ani vedoucí země MENA nejsou bez rizika. </w:t>
      </w:r>
      <w:r w:rsidR="00C94F73">
        <w:rPr>
          <w:color w:val="000000" w:themeColor="text1"/>
          <w:sz w:val="24"/>
          <w:szCs w:val="24"/>
          <w:shd w:val="clear" w:color="auto" w:fill="FFFFFF"/>
        </w:rPr>
        <w:t>V </w:t>
      </w:r>
      <w:r w:rsidR="00C94F73" w:rsidRPr="00976967">
        <w:rPr>
          <w:color w:val="000000" w:themeColor="text1"/>
          <w:sz w:val="24"/>
          <w:szCs w:val="24"/>
          <w:shd w:val="clear" w:color="auto" w:fill="FFFFFF"/>
        </w:rPr>
        <w:t>jistotě</w:t>
      </w:r>
      <w:r w:rsidR="00C94F73">
        <w:rPr>
          <w:color w:val="000000" w:themeColor="text1"/>
          <w:sz w:val="24"/>
          <w:szCs w:val="24"/>
          <w:shd w:val="clear" w:color="auto" w:fill="FFFFFF"/>
        </w:rPr>
        <w:t xml:space="preserve"> zůstává</w:t>
      </w:r>
      <w:r w:rsidR="00C94F73" w:rsidRPr="00976967">
        <w:rPr>
          <w:color w:val="000000" w:themeColor="text1"/>
          <w:sz w:val="24"/>
          <w:szCs w:val="24"/>
          <w:shd w:val="clear" w:color="auto" w:fill="FFFFFF"/>
        </w:rPr>
        <w:t xml:space="preserve"> pouze Katar, jehož bod fiskálního zvratu je 42 USD za barel</w:t>
      </w:r>
      <w:r w:rsidR="00C94F73">
        <w:rPr>
          <w:color w:val="000000" w:themeColor="text1"/>
          <w:sz w:val="24"/>
          <w:szCs w:val="24"/>
          <w:shd w:val="clear" w:color="auto" w:fill="FFFFFF"/>
        </w:rPr>
        <w:t>, a navíc se</w:t>
      </w:r>
      <w:r w:rsidRPr="00976967">
        <w:rPr>
          <w:color w:val="000000" w:themeColor="text1"/>
          <w:sz w:val="24"/>
          <w:szCs w:val="24"/>
          <w:shd w:val="clear" w:color="auto" w:fill="FFFFFF"/>
        </w:rPr>
        <w:t xml:space="preserve"> snaží o diverzifikaci ekonomiky s cílem snížení závislosti na ropě. Protože se zemím MENA nepodaří snížit vysoké fiskální deficity</w:t>
      </w:r>
      <w:r w:rsidR="00C94F73">
        <w:rPr>
          <w:color w:val="000000" w:themeColor="text1"/>
          <w:sz w:val="24"/>
          <w:szCs w:val="24"/>
          <w:shd w:val="clear" w:color="auto" w:fill="FFFFFF"/>
        </w:rPr>
        <w:t xml:space="preserve"> a</w:t>
      </w:r>
      <w:r w:rsidRPr="00976967">
        <w:rPr>
          <w:color w:val="000000" w:themeColor="text1"/>
          <w:sz w:val="24"/>
          <w:szCs w:val="24"/>
          <w:shd w:val="clear" w:color="auto" w:fill="FFFFFF"/>
        </w:rPr>
        <w:t xml:space="preserve"> nasměrovat příjmy z ropy do veřejných výdajů a do podpory zaměstnanosti, nebudou dlouhodobě přetrvávající a pro tyto země neudržitelně nízké ceny ropy motivovat investory k investování v daném regionu.</w:t>
      </w:r>
    </w:p>
    <w:p w14:paraId="46D1D716" w14:textId="77777777" w:rsidR="008010F8" w:rsidRDefault="001F1FFB" w:rsidP="008520BA">
      <w:pPr>
        <w:autoSpaceDE w:val="0"/>
        <w:autoSpaceDN w:val="0"/>
        <w:adjustRightInd w:val="0"/>
        <w:spacing w:after="100" w:afterAutospacing="1" w:line="240" w:lineRule="auto"/>
        <w:jc w:val="both"/>
        <w:rPr>
          <w:color w:val="000000" w:themeColor="text1"/>
          <w:sz w:val="24"/>
          <w:szCs w:val="24"/>
          <w:shd w:val="clear" w:color="auto" w:fill="FFFFFF"/>
        </w:rPr>
      </w:pPr>
      <w:r>
        <w:rPr>
          <w:color w:val="000000" w:themeColor="text1"/>
          <w:sz w:val="24"/>
          <w:szCs w:val="24"/>
          <w:shd w:val="clear" w:color="auto" w:fill="FFFFFF"/>
        </w:rPr>
        <w:tab/>
      </w:r>
      <w:r w:rsidR="007B572A">
        <w:rPr>
          <w:color w:val="000000" w:themeColor="text1"/>
          <w:sz w:val="24"/>
          <w:szCs w:val="24"/>
          <w:shd w:val="clear" w:color="auto" w:fill="FFFFFF"/>
        </w:rPr>
        <w:t>V</w:t>
      </w:r>
      <w:r w:rsidR="007B572A" w:rsidRPr="00CF5874">
        <w:rPr>
          <w:color w:val="000000" w:themeColor="text1"/>
          <w:sz w:val="24"/>
          <w:szCs w:val="24"/>
          <w:shd w:val="clear" w:color="auto" w:fill="FFFFFF"/>
        </w:rPr>
        <w:t xml:space="preserve"> několika zemích vyvážejících ropu přispěl </w:t>
      </w:r>
      <w:r w:rsidR="007B572A">
        <w:rPr>
          <w:color w:val="000000" w:themeColor="text1"/>
          <w:sz w:val="24"/>
          <w:szCs w:val="24"/>
          <w:shd w:val="clear" w:color="auto" w:fill="FFFFFF"/>
        </w:rPr>
        <w:t>p</w:t>
      </w:r>
      <w:r w:rsidR="007B572A" w:rsidRPr="00CF5874">
        <w:rPr>
          <w:color w:val="000000" w:themeColor="text1"/>
          <w:sz w:val="24"/>
          <w:szCs w:val="24"/>
          <w:shd w:val="clear" w:color="auto" w:fill="FFFFFF"/>
        </w:rPr>
        <w:t xml:space="preserve">ropad cen ropy k prudké depreciaci </w:t>
      </w:r>
      <w:r w:rsidR="007B572A">
        <w:rPr>
          <w:color w:val="000000" w:themeColor="text1"/>
          <w:sz w:val="24"/>
          <w:szCs w:val="24"/>
          <w:shd w:val="clear" w:color="auto" w:fill="FFFFFF"/>
        </w:rPr>
        <w:t xml:space="preserve">jejich </w:t>
      </w:r>
      <w:r w:rsidR="007B572A" w:rsidRPr="00CF5874">
        <w:rPr>
          <w:color w:val="000000" w:themeColor="text1"/>
          <w:sz w:val="24"/>
          <w:szCs w:val="24"/>
          <w:shd w:val="clear" w:color="auto" w:fill="FFFFFF"/>
        </w:rPr>
        <w:t>měn. Zatímco řízené depreciace (k</w:t>
      </w:r>
      <w:r w:rsidR="007B572A">
        <w:rPr>
          <w:color w:val="000000" w:themeColor="text1"/>
          <w:sz w:val="24"/>
          <w:szCs w:val="24"/>
          <w:shd w:val="clear" w:color="auto" w:fill="FFFFFF"/>
        </w:rPr>
        <w:t>ter</w:t>
      </w:r>
      <w:r w:rsidR="007B572A" w:rsidRPr="00CF5874">
        <w:rPr>
          <w:color w:val="000000" w:themeColor="text1"/>
          <w:sz w:val="24"/>
          <w:szCs w:val="24"/>
          <w:shd w:val="clear" w:color="auto" w:fill="FFFFFF"/>
        </w:rPr>
        <w:t xml:space="preserve">é používá většina zemí MENA) mohou pomoci vývozcům </w:t>
      </w:r>
      <w:r w:rsidR="002B6B2F">
        <w:rPr>
          <w:color w:val="000000" w:themeColor="text1"/>
          <w:sz w:val="24"/>
          <w:szCs w:val="24"/>
          <w:shd w:val="clear" w:color="auto" w:fill="FFFFFF"/>
        </w:rPr>
        <w:t>v adaptaci</w:t>
      </w:r>
      <w:r w:rsidR="007B572A" w:rsidRPr="00CF5874">
        <w:rPr>
          <w:color w:val="000000" w:themeColor="text1"/>
          <w:sz w:val="24"/>
          <w:szCs w:val="24"/>
          <w:shd w:val="clear" w:color="auto" w:fill="FFFFFF"/>
        </w:rPr>
        <w:t>, firm</w:t>
      </w:r>
      <w:r w:rsidR="007B572A">
        <w:rPr>
          <w:color w:val="000000" w:themeColor="text1"/>
          <w:sz w:val="24"/>
          <w:szCs w:val="24"/>
          <w:shd w:val="clear" w:color="auto" w:fill="FFFFFF"/>
        </w:rPr>
        <w:t>ám</w:t>
      </w:r>
      <w:r w:rsidR="007B572A" w:rsidRPr="00CF5874">
        <w:rPr>
          <w:color w:val="000000" w:themeColor="text1"/>
          <w:sz w:val="24"/>
          <w:szCs w:val="24"/>
          <w:shd w:val="clear" w:color="auto" w:fill="FFFFFF"/>
        </w:rPr>
        <w:t xml:space="preserve"> a vlád</w:t>
      </w:r>
      <w:r w:rsidR="007B572A">
        <w:rPr>
          <w:color w:val="000000" w:themeColor="text1"/>
          <w:sz w:val="24"/>
          <w:szCs w:val="24"/>
          <w:shd w:val="clear" w:color="auto" w:fill="FFFFFF"/>
        </w:rPr>
        <w:t>ám</w:t>
      </w:r>
      <w:r w:rsidR="007B572A" w:rsidRPr="00CF5874">
        <w:rPr>
          <w:color w:val="000000" w:themeColor="text1"/>
          <w:sz w:val="24"/>
          <w:szCs w:val="24"/>
          <w:shd w:val="clear" w:color="auto" w:fill="FFFFFF"/>
        </w:rPr>
        <w:t xml:space="preserve">, jejichž dluh je denominován v dolarech, se zhoršují finanční problémy. V zemích, </w:t>
      </w:r>
      <w:r w:rsidR="007B572A">
        <w:rPr>
          <w:color w:val="000000" w:themeColor="text1"/>
          <w:sz w:val="24"/>
          <w:szCs w:val="24"/>
          <w:shd w:val="clear" w:color="auto" w:fill="FFFFFF"/>
        </w:rPr>
        <w:t>ve kterých</w:t>
      </w:r>
      <w:r w:rsidR="007B572A" w:rsidRPr="00CF5874">
        <w:rPr>
          <w:color w:val="000000" w:themeColor="text1"/>
          <w:sz w:val="24"/>
          <w:szCs w:val="24"/>
          <w:shd w:val="clear" w:color="auto" w:fill="FFFFFF"/>
        </w:rPr>
        <w:t xml:space="preserve"> nejsou stabilní očekávání, neřízená depreciace může </w:t>
      </w:r>
      <w:r w:rsidR="007B572A">
        <w:rPr>
          <w:color w:val="000000" w:themeColor="text1"/>
          <w:sz w:val="24"/>
          <w:szCs w:val="24"/>
          <w:shd w:val="clear" w:color="auto" w:fill="FFFFFF"/>
        </w:rPr>
        <w:t xml:space="preserve">velmi </w:t>
      </w:r>
      <w:r w:rsidR="007B572A" w:rsidRPr="00CF5874">
        <w:rPr>
          <w:color w:val="000000" w:themeColor="text1"/>
          <w:sz w:val="24"/>
          <w:szCs w:val="24"/>
          <w:shd w:val="clear" w:color="auto" w:fill="FFFFFF"/>
        </w:rPr>
        <w:t xml:space="preserve">rychle vést k vysoké inflaci. Obecně je diverzifikace vývozních trhů </w:t>
      </w:r>
      <w:r w:rsidR="007B572A">
        <w:rPr>
          <w:color w:val="000000" w:themeColor="text1"/>
          <w:sz w:val="24"/>
          <w:szCs w:val="24"/>
          <w:shd w:val="clear" w:color="auto" w:fill="FFFFFF"/>
        </w:rPr>
        <w:t xml:space="preserve">zemí </w:t>
      </w:r>
      <w:r w:rsidR="007B572A" w:rsidRPr="00CF5874">
        <w:rPr>
          <w:color w:val="000000" w:themeColor="text1"/>
          <w:sz w:val="24"/>
          <w:szCs w:val="24"/>
          <w:shd w:val="clear" w:color="auto" w:fill="FFFFFF"/>
        </w:rPr>
        <w:t>MENA</w:t>
      </w:r>
      <w:r w:rsidR="007B572A" w:rsidRPr="0029526E">
        <w:rPr>
          <w:color w:val="000000" w:themeColor="text1"/>
          <w:sz w:val="24"/>
          <w:szCs w:val="24"/>
          <w:shd w:val="clear" w:color="auto" w:fill="FFFFFF"/>
        </w:rPr>
        <w:t xml:space="preserve"> </w:t>
      </w:r>
      <w:r w:rsidR="007B572A" w:rsidRPr="00CF5874">
        <w:rPr>
          <w:color w:val="000000" w:themeColor="text1"/>
          <w:sz w:val="24"/>
          <w:szCs w:val="24"/>
          <w:shd w:val="clear" w:color="auto" w:fill="FFFFFF"/>
        </w:rPr>
        <w:t xml:space="preserve">omezená. </w:t>
      </w:r>
      <w:r w:rsidR="007B572A">
        <w:rPr>
          <w:color w:val="000000" w:themeColor="text1"/>
          <w:sz w:val="24"/>
          <w:szCs w:val="24"/>
          <w:shd w:val="clear" w:color="auto" w:fill="FFFFFF"/>
        </w:rPr>
        <w:t>Tyto z</w:t>
      </w:r>
      <w:r w:rsidR="007B572A" w:rsidRPr="00CF5874">
        <w:rPr>
          <w:color w:val="000000" w:themeColor="text1"/>
          <w:sz w:val="24"/>
          <w:szCs w:val="24"/>
          <w:shd w:val="clear" w:color="auto" w:fill="FFFFFF"/>
        </w:rPr>
        <w:t xml:space="preserve">emě jsou </w:t>
      </w:r>
      <w:r w:rsidR="007B572A">
        <w:rPr>
          <w:color w:val="000000" w:themeColor="text1"/>
          <w:sz w:val="24"/>
          <w:szCs w:val="24"/>
          <w:shd w:val="clear" w:color="auto" w:fill="FFFFFF"/>
        </w:rPr>
        <w:t xml:space="preserve">velmi </w:t>
      </w:r>
      <w:r w:rsidR="007B572A" w:rsidRPr="00CF5874">
        <w:rPr>
          <w:color w:val="000000" w:themeColor="text1"/>
          <w:sz w:val="24"/>
          <w:szCs w:val="24"/>
          <w:shd w:val="clear" w:color="auto" w:fill="FFFFFF"/>
        </w:rPr>
        <w:t>zranitelné k šokům ve směnných relacích</w:t>
      </w:r>
      <w:r w:rsidR="007B572A">
        <w:rPr>
          <w:color w:val="000000" w:themeColor="text1"/>
          <w:sz w:val="24"/>
          <w:szCs w:val="24"/>
          <w:shd w:val="clear" w:color="auto" w:fill="FFFFFF"/>
        </w:rPr>
        <w:t>, neboť</w:t>
      </w:r>
      <w:r w:rsidR="007B572A" w:rsidRPr="00CF5874">
        <w:rPr>
          <w:color w:val="000000" w:themeColor="text1"/>
          <w:sz w:val="24"/>
          <w:szCs w:val="24"/>
          <w:shd w:val="clear" w:color="auto" w:fill="FFFFFF"/>
        </w:rPr>
        <w:t xml:space="preserve"> jejich exportní příjmy </w:t>
      </w:r>
      <w:r w:rsidR="007B572A">
        <w:rPr>
          <w:color w:val="000000" w:themeColor="text1"/>
          <w:sz w:val="24"/>
          <w:szCs w:val="24"/>
          <w:shd w:val="clear" w:color="auto" w:fill="FFFFFF"/>
        </w:rPr>
        <w:t xml:space="preserve">jsou </w:t>
      </w:r>
      <w:proofErr w:type="spellStart"/>
      <w:r w:rsidR="007B572A" w:rsidRPr="00CF5874">
        <w:rPr>
          <w:color w:val="000000" w:themeColor="text1"/>
          <w:sz w:val="24"/>
          <w:szCs w:val="24"/>
          <w:shd w:val="clear" w:color="auto" w:fill="FFFFFF"/>
        </w:rPr>
        <w:t>volatilní</w:t>
      </w:r>
      <w:proofErr w:type="spellEnd"/>
      <w:r w:rsidR="007B572A" w:rsidRPr="00CF5874">
        <w:rPr>
          <w:color w:val="000000" w:themeColor="text1"/>
          <w:sz w:val="24"/>
          <w:szCs w:val="24"/>
          <w:shd w:val="clear" w:color="auto" w:fill="FFFFFF"/>
        </w:rPr>
        <w:t xml:space="preserve"> v důsledku specializace na vývoz primárních komodit, a navíc jsou vysoce </w:t>
      </w:r>
      <w:r w:rsidR="007B572A">
        <w:rPr>
          <w:color w:val="000000" w:themeColor="text1"/>
          <w:sz w:val="24"/>
          <w:szCs w:val="24"/>
          <w:shd w:val="clear" w:color="auto" w:fill="FFFFFF"/>
        </w:rPr>
        <w:t>zaměře</w:t>
      </w:r>
      <w:r w:rsidR="007B572A" w:rsidRPr="00CF5874">
        <w:rPr>
          <w:color w:val="000000" w:themeColor="text1"/>
          <w:sz w:val="24"/>
          <w:szCs w:val="24"/>
          <w:shd w:val="clear" w:color="auto" w:fill="FFFFFF"/>
        </w:rPr>
        <w:t xml:space="preserve">ny </w:t>
      </w:r>
      <w:r w:rsidR="007B572A">
        <w:rPr>
          <w:color w:val="000000" w:themeColor="text1"/>
          <w:sz w:val="24"/>
          <w:szCs w:val="24"/>
          <w:shd w:val="clear" w:color="auto" w:fill="FFFFFF"/>
        </w:rPr>
        <w:t xml:space="preserve">jen </w:t>
      </w:r>
      <w:r w:rsidR="007B572A" w:rsidRPr="00CF5874">
        <w:rPr>
          <w:color w:val="000000" w:themeColor="text1"/>
          <w:sz w:val="24"/>
          <w:szCs w:val="24"/>
          <w:shd w:val="clear" w:color="auto" w:fill="FFFFFF"/>
        </w:rPr>
        <w:t xml:space="preserve">na určité vývozní trhy. Vývozy zemí MENA tvoří hlavně primární produkty, méně komplexní </w:t>
      </w:r>
      <w:r w:rsidR="007B572A">
        <w:rPr>
          <w:color w:val="000000" w:themeColor="text1"/>
          <w:sz w:val="24"/>
          <w:szCs w:val="24"/>
          <w:shd w:val="clear" w:color="auto" w:fill="FFFFFF"/>
        </w:rPr>
        <w:t>výrobky</w:t>
      </w:r>
      <w:r w:rsidR="007B572A" w:rsidRPr="00CF5874">
        <w:rPr>
          <w:color w:val="000000" w:themeColor="text1"/>
          <w:sz w:val="24"/>
          <w:szCs w:val="24"/>
          <w:shd w:val="clear" w:color="auto" w:fill="FFFFFF"/>
        </w:rPr>
        <w:t xml:space="preserve"> s vysokou přidanou hodnotou a špičkovou technologií, polotovary a kapitálové statky.</w:t>
      </w:r>
      <w:r w:rsidR="008520BA">
        <w:rPr>
          <w:color w:val="000000" w:themeColor="text1"/>
          <w:sz w:val="24"/>
          <w:szCs w:val="24"/>
          <w:shd w:val="clear" w:color="auto" w:fill="FFFFFF"/>
        </w:rPr>
        <w:t xml:space="preserve"> </w:t>
      </w:r>
    </w:p>
    <w:p w14:paraId="1C8A4172" w14:textId="3EB9136F" w:rsidR="008520BA" w:rsidRDefault="008010F8" w:rsidP="00DA5BF3">
      <w:pPr>
        <w:autoSpaceDE w:val="0"/>
        <w:autoSpaceDN w:val="0"/>
        <w:adjustRightInd w:val="0"/>
        <w:spacing w:after="100" w:afterAutospacing="1" w:line="240" w:lineRule="auto"/>
        <w:ind w:firstLine="708"/>
        <w:jc w:val="both"/>
        <w:rPr>
          <w:sz w:val="24"/>
          <w:szCs w:val="24"/>
          <w:shd w:val="clear" w:color="auto" w:fill="FFFFFF"/>
        </w:rPr>
      </w:pPr>
      <w:r>
        <w:rPr>
          <w:sz w:val="24"/>
          <w:szCs w:val="24"/>
          <w:shd w:val="clear" w:color="auto" w:fill="FFFFFF"/>
        </w:rPr>
        <w:t>Souhrnně lze tedy konstatovat, že mezi</w:t>
      </w:r>
      <w:r w:rsidR="00DC08A0" w:rsidRPr="008520BA">
        <w:rPr>
          <w:sz w:val="24"/>
          <w:szCs w:val="24"/>
          <w:shd w:val="clear" w:color="auto" w:fill="FFFFFF"/>
        </w:rPr>
        <w:t xml:space="preserve"> producent</w:t>
      </w:r>
      <w:r>
        <w:rPr>
          <w:sz w:val="24"/>
          <w:szCs w:val="24"/>
          <w:shd w:val="clear" w:color="auto" w:fill="FFFFFF"/>
        </w:rPr>
        <w:t>y</w:t>
      </w:r>
      <w:r w:rsidR="00DC08A0" w:rsidRPr="008520BA">
        <w:rPr>
          <w:sz w:val="24"/>
          <w:szCs w:val="24"/>
          <w:shd w:val="clear" w:color="auto" w:fill="FFFFFF"/>
        </w:rPr>
        <w:t xml:space="preserve"> </w:t>
      </w:r>
      <w:r>
        <w:rPr>
          <w:sz w:val="24"/>
          <w:szCs w:val="24"/>
          <w:shd w:val="clear" w:color="auto" w:fill="FFFFFF"/>
        </w:rPr>
        <w:t>ropy přetrvává mnoho</w:t>
      </w:r>
      <w:r w:rsidR="00DC08A0" w:rsidRPr="008520BA">
        <w:rPr>
          <w:sz w:val="24"/>
          <w:szCs w:val="24"/>
          <w:shd w:val="clear" w:color="auto" w:fill="FFFFFF"/>
        </w:rPr>
        <w:t xml:space="preserve"> rozdíl</w:t>
      </w:r>
      <w:r>
        <w:rPr>
          <w:sz w:val="24"/>
          <w:szCs w:val="24"/>
          <w:shd w:val="clear" w:color="auto" w:fill="FFFFFF"/>
        </w:rPr>
        <w:t>ů, a v jejich důsledkem je značná variabilita možných dopadů cenového šoku. Toto</w:t>
      </w:r>
      <w:r w:rsidR="008520BA" w:rsidRPr="008520BA">
        <w:rPr>
          <w:sz w:val="24"/>
          <w:szCs w:val="24"/>
          <w:shd w:val="clear" w:color="auto" w:fill="FFFFFF"/>
        </w:rPr>
        <w:t xml:space="preserve"> je zřejmé z ilustrativních příkladů v boxu 1. </w:t>
      </w:r>
      <w:r w:rsidR="00DC08A0" w:rsidRPr="008520BA">
        <w:rPr>
          <w:sz w:val="24"/>
          <w:szCs w:val="24"/>
          <w:shd w:val="clear" w:color="auto" w:fill="FFFFFF"/>
        </w:rPr>
        <w:t xml:space="preserve"> </w:t>
      </w:r>
    </w:p>
    <w:p w14:paraId="5A770AC8" w14:textId="3B57A1FB" w:rsidR="008520BA" w:rsidRDefault="008520BA" w:rsidP="00417B64">
      <w:pPr>
        <w:pStyle w:val="Nadpis3"/>
        <w:jc w:val="center"/>
        <w:rPr>
          <w:shd w:val="clear" w:color="auto" w:fill="FFFFFF"/>
        </w:rPr>
      </w:pPr>
      <w:bookmarkStart w:id="35" w:name="_Toc61261288"/>
      <w:bookmarkStart w:id="36" w:name="_Toc61262038"/>
      <w:bookmarkStart w:id="37" w:name="_Toc61262162"/>
      <w:r>
        <w:rPr>
          <w:shd w:val="clear" w:color="auto" w:fill="FFFFFF"/>
        </w:rPr>
        <w:t>Box 1: Odlišné dopady poklesu cen ropy na země MENA – příklady</w:t>
      </w:r>
      <w:bookmarkEnd w:id="35"/>
      <w:bookmarkEnd w:id="36"/>
      <w:bookmarkEnd w:id="37"/>
    </w:p>
    <w:p w14:paraId="4FC37B66" w14:textId="61A36844" w:rsidR="008520BA" w:rsidRDefault="008010F8" w:rsidP="008520BA">
      <w:pPr>
        <w:autoSpaceDE w:val="0"/>
        <w:autoSpaceDN w:val="0"/>
        <w:adjustRightInd w:val="0"/>
        <w:spacing w:after="100" w:afterAutospacing="1" w:line="240" w:lineRule="auto"/>
        <w:jc w:val="both"/>
        <w:rPr>
          <w:sz w:val="24"/>
          <w:szCs w:val="24"/>
          <w:highlight w:val="lightGray"/>
          <w:shd w:val="clear" w:color="auto" w:fill="FFFFFF"/>
        </w:rPr>
      </w:pPr>
      <w:r>
        <w:rPr>
          <w:noProof/>
          <w:sz w:val="24"/>
          <w:szCs w:val="24"/>
        </w:rPr>
        <mc:AlternateContent>
          <mc:Choice Requires="wps">
            <w:drawing>
              <wp:anchor distT="0" distB="0" distL="114300" distR="114300" simplePos="0" relativeHeight="251665408" behindDoc="0" locked="0" layoutInCell="1" allowOverlap="1" wp14:anchorId="54E3DE15" wp14:editId="134B5412">
                <wp:simplePos x="0" y="0"/>
                <wp:positionH relativeFrom="column">
                  <wp:posOffset>9115</wp:posOffset>
                </wp:positionH>
                <wp:positionV relativeFrom="paragraph">
                  <wp:posOffset>157946</wp:posOffset>
                </wp:positionV>
                <wp:extent cx="6088284" cy="3020992"/>
                <wp:effectExtent l="0" t="0" r="8255" b="14605"/>
                <wp:wrapNone/>
                <wp:docPr id="30" name="Textové pole 30"/>
                <wp:cNvGraphicFramePr/>
                <a:graphic xmlns:a="http://schemas.openxmlformats.org/drawingml/2006/main">
                  <a:graphicData uri="http://schemas.microsoft.com/office/word/2010/wordprocessingShape">
                    <wps:wsp>
                      <wps:cNvSpPr txBox="1"/>
                      <wps:spPr>
                        <a:xfrm>
                          <a:off x="0" y="0"/>
                          <a:ext cx="6088284" cy="3020992"/>
                        </a:xfrm>
                        <a:prstGeom prst="rect">
                          <a:avLst/>
                        </a:prstGeom>
                        <a:solidFill>
                          <a:schemeClr val="lt1"/>
                        </a:solidFill>
                        <a:ln w="6350">
                          <a:solidFill>
                            <a:prstClr val="black"/>
                          </a:solidFill>
                        </a:ln>
                      </wps:spPr>
                      <wps:txbx>
                        <w:txbxContent>
                          <w:p w14:paraId="66818586" w14:textId="24941FE7" w:rsidR="00DA5BF3" w:rsidRPr="008010F8" w:rsidRDefault="00DA5BF3" w:rsidP="008010F8">
                            <w:pPr>
                              <w:autoSpaceDE w:val="0"/>
                              <w:autoSpaceDN w:val="0"/>
                              <w:adjustRightInd w:val="0"/>
                              <w:spacing w:after="100" w:afterAutospacing="1" w:line="240" w:lineRule="auto"/>
                              <w:jc w:val="both"/>
                              <w:rPr>
                                <w:i/>
                                <w:iCs/>
                                <w:sz w:val="24"/>
                                <w:szCs w:val="24"/>
                                <w:shd w:val="clear" w:color="auto" w:fill="FFFFFF"/>
                              </w:rPr>
                            </w:pPr>
                            <w:r w:rsidRPr="008010F8">
                              <w:rPr>
                                <w:i/>
                                <w:iCs/>
                                <w:sz w:val="24"/>
                                <w:szCs w:val="24"/>
                                <w:shd w:val="clear" w:color="auto" w:fill="FFFFFF"/>
                              </w:rPr>
                              <w:t>Libye</w:t>
                            </w:r>
                          </w:p>
                          <w:p w14:paraId="788EC588" w14:textId="7F02D0A3" w:rsidR="00DA5BF3" w:rsidRPr="008010F8" w:rsidRDefault="00DA5BF3" w:rsidP="008010F8">
                            <w:pPr>
                              <w:autoSpaceDE w:val="0"/>
                              <w:autoSpaceDN w:val="0"/>
                              <w:adjustRightInd w:val="0"/>
                              <w:spacing w:after="100" w:afterAutospacing="1" w:line="240" w:lineRule="auto"/>
                              <w:jc w:val="both"/>
                              <w:rPr>
                                <w:sz w:val="24"/>
                                <w:szCs w:val="24"/>
                                <w:shd w:val="clear" w:color="auto" w:fill="FFFFFF"/>
                              </w:rPr>
                            </w:pPr>
                            <w:r w:rsidRPr="008010F8">
                              <w:rPr>
                                <w:sz w:val="24"/>
                                <w:szCs w:val="24"/>
                                <w:shd w:val="clear" w:color="auto" w:fill="FFFFFF"/>
                              </w:rPr>
                              <w:t xml:space="preserve">Libye disponuje relativně vysokými devizovými rezervami na obyvatele, naproti tomu v lidnatějším Alžírsku jsou tyto devizové rezervy velmi nízké. Ekonomiky v obou případech velmi vysoce závisejí na sektoru fosilních paliv (přibližně 30 % sektoru ropy a plynu, vysoká pružnost HDP a vládních příjmů vzhledem k cenám ropy) a dále též na jejich </w:t>
                            </w:r>
                            <w:r w:rsidRPr="008010F8">
                              <w:rPr>
                                <w:sz w:val="24"/>
                                <w:szCs w:val="24"/>
                              </w:rPr>
                              <w:t>suverénním fondu, který disponuje relativně omezenými prostředky</w:t>
                            </w:r>
                            <w:r w:rsidRPr="008010F8">
                              <w:rPr>
                                <w:sz w:val="24"/>
                                <w:szCs w:val="24"/>
                                <w:shd w:val="clear" w:color="auto" w:fill="FFFFFF"/>
                              </w:rPr>
                              <w:t>. Proto jsou v případě dlouhého trvání nízkých cen ropy tyto země z ekonomického hlediska velmi zranitelné.</w:t>
                            </w:r>
                            <w:r>
                              <w:rPr>
                                <w:sz w:val="24"/>
                                <w:szCs w:val="24"/>
                                <w:shd w:val="clear" w:color="auto" w:fill="FFFFFF"/>
                              </w:rPr>
                              <w:t>*</w:t>
                            </w:r>
                          </w:p>
                          <w:p w14:paraId="6844824B" w14:textId="16B46181" w:rsidR="00DA5BF3" w:rsidRPr="008010F8" w:rsidRDefault="00DA5BF3" w:rsidP="008010F8">
                            <w:pPr>
                              <w:autoSpaceDE w:val="0"/>
                              <w:autoSpaceDN w:val="0"/>
                              <w:adjustRightInd w:val="0"/>
                              <w:spacing w:after="100" w:afterAutospacing="1" w:line="240" w:lineRule="auto"/>
                              <w:jc w:val="both"/>
                              <w:rPr>
                                <w:i/>
                                <w:iCs/>
                                <w:sz w:val="24"/>
                                <w:szCs w:val="24"/>
                                <w:shd w:val="clear" w:color="auto" w:fill="FFFFFF"/>
                              </w:rPr>
                            </w:pPr>
                            <w:r w:rsidRPr="008010F8">
                              <w:rPr>
                                <w:i/>
                                <w:iCs/>
                                <w:sz w:val="24"/>
                                <w:szCs w:val="24"/>
                                <w:shd w:val="clear" w:color="auto" w:fill="FFFFFF"/>
                              </w:rPr>
                              <w:t>Írán</w:t>
                            </w:r>
                          </w:p>
                          <w:p w14:paraId="635A21CB" w14:textId="07AB8CE3" w:rsidR="00DA5BF3" w:rsidRPr="008010F8" w:rsidRDefault="00DA5BF3" w:rsidP="008010F8">
                            <w:pPr>
                              <w:autoSpaceDE w:val="0"/>
                              <w:autoSpaceDN w:val="0"/>
                              <w:adjustRightInd w:val="0"/>
                              <w:spacing w:after="100" w:afterAutospacing="1" w:line="240" w:lineRule="auto"/>
                              <w:jc w:val="both"/>
                              <w:rPr>
                                <w:i/>
                                <w:sz w:val="24"/>
                                <w:szCs w:val="24"/>
                              </w:rPr>
                            </w:pPr>
                            <w:r w:rsidRPr="008010F8">
                              <w:rPr>
                                <w:sz w:val="24"/>
                                <w:szCs w:val="24"/>
                                <w:shd w:val="clear" w:color="auto" w:fill="FFFFFF"/>
                              </w:rPr>
                              <w:t xml:space="preserve">Írán má poněkud více diverzifikovanou ekonomiku ve srovnání s ostatními zeměmi tohoto regionu. Ovšem je vysoce závislý na sektoru fosilních paliv (dle OECD 2020b tvoří 30 % HDP, vysoká pružnost vládních příjmů vzhledem k cenám ropy), přičemž prostředky suverénního fondu a devizové rezervy na jednoho obyvatele jsou omezené. To činí zemi zranitelnou šoky na trhu ropy, což bylo patrné při embargu na íránskou ropu. </w:t>
                            </w:r>
                          </w:p>
                          <w:p w14:paraId="52362E2C" w14:textId="77777777" w:rsidR="00DA5BF3" w:rsidRDefault="00DA5B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E3DE15" id="Textové pole 30" o:spid="_x0000_s1027" type="#_x0000_t202" style="position:absolute;left:0;text-align:left;margin-left:.7pt;margin-top:12.45pt;width:479.4pt;height:237.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" fillcolor="white [3201]" strokeweight=".5pt">
                <v:textbox>
                  <w:txbxContent>
                    <w:p w14:paraId="66818586" w14:textId="24941FE7" w:rsidR="00DA5BF3" w:rsidRPr="008010F8" w:rsidRDefault="00DA5BF3" w:rsidP="008010F8">
                      <w:pPr>
                        <w:autoSpaceDE w:val="0"/>
                        <w:autoSpaceDN w:val="0"/>
                        <w:adjustRightInd w:val="0"/>
                        <w:spacing w:after="100" w:afterAutospacing="1" w:line="240" w:lineRule="auto"/>
                        <w:jc w:val="both"/>
                        <w:rPr>
                          <w:i/>
                          <w:iCs/>
                          <w:sz w:val="24"/>
                          <w:szCs w:val="24"/>
                          <w:shd w:val="clear" w:color="auto" w:fill="FFFFFF"/>
                        </w:rPr>
                      </w:pPr>
                      <w:r w:rsidRPr="008010F8">
                        <w:rPr>
                          <w:i/>
                          <w:iCs/>
                          <w:sz w:val="24"/>
                          <w:szCs w:val="24"/>
                          <w:shd w:val="clear" w:color="auto" w:fill="FFFFFF"/>
                        </w:rPr>
                        <w:t>Libye</w:t>
                      </w:r>
                    </w:p>
                    <w:p w14:paraId="788EC588" w14:textId="7F02D0A3" w:rsidR="00DA5BF3" w:rsidRPr="008010F8" w:rsidRDefault="00DA5BF3" w:rsidP="008010F8">
                      <w:pPr>
                        <w:autoSpaceDE w:val="0"/>
                        <w:autoSpaceDN w:val="0"/>
                        <w:adjustRightInd w:val="0"/>
                        <w:spacing w:after="100" w:afterAutospacing="1" w:line="240" w:lineRule="auto"/>
                        <w:jc w:val="both"/>
                        <w:rPr>
                          <w:sz w:val="24"/>
                          <w:szCs w:val="24"/>
                          <w:shd w:val="clear" w:color="auto" w:fill="FFFFFF"/>
                        </w:rPr>
                      </w:pPr>
                      <w:r w:rsidRPr="008010F8">
                        <w:rPr>
                          <w:sz w:val="24"/>
                          <w:szCs w:val="24"/>
                          <w:shd w:val="clear" w:color="auto" w:fill="FFFFFF"/>
                        </w:rPr>
                        <w:t xml:space="preserve">Libye disponuje relativně vysokými devizovými rezervami na obyvatele, naproti tomu v lidnatějším Alžírsku jsou tyto devizové rezervy velmi nízké. Ekonomiky v obou případech velmi vysoce závisejí na sektoru fosilních paliv (přibližně 30 % sektoru ropy a plynu, vysoká pružnost HDP a vládních příjmů vzhledem k cenám ropy) a dále též na jejich </w:t>
                      </w:r>
                      <w:r w:rsidRPr="008010F8">
                        <w:rPr>
                          <w:sz w:val="24"/>
                          <w:szCs w:val="24"/>
                        </w:rPr>
                        <w:t>suverénním fondu, který disponuje relativně omezenými prostředky</w:t>
                      </w:r>
                      <w:r w:rsidRPr="008010F8">
                        <w:rPr>
                          <w:sz w:val="24"/>
                          <w:szCs w:val="24"/>
                          <w:shd w:val="clear" w:color="auto" w:fill="FFFFFF"/>
                        </w:rPr>
                        <w:t>. Proto jsou v případě dlouhého trvání nízkých cen ropy tyto země z ekonomického hlediska velmi zranitelné.</w:t>
                      </w:r>
                      <w:r>
                        <w:rPr>
                          <w:sz w:val="24"/>
                          <w:szCs w:val="24"/>
                          <w:shd w:val="clear" w:color="auto" w:fill="FFFFFF"/>
                        </w:rPr>
                        <w:t>*</w:t>
                      </w:r>
                    </w:p>
                    <w:p w14:paraId="6844824B" w14:textId="16B46181" w:rsidR="00DA5BF3" w:rsidRPr="008010F8" w:rsidRDefault="00DA5BF3" w:rsidP="008010F8">
                      <w:pPr>
                        <w:autoSpaceDE w:val="0"/>
                        <w:autoSpaceDN w:val="0"/>
                        <w:adjustRightInd w:val="0"/>
                        <w:spacing w:after="100" w:afterAutospacing="1" w:line="240" w:lineRule="auto"/>
                        <w:jc w:val="both"/>
                        <w:rPr>
                          <w:i/>
                          <w:iCs/>
                          <w:sz w:val="24"/>
                          <w:szCs w:val="24"/>
                          <w:shd w:val="clear" w:color="auto" w:fill="FFFFFF"/>
                        </w:rPr>
                      </w:pPr>
                      <w:r w:rsidRPr="008010F8">
                        <w:rPr>
                          <w:i/>
                          <w:iCs/>
                          <w:sz w:val="24"/>
                          <w:szCs w:val="24"/>
                          <w:shd w:val="clear" w:color="auto" w:fill="FFFFFF"/>
                        </w:rPr>
                        <w:t>Írán</w:t>
                      </w:r>
                    </w:p>
                    <w:p w14:paraId="635A21CB" w14:textId="07AB8CE3" w:rsidR="00DA5BF3" w:rsidRPr="008010F8" w:rsidRDefault="00DA5BF3" w:rsidP="008010F8">
                      <w:pPr>
                        <w:autoSpaceDE w:val="0"/>
                        <w:autoSpaceDN w:val="0"/>
                        <w:adjustRightInd w:val="0"/>
                        <w:spacing w:after="100" w:afterAutospacing="1" w:line="240" w:lineRule="auto"/>
                        <w:jc w:val="both"/>
                        <w:rPr>
                          <w:i/>
                          <w:sz w:val="24"/>
                          <w:szCs w:val="24"/>
                        </w:rPr>
                      </w:pPr>
                      <w:r w:rsidRPr="008010F8">
                        <w:rPr>
                          <w:sz w:val="24"/>
                          <w:szCs w:val="24"/>
                          <w:shd w:val="clear" w:color="auto" w:fill="FFFFFF"/>
                        </w:rPr>
                        <w:t xml:space="preserve">Írán má poněkud více diverzifikovanou ekonomiku ve srovnání s ostatními zeměmi tohoto regionu. Ovšem je vysoce závislý na sektoru fosilních paliv (dle OECD 2020b tvoří 30 % HDP, vysoká pružnost vládních příjmů vzhledem k cenám ropy), přičemž prostředky suverénního fondu a devizové rezervy na jednoho obyvatele jsou omezené. To činí zemi zranitelnou šoky na trhu ropy, což bylo patrné při embargu na íránskou ropu. </w:t>
                      </w:r>
                    </w:p>
                    <w:p w14:paraId="52362E2C" w14:textId="77777777" w:rsidR="00DA5BF3" w:rsidRDefault="00DA5BF3"/>
                  </w:txbxContent>
                </v:textbox>
              </v:shape>
            </w:pict>
          </mc:Fallback>
        </mc:AlternateContent>
      </w:r>
    </w:p>
    <w:p w14:paraId="147353AD" w14:textId="512105AA" w:rsidR="007B572A" w:rsidRPr="00CF5874" w:rsidRDefault="007B572A" w:rsidP="00F1190A">
      <w:pPr>
        <w:autoSpaceDE w:val="0"/>
        <w:autoSpaceDN w:val="0"/>
        <w:adjustRightInd w:val="0"/>
        <w:spacing w:after="100" w:afterAutospacing="1" w:line="240" w:lineRule="auto"/>
        <w:jc w:val="both"/>
        <w:rPr>
          <w:color w:val="000000" w:themeColor="text1"/>
          <w:sz w:val="24"/>
          <w:szCs w:val="24"/>
          <w:shd w:val="clear" w:color="auto" w:fill="FFFFFF"/>
          <w:lang w:val="en-US"/>
        </w:rPr>
      </w:pPr>
      <w:r w:rsidRPr="00CF5874">
        <w:rPr>
          <w:color w:val="000000" w:themeColor="text1"/>
          <w:sz w:val="24"/>
          <w:szCs w:val="24"/>
          <w:shd w:val="clear" w:color="auto" w:fill="FFFFFF"/>
          <w:lang w:val="en-US"/>
        </w:rPr>
        <w:t xml:space="preserve"> </w:t>
      </w:r>
    </w:p>
    <w:p w14:paraId="29C9E955" w14:textId="7AB36778" w:rsidR="008010F8" w:rsidRDefault="008010F8" w:rsidP="00F1190A">
      <w:pPr>
        <w:spacing w:after="100" w:afterAutospacing="1" w:line="240" w:lineRule="auto"/>
        <w:ind w:firstLine="709"/>
        <w:jc w:val="both"/>
        <w:rPr>
          <w:rStyle w:val="tlid-translation"/>
          <w:sz w:val="24"/>
          <w:szCs w:val="24"/>
        </w:rPr>
      </w:pPr>
    </w:p>
    <w:p w14:paraId="76B519FB" w14:textId="77777777" w:rsidR="008010F8" w:rsidRDefault="008010F8" w:rsidP="00F1190A">
      <w:pPr>
        <w:spacing w:after="100" w:afterAutospacing="1" w:line="240" w:lineRule="auto"/>
        <w:ind w:firstLine="709"/>
        <w:jc w:val="both"/>
        <w:rPr>
          <w:rStyle w:val="tlid-translation"/>
          <w:sz w:val="24"/>
          <w:szCs w:val="24"/>
        </w:rPr>
      </w:pPr>
    </w:p>
    <w:p w14:paraId="0AC37C22" w14:textId="77777777" w:rsidR="008010F8" w:rsidRDefault="008010F8" w:rsidP="00F1190A">
      <w:pPr>
        <w:spacing w:after="100" w:afterAutospacing="1" w:line="240" w:lineRule="auto"/>
        <w:ind w:firstLine="709"/>
        <w:jc w:val="both"/>
        <w:rPr>
          <w:rStyle w:val="tlid-translation"/>
          <w:sz w:val="24"/>
          <w:szCs w:val="24"/>
        </w:rPr>
      </w:pPr>
    </w:p>
    <w:p w14:paraId="6120B6EA" w14:textId="77777777" w:rsidR="008010F8" w:rsidRDefault="008010F8" w:rsidP="00F1190A">
      <w:pPr>
        <w:spacing w:after="100" w:afterAutospacing="1" w:line="240" w:lineRule="auto"/>
        <w:ind w:firstLine="709"/>
        <w:jc w:val="both"/>
        <w:rPr>
          <w:rStyle w:val="tlid-translation"/>
          <w:sz w:val="24"/>
          <w:szCs w:val="24"/>
        </w:rPr>
      </w:pPr>
    </w:p>
    <w:p w14:paraId="4FB0ECB6" w14:textId="77777777" w:rsidR="008010F8" w:rsidRDefault="008010F8" w:rsidP="00F1190A">
      <w:pPr>
        <w:spacing w:after="100" w:afterAutospacing="1" w:line="240" w:lineRule="auto"/>
        <w:ind w:firstLine="709"/>
        <w:jc w:val="both"/>
        <w:rPr>
          <w:rStyle w:val="tlid-translation"/>
          <w:sz w:val="24"/>
          <w:szCs w:val="24"/>
        </w:rPr>
      </w:pPr>
    </w:p>
    <w:p w14:paraId="35248DE8" w14:textId="77777777" w:rsidR="008010F8" w:rsidRDefault="008010F8" w:rsidP="00F1190A">
      <w:pPr>
        <w:spacing w:after="100" w:afterAutospacing="1" w:line="240" w:lineRule="auto"/>
        <w:ind w:firstLine="709"/>
        <w:jc w:val="both"/>
        <w:rPr>
          <w:rStyle w:val="tlid-translation"/>
          <w:sz w:val="24"/>
          <w:szCs w:val="24"/>
        </w:rPr>
      </w:pPr>
    </w:p>
    <w:p w14:paraId="718A20E0" w14:textId="77777777" w:rsidR="008010F8" w:rsidRDefault="008010F8" w:rsidP="00F1190A">
      <w:pPr>
        <w:spacing w:after="100" w:afterAutospacing="1" w:line="240" w:lineRule="auto"/>
        <w:ind w:firstLine="709"/>
        <w:jc w:val="both"/>
        <w:rPr>
          <w:rStyle w:val="tlid-translation"/>
          <w:sz w:val="24"/>
          <w:szCs w:val="24"/>
        </w:rPr>
      </w:pPr>
    </w:p>
    <w:p w14:paraId="638CEDC0" w14:textId="77777777" w:rsidR="008010F8" w:rsidRDefault="008010F8" w:rsidP="00F1190A">
      <w:pPr>
        <w:spacing w:after="100" w:afterAutospacing="1" w:line="240" w:lineRule="auto"/>
        <w:ind w:firstLine="709"/>
        <w:jc w:val="both"/>
        <w:rPr>
          <w:rStyle w:val="tlid-translation"/>
          <w:sz w:val="24"/>
          <w:szCs w:val="24"/>
        </w:rPr>
      </w:pPr>
    </w:p>
    <w:p w14:paraId="0A073A3C" w14:textId="70ADE31A" w:rsidR="008010F8" w:rsidRDefault="008010F8" w:rsidP="008010F8">
      <w:pPr>
        <w:autoSpaceDE w:val="0"/>
        <w:autoSpaceDN w:val="0"/>
        <w:adjustRightInd w:val="0"/>
        <w:spacing w:after="100" w:afterAutospacing="1" w:line="240" w:lineRule="auto"/>
        <w:jc w:val="both"/>
        <w:rPr>
          <w:sz w:val="24"/>
          <w:szCs w:val="24"/>
          <w:highlight w:val="lightGray"/>
          <w:shd w:val="clear" w:color="auto" w:fill="FFFFFF"/>
        </w:rPr>
      </w:pPr>
      <w:r>
        <w:rPr>
          <w:noProof/>
          <w:sz w:val="24"/>
          <w:szCs w:val="24"/>
        </w:rPr>
        <w:lastRenderedPageBreak/>
        <mc:AlternateContent>
          <mc:Choice Requires="wps">
            <w:drawing>
              <wp:anchor distT="0" distB="0" distL="114300" distR="114300" simplePos="0" relativeHeight="251666432" behindDoc="0" locked="0" layoutInCell="1" allowOverlap="1" wp14:anchorId="59EE4485" wp14:editId="30BD1DDE">
                <wp:simplePos x="0" y="0"/>
                <wp:positionH relativeFrom="column">
                  <wp:posOffset>-55072</wp:posOffset>
                </wp:positionH>
                <wp:positionV relativeFrom="paragraph">
                  <wp:posOffset>116840</wp:posOffset>
                </wp:positionV>
                <wp:extent cx="6215605" cy="5417127"/>
                <wp:effectExtent l="0" t="0" r="7620" b="19050"/>
                <wp:wrapNone/>
                <wp:docPr id="31" name="Textové pole 31"/>
                <wp:cNvGraphicFramePr/>
                <a:graphic xmlns:a="http://schemas.openxmlformats.org/drawingml/2006/main">
                  <a:graphicData uri="http://schemas.microsoft.com/office/word/2010/wordprocessingShape">
                    <wps:wsp>
                      <wps:cNvSpPr txBox="1"/>
                      <wps:spPr>
                        <a:xfrm>
                          <a:off x="0" y="0"/>
                          <a:ext cx="6215605" cy="5417127"/>
                        </a:xfrm>
                        <a:prstGeom prst="rect">
                          <a:avLst/>
                        </a:prstGeom>
                        <a:solidFill>
                          <a:schemeClr val="lt1"/>
                        </a:solidFill>
                        <a:ln w="6350">
                          <a:solidFill>
                            <a:prstClr val="black"/>
                          </a:solidFill>
                        </a:ln>
                      </wps:spPr>
                      <wps:txbx>
                        <w:txbxContent>
                          <w:p w14:paraId="35AF6C4B" w14:textId="64502880" w:rsidR="00DA5BF3" w:rsidRPr="008010F8" w:rsidRDefault="00DA5BF3" w:rsidP="008010F8">
                            <w:pPr>
                              <w:autoSpaceDE w:val="0"/>
                              <w:autoSpaceDN w:val="0"/>
                              <w:adjustRightInd w:val="0"/>
                              <w:spacing w:after="100" w:afterAutospacing="1" w:line="240" w:lineRule="auto"/>
                              <w:jc w:val="both"/>
                              <w:rPr>
                                <w:i/>
                                <w:iCs/>
                                <w:sz w:val="24"/>
                                <w:szCs w:val="24"/>
                                <w:shd w:val="clear" w:color="auto" w:fill="FFFFFF"/>
                              </w:rPr>
                            </w:pPr>
                            <w:r w:rsidRPr="008010F8">
                              <w:rPr>
                                <w:i/>
                                <w:iCs/>
                                <w:sz w:val="24"/>
                                <w:szCs w:val="24"/>
                                <w:shd w:val="clear" w:color="auto" w:fill="FFFFFF"/>
                              </w:rPr>
                              <w:t>Saúdská Arábie</w:t>
                            </w:r>
                          </w:p>
                          <w:p w14:paraId="7063B69F" w14:textId="47CB4CF3" w:rsidR="00DA5BF3" w:rsidRPr="008010F8" w:rsidRDefault="00DA5BF3" w:rsidP="008010F8">
                            <w:pPr>
                              <w:autoSpaceDE w:val="0"/>
                              <w:autoSpaceDN w:val="0"/>
                              <w:adjustRightInd w:val="0"/>
                              <w:spacing w:after="100" w:afterAutospacing="1" w:line="240" w:lineRule="auto"/>
                              <w:jc w:val="both"/>
                              <w:rPr>
                                <w:sz w:val="24"/>
                                <w:szCs w:val="24"/>
                                <w:shd w:val="clear" w:color="auto" w:fill="FFFFFF"/>
                              </w:rPr>
                            </w:pPr>
                            <w:r w:rsidRPr="008010F8">
                              <w:rPr>
                                <w:sz w:val="24"/>
                                <w:szCs w:val="24"/>
                                <w:shd w:val="clear" w:color="auto" w:fill="FFFFFF"/>
                              </w:rPr>
                              <w:t>Ekonomika Saúdské Arábie, vůdčí země MENA, ve 3. čtvrtletí roku 2020 poklesla meziročně o 4,2 %</w:t>
                            </w:r>
                            <w:r>
                              <w:rPr>
                                <w:sz w:val="24"/>
                                <w:szCs w:val="24"/>
                                <w:shd w:val="clear" w:color="auto" w:fill="FFFFFF"/>
                              </w:rPr>
                              <w:t>**</w:t>
                            </w:r>
                            <w:r w:rsidRPr="008010F8">
                              <w:rPr>
                                <w:sz w:val="24"/>
                                <w:szCs w:val="24"/>
                                <w:shd w:val="clear" w:color="auto" w:fill="FFFFFF"/>
                              </w:rPr>
                              <w:t xml:space="preserve"> ve srovnání s předchozím čtvrtletím, kdy tento pokles byl 7 %, neboť zmírnění opatření v rámci lockdownu nestačilo k podpoře spotřeby po podstatném zvýšení DPH.</w:t>
                            </w:r>
                            <w:r>
                              <w:rPr>
                                <w:sz w:val="24"/>
                                <w:szCs w:val="24"/>
                                <w:shd w:val="clear" w:color="auto" w:fill="FFFFFF"/>
                              </w:rPr>
                              <w:t>***</w:t>
                            </w:r>
                            <w:r w:rsidRPr="008010F8">
                              <w:rPr>
                                <w:sz w:val="24"/>
                                <w:szCs w:val="24"/>
                                <w:shd w:val="clear" w:color="auto" w:fill="FFFFFF"/>
                              </w:rPr>
                              <w:t xml:space="preserve"> Dle sezónně očistěné čtvrtletní báze rostlo HDP o 1,2 %, oproti poklesu 4,9 % ve druhém čtvrtletí (General Authority for Statistics, 2020). Hlavní výzvou pro zemi je ta skutečnost, že ropa tvoří 87 % celkových vývozů a 46 % jejího HDP. </w:t>
                            </w:r>
                          </w:p>
                          <w:p w14:paraId="3C61D63E" w14:textId="712725C9" w:rsidR="00DA5BF3" w:rsidRPr="008010F8" w:rsidRDefault="00DA5BF3" w:rsidP="008010F8">
                            <w:pPr>
                              <w:autoSpaceDE w:val="0"/>
                              <w:autoSpaceDN w:val="0"/>
                              <w:adjustRightInd w:val="0"/>
                              <w:spacing w:after="100" w:afterAutospacing="1" w:line="240" w:lineRule="auto"/>
                              <w:jc w:val="both"/>
                              <w:rPr>
                                <w:color w:val="000000" w:themeColor="text1"/>
                                <w:sz w:val="24"/>
                                <w:szCs w:val="24"/>
                                <w:shd w:val="clear" w:color="auto" w:fill="FFFFFF"/>
                              </w:rPr>
                            </w:pPr>
                            <w:r w:rsidRPr="008010F8">
                              <w:rPr>
                                <w:color w:val="000000" w:themeColor="text1"/>
                                <w:sz w:val="24"/>
                                <w:szCs w:val="24"/>
                                <w:shd w:val="clear" w:color="auto" w:fill="FFFFFF"/>
                              </w:rPr>
                              <w:t>Index spotřebitelských cen CPI v Saúdské Arábii se dramaticky zvýšil po červenci 2020.</w:t>
                            </w:r>
                            <w:r w:rsidRPr="008010F8">
                              <w:rPr>
                                <w:rStyle w:val="Znakapoznpodarou"/>
                                <w:color w:val="000000" w:themeColor="text1"/>
                                <w:sz w:val="24"/>
                                <w:szCs w:val="24"/>
                                <w:shd w:val="clear" w:color="auto" w:fill="FFFFFF"/>
                              </w:rPr>
                              <w:footnoteRef/>
                            </w:r>
                            <w:r w:rsidRPr="008010F8">
                              <w:rPr>
                                <w:color w:val="000000" w:themeColor="text1"/>
                                <w:sz w:val="24"/>
                                <w:szCs w:val="24"/>
                                <w:shd w:val="clear" w:color="auto" w:fill="FFFFFF"/>
                              </w:rPr>
                              <w:t xml:space="preserve"> Roční míra inflace v Saúdské Arábii vzrostla na 5,8 % v říjnu 2020 z 5,7 % v září, zejména v důsledku vyšších cen potravin a nealkoholických nápojů (13 % vs. 12,6 %), což odráží vliv vyšší sazby DPH, která platí právě od července. Meziměsíčně spotřebitelské ceny vzrostly o 0,1 % po poklesu 0,2 % v předchozím měsíci (General Authority for Statistics 2020).</w:t>
                            </w:r>
                          </w:p>
                          <w:p w14:paraId="68D72588" w14:textId="55C13BFC" w:rsidR="00DA5BF3" w:rsidRPr="008010F8" w:rsidRDefault="00DA5BF3" w:rsidP="008010F8">
                            <w:pPr>
                              <w:autoSpaceDE w:val="0"/>
                              <w:autoSpaceDN w:val="0"/>
                              <w:adjustRightInd w:val="0"/>
                              <w:spacing w:after="100" w:afterAutospacing="1" w:line="240" w:lineRule="auto"/>
                              <w:jc w:val="both"/>
                              <w:rPr>
                                <w:i/>
                                <w:iCs/>
                                <w:color w:val="000000" w:themeColor="text1"/>
                                <w:sz w:val="24"/>
                                <w:szCs w:val="24"/>
                                <w:shd w:val="clear" w:color="auto" w:fill="FFFFFF"/>
                              </w:rPr>
                            </w:pPr>
                            <w:r w:rsidRPr="008010F8">
                              <w:rPr>
                                <w:i/>
                                <w:iCs/>
                                <w:color w:val="000000" w:themeColor="text1"/>
                                <w:sz w:val="24"/>
                                <w:szCs w:val="24"/>
                                <w:shd w:val="clear" w:color="auto" w:fill="FFFFFF"/>
                              </w:rPr>
                              <w:t>Kazachstán</w:t>
                            </w:r>
                          </w:p>
                          <w:p w14:paraId="1064D255" w14:textId="50F141CF" w:rsidR="00DA5BF3" w:rsidRDefault="00DA5BF3" w:rsidP="00417B64">
                            <w:pPr>
                              <w:spacing w:line="240" w:lineRule="auto"/>
                              <w:jc w:val="both"/>
                              <w:rPr>
                                <w:color w:val="000000" w:themeColor="text1"/>
                                <w:sz w:val="24"/>
                                <w:szCs w:val="24"/>
                                <w:shd w:val="clear" w:color="auto" w:fill="FFFFFF"/>
                                <w:lang w:val="en-US"/>
                              </w:rPr>
                            </w:pPr>
                            <w:r w:rsidRPr="008010F8">
                              <w:rPr>
                                <w:color w:val="000000" w:themeColor="text1"/>
                                <w:sz w:val="24"/>
                                <w:szCs w:val="24"/>
                                <w:shd w:val="clear" w:color="auto" w:fill="FFFFFF"/>
                              </w:rPr>
                              <w:t xml:space="preserve">Roční míra inflace v Kazachstánu se zvýšila na 7,1 % v říjnu 2020 ze 7 % v předcházejícím měsíci, přičemž poněkud rychleji rostly ceny nepotravinářských produktů </w:t>
                            </w:r>
                            <w:r w:rsidRPr="008010F8">
                              <w:rPr>
                                <w:color w:val="000000" w:themeColor="text1"/>
                                <w:sz w:val="24"/>
                                <w:szCs w:val="24"/>
                                <w:shd w:val="clear" w:color="auto" w:fill="FFFFFF"/>
                                <w:lang w:val="en-US"/>
                              </w:rPr>
                              <w:t>(Bureau of National</w:t>
                            </w:r>
                            <w:r w:rsidRPr="008010F8">
                              <w:rPr>
                                <w:color w:val="000000" w:themeColor="text1"/>
                                <w:sz w:val="24"/>
                                <w:szCs w:val="24"/>
                                <w:lang w:val="en-US"/>
                              </w:rPr>
                              <w:t xml:space="preserve"> Statistics, </w:t>
                            </w:r>
                            <w:r w:rsidRPr="008010F8">
                              <w:rPr>
                                <w:color w:val="000000" w:themeColor="text1"/>
                                <w:sz w:val="24"/>
                                <w:szCs w:val="24"/>
                              </w:rPr>
                              <w:t>2020</w:t>
                            </w:r>
                            <w:r w:rsidRPr="008010F8">
                              <w:rPr>
                                <w:color w:val="000000" w:themeColor="text1"/>
                                <w:sz w:val="24"/>
                                <w:szCs w:val="24"/>
                                <w:shd w:val="clear" w:color="auto" w:fill="FFFFFF"/>
                                <w:lang w:val="en-US"/>
                              </w:rPr>
                              <w:t xml:space="preserve">). </w:t>
                            </w:r>
                            <w:r w:rsidRPr="008010F8">
                              <w:rPr>
                                <w:color w:val="000000" w:themeColor="text1"/>
                                <w:sz w:val="24"/>
                                <w:szCs w:val="24"/>
                                <w:shd w:val="clear" w:color="auto" w:fill="FFFFFF"/>
                              </w:rPr>
                              <w:t xml:space="preserve">Ceny potravin nepatrně klesly (10,7 % vs. 10,8 %). Měsíční spotřebitelské ceny vzrostly o 0,6 %, přičemž předchozí měsíc tento růst činil 0,3 %. HDP v období leden–září se meziročně snížil o 2,8 % </w:t>
                            </w:r>
                            <w:r w:rsidRPr="008010F8">
                              <w:rPr>
                                <w:color w:val="000000" w:themeColor="text1"/>
                                <w:sz w:val="24"/>
                                <w:szCs w:val="24"/>
                                <w:shd w:val="clear" w:color="auto" w:fill="FFFFFF"/>
                                <w:lang w:val="en-US"/>
                              </w:rPr>
                              <w:t>(Bureau of National</w:t>
                            </w:r>
                            <w:r w:rsidRPr="008010F8">
                              <w:rPr>
                                <w:color w:val="000000" w:themeColor="text1"/>
                                <w:sz w:val="24"/>
                                <w:szCs w:val="24"/>
                                <w:lang w:val="en-US"/>
                              </w:rPr>
                              <w:t xml:space="preserve"> Statistics </w:t>
                            </w:r>
                            <w:r w:rsidRPr="008010F8">
                              <w:rPr>
                                <w:color w:val="000000" w:themeColor="text1"/>
                                <w:sz w:val="24"/>
                                <w:szCs w:val="24"/>
                              </w:rPr>
                              <w:t>2020</w:t>
                            </w:r>
                            <w:r w:rsidRPr="008010F8">
                              <w:rPr>
                                <w:color w:val="000000" w:themeColor="text1"/>
                                <w:sz w:val="24"/>
                                <w:szCs w:val="24"/>
                                <w:shd w:val="clear" w:color="auto" w:fill="FFFFFF"/>
                                <w:lang w:val="en-US"/>
                              </w:rPr>
                              <w:t>).</w:t>
                            </w:r>
                          </w:p>
                          <w:p w14:paraId="52767A50" w14:textId="6BC84321" w:rsidR="00DA5BF3" w:rsidRDefault="00DA5BF3" w:rsidP="00417B64">
                            <w:pPr>
                              <w:spacing w:line="240" w:lineRule="auto"/>
                              <w:jc w:val="both"/>
                              <w:rPr>
                                <w:color w:val="000000" w:themeColor="text1"/>
                                <w:sz w:val="24"/>
                                <w:szCs w:val="24"/>
                                <w:shd w:val="clear" w:color="auto" w:fill="FFFFFF"/>
                                <w:lang w:val="en-US"/>
                              </w:rPr>
                            </w:pPr>
                            <w:r>
                              <w:rPr>
                                <w:color w:val="000000" w:themeColor="text1"/>
                                <w:sz w:val="24"/>
                                <w:szCs w:val="24"/>
                                <w:shd w:val="clear" w:color="auto" w:fill="FFFFFF"/>
                                <w:lang w:val="en-US"/>
                              </w:rPr>
                              <w:t>---</w:t>
                            </w:r>
                          </w:p>
                          <w:p w14:paraId="56FE33C7" w14:textId="3B55D603" w:rsidR="00DA5BF3" w:rsidRDefault="00DA5BF3" w:rsidP="00417B64">
                            <w:pPr>
                              <w:autoSpaceDE w:val="0"/>
                              <w:autoSpaceDN w:val="0"/>
                              <w:adjustRightInd w:val="0"/>
                              <w:spacing w:after="0" w:line="240" w:lineRule="auto"/>
                              <w:jc w:val="both"/>
                              <w:rPr>
                                <w:color w:val="000000" w:themeColor="text1"/>
                                <w:sz w:val="20"/>
                                <w:szCs w:val="20"/>
                                <w:shd w:val="clear" w:color="auto" w:fill="FFFFFF"/>
                              </w:rPr>
                            </w:pPr>
                            <w:r>
                              <w:rPr>
                                <w:color w:val="000000" w:themeColor="text1"/>
                                <w:sz w:val="24"/>
                                <w:szCs w:val="24"/>
                                <w:shd w:val="clear" w:color="auto" w:fill="FFFFFF"/>
                                <w:lang w:val="en-US"/>
                              </w:rPr>
                              <w:t>*</w:t>
                            </w:r>
                            <w:r w:rsidRPr="00417B64">
                              <w:rPr>
                                <w:sz w:val="20"/>
                                <w:szCs w:val="20"/>
                              </w:rPr>
                              <w:t xml:space="preserve"> </w:t>
                            </w:r>
                            <w:r w:rsidRPr="00582348">
                              <w:rPr>
                                <w:sz w:val="20"/>
                                <w:szCs w:val="20"/>
                              </w:rPr>
                              <w:t>Obdobnou situaci lze pozorovat i v</w:t>
                            </w:r>
                            <w:r w:rsidRPr="00582348">
                              <w:rPr>
                                <w:color w:val="000000" w:themeColor="text1"/>
                                <w:sz w:val="20"/>
                                <w:szCs w:val="20"/>
                                <w:shd w:val="clear" w:color="auto" w:fill="FFFFFF"/>
                              </w:rPr>
                              <w:t> Subsaharské Africe. Země jako Nigérie, Angola a menší producenti závisejí přibližně z</w:t>
                            </w:r>
                            <w:r>
                              <w:rPr>
                                <w:color w:val="000000" w:themeColor="text1"/>
                                <w:sz w:val="20"/>
                                <w:szCs w:val="20"/>
                                <w:shd w:val="clear" w:color="auto" w:fill="FFFFFF"/>
                              </w:rPr>
                              <w:t> </w:t>
                            </w:r>
                            <w:r w:rsidRPr="00582348">
                              <w:rPr>
                                <w:color w:val="000000" w:themeColor="text1"/>
                                <w:sz w:val="20"/>
                                <w:szCs w:val="20"/>
                                <w:shd w:val="clear" w:color="auto" w:fill="FFFFFF"/>
                              </w:rPr>
                              <w:t>20</w:t>
                            </w:r>
                            <w:r>
                              <w:rPr>
                                <w:color w:val="000000" w:themeColor="text1"/>
                                <w:sz w:val="20"/>
                                <w:szCs w:val="20"/>
                                <w:shd w:val="clear" w:color="auto" w:fill="FFFFFF"/>
                              </w:rPr>
                              <w:t>–</w:t>
                            </w:r>
                            <w:r w:rsidRPr="00582348">
                              <w:rPr>
                                <w:color w:val="000000" w:themeColor="text1"/>
                                <w:sz w:val="20"/>
                                <w:szCs w:val="20"/>
                                <w:shd w:val="clear" w:color="auto" w:fill="FFFFFF"/>
                              </w:rPr>
                              <w:t>30 % na sektoru fosilních paliv a vykazují velmi vysokou pružnost HDP (většina zemí) a vládních příjmů (všechny země) k ceně ropy. Jejich suverénní fondy v podstatě neexistují, devizové rezervy na obyvatele jsou velmi nízké. Toto je činí velmi zranitelné v případě dlouhých období nízkých cen ropy.</w:t>
                            </w:r>
                          </w:p>
                          <w:p w14:paraId="5496D9B0" w14:textId="5CE56D20" w:rsidR="00DA5BF3" w:rsidRDefault="00DA5BF3" w:rsidP="00417B64">
                            <w:pPr>
                              <w:autoSpaceDE w:val="0"/>
                              <w:autoSpaceDN w:val="0"/>
                              <w:adjustRightInd w:val="0"/>
                              <w:spacing w:after="0" w:line="240" w:lineRule="auto"/>
                              <w:jc w:val="both"/>
                            </w:pPr>
                            <w:r>
                              <w:t xml:space="preserve">** </w:t>
                            </w:r>
                            <w:r w:rsidRPr="00582348">
                              <w:t>Viz graf 1–1 v Příloze 1.</w:t>
                            </w:r>
                          </w:p>
                          <w:p w14:paraId="077FDAE6" w14:textId="77777777" w:rsidR="00DA5BF3" w:rsidRPr="00F1190A" w:rsidRDefault="00DA5BF3" w:rsidP="00765A53">
                            <w:pPr>
                              <w:pStyle w:val="Textpoznpodarou"/>
                              <w:jc w:val="both"/>
                            </w:pPr>
                            <w:r>
                              <w:t xml:space="preserve">*** </w:t>
                            </w:r>
                            <w:r w:rsidRPr="00F1190A">
                              <w:rPr>
                                <w:shd w:val="clear" w:color="auto" w:fill="FFFFFF"/>
                              </w:rPr>
                              <w:t>Saúdská Arábie se rozhodla zvýšit od července 2020 DPH na 15 % ze sazby 5 %.</w:t>
                            </w:r>
                          </w:p>
                          <w:p w14:paraId="42F08379" w14:textId="4EFD5157" w:rsidR="00DA5BF3" w:rsidRDefault="00DA5BF3" w:rsidP="00417B64">
                            <w:pPr>
                              <w:autoSpaceDE w:val="0"/>
                              <w:autoSpaceDN w:val="0"/>
                              <w:adjustRightInd w:val="0"/>
                              <w:spacing w:after="0" w:line="240" w:lineRule="auto"/>
                              <w:jc w:val="both"/>
                              <w:rPr>
                                <w:color w:val="000000" w:themeColor="text1"/>
                                <w:sz w:val="20"/>
                                <w:szCs w:val="20"/>
                                <w:shd w:val="clear" w:color="auto" w:fill="FFFFFF"/>
                              </w:rPr>
                            </w:pPr>
                          </w:p>
                          <w:p w14:paraId="0FC01F6B" w14:textId="588201BE" w:rsidR="00DA5BF3" w:rsidRDefault="00DA5BF3" w:rsidP="00417B64">
                            <w:pPr>
                              <w:autoSpaceDE w:val="0"/>
                              <w:autoSpaceDN w:val="0"/>
                              <w:adjustRightInd w:val="0"/>
                              <w:spacing w:after="0" w:line="240" w:lineRule="auto"/>
                              <w:jc w:val="both"/>
                              <w:rPr>
                                <w:color w:val="000000" w:themeColor="text1"/>
                                <w:sz w:val="20"/>
                                <w:szCs w:val="20"/>
                                <w:shd w:val="clear" w:color="auto" w:fill="FFFFFF"/>
                              </w:rPr>
                            </w:pPr>
                          </w:p>
                          <w:p w14:paraId="0E89C6DE" w14:textId="77777777" w:rsidR="00DA5BF3" w:rsidRPr="00D37FF8" w:rsidRDefault="00DA5BF3" w:rsidP="00417B64">
                            <w:pPr>
                              <w:autoSpaceDE w:val="0"/>
                              <w:autoSpaceDN w:val="0"/>
                              <w:adjustRightInd w:val="0"/>
                              <w:spacing w:after="0" w:line="240" w:lineRule="auto"/>
                              <w:jc w:val="both"/>
                              <w:rPr>
                                <w:color w:val="000000" w:themeColor="text1"/>
                                <w:sz w:val="20"/>
                                <w:szCs w:val="20"/>
                                <w:shd w:val="clear" w:color="auto" w:fill="FFFFFF"/>
                              </w:rPr>
                            </w:pPr>
                          </w:p>
                          <w:p w14:paraId="76848829" w14:textId="0D8FB5A0" w:rsidR="00DA5BF3" w:rsidRDefault="00DA5BF3" w:rsidP="00417B64">
                            <w:pPr>
                              <w:spacing w:line="240" w:lineRule="auto"/>
                              <w:jc w:val="both"/>
                            </w:pPr>
                          </w:p>
                          <w:p w14:paraId="3D524371" w14:textId="77777777" w:rsidR="00DA5BF3" w:rsidRDefault="00DA5B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4485" id="Textové pole 31" o:spid="_x0000_s1028" type="#_x0000_t202" style="position:absolute;left:0;text-align:left;margin-left:-4.35pt;margin-top:9.2pt;width:489.4pt;height:4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" fillcolor="white [3201]" strokeweight=".5pt">
                <v:textbox>
                  <w:txbxContent>
                    <w:p w14:paraId="35AF6C4B" w14:textId="64502880" w:rsidR="00DA5BF3" w:rsidRPr="008010F8" w:rsidRDefault="00DA5BF3" w:rsidP="008010F8">
                      <w:pPr>
                        <w:autoSpaceDE w:val="0"/>
                        <w:autoSpaceDN w:val="0"/>
                        <w:adjustRightInd w:val="0"/>
                        <w:spacing w:after="100" w:afterAutospacing="1" w:line="240" w:lineRule="auto"/>
                        <w:jc w:val="both"/>
                        <w:rPr>
                          <w:i/>
                          <w:iCs/>
                          <w:sz w:val="24"/>
                          <w:szCs w:val="24"/>
                          <w:shd w:val="clear" w:color="auto" w:fill="FFFFFF"/>
                        </w:rPr>
                      </w:pPr>
                      <w:r w:rsidRPr="008010F8">
                        <w:rPr>
                          <w:i/>
                          <w:iCs/>
                          <w:sz w:val="24"/>
                          <w:szCs w:val="24"/>
                          <w:shd w:val="clear" w:color="auto" w:fill="FFFFFF"/>
                        </w:rPr>
                        <w:t>Saúdská Arábie</w:t>
                      </w:r>
                    </w:p>
                    <w:p w14:paraId="7063B69F" w14:textId="47CB4CF3" w:rsidR="00DA5BF3" w:rsidRPr="008010F8" w:rsidRDefault="00DA5BF3" w:rsidP="008010F8">
                      <w:pPr>
                        <w:autoSpaceDE w:val="0"/>
                        <w:autoSpaceDN w:val="0"/>
                        <w:adjustRightInd w:val="0"/>
                        <w:spacing w:after="100" w:afterAutospacing="1" w:line="240" w:lineRule="auto"/>
                        <w:jc w:val="both"/>
                        <w:rPr>
                          <w:sz w:val="24"/>
                          <w:szCs w:val="24"/>
                          <w:shd w:val="clear" w:color="auto" w:fill="FFFFFF"/>
                        </w:rPr>
                      </w:pPr>
                      <w:r w:rsidRPr="008010F8">
                        <w:rPr>
                          <w:sz w:val="24"/>
                          <w:szCs w:val="24"/>
                          <w:shd w:val="clear" w:color="auto" w:fill="FFFFFF"/>
                        </w:rPr>
                        <w:t>Ekonomika Saúdské Arábie, vůdčí země MENA, ve 3. čtvrtletí roku 2020 poklesla meziročně o 4,2 %</w:t>
                      </w:r>
                      <w:r>
                        <w:rPr>
                          <w:sz w:val="24"/>
                          <w:szCs w:val="24"/>
                          <w:shd w:val="clear" w:color="auto" w:fill="FFFFFF"/>
                        </w:rPr>
                        <w:t>**</w:t>
                      </w:r>
                      <w:r w:rsidRPr="008010F8">
                        <w:rPr>
                          <w:sz w:val="24"/>
                          <w:szCs w:val="24"/>
                          <w:shd w:val="clear" w:color="auto" w:fill="FFFFFF"/>
                        </w:rPr>
                        <w:t xml:space="preserve"> ve srovnání s předchozím čtvrtletím, kdy tento pokles byl 7 %, neboť zmírnění opatření v rámci </w:t>
                      </w:r>
                      <w:proofErr w:type="spellStart"/>
                      <w:r w:rsidRPr="008010F8">
                        <w:rPr>
                          <w:sz w:val="24"/>
                          <w:szCs w:val="24"/>
                          <w:shd w:val="clear" w:color="auto" w:fill="FFFFFF"/>
                        </w:rPr>
                        <w:t>lockdownu</w:t>
                      </w:r>
                      <w:proofErr w:type="spellEnd"/>
                      <w:r w:rsidRPr="008010F8">
                        <w:rPr>
                          <w:sz w:val="24"/>
                          <w:szCs w:val="24"/>
                          <w:shd w:val="clear" w:color="auto" w:fill="FFFFFF"/>
                        </w:rPr>
                        <w:t xml:space="preserve"> nestačilo k podpoře spotřeby po podstatném zvýšení DPH.</w:t>
                      </w:r>
                      <w:r>
                        <w:rPr>
                          <w:sz w:val="24"/>
                          <w:szCs w:val="24"/>
                          <w:shd w:val="clear" w:color="auto" w:fill="FFFFFF"/>
                        </w:rPr>
                        <w:t>***</w:t>
                      </w:r>
                      <w:r w:rsidRPr="008010F8">
                        <w:rPr>
                          <w:sz w:val="24"/>
                          <w:szCs w:val="24"/>
                          <w:shd w:val="clear" w:color="auto" w:fill="FFFFFF"/>
                        </w:rPr>
                        <w:t xml:space="preserve"> Dle sezónně očistěné čtvrtletní báze rostlo HDP o 1,2 %, oproti poklesu 4,9 % ve druhém čtvrtletí (General </w:t>
                      </w:r>
                      <w:proofErr w:type="spellStart"/>
                      <w:r w:rsidRPr="008010F8">
                        <w:rPr>
                          <w:sz w:val="24"/>
                          <w:szCs w:val="24"/>
                          <w:shd w:val="clear" w:color="auto" w:fill="FFFFFF"/>
                        </w:rPr>
                        <w:t>Authority</w:t>
                      </w:r>
                      <w:proofErr w:type="spellEnd"/>
                      <w:r w:rsidRPr="008010F8">
                        <w:rPr>
                          <w:sz w:val="24"/>
                          <w:szCs w:val="24"/>
                          <w:shd w:val="clear" w:color="auto" w:fill="FFFFFF"/>
                        </w:rPr>
                        <w:t xml:space="preserve"> </w:t>
                      </w:r>
                      <w:proofErr w:type="spellStart"/>
                      <w:r w:rsidRPr="008010F8">
                        <w:rPr>
                          <w:sz w:val="24"/>
                          <w:szCs w:val="24"/>
                          <w:shd w:val="clear" w:color="auto" w:fill="FFFFFF"/>
                        </w:rPr>
                        <w:t>for</w:t>
                      </w:r>
                      <w:proofErr w:type="spellEnd"/>
                      <w:r w:rsidRPr="008010F8">
                        <w:rPr>
                          <w:sz w:val="24"/>
                          <w:szCs w:val="24"/>
                          <w:shd w:val="clear" w:color="auto" w:fill="FFFFFF"/>
                        </w:rPr>
                        <w:t xml:space="preserve"> </w:t>
                      </w:r>
                      <w:proofErr w:type="spellStart"/>
                      <w:r w:rsidRPr="008010F8">
                        <w:rPr>
                          <w:sz w:val="24"/>
                          <w:szCs w:val="24"/>
                          <w:shd w:val="clear" w:color="auto" w:fill="FFFFFF"/>
                        </w:rPr>
                        <w:t>Statistics</w:t>
                      </w:r>
                      <w:proofErr w:type="spellEnd"/>
                      <w:r w:rsidRPr="008010F8">
                        <w:rPr>
                          <w:sz w:val="24"/>
                          <w:szCs w:val="24"/>
                          <w:shd w:val="clear" w:color="auto" w:fill="FFFFFF"/>
                        </w:rPr>
                        <w:t xml:space="preserve">, 2020). Hlavní výzvou pro zemi je ta skutečnost, že ropa tvoří 87 % celkových vývozů a 46 % jejího HDP. </w:t>
                      </w:r>
                    </w:p>
                    <w:p w14:paraId="3C61D63E" w14:textId="712725C9" w:rsidR="00DA5BF3" w:rsidRPr="008010F8" w:rsidRDefault="00DA5BF3" w:rsidP="008010F8">
                      <w:pPr>
                        <w:autoSpaceDE w:val="0"/>
                        <w:autoSpaceDN w:val="0"/>
                        <w:adjustRightInd w:val="0"/>
                        <w:spacing w:after="100" w:afterAutospacing="1" w:line="240" w:lineRule="auto"/>
                        <w:jc w:val="both"/>
                        <w:rPr>
                          <w:color w:val="000000" w:themeColor="text1"/>
                          <w:sz w:val="24"/>
                          <w:szCs w:val="24"/>
                          <w:shd w:val="clear" w:color="auto" w:fill="FFFFFF"/>
                        </w:rPr>
                      </w:pPr>
                      <w:r w:rsidRPr="008010F8">
                        <w:rPr>
                          <w:color w:val="000000" w:themeColor="text1"/>
                          <w:sz w:val="24"/>
                          <w:szCs w:val="24"/>
                          <w:shd w:val="clear" w:color="auto" w:fill="FFFFFF"/>
                        </w:rPr>
                        <w:t>Index spotřebitelských cen CPI v Saúdské Arábii se dramaticky zvýšil po červenci 2020.</w:t>
                      </w:r>
                      <w:r w:rsidRPr="008010F8">
                        <w:rPr>
                          <w:rStyle w:val="Znakapoznpodarou"/>
                          <w:color w:val="000000" w:themeColor="text1"/>
                          <w:sz w:val="24"/>
                          <w:szCs w:val="24"/>
                          <w:shd w:val="clear" w:color="auto" w:fill="FFFFFF"/>
                        </w:rPr>
                        <w:footnoteRef/>
                      </w:r>
                      <w:r w:rsidRPr="008010F8">
                        <w:rPr>
                          <w:color w:val="000000" w:themeColor="text1"/>
                          <w:sz w:val="24"/>
                          <w:szCs w:val="24"/>
                          <w:shd w:val="clear" w:color="auto" w:fill="FFFFFF"/>
                        </w:rPr>
                        <w:t xml:space="preserve"> Roční míra inflace v Saúdské Arábii vzrostla na 5,8 % v říjnu 2020 z 5,7 % v září, zejména v důsledku vyšších cen potravin a nealkoholických nápojů (13 % vs. 12,6 %), což odráží vliv vyšší sazby DPH, která platí právě od července. Meziměsíčně spotřebitelské ceny vzrostly o 0,1 % po poklesu 0,2 % v předchozím měsíci (General </w:t>
                      </w:r>
                      <w:proofErr w:type="spellStart"/>
                      <w:r w:rsidRPr="008010F8">
                        <w:rPr>
                          <w:color w:val="000000" w:themeColor="text1"/>
                          <w:sz w:val="24"/>
                          <w:szCs w:val="24"/>
                          <w:shd w:val="clear" w:color="auto" w:fill="FFFFFF"/>
                        </w:rPr>
                        <w:t>Authority</w:t>
                      </w:r>
                      <w:proofErr w:type="spellEnd"/>
                      <w:r w:rsidRPr="008010F8">
                        <w:rPr>
                          <w:color w:val="000000" w:themeColor="text1"/>
                          <w:sz w:val="24"/>
                          <w:szCs w:val="24"/>
                          <w:shd w:val="clear" w:color="auto" w:fill="FFFFFF"/>
                        </w:rPr>
                        <w:t xml:space="preserve"> </w:t>
                      </w:r>
                      <w:proofErr w:type="spellStart"/>
                      <w:r w:rsidRPr="008010F8">
                        <w:rPr>
                          <w:color w:val="000000" w:themeColor="text1"/>
                          <w:sz w:val="24"/>
                          <w:szCs w:val="24"/>
                          <w:shd w:val="clear" w:color="auto" w:fill="FFFFFF"/>
                        </w:rPr>
                        <w:t>for</w:t>
                      </w:r>
                      <w:proofErr w:type="spellEnd"/>
                      <w:r w:rsidRPr="008010F8">
                        <w:rPr>
                          <w:color w:val="000000" w:themeColor="text1"/>
                          <w:sz w:val="24"/>
                          <w:szCs w:val="24"/>
                          <w:shd w:val="clear" w:color="auto" w:fill="FFFFFF"/>
                        </w:rPr>
                        <w:t xml:space="preserve"> </w:t>
                      </w:r>
                      <w:proofErr w:type="spellStart"/>
                      <w:r w:rsidRPr="008010F8">
                        <w:rPr>
                          <w:color w:val="000000" w:themeColor="text1"/>
                          <w:sz w:val="24"/>
                          <w:szCs w:val="24"/>
                          <w:shd w:val="clear" w:color="auto" w:fill="FFFFFF"/>
                        </w:rPr>
                        <w:t>Statistics</w:t>
                      </w:r>
                      <w:proofErr w:type="spellEnd"/>
                      <w:r w:rsidRPr="008010F8">
                        <w:rPr>
                          <w:color w:val="000000" w:themeColor="text1"/>
                          <w:sz w:val="24"/>
                          <w:szCs w:val="24"/>
                          <w:shd w:val="clear" w:color="auto" w:fill="FFFFFF"/>
                        </w:rPr>
                        <w:t xml:space="preserve"> 2020).</w:t>
                      </w:r>
                    </w:p>
                    <w:p w14:paraId="68D72588" w14:textId="55C13BFC" w:rsidR="00DA5BF3" w:rsidRPr="008010F8" w:rsidRDefault="00DA5BF3" w:rsidP="008010F8">
                      <w:pPr>
                        <w:autoSpaceDE w:val="0"/>
                        <w:autoSpaceDN w:val="0"/>
                        <w:adjustRightInd w:val="0"/>
                        <w:spacing w:after="100" w:afterAutospacing="1" w:line="240" w:lineRule="auto"/>
                        <w:jc w:val="both"/>
                        <w:rPr>
                          <w:i/>
                          <w:iCs/>
                          <w:color w:val="000000" w:themeColor="text1"/>
                          <w:sz w:val="24"/>
                          <w:szCs w:val="24"/>
                          <w:shd w:val="clear" w:color="auto" w:fill="FFFFFF"/>
                        </w:rPr>
                      </w:pPr>
                      <w:r w:rsidRPr="008010F8">
                        <w:rPr>
                          <w:i/>
                          <w:iCs/>
                          <w:color w:val="000000" w:themeColor="text1"/>
                          <w:sz w:val="24"/>
                          <w:szCs w:val="24"/>
                          <w:shd w:val="clear" w:color="auto" w:fill="FFFFFF"/>
                        </w:rPr>
                        <w:t>Kazachstán</w:t>
                      </w:r>
                    </w:p>
                    <w:p w14:paraId="1064D255" w14:textId="50F141CF" w:rsidR="00DA5BF3" w:rsidRDefault="00DA5BF3" w:rsidP="00417B64">
                      <w:pPr>
                        <w:spacing w:line="240" w:lineRule="auto"/>
                        <w:jc w:val="both"/>
                        <w:rPr>
                          <w:color w:val="000000" w:themeColor="text1"/>
                          <w:sz w:val="24"/>
                          <w:szCs w:val="24"/>
                          <w:shd w:val="clear" w:color="auto" w:fill="FFFFFF"/>
                          <w:lang w:val="en-US"/>
                        </w:rPr>
                      </w:pPr>
                      <w:r w:rsidRPr="008010F8">
                        <w:rPr>
                          <w:color w:val="000000" w:themeColor="text1"/>
                          <w:sz w:val="24"/>
                          <w:szCs w:val="24"/>
                          <w:shd w:val="clear" w:color="auto" w:fill="FFFFFF"/>
                        </w:rPr>
                        <w:t xml:space="preserve">Roční míra inflace v Kazachstánu se zvýšila na 7,1 % v říjnu 2020 ze 7 % v předcházejícím měsíci, přičemž poněkud rychleji rostly ceny nepotravinářských produktů </w:t>
                      </w:r>
                      <w:r w:rsidRPr="008010F8">
                        <w:rPr>
                          <w:color w:val="000000" w:themeColor="text1"/>
                          <w:sz w:val="24"/>
                          <w:szCs w:val="24"/>
                          <w:shd w:val="clear" w:color="auto" w:fill="FFFFFF"/>
                          <w:lang w:val="en-US"/>
                        </w:rPr>
                        <w:t>(Bureau of National</w:t>
                      </w:r>
                      <w:r w:rsidRPr="008010F8">
                        <w:rPr>
                          <w:color w:val="000000" w:themeColor="text1"/>
                          <w:sz w:val="24"/>
                          <w:szCs w:val="24"/>
                          <w:lang w:val="en-US"/>
                        </w:rPr>
                        <w:t xml:space="preserve"> Statistics, </w:t>
                      </w:r>
                      <w:r w:rsidRPr="008010F8">
                        <w:rPr>
                          <w:color w:val="000000" w:themeColor="text1"/>
                          <w:sz w:val="24"/>
                          <w:szCs w:val="24"/>
                        </w:rPr>
                        <w:t>2020</w:t>
                      </w:r>
                      <w:r w:rsidRPr="008010F8">
                        <w:rPr>
                          <w:color w:val="000000" w:themeColor="text1"/>
                          <w:sz w:val="24"/>
                          <w:szCs w:val="24"/>
                          <w:shd w:val="clear" w:color="auto" w:fill="FFFFFF"/>
                          <w:lang w:val="en-US"/>
                        </w:rPr>
                        <w:t xml:space="preserve">). </w:t>
                      </w:r>
                      <w:r w:rsidRPr="008010F8">
                        <w:rPr>
                          <w:color w:val="000000" w:themeColor="text1"/>
                          <w:sz w:val="24"/>
                          <w:szCs w:val="24"/>
                          <w:shd w:val="clear" w:color="auto" w:fill="FFFFFF"/>
                        </w:rPr>
                        <w:t xml:space="preserve">Ceny potravin nepatrně klesly (10,7 % vs. 10,8 %). Měsíční spotřebitelské ceny vzrostly o 0,6 %, přičemž předchozí měsíc tento růst činil 0,3 %. HDP v období leden–září se meziročně snížil o 2,8 % </w:t>
                      </w:r>
                      <w:r w:rsidRPr="008010F8">
                        <w:rPr>
                          <w:color w:val="000000" w:themeColor="text1"/>
                          <w:sz w:val="24"/>
                          <w:szCs w:val="24"/>
                          <w:shd w:val="clear" w:color="auto" w:fill="FFFFFF"/>
                          <w:lang w:val="en-US"/>
                        </w:rPr>
                        <w:t>(Bureau of National</w:t>
                      </w:r>
                      <w:r w:rsidRPr="008010F8">
                        <w:rPr>
                          <w:color w:val="000000" w:themeColor="text1"/>
                          <w:sz w:val="24"/>
                          <w:szCs w:val="24"/>
                          <w:lang w:val="en-US"/>
                        </w:rPr>
                        <w:t xml:space="preserve"> Statistics </w:t>
                      </w:r>
                      <w:r w:rsidRPr="008010F8">
                        <w:rPr>
                          <w:color w:val="000000" w:themeColor="text1"/>
                          <w:sz w:val="24"/>
                          <w:szCs w:val="24"/>
                        </w:rPr>
                        <w:t>2020</w:t>
                      </w:r>
                      <w:r w:rsidRPr="008010F8">
                        <w:rPr>
                          <w:color w:val="000000" w:themeColor="text1"/>
                          <w:sz w:val="24"/>
                          <w:szCs w:val="24"/>
                          <w:shd w:val="clear" w:color="auto" w:fill="FFFFFF"/>
                          <w:lang w:val="en-US"/>
                        </w:rPr>
                        <w:t>).</w:t>
                      </w:r>
                    </w:p>
                    <w:p w14:paraId="52767A50" w14:textId="6BC84321" w:rsidR="00DA5BF3" w:rsidRDefault="00DA5BF3" w:rsidP="00417B64">
                      <w:pPr>
                        <w:spacing w:line="240" w:lineRule="auto"/>
                        <w:jc w:val="both"/>
                        <w:rPr>
                          <w:color w:val="000000" w:themeColor="text1"/>
                          <w:sz w:val="24"/>
                          <w:szCs w:val="24"/>
                          <w:shd w:val="clear" w:color="auto" w:fill="FFFFFF"/>
                          <w:lang w:val="en-US"/>
                        </w:rPr>
                      </w:pPr>
                      <w:r>
                        <w:rPr>
                          <w:color w:val="000000" w:themeColor="text1"/>
                          <w:sz w:val="24"/>
                          <w:szCs w:val="24"/>
                          <w:shd w:val="clear" w:color="auto" w:fill="FFFFFF"/>
                          <w:lang w:val="en-US"/>
                        </w:rPr>
                        <w:t>---</w:t>
                      </w:r>
                    </w:p>
                    <w:p w14:paraId="56FE33C7" w14:textId="3B55D603" w:rsidR="00DA5BF3" w:rsidRDefault="00DA5BF3" w:rsidP="00417B64">
                      <w:pPr>
                        <w:autoSpaceDE w:val="0"/>
                        <w:autoSpaceDN w:val="0"/>
                        <w:adjustRightInd w:val="0"/>
                        <w:spacing w:after="0" w:line="240" w:lineRule="auto"/>
                        <w:jc w:val="both"/>
                        <w:rPr>
                          <w:color w:val="000000" w:themeColor="text1"/>
                          <w:sz w:val="20"/>
                          <w:szCs w:val="20"/>
                          <w:shd w:val="clear" w:color="auto" w:fill="FFFFFF"/>
                        </w:rPr>
                      </w:pPr>
                      <w:r>
                        <w:rPr>
                          <w:color w:val="000000" w:themeColor="text1"/>
                          <w:sz w:val="24"/>
                          <w:szCs w:val="24"/>
                          <w:shd w:val="clear" w:color="auto" w:fill="FFFFFF"/>
                          <w:lang w:val="en-US"/>
                        </w:rPr>
                        <w:t>*</w:t>
                      </w:r>
                      <w:r w:rsidRPr="00417B64">
                        <w:rPr>
                          <w:sz w:val="20"/>
                          <w:szCs w:val="20"/>
                        </w:rPr>
                        <w:t xml:space="preserve"> </w:t>
                      </w:r>
                      <w:r w:rsidRPr="00582348">
                        <w:rPr>
                          <w:sz w:val="20"/>
                          <w:szCs w:val="20"/>
                        </w:rPr>
                        <w:t>Obdobnou situaci lze pozorovat i v</w:t>
                      </w:r>
                      <w:r w:rsidRPr="00582348">
                        <w:rPr>
                          <w:color w:val="000000" w:themeColor="text1"/>
                          <w:sz w:val="20"/>
                          <w:szCs w:val="20"/>
                          <w:shd w:val="clear" w:color="auto" w:fill="FFFFFF"/>
                        </w:rPr>
                        <w:t> Subsaharské Africe. Země jako Nigérie, Angola a menší producenti závisejí přibližně z</w:t>
                      </w:r>
                      <w:r>
                        <w:rPr>
                          <w:color w:val="000000" w:themeColor="text1"/>
                          <w:sz w:val="20"/>
                          <w:szCs w:val="20"/>
                          <w:shd w:val="clear" w:color="auto" w:fill="FFFFFF"/>
                        </w:rPr>
                        <w:t> </w:t>
                      </w:r>
                      <w:r w:rsidRPr="00582348">
                        <w:rPr>
                          <w:color w:val="000000" w:themeColor="text1"/>
                          <w:sz w:val="20"/>
                          <w:szCs w:val="20"/>
                          <w:shd w:val="clear" w:color="auto" w:fill="FFFFFF"/>
                        </w:rPr>
                        <w:t>20</w:t>
                      </w:r>
                      <w:r>
                        <w:rPr>
                          <w:color w:val="000000" w:themeColor="text1"/>
                          <w:sz w:val="20"/>
                          <w:szCs w:val="20"/>
                          <w:shd w:val="clear" w:color="auto" w:fill="FFFFFF"/>
                        </w:rPr>
                        <w:t>–</w:t>
                      </w:r>
                      <w:r w:rsidRPr="00582348">
                        <w:rPr>
                          <w:color w:val="000000" w:themeColor="text1"/>
                          <w:sz w:val="20"/>
                          <w:szCs w:val="20"/>
                          <w:shd w:val="clear" w:color="auto" w:fill="FFFFFF"/>
                        </w:rPr>
                        <w:t>30 % na sektoru fosilních paliv a vykazují velmi vysokou pružnost HDP (většina zemí) a vládních příjmů (všechny země) k ceně ropy. Jejich suverénní fondy v podstatě neexistují, devizové rezervy na obyvatele jsou velmi nízké. Toto je činí velmi zranitelné v případě dlouhých období nízkých cen ropy.</w:t>
                      </w:r>
                    </w:p>
                    <w:p w14:paraId="5496D9B0" w14:textId="5CE56D20" w:rsidR="00DA5BF3" w:rsidRDefault="00DA5BF3" w:rsidP="00417B64">
                      <w:pPr>
                        <w:autoSpaceDE w:val="0"/>
                        <w:autoSpaceDN w:val="0"/>
                        <w:adjustRightInd w:val="0"/>
                        <w:spacing w:after="0" w:line="240" w:lineRule="auto"/>
                        <w:jc w:val="both"/>
                      </w:pPr>
                      <w:r>
                        <w:t xml:space="preserve">** </w:t>
                      </w:r>
                      <w:r w:rsidRPr="00582348">
                        <w:t>Viz graf 1–1 v Příloze 1.</w:t>
                      </w:r>
                    </w:p>
                    <w:p w14:paraId="077FDAE6" w14:textId="77777777" w:rsidR="00DA5BF3" w:rsidRPr="00F1190A" w:rsidRDefault="00DA5BF3" w:rsidP="00765A53">
                      <w:pPr>
                        <w:pStyle w:val="Textpoznpodarou"/>
                        <w:jc w:val="both"/>
                      </w:pPr>
                      <w:r>
                        <w:t xml:space="preserve">*** </w:t>
                      </w:r>
                      <w:r w:rsidRPr="00F1190A">
                        <w:rPr>
                          <w:shd w:val="clear" w:color="auto" w:fill="FFFFFF"/>
                        </w:rPr>
                        <w:t>Saúdská Arábie se rozhodla zvýšit od července 2020 DPH na 15 % ze sazby 5 %.</w:t>
                      </w:r>
                    </w:p>
                    <w:p w14:paraId="42F08379" w14:textId="4EFD5157" w:rsidR="00DA5BF3" w:rsidRDefault="00DA5BF3" w:rsidP="00417B64">
                      <w:pPr>
                        <w:autoSpaceDE w:val="0"/>
                        <w:autoSpaceDN w:val="0"/>
                        <w:adjustRightInd w:val="0"/>
                        <w:spacing w:after="0" w:line="240" w:lineRule="auto"/>
                        <w:jc w:val="both"/>
                        <w:rPr>
                          <w:color w:val="000000" w:themeColor="text1"/>
                          <w:sz w:val="20"/>
                          <w:szCs w:val="20"/>
                          <w:shd w:val="clear" w:color="auto" w:fill="FFFFFF"/>
                        </w:rPr>
                      </w:pPr>
                    </w:p>
                    <w:p w14:paraId="0FC01F6B" w14:textId="588201BE" w:rsidR="00DA5BF3" w:rsidRDefault="00DA5BF3" w:rsidP="00417B64">
                      <w:pPr>
                        <w:autoSpaceDE w:val="0"/>
                        <w:autoSpaceDN w:val="0"/>
                        <w:adjustRightInd w:val="0"/>
                        <w:spacing w:after="0" w:line="240" w:lineRule="auto"/>
                        <w:jc w:val="both"/>
                        <w:rPr>
                          <w:color w:val="000000" w:themeColor="text1"/>
                          <w:sz w:val="20"/>
                          <w:szCs w:val="20"/>
                          <w:shd w:val="clear" w:color="auto" w:fill="FFFFFF"/>
                        </w:rPr>
                      </w:pPr>
                    </w:p>
                    <w:p w14:paraId="0E89C6DE" w14:textId="77777777" w:rsidR="00DA5BF3" w:rsidRPr="00D37FF8" w:rsidRDefault="00DA5BF3" w:rsidP="00417B64">
                      <w:pPr>
                        <w:autoSpaceDE w:val="0"/>
                        <w:autoSpaceDN w:val="0"/>
                        <w:adjustRightInd w:val="0"/>
                        <w:spacing w:after="0" w:line="240" w:lineRule="auto"/>
                        <w:jc w:val="both"/>
                        <w:rPr>
                          <w:color w:val="000000" w:themeColor="text1"/>
                          <w:sz w:val="20"/>
                          <w:szCs w:val="20"/>
                          <w:shd w:val="clear" w:color="auto" w:fill="FFFFFF"/>
                        </w:rPr>
                      </w:pPr>
                    </w:p>
                    <w:p w14:paraId="76848829" w14:textId="0D8FB5A0" w:rsidR="00DA5BF3" w:rsidRDefault="00DA5BF3" w:rsidP="00417B64">
                      <w:pPr>
                        <w:spacing w:line="240" w:lineRule="auto"/>
                        <w:jc w:val="both"/>
                      </w:pPr>
                    </w:p>
                    <w:p w14:paraId="3D524371" w14:textId="77777777" w:rsidR="00DA5BF3" w:rsidRDefault="00DA5BF3"/>
                  </w:txbxContent>
                </v:textbox>
              </v:shape>
            </w:pict>
          </mc:Fallback>
        </mc:AlternateContent>
      </w:r>
    </w:p>
    <w:p w14:paraId="2791B106" w14:textId="77777777" w:rsidR="008010F8" w:rsidRDefault="008010F8" w:rsidP="008010F8">
      <w:pPr>
        <w:autoSpaceDE w:val="0"/>
        <w:autoSpaceDN w:val="0"/>
        <w:adjustRightInd w:val="0"/>
        <w:spacing w:after="100" w:afterAutospacing="1" w:line="240" w:lineRule="auto"/>
        <w:jc w:val="both"/>
        <w:rPr>
          <w:sz w:val="24"/>
          <w:szCs w:val="24"/>
          <w:highlight w:val="lightGray"/>
          <w:shd w:val="clear" w:color="auto" w:fill="FFFFFF"/>
        </w:rPr>
      </w:pPr>
    </w:p>
    <w:p w14:paraId="269DCD05" w14:textId="77777777" w:rsidR="008010F8" w:rsidRDefault="008010F8" w:rsidP="008010F8">
      <w:pPr>
        <w:autoSpaceDE w:val="0"/>
        <w:autoSpaceDN w:val="0"/>
        <w:adjustRightInd w:val="0"/>
        <w:spacing w:after="100" w:afterAutospacing="1" w:line="240" w:lineRule="auto"/>
        <w:jc w:val="both"/>
        <w:rPr>
          <w:sz w:val="24"/>
          <w:szCs w:val="24"/>
          <w:highlight w:val="lightGray"/>
          <w:shd w:val="clear" w:color="auto" w:fill="FFFFFF"/>
        </w:rPr>
      </w:pPr>
    </w:p>
    <w:p w14:paraId="3725BE8F" w14:textId="77777777" w:rsidR="008010F8" w:rsidRDefault="008010F8" w:rsidP="008010F8">
      <w:pPr>
        <w:autoSpaceDE w:val="0"/>
        <w:autoSpaceDN w:val="0"/>
        <w:adjustRightInd w:val="0"/>
        <w:spacing w:after="100" w:afterAutospacing="1" w:line="240" w:lineRule="auto"/>
        <w:jc w:val="both"/>
        <w:rPr>
          <w:sz w:val="24"/>
          <w:szCs w:val="24"/>
          <w:highlight w:val="lightGray"/>
          <w:shd w:val="clear" w:color="auto" w:fill="FFFFFF"/>
        </w:rPr>
      </w:pPr>
    </w:p>
    <w:p w14:paraId="79E2E69C" w14:textId="77777777" w:rsidR="008010F8" w:rsidRDefault="008010F8" w:rsidP="008010F8">
      <w:pPr>
        <w:autoSpaceDE w:val="0"/>
        <w:autoSpaceDN w:val="0"/>
        <w:adjustRightInd w:val="0"/>
        <w:spacing w:after="100" w:afterAutospacing="1" w:line="240" w:lineRule="auto"/>
        <w:jc w:val="both"/>
        <w:rPr>
          <w:sz w:val="24"/>
          <w:szCs w:val="24"/>
          <w:highlight w:val="lightGray"/>
          <w:shd w:val="clear" w:color="auto" w:fill="FFFFFF"/>
        </w:rPr>
      </w:pPr>
    </w:p>
    <w:p w14:paraId="2F716F80" w14:textId="77777777" w:rsidR="008010F8" w:rsidRDefault="008010F8" w:rsidP="008010F8">
      <w:pPr>
        <w:autoSpaceDE w:val="0"/>
        <w:autoSpaceDN w:val="0"/>
        <w:adjustRightInd w:val="0"/>
        <w:spacing w:after="100" w:afterAutospacing="1" w:line="240" w:lineRule="auto"/>
        <w:jc w:val="both"/>
        <w:rPr>
          <w:sz w:val="24"/>
          <w:szCs w:val="24"/>
          <w:highlight w:val="lightGray"/>
          <w:shd w:val="clear" w:color="auto" w:fill="FFFFFF"/>
        </w:rPr>
      </w:pPr>
    </w:p>
    <w:p w14:paraId="02E238F8" w14:textId="77777777" w:rsidR="008010F8" w:rsidRDefault="008010F8" w:rsidP="008010F8">
      <w:pPr>
        <w:autoSpaceDE w:val="0"/>
        <w:autoSpaceDN w:val="0"/>
        <w:adjustRightInd w:val="0"/>
        <w:spacing w:after="100" w:afterAutospacing="1" w:line="240" w:lineRule="auto"/>
        <w:jc w:val="both"/>
        <w:rPr>
          <w:sz w:val="24"/>
          <w:szCs w:val="24"/>
          <w:highlight w:val="lightGray"/>
          <w:shd w:val="clear" w:color="auto" w:fill="FFFFFF"/>
        </w:rPr>
      </w:pPr>
    </w:p>
    <w:p w14:paraId="0534A49F" w14:textId="06A12DB9" w:rsidR="008010F8" w:rsidRDefault="008010F8" w:rsidP="008010F8">
      <w:pPr>
        <w:autoSpaceDE w:val="0"/>
        <w:autoSpaceDN w:val="0"/>
        <w:adjustRightInd w:val="0"/>
        <w:spacing w:after="100" w:afterAutospacing="1" w:line="240" w:lineRule="auto"/>
        <w:jc w:val="both"/>
      </w:pPr>
      <w:r w:rsidRPr="002B6B2F">
        <w:rPr>
          <w:sz w:val="24"/>
          <w:szCs w:val="24"/>
          <w:highlight w:val="lightGray"/>
          <w:shd w:val="clear" w:color="auto" w:fill="FFFFFF"/>
        </w:rPr>
        <w:tab/>
      </w:r>
    </w:p>
    <w:p w14:paraId="304FD573" w14:textId="77777777" w:rsidR="008010F8" w:rsidRDefault="008010F8" w:rsidP="00F1190A">
      <w:pPr>
        <w:spacing w:after="100" w:afterAutospacing="1" w:line="240" w:lineRule="auto"/>
        <w:ind w:firstLine="709"/>
        <w:jc w:val="both"/>
        <w:rPr>
          <w:rStyle w:val="tlid-translation"/>
          <w:sz w:val="24"/>
          <w:szCs w:val="24"/>
        </w:rPr>
      </w:pPr>
    </w:p>
    <w:p w14:paraId="331FDF9A" w14:textId="77777777" w:rsidR="008010F8" w:rsidRDefault="008010F8" w:rsidP="00F1190A">
      <w:pPr>
        <w:spacing w:after="100" w:afterAutospacing="1" w:line="240" w:lineRule="auto"/>
        <w:ind w:firstLine="709"/>
        <w:jc w:val="both"/>
        <w:rPr>
          <w:rStyle w:val="tlid-translation"/>
          <w:sz w:val="24"/>
          <w:szCs w:val="24"/>
        </w:rPr>
      </w:pPr>
    </w:p>
    <w:p w14:paraId="57296D8D" w14:textId="77777777" w:rsidR="008010F8" w:rsidRDefault="008010F8" w:rsidP="00F1190A">
      <w:pPr>
        <w:spacing w:after="100" w:afterAutospacing="1" w:line="240" w:lineRule="auto"/>
        <w:ind w:firstLine="709"/>
        <w:jc w:val="both"/>
        <w:rPr>
          <w:rStyle w:val="tlid-translation"/>
          <w:sz w:val="24"/>
          <w:szCs w:val="24"/>
        </w:rPr>
      </w:pPr>
    </w:p>
    <w:p w14:paraId="591F01B1" w14:textId="77777777" w:rsidR="008010F8" w:rsidRDefault="008010F8" w:rsidP="00F1190A">
      <w:pPr>
        <w:spacing w:after="100" w:afterAutospacing="1" w:line="240" w:lineRule="auto"/>
        <w:ind w:firstLine="709"/>
        <w:jc w:val="both"/>
        <w:rPr>
          <w:rStyle w:val="tlid-translation"/>
          <w:sz w:val="24"/>
          <w:szCs w:val="24"/>
        </w:rPr>
      </w:pPr>
    </w:p>
    <w:p w14:paraId="6D8F55EB" w14:textId="77777777" w:rsidR="008010F8" w:rsidRDefault="008010F8" w:rsidP="00F1190A">
      <w:pPr>
        <w:spacing w:after="100" w:afterAutospacing="1" w:line="240" w:lineRule="auto"/>
        <w:ind w:firstLine="709"/>
        <w:jc w:val="both"/>
        <w:rPr>
          <w:rStyle w:val="tlid-translation"/>
          <w:sz w:val="24"/>
          <w:szCs w:val="24"/>
        </w:rPr>
      </w:pPr>
    </w:p>
    <w:p w14:paraId="061242E9" w14:textId="77777777" w:rsidR="00417B64" w:rsidRDefault="00417B64" w:rsidP="00417B64">
      <w:pPr>
        <w:spacing w:after="100" w:afterAutospacing="1" w:line="240" w:lineRule="auto"/>
        <w:ind w:firstLine="708"/>
        <w:jc w:val="both"/>
        <w:rPr>
          <w:rStyle w:val="tlid-translation"/>
          <w:sz w:val="24"/>
          <w:szCs w:val="24"/>
        </w:rPr>
      </w:pPr>
    </w:p>
    <w:p w14:paraId="079FE8EF" w14:textId="77777777" w:rsidR="00417B64" w:rsidRDefault="00417B64" w:rsidP="00417B64">
      <w:pPr>
        <w:spacing w:after="100" w:afterAutospacing="1" w:line="240" w:lineRule="auto"/>
        <w:ind w:firstLine="708"/>
        <w:jc w:val="both"/>
        <w:rPr>
          <w:rStyle w:val="tlid-translation"/>
          <w:sz w:val="24"/>
          <w:szCs w:val="24"/>
        </w:rPr>
      </w:pPr>
    </w:p>
    <w:p w14:paraId="37C00583" w14:textId="77777777" w:rsidR="00417B64" w:rsidRDefault="00417B64" w:rsidP="00765A53">
      <w:pPr>
        <w:spacing w:after="100" w:afterAutospacing="1" w:line="240" w:lineRule="auto"/>
        <w:jc w:val="both"/>
        <w:rPr>
          <w:rStyle w:val="tlid-translation"/>
          <w:sz w:val="24"/>
          <w:szCs w:val="24"/>
        </w:rPr>
      </w:pPr>
    </w:p>
    <w:p w14:paraId="59E2D073" w14:textId="77777777" w:rsidR="00765A53" w:rsidRDefault="00765A53" w:rsidP="00417B64">
      <w:pPr>
        <w:spacing w:after="100" w:afterAutospacing="1" w:line="240" w:lineRule="auto"/>
        <w:ind w:firstLine="708"/>
        <w:jc w:val="both"/>
        <w:rPr>
          <w:rStyle w:val="tlid-translation"/>
          <w:sz w:val="24"/>
          <w:szCs w:val="24"/>
        </w:rPr>
      </w:pPr>
    </w:p>
    <w:p w14:paraId="275DD75C" w14:textId="622FABE8" w:rsidR="006E20D0" w:rsidRDefault="006E20D0" w:rsidP="00417B64">
      <w:pPr>
        <w:spacing w:after="100" w:afterAutospacing="1" w:line="240" w:lineRule="auto"/>
        <w:ind w:firstLine="708"/>
        <w:jc w:val="both"/>
        <w:rPr>
          <w:rStyle w:val="tlid-translation"/>
          <w:sz w:val="24"/>
          <w:szCs w:val="24"/>
        </w:rPr>
      </w:pPr>
      <w:r>
        <w:rPr>
          <w:rStyle w:val="tlid-translation"/>
          <w:sz w:val="24"/>
          <w:szCs w:val="24"/>
        </w:rPr>
        <w:t xml:space="preserve">Nízká úroveň příjmů z exportu ropy může </w:t>
      </w:r>
      <w:r w:rsidRPr="00C5352B">
        <w:rPr>
          <w:sz w:val="24"/>
          <w:szCs w:val="24"/>
        </w:rPr>
        <w:t>ovlivn</w:t>
      </w:r>
      <w:r>
        <w:rPr>
          <w:sz w:val="24"/>
          <w:szCs w:val="24"/>
        </w:rPr>
        <w:t>it</w:t>
      </w:r>
      <w:r w:rsidRPr="00C5352B">
        <w:rPr>
          <w:sz w:val="24"/>
          <w:szCs w:val="24"/>
        </w:rPr>
        <w:t xml:space="preserve"> vztah</w:t>
      </w:r>
      <w:r>
        <w:rPr>
          <w:sz w:val="24"/>
          <w:szCs w:val="24"/>
        </w:rPr>
        <w:t>y</w:t>
      </w:r>
      <w:r w:rsidRPr="00C5352B">
        <w:rPr>
          <w:sz w:val="24"/>
          <w:szCs w:val="24"/>
        </w:rPr>
        <w:t xml:space="preserve"> a bilaterální vazby producentských zemí s odběratelskými zeměmi</w:t>
      </w:r>
      <w:r>
        <w:rPr>
          <w:rStyle w:val="tlid-translation"/>
          <w:sz w:val="24"/>
          <w:szCs w:val="24"/>
        </w:rPr>
        <w:t xml:space="preserve"> zejména v případě neschopnosti se vyrovnat samostatně se stabilizací ekonomiky a státního rozpočtu. V tomto případě se jedná o možné dopady dlouhodobého rázu. Producentské země budou nuceny více otevřít své ekonomiky, včetně energetického sektoru, pro investice za zahraničí, případně budou přímo závislé na zahraničních půjčkách. Mohou rovněž urychlit privatizaci a přímo prodávat podíly v energetickém sektoru kontrolovaného státem. Ve všech těchto případech poroste závislost ekonomik vyvážejících ropu na strategických partnerech vstupujících do odvětví těžby ropy. </w:t>
      </w:r>
      <w:r w:rsidR="00F1190A">
        <w:rPr>
          <w:rStyle w:val="tlid-translation"/>
          <w:sz w:val="24"/>
          <w:szCs w:val="24"/>
        </w:rPr>
        <w:t>Tyto skutečnosti bude muset respektovat jejich zahraniční politika</w:t>
      </w:r>
      <w:r>
        <w:rPr>
          <w:rStyle w:val="tlid-translation"/>
          <w:sz w:val="24"/>
          <w:szCs w:val="24"/>
        </w:rPr>
        <w:t>. Výzvou bude zejména politika Číny, která má dlouhodobě eminentní zájem na zajištění své energetické</w:t>
      </w:r>
      <w:r w:rsidRPr="008A4B18">
        <w:rPr>
          <w:rStyle w:val="tlid-translation"/>
          <w:sz w:val="24"/>
          <w:szCs w:val="24"/>
        </w:rPr>
        <w:t xml:space="preserve"> </w:t>
      </w:r>
      <w:r>
        <w:rPr>
          <w:rStyle w:val="tlid-translation"/>
          <w:sz w:val="24"/>
          <w:szCs w:val="24"/>
        </w:rPr>
        <w:t xml:space="preserve">bezpečnosti </w:t>
      </w:r>
      <w:r w:rsidR="00F1190A">
        <w:rPr>
          <w:rStyle w:val="tlid-translation"/>
          <w:sz w:val="24"/>
          <w:szCs w:val="24"/>
        </w:rPr>
        <w:t>prostřednictvím</w:t>
      </w:r>
      <w:r>
        <w:rPr>
          <w:rStyle w:val="tlid-translation"/>
          <w:sz w:val="24"/>
          <w:szCs w:val="24"/>
        </w:rPr>
        <w:t xml:space="preserve"> iniciativy </w:t>
      </w:r>
      <w:proofErr w:type="spellStart"/>
      <w:r>
        <w:rPr>
          <w:rStyle w:val="tlid-translation"/>
          <w:sz w:val="24"/>
          <w:szCs w:val="24"/>
        </w:rPr>
        <w:t>Belt</w:t>
      </w:r>
      <w:proofErr w:type="spellEnd"/>
      <w:r>
        <w:rPr>
          <w:rStyle w:val="tlid-translation"/>
          <w:sz w:val="24"/>
          <w:szCs w:val="24"/>
        </w:rPr>
        <w:t xml:space="preserve"> and </w:t>
      </w:r>
      <w:proofErr w:type="spellStart"/>
      <w:r>
        <w:rPr>
          <w:rStyle w:val="tlid-translation"/>
          <w:sz w:val="24"/>
          <w:szCs w:val="24"/>
        </w:rPr>
        <w:t>Road</w:t>
      </w:r>
      <w:proofErr w:type="spellEnd"/>
      <w:r>
        <w:rPr>
          <w:rStyle w:val="tlid-translation"/>
          <w:sz w:val="24"/>
          <w:szCs w:val="24"/>
        </w:rPr>
        <w:t xml:space="preserve"> (</w:t>
      </w:r>
      <w:proofErr w:type="spellStart"/>
      <w:r w:rsidRPr="00A64FBB">
        <w:rPr>
          <w:rStyle w:val="tlid-translation"/>
          <w:sz w:val="24"/>
          <w:szCs w:val="24"/>
        </w:rPr>
        <w:t>Zhao</w:t>
      </w:r>
      <w:proofErr w:type="spellEnd"/>
      <w:r w:rsidR="00047059">
        <w:rPr>
          <w:rStyle w:val="tlid-translation"/>
          <w:sz w:val="24"/>
          <w:szCs w:val="24"/>
        </w:rPr>
        <w:t xml:space="preserve"> el al.</w:t>
      </w:r>
      <w:r>
        <w:rPr>
          <w:rStyle w:val="tlid-translation"/>
          <w:sz w:val="24"/>
          <w:szCs w:val="24"/>
        </w:rPr>
        <w:t xml:space="preserve"> 2019); podporuje a realizuje plány na výstavbu infrastruktury (pod svojí kontrolou) a využívá přímé zahraniční investice (</w:t>
      </w:r>
      <w:proofErr w:type="spellStart"/>
      <w:r w:rsidRPr="00A64FBB">
        <w:rPr>
          <w:rStyle w:val="tlid-translation"/>
          <w:sz w:val="24"/>
          <w:szCs w:val="24"/>
        </w:rPr>
        <w:t>Zhao</w:t>
      </w:r>
      <w:proofErr w:type="spellEnd"/>
      <w:r w:rsidR="00047059">
        <w:rPr>
          <w:rStyle w:val="tlid-translation"/>
          <w:sz w:val="24"/>
          <w:szCs w:val="24"/>
        </w:rPr>
        <w:t xml:space="preserve"> et al.</w:t>
      </w:r>
      <w:r w:rsidRPr="00A64FBB">
        <w:rPr>
          <w:rStyle w:val="tlid-translation"/>
          <w:sz w:val="24"/>
          <w:szCs w:val="24"/>
        </w:rPr>
        <w:t xml:space="preserve"> </w:t>
      </w:r>
      <w:r w:rsidRPr="00A64FBB">
        <w:rPr>
          <w:rStyle w:val="tlid-translation"/>
          <w:sz w:val="24"/>
          <w:szCs w:val="24"/>
        </w:rPr>
        <w:lastRenderedPageBreak/>
        <w:t>2020</w:t>
      </w:r>
      <w:r>
        <w:rPr>
          <w:rStyle w:val="tlid-translation"/>
          <w:sz w:val="24"/>
          <w:szCs w:val="24"/>
        </w:rPr>
        <w:t xml:space="preserve">). </w:t>
      </w:r>
      <w:r w:rsidR="001746C5">
        <w:rPr>
          <w:rStyle w:val="tlid-translation"/>
          <w:sz w:val="24"/>
          <w:szCs w:val="24"/>
        </w:rPr>
        <w:t>Í</w:t>
      </w:r>
      <w:r>
        <w:rPr>
          <w:rStyle w:val="tlid-translation"/>
          <w:sz w:val="24"/>
          <w:szCs w:val="24"/>
        </w:rPr>
        <w:t>rán se může stát stěžejním kamenem nové Hedvábné stezky v energetické oblasti. Může tak dojít k dojít přesměrování vývozů ropy novým odběratelům.</w:t>
      </w:r>
    </w:p>
    <w:p w14:paraId="561BB126" w14:textId="77777777" w:rsidR="006E20D0" w:rsidRDefault="006E20D0" w:rsidP="00F1190A">
      <w:pPr>
        <w:spacing w:after="100" w:afterAutospacing="1" w:line="240" w:lineRule="auto"/>
        <w:ind w:firstLine="709"/>
        <w:jc w:val="both"/>
        <w:rPr>
          <w:rStyle w:val="tlid-translation"/>
          <w:sz w:val="24"/>
          <w:szCs w:val="24"/>
        </w:rPr>
      </w:pPr>
      <w:r>
        <w:rPr>
          <w:rStyle w:val="tlid-translation"/>
          <w:sz w:val="24"/>
          <w:szCs w:val="24"/>
        </w:rPr>
        <w:t xml:space="preserve">Pro evropský prostor a vztahy se může jako silný „game </w:t>
      </w:r>
      <w:proofErr w:type="spellStart"/>
      <w:r>
        <w:rPr>
          <w:rStyle w:val="tlid-translation"/>
          <w:sz w:val="24"/>
          <w:szCs w:val="24"/>
        </w:rPr>
        <w:t>changer</w:t>
      </w:r>
      <w:proofErr w:type="spellEnd"/>
      <w:r>
        <w:rPr>
          <w:rStyle w:val="tlid-translation"/>
          <w:sz w:val="24"/>
          <w:szCs w:val="24"/>
        </w:rPr>
        <w:t>“ ukázat Turecko. Byla jím v regionu Středomoří (a potenciálně v Zakavkazí) rozehrána</w:t>
      </w:r>
      <w:r w:rsidRPr="00F233A2">
        <w:rPr>
          <w:rStyle w:val="tlid-translation"/>
          <w:sz w:val="24"/>
          <w:szCs w:val="24"/>
        </w:rPr>
        <w:t xml:space="preserve"> </w:t>
      </w:r>
      <w:r>
        <w:rPr>
          <w:rStyle w:val="tlid-translation"/>
          <w:sz w:val="24"/>
          <w:szCs w:val="24"/>
        </w:rPr>
        <w:t xml:space="preserve">poměrně </w:t>
      </w:r>
      <w:r w:rsidRPr="00F233A2">
        <w:rPr>
          <w:rStyle w:val="tlid-translation"/>
          <w:sz w:val="24"/>
          <w:szCs w:val="24"/>
        </w:rPr>
        <w:t xml:space="preserve">hazardní energetická geopolitická hra, která by mohla </w:t>
      </w:r>
      <w:r>
        <w:rPr>
          <w:rStyle w:val="tlid-translation"/>
          <w:sz w:val="24"/>
          <w:szCs w:val="24"/>
        </w:rPr>
        <w:t xml:space="preserve">mít </w:t>
      </w:r>
      <w:r w:rsidRPr="00F233A2">
        <w:rPr>
          <w:rStyle w:val="tlid-translation"/>
          <w:sz w:val="24"/>
          <w:szCs w:val="24"/>
        </w:rPr>
        <w:t>katastrof</w:t>
      </w:r>
      <w:r>
        <w:rPr>
          <w:rStyle w:val="tlid-translation"/>
          <w:sz w:val="24"/>
          <w:szCs w:val="24"/>
        </w:rPr>
        <w:t>ální dopady (</w:t>
      </w:r>
      <w:proofErr w:type="spellStart"/>
      <w:r w:rsidRPr="00F233A2">
        <w:rPr>
          <w:rStyle w:val="tlid-translation"/>
          <w:sz w:val="24"/>
          <w:szCs w:val="24"/>
        </w:rPr>
        <w:t>Widdershoven</w:t>
      </w:r>
      <w:proofErr w:type="spellEnd"/>
      <w:r w:rsidRPr="00F233A2">
        <w:rPr>
          <w:rStyle w:val="tlid-translation"/>
          <w:sz w:val="24"/>
          <w:szCs w:val="24"/>
        </w:rPr>
        <w:t xml:space="preserve"> 2020</w:t>
      </w:r>
      <w:r>
        <w:rPr>
          <w:rStyle w:val="tlid-translation"/>
          <w:sz w:val="24"/>
          <w:szCs w:val="24"/>
        </w:rPr>
        <w:t>). V kontextu ropy se jedná zejména o aktivity Turecka v Libyi.</w:t>
      </w:r>
    </w:p>
    <w:p w14:paraId="7F67D8A4" w14:textId="77777777" w:rsidR="00597EC9" w:rsidRPr="003E531D" w:rsidRDefault="00597EC9" w:rsidP="009753B7">
      <w:pPr>
        <w:spacing w:after="120" w:line="240" w:lineRule="auto"/>
        <w:jc w:val="both"/>
        <w:rPr>
          <w:rFonts w:asciiTheme="minorHAnsi" w:hAnsiTheme="minorHAnsi"/>
          <w:sz w:val="24"/>
          <w:szCs w:val="24"/>
        </w:rPr>
      </w:pPr>
      <w:r w:rsidRPr="003E531D">
        <w:rPr>
          <w:sz w:val="24"/>
          <w:szCs w:val="24"/>
        </w:rPr>
        <w:br w:type="page"/>
      </w:r>
    </w:p>
    <w:p w14:paraId="3299046E" w14:textId="142B120C" w:rsidR="00103A2E" w:rsidRPr="00DA5BF3" w:rsidRDefault="009F6D31" w:rsidP="00DA5BF3">
      <w:pPr>
        <w:pStyle w:val="Odstavecseseznamem"/>
        <w:numPr>
          <w:ilvl w:val="0"/>
          <w:numId w:val="10"/>
        </w:numPr>
        <w:autoSpaceDE w:val="0"/>
        <w:autoSpaceDN w:val="0"/>
        <w:adjustRightInd w:val="0"/>
        <w:spacing w:after="100" w:afterAutospacing="1" w:line="240" w:lineRule="auto"/>
        <w:ind w:left="0" w:firstLine="0"/>
        <w:jc w:val="both"/>
        <w:rPr>
          <w:rStyle w:val="Nadpis2Char"/>
        </w:rPr>
      </w:pPr>
      <w:bookmarkStart w:id="38" w:name="_Toc61259190"/>
      <w:bookmarkStart w:id="39" w:name="_Toc61261168"/>
      <w:bookmarkStart w:id="40" w:name="_Toc61261289"/>
      <w:bookmarkStart w:id="41" w:name="_Toc61262039"/>
      <w:bookmarkStart w:id="42" w:name="_Toc61262163"/>
      <w:r w:rsidRPr="00DA5BF3">
        <w:rPr>
          <w:rStyle w:val="Nadpis2Char"/>
        </w:rPr>
        <w:lastRenderedPageBreak/>
        <w:t>Dopady poklesu cen ropy na Rusko</w:t>
      </w:r>
      <w:bookmarkEnd w:id="38"/>
      <w:bookmarkEnd w:id="39"/>
      <w:bookmarkEnd w:id="40"/>
      <w:bookmarkEnd w:id="41"/>
      <w:bookmarkEnd w:id="42"/>
    </w:p>
    <w:p w14:paraId="407A1E90" w14:textId="2692A502" w:rsidR="0008123F" w:rsidRPr="00671343" w:rsidRDefault="0008123F" w:rsidP="002B6A9D">
      <w:pPr>
        <w:spacing w:after="100" w:afterAutospacing="1" w:line="240" w:lineRule="auto"/>
        <w:jc w:val="both"/>
        <w:rPr>
          <w:rFonts w:cstheme="minorHAnsi"/>
          <w:sz w:val="24"/>
          <w:szCs w:val="24"/>
        </w:rPr>
      </w:pPr>
      <w:r w:rsidRPr="00671343">
        <w:rPr>
          <w:rFonts w:cstheme="minorHAnsi"/>
          <w:sz w:val="24"/>
          <w:szCs w:val="24"/>
        </w:rPr>
        <w:t xml:space="preserve">Rusko je z ekonomického hlediska závislé na příjmu ze surovinové renty. Renta vzniká rozdílem vnějších a vnitřních cen </w:t>
      </w:r>
      <w:r w:rsidR="00D60934" w:rsidRPr="00671343">
        <w:rPr>
          <w:rFonts w:cstheme="minorHAnsi"/>
          <w:sz w:val="24"/>
          <w:szCs w:val="24"/>
        </w:rPr>
        <w:t>exportovan</w:t>
      </w:r>
      <w:r w:rsidR="00D60934">
        <w:rPr>
          <w:rFonts w:cstheme="minorHAnsi"/>
          <w:sz w:val="24"/>
          <w:szCs w:val="24"/>
        </w:rPr>
        <w:t>é</w:t>
      </w:r>
      <w:r w:rsidR="00D60934" w:rsidRPr="00671343">
        <w:rPr>
          <w:rFonts w:cstheme="minorHAnsi"/>
          <w:sz w:val="24"/>
          <w:szCs w:val="24"/>
        </w:rPr>
        <w:t xml:space="preserve"> </w:t>
      </w:r>
      <w:r w:rsidRPr="00671343">
        <w:rPr>
          <w:rFonts w:cstheme="minorHAnsi"/>
          <w:sz w:val="24"/>
          <w:szCs w:val="24"/>
        </w:rPr>
        <w:t>komodit</w:t>
      </w:r>
      <w:r w:rsidR="00D60934">
        <w:rPr>
          <w:rFonts w:cstheme="minorHAnsi"/>
          <w:sz w:val="24"/>
          <w:szCs w:val="24"/>
        </w:rPr>
        <w:t>y</w:t>
      </w:r>
      <w:r w:rsidRPr="00671343">
        <w:rPr>
          <w:rFonts w:cstheme="minorHAnsi"/>
          <w:sz w:val="24"/>
          <w:szCs w:val="24"/>
        </w:rPr>
        <w:t xml:space="preserve"> (</w:t>
      </w:r>
      <w:proofErr w:type="spellStart"/>
      <w:r w:rsidRPr="00671343">
        <w:rPr>
          <w:rFonts w:cstheme="minorHAnsi"/>
          <w:noProof/>
          <w:sz w:val="24"/>
          <w:szCs w:val="24"/>
        </w:rPr>
        <w:t>Chernyavskiy</w:t>
      </w:r>
      <w:proofErr w:type="spellEnd"/>
      <w:r w:rsidRPr="00671343">
        <w:rPr>
          <w:rFonts w:cstheme="minorHAnsi"/>
          <w:noProof/>
          <w:sz w:val="24"/>
          <w:szCs w:val="24"/>
        </w:rPr>
        <w:t xml:space="preserve"> 2015)</w:t>
      </w:r>
      <w:r w:rsidRPr="00671343">
        <w:rPr>
          <w:rFonts w:cstheme="minorHAnsi"/>
          <w:sz w:val="24"/>
          <w:szCs w:val="24"/>
        </w:rPr>
        <w:t>. Díky ní si Rusko udržuje svůj průmysl, podporuje energeticky náročná odvětví a zajišťuje sociální stabilitu. Z dlouhodobého hlediska vnímá Rusko omezení přístupu na tradiční trhy spolu se sankcemi</w:t>
      </w:r>
      <w:r w:rsidR="0017457E" w:rsidRPr="00671343">
        <w:rPr>
          <w:rFonts w:cstheme="minorHAnsi"/>
          <w:sz w:val="24"/>
          <w:szCs w:val="24"/>
        </w:rPr>
        <w:t xml:space="preserve"> uvalenými USA, EU a některými dalšími státy v důsledku anexe Krymu</w:t>
      </w:r>
      <w:r w:rsidRPr="00671343">
        <w:rPr>
          <w:rFonts w:cstheme="minorHAnsi"/>
          <w:sz w:val="24"/>
          <w:szCs w:val="24"/>
        </w:rPr>
        <w:t xml:space="preserve"> jako hrozbu. Zároveň je Doktrínou energetické bezpečnosti Ruska za riziko</w:t>
      </w:r>
      <w:r w:rsidR="0017457E" w:rsidRPr="00671343">
        <w:rPr>
          <w:rFonts w:cstheme="minorHAnsi"/>
          <w:sz w:val="24"/>
          <w:szCs w:val="24"/>
        </w:rPr>
        <w:t xml:space="preserve"> považována i nedostatečně dynamická reakce Ruska na změny v energetickém sektoru</w:t>
      </w:r>
      <w:r w:rsidRPr="00671343">
        <w:rPr>
          <w:rFonts w:cstheme="minorHAnsi"/>
          <w:sz w:val="24"/>
          <w:szCs w:val="24"/>
        </w:rPr>
        <w:t>.</w:t>
      </w:r>
    </w:p>
    <w:p w14:paraId="27F36430" w14:textId="363E3B66" w:rsidR="0017457E" w:rsidRDefault="0017457E" w:rsidP="002B6A9D">
      <w:pPr>
        <w:spacing w:after="100" w:afterAutospacing="1" w:line="240" w:lineRule="auto"/>
        <w:ind w:firstLine="709"/>
        <w:jc w:val="both"/>
        <w:rPr>
          <w:rFonts w:cstheme="minorHAnsi"/>
          <w:sz w:val="24"/>
          <w:szCs w:val="24"/>
        </w:rPr>
      </w:pPr>
      <w:r w:rsidRPr="00671343">
        <w:rPr>
          <w:rFonts w:cstheme="minorHAnsi"/>
          <w:sz w:val="24"/>
          <w:szCs w:val="24"/>
        </w:rPr>
        <w:t>Dopady, které pociťuje Rusko</w:t>
      </w:r>
      <w:r w:rsidR="00531359" w:rsidRPr="00671343">
        <w:rPr>
          <w:rFonts w:cstheme="minorHAnsi"/>
          <w:sz w:val="24"/>
          <w:szCs w:val="24"/>
        </w:rPr>
        <w:t xml:space="preserve"> v souvislosti s vývojem na světových ropných trzích a krizí COVID-19</w:t>
      </w:r>
      <w:r w:rsidRPr="00671343">
        <w:rPr>
          <w:rFonts w:cstheme="minorHAnsi"/>
          <w:sz w:val="24"/>
          <w:szCs w:val="24"/>
        </w:rPr>
        <w:t>, jsou tudíž jednak spojené s omezením domácí ekonomické aktivity v průběhu ostré fáze epidemie a jednak se snížením příjmů z exportu komodit. Zároveň pandemie akceleruje již existující trendy, kterým by Rusko stejně muselo čelit (</w:t>
      </w:r>
      <w:proofErr w:type="spellStart"/>
      <w:r w:rsidRPr="00671343">
        <w:rPr>
          <w:rFonts w:cstheme="minorHAnsi"/>
          <w:sz w:val="24"/>
          <w:szCs w:val="24"/>
        </w:rPr>
        <w:t>Mitrova</w:t>
      </w:r>
      <w:proofErr w:type="spellEnd"/>
      <w:r w:rsidRPr="00671343">
        <w:rPr>
          <w:rFonts w:cstheme="minorHAnsi"/>
          <w:sz w:val="24"/>
          <w:szCs w:val="24"/>
        </w:rPr>
        <w:t xml:space="preserve"> et al. 2020a). Jedná se zejména o energetickou transformaci, kterou prosazuje EU a v budoucnu i další velké ekonomiky jako (zřejmě) USA a Čína. Tyto změny již budou pociťovány </w:t>
      </w:r>
      <w:r w:rsidR="00531359" w:rsidRPr="00671343">
        <w:rPr>
          <w:rFonts w:cstheme="minorHAnsi"/>
          <w:sz w:val="24"/>
          <w:szCs w:val="24"/>
        </w:rPr>
        <w:t>koncem</w:t>
      </w:r>
      <w:r w:rsidRPr="00671343">
        <w:rPr>
          <w:rFonts w:cstheme="minorHAnsi"/>
          <w:sz w:val="24"/>
          <w:szCs w:val="24"/>
        </w:rPr>
        <w:t xml:space="preserve"> tohoto desetiletí (</w:t>
      </w:r>
      <w:proofErr w:type="spellStart"/>
      <w:r w:rsidRPr="00671343">
        <w:rPr>
          <w:rFonts w:cstheme="minorHAnsi"/>
          <w:sz w:val="24"/>
          <w:szCs w:val="24"/>
        </w:rPr>
        <w:t>Mitrova</w:t>
      </w:r>
      <w:proofErr w:type="spellEnd"/>
      <w:r w:rsidRPr="00671343">
        <w:rPr>
          <w:rFonts w:cstheme="minorHAnsi"/>
          <w:sz w:val="24"/>
          <w:szCs w:val="24"/>
        </w:rPr>
        <w:t xml:space="preserve"> et al. 2020b). V neposlední řadě politika Ruska je ovlivněna i tím, jak politické vedení země vnímá současnou situaci v energetice a její možný další vývoj.</w:t>
      </w:r>
    </w:p>
    <w:p w14:paraId="3CFFD79C" w14:textId="2BBE6EFF" w:rsidR="00531359" w:rsidRPr="00DA5BF3" w:rsidRDefault="00531359" w:rsidP="00F650E6">
      <w:pPr>
        <w:spacing w:after="100" w:afterAutospacing="1" w:line="240" w:lineRule="auto"/>
        <w:jc w:val="both"/>
        <w:rPr>
          <w:i/>
          <w:sz w:val="24"/>
          <w:szCs w:val="24"/>
        </w:rPr>
      </w:pPr>
      <w:r w:rsidRPr="00DA5BF3">
        <w:rPr>
          <w:i/>
          <w:sz w:val="24"/>
          <w:szCs w:val="24"/>
        </w:rPr>
        <w:t>Vliv poklesu ceny ropy na ruskou ekonomiku</w:t>
      </w:r>
    </w:p>
    <w:p w14:paraId="17EF301F" w14:textId="092116F6" w:rsidR="005C514F" w:rsidRPr="00671343" w:rsidRDefault="00034C32" w:rsidP="002B6A9D">
      <w:pPr>
        <w:spacing w:after="100" w:afterAutospacing="1" w:line="240" w:lineRule="auto"/>
        <w:jc w:val="both"/>
        <w:rPr>
          <w:rFonts w:cstheme="minorHAnsi"/>
          <w:color w:val="000000" w:themeColor="text1"/>
          <w:sz w:val="24"/>
          <w:szCs w:val="24"/>
          <w:shd w:val="clear" w:color="auto" w:fill="FFFFFF"/>
        </w:rPr>
      </w:pPr>
      <w:r w:rsidRPr="00671343">
        <w:rPr>
          <w:rFonts w:cstheme="minorHAnsi"/>
          <w:color w:val="000000" w:themeColor="text1"/>
          <w:sz w:val="24"/>
          <w:szCs w:val="24"/>
          <w:shd w:val="clear" w:color="auto" w:fill="FFFFFF"/>
        </w:rPr>
        <w:t>Během poslední dekády se Rusko muselo vypořádat s</w:t>
      </w:r>
      <w:r w:rsidR="00531359" w:rsidRPr="00671343">
        <w:rPr>
          <w:rFonts w:cstheme="minorHAnsi"/>
          <w:color w:val="000000" w:themeColor="text1"/>
          <w:sz w:val="24"/>
          <w:szCs w:val="24"/>
          <w:shd w:val="clear" w:color="auto" w:fill="FFFFFF"/>
        </w:rPr>
        <w:t>e</w:t>
      </w:r>
      <w:r w:rsidRPr="00671343">
        <w:rPr>
          <w:rFonts w:cstheme="minorHAnsi"/>
          <w:color w:val="000000" w:themeColor="text1"/>
          <w:sz w:val="24"/>
          <w:szCs w:val="24"/>
          <w:shd w:val="clear" w:color="auto" w:fill="FFFFFF"/>
        </w:rPr>
        <w:t> dvěma prudkými poklesy cen ropy, které ovlivnily ekonomiku; první byl spojen s globální finanční krizí v letech 2008</w:t>
      </w:r>
      <w:r w:rsidR="00F1190A">
        <w:rPr>
          <w:rFonts w:cstheme="minorHAnsi"/>
          <w:color w:val="000000" w:themeColor="text1"/>
          <w:sz w:val="24"/>
          <w:szCs w:val="24"/>
          <w:shd w:val="clear" w:color="auto" w:fill="FFFFFF"/>
        </w:rPr>
        <w:t>–</w:t>
      </w:r>
      <w:r w:rsidRPr="00671343">
        <w:rPr>
          <w:rFonts w:cstheme="minorHAnsi"/>
          <w:color w:val="000000" w:themeColor="text1"/>
          <w:sz w:val="24"/>
          <w:szCs w:val="24"/>
          <w:shd w:val="clear" w:color="auto" w:fill="FFFFFF"/>
        </w:rPr>
        <w:t>2009 a druhý proběhl v letech 2014</w:t>
      </w:r>
      <w:r w:rsidR="00F1190A">
        <w:rPr>
          <w:rFonts w:cstheme="minorHAnsi"/>
          <w:color w:val="000000" w:themeColor="text1"/>
          <w:sz w:val="24"/>
          <w:szCs w:val="24"/>
          <w:shd w:val="clear" w:color="auto" w:fill="FFFFFF"/>
        </w:rPr>
        <w:t>–</w:t>
      </w:r>
      <w:r w:rsidRPr="00671343">
        <w:rPr>
          <w:rFonts w:cstheme="minorHAnsi"/>
          <w:color w:val="000000" w:themeColor="text1"/>
          <w:sz w:val="24"/>
          <w:szCs w:val="24"/>
          <w:shd w:val="clear" w:color="auto" w:fill="FFFFFF"/>
        </w:rPr>
        <w:t xml:space="preserve">2015. </w:t>
      </w:r>
      <w:r w:rsidR="00D70702" w:rsidRPr="00671343">
        <w:rPr>
          <w:rFonts w:cstheme="minorHAnsi"/>
          <w:color w:val="000000" w:themeColor="text1"/>
          <w:sz w:val="24"/>
          <w:szCs w:val="24"/>
          <w:shd w:val="clear" w:color="auto" w:fill="FFFFFF"/>
        </w:rPr>
        <w:t>V</w:t>
      </w:r>
      <w:r w:rsidR="00B5744F" w:rsidRPr="00671343">
        <w:rPr>
          <w:rFonts w:cstheme="minorHAnsi"/>
          <w:color w:val="000000" w:themeColor="text1"/>
          <w:sz w:val="24"/>
          <w:szCs w:val="24"/>
          <w:shd w:val="clear" w:color="auto" w:fill="FFFFFF"/>
        </w:rPr>
        <w:t xml:space="preserve"> průběhu </w:t>
      </w:r>
      <w:r w:rsidR="00D70702" w:rsidRPr="00671343">
        <w:rPr>
          <w:rFonts w:cstheme="minorHAnsi"/>
          <w:color w:val="000000" w:themeColor="text1"/>
          <w:sz w:val="24"/>
          <w:szCs w:val="24"/>
          <w:shd w:val="clear" w:color="auto" w:fill="FFFFFF"/>
        </w:rPr>
        <w:t>těchto</w:t>
      </w:r>
      <w:r w:rsidR="00B5744F" w:rsidRPr="00671343">
        <w:rPr>
          <w:rFonts w:cstheme="minorHAnsi"/>
          <w:color w:val="000000" w:themeColor="text1"/>
          <w:sz w:val="24"/>
          <w:szCs w:val="24"/>
          <w:shd w:val="clear" w:color="auto" w:fill="FFFFFF"/>
        </w:rPr>
        <w:t xml:space="preserve"> krizí ruská burza a měnový kurz násled</w:t>
      </w:r>
      <w:r w:rsidR="00D70702" w:rsidRPr="00671343">
        <w:rPr>
          <w:rFonts w:cstheme="minorHAnsi"/>
          <w:color w:val="000000" w:themeColor="text1"/>
          <w:sz w:val="24"/>
          <w:szCs w:val="24"/>
          <w:shd w:val="clear" w:color="auto" w:fill="FFFFFF"/>
        </w:rPr>
        <w:t>ovaly</w:t>
      </w:r>
      <w:r w:rsidR="00B5744F" w:rsidRPr="00671343">
        <w:rPr>
          <w:rFonts w:cstheme="minorHAnsi"/>
          <w:color w:val="000000" w:themeColor="text1"/>
          <w:sz w:val="24"/>
          <w:szCs w:val="24"/>
          <w:shd w:val="clear" w:color="auto" w:fill="FFFFFF"/>
        </w:rPr>
        <w:t xml:space="preserve"> cenový vývoj ropy.</w:t>
      </w:r>
      <w:r w:rsidR="00433A21">
        <w:rPr>
          <w:rFonts w:cstheme="minorHAnsi"/>
          <w:color w:val="000000" w:themeColor="text1"/>
          <w:sz w:val="24"/>
          <w:szCs w:val="24"/>
          <w:shd w:val="clear" w:color="auto" w:fill="FFFFFF"/>
        </w:rPr>
        <w:t xml:space="preserve"> </w:t>
      </w:r>
      <w:r w:rsidR="00ED2112" w:rsidRPr="00671343">
        <w:rPr>
          <w:rFonts w:cstheme="minorHAnsi"/>
          <w:color w:val="000000" w:themeColor="text1"/>
          <w:sz w:val="24"/>
          <w:szCs w:val="24"/>
          <w:shd w:val="clear" w:color="auto" w:fill="FFFFFF"/>
        </w:rPr>
        <w:t>V důsledku cenového šoku na trhu s ropou v jarních měsících roku 2020</w:t>
      </w:r>
      <w:r w:rsidR="00D70702" w:rsidRPr="00671343">
        <w:rPr>
          <w:rFonts w:cstheme="minorHAnsi"/>
          <w:color w:val="000000" w:themeColor="text1"/>
          <w:sz w:val="24"/>
          <w:szCs w:val="24"/>
          <w:shd w:val="clear" w:color="auto" w:fill="FFFFFF"/>
        </w:rPr>
        <w:t xml:space="preserve"> se tento </w:t>
      </w:r>
      <w:r w:rsidR="005352A1" w:rsidRPr="00671343">
        <w:rPr>
          <w:rFonts w:cstheme="minorHAnsi"/>
          <w:color w:val="000000" w:themeColor="text1"/>
          <w:sz w:val="24"/>
          <w:szCs w:val="24"/>
          <w:shd w:val="clear" w:color="auto" w:fill="FFFFFF"/>
        </w:rPr>
        <w:t>scénář</w:t>
      </w:r>
      <w:r w:rsidR="00D70702" w:rsidRPr="00671343">
        <w:rPr>
          <w:rFonts w:cstheme="minorHAnsi"/>
          <w:color w:val="000000" w:themeColor="text1"/>
          <w:sz w:val="24"/>
          <w:szCs w:val="24"/>
          <w:shd w:val="clear" w:color="auto" w:fill="FFFFFF"/>
        </w:rPr>
        <w:t xml:space="preserve"> pravděpodobně bude opakovat. </w:t>
      </w:r>
      <w:r w:rsidR="005C514F" w:rsidRPr="00671343">
        <w:rPr>
          <w:rFonts w:cstheme="minorHAnsi"/>
          <w:sz w:val="24"/>
          <w:szCs w:val="24"/>
        </w:rPr>
        <w:t>Ruský rubl znehodnotil na 75 rublů za americký dolar, zatímco na začátku roku stál dolar okolo 60 rublů</w:t>
      </w:r>
      <w:r w:rsidR="00FA1EAF">
        <w:rPr>
          <w:rFonts w:cstheme="minorHAnsi"/>
          <w:sz w:val="24"/>
          <w:szCs w:val="24"/>
        </w:rPr>
        <w:t>.</w:t>
      </w:r>
      <w:r w:rsidR="00FA1EAF">
        <w:rPr>
          <w:rStyle w:val="Znakapoznpodarou"/>
          <w:rFonts w:cstheme="minorHAnsi"/>
          <w:sz w:val="24"/>
          <w:szCs w:val="24"/>
        </w:rPr>
        <w:footnoteReference w:id="2"/>
      </w:r>
      <w:r w:rsidR="00815031" w:rsidRPr="00671343">
        <w:rPr>
          <w:rFonts w:cstheme="minorHAnsi"/>
          <w:sz w:val="24"/>
          <w:szCs w:val="24"/>
        </w:rPr>
        <w:t xml:space="preserve"> </w:t>
      </w:r>
    </w:p>
    <w:p w14:paraId="11945853" w14:textId="5595647C" w:rsidR="00CA7FF5" w:rsidRPr="00671343" w:rsidRDefault="00D70702" w:rsidP="002B6A9D">
      <w:pPr>
        <w:spacing w:after="100" w:afterAutospacing="1" w:line="240" w:lineRule="auto"/>
        <w:ind w:firstLine="708"/>
        <w:jc w:val="both"/>
        <w:rPr>
          <w:rFonts w:cstheme="minorHAnsi"/>
          <w:color w:val="000000" w:themeColor="text1"/>
          <w:sz w:val="24"/>
          <w:szCs w:val="24"/>
          <w:shd w:val="clear" w:color="auto" w:fill="FFFFFF"/>
        </w:rPr>
      </w:pPr>
      <w:r w:rsidRPr="00671343">
        <w:rPr>
          <w:rFonts w:cstheme="minorHAnsi"/>
          <w:color w:val="000000" w:themeColor="text1"/>
          <w:sz w:val="24"/>
          <w:szCs w:val="24"/>
          <w:shd w:val="clear" w:color="auto" w:fill="FFFFFF"/>
        </w:rPr>
        <w:t>Lze očekávat, že z ruské ekonomiky</w:t>
      </w:r>
      <w:r w:rsidR="00C948E5" w:rsidRPr="00671343">
        <w:rPr>
          <w:rFonts w:cstheme="minorHAnsi"/>
          <w:color w:val="000000" w:themeColor="text1"/>
          <w:sz w:val="24"/>
          <w:szCs w:val="24"/>
          <w:shd w:val="clear" w:color="auto" w:fill="FFFFFF"/>
        </w:rPr>
        <w:t xml:space="preserve"> nastanou odlivy kapitálu. </w:t>
      </w:r>
      <w:r w:rsidR="008B6375" w:rsidRPr="00671343">
        <w:rPr>
          <w:rFonts w:cstheme="minorHAnsi"/>
          <w:color w:val="000000" w:themeColor="text1"/>
          <w:sz w:val="24"/>
          <w:szCs w:val="24"/>
          <w:shd w:val="clear" w:color="auto" w:fill="FFFFFF"/>
        </w:rPr>
        <w:t xml:space="preserve">Ačkoli </w:t>
      </w:r>
      <w:r w:rsidR="00034C32" w:rsidRPr="00671343">
        <w:rPr>
          <w:rFonts w:cstheme="minorHAnsi"/>
          <w:color w:val="000000" w:themeColor="text1"/>
          <w:sz w:val="24"/>
          <w:szCs w:val="24"/>
          <w:shd w:val="clear" w:color="auto" w:fill="FFFFFF"/>
        </w:rPr>
        <w:t>zvýšení</w:t>
      </w:r>
      <w:r w:rsidR="008B6375" w:rsidRPr="00671343">
        <w:rPr>
          <w:rFonts w:cstheme="minorHAnsi"/>
          <w:color w:val="000000" w:themeColor="text1"/>
          <w:sz w:val="24"/>
          <w:szCs w:val="24"/>
          <w:shd w:val="clear" w:color="auto" w:fill="FFFFFF"/>
        </w:rPr>
        <w:t xml:space="preserve"> </w:t>
      </w:r>
      <w:r w:rsidR="00C948E5" w:rsidRPr="00671343">
        <w:rPr>
          <w:rFonts w:cstheme="minorHAnsi"/>
          <w:color w:val="000000" w:themeColor="text1"/>
          <w:sz w:val="24"/>
          <w:szCs w:val="24"/>
          <w:shd w:val="clear" w:color="auto" w:fill="FFFFFF"/>
        </w:rPr>
        <w:t xml:space="preserve">cen v důsledku </w:t>
      </w:r>
      <w:r w:rsidR="00034C32" w:rsidRPr="00671343">
        <w:rPr>
          <w:rFonts w:cstheme="minorHAnsi"/>
          <w:color w:val="000000" w:themeColor="text1"/>
          <w:sz w:val="24"/>
          <w:szCs w:val="24"/>
          <w:shd w:val="clear" w:color="auto" w:fill="FFFFFF"/>
        </w:rPr>
        <w:t xml:space="preserve">výkyvu </w:t>
      </w:r>
      <w:r w:rsidR="00C948E5" w:rsidRPr="00671343">
        <w:rPr>
          <w:rFonts w:cstheme="minorHAnsi"/>
          <w:color w:val="000000" w:themeColor="text1"/>
          <w:sz w:val="24"/>
          <w:szCs w:val="24"/>
          <w:shd w:val="clear" w:color="auto" w:fill="FFFFFF"/>
        </w:rPr>
        <w:t>ceny ropy bude nepatrn</w:t>
      </w:r>
      <w:r w:rsidR="00034C32" w:rsidRPr="00671343">
        <w:rPr>
          <w:rFonts w:cstheme="minorHAnsi"/>
          <w:color w:val="000000" w:themeColor="text1"/>
          <w:sz w:val="24"/>
          <w:szCs w:val="24"/>
          <w:shd w:val="clear" w:color="auto" w:fill="FFFFFF"/>
        </w:rPr>
        <w:t>é,</w:t>
      </w:r>
      <w:r w:rsidR="00C948E5" w:rsidRPr="00671343">
        <w:rPr>
          <w:rFonts w:cstheme="minorHAnsi"/>
          <w:color w:val="000000" w:themeColor="text1"/>
          <w:sz w:val="24"/>
          <w:szCs w:val="24"/>
          <w:shd w:val="clear" w:color="auto" w:fill="FFFFFF"/>
        </w:rPr>
        <w:t xml:space="preserve"> znehodnocení domácí měny se projeví v růstu cen dovozu, který tvoří podstatnou část domácího spotřebitelského trhu. </w:t>
      </w:r>
      <w:r w:rsidR="00034C32" w:rsidRPr="00671343">
        <w:rPr>
          <w:rFonts w:cstheme="minorHAnsi"/>
          <w:color w:val="000000" w:themeColor="text1"/>
          <w:sz w:val="24"/>
          <w:szCs w:val="24"/>
          <w:shd w:val="clear" w:color="auto" w:fill="FFFFFF"/>
        </w:rPr>
        <w:t xml:space="preserve">Přitom </w:t>
      </w:r>
      <w:r w:rsidR="00C948E5" w:rsidRPr="00671343">
        <w:rPr>
          <w:rFonts w:cstheme="minorHAnsi"/>
          <w:color w:val="000000" w:themeColor="text1"/>
          <w:sz w:val="24"/>
          <w:szCs w:val="24"/>
          <w:shd w:val="clear" w:color="auto" w:fill="FFFFFF"/>
        </w:rPr>
        <w:t>není pravděpodobn</w:t>
      </w:r>
      <w:r w:rsidR="00F1190A">
        <w:rPr>
          <w:rFonts w:cstheme="minorHAnsi"/>
          <w:color w:val="000000" w:themeColor="text1"/>
          <w:sz w:val="24"/>
          <w:szCs w:val="24"/>
          <w:shd w:val="clear" w:color="auto" w:fill="FFFFFF"/>
        </w:rPr>
        <w:t>é</w:t>
      </w:r>
      <w:r w:rsidR="00C948E5" w:rsidRPr="00671343">
        <w:rPr>
          <w:rFonts w:cstheme="minorHAnsi"/>
          <w:color w:val="000000" w:themeColor="text1"/>
          <w:sz w:val="24"/>
          <w:szCs w:val="24"/>
          <w:shd w:val="clear" w:color="auto" w:fill="FFFFFF"/>
        </w:rPr>
        <w:t xml:space="preserve"> přepnutí poptávky po zahraničním zboží na domácí </w:t>
      </w:r>
      <w:r w:rsidR="00F1190A">
        <w:rPr>
          <w:rFonts w:cstheme="minorHAnsi"/>
          <w:color w:val="000000" w:themeColor="text1"/>
          <w:sz w:val="24"/>
          <w:szCs w:val="24"/>
          <w:shd w:val="clear" w:color="auto" w:fill="FFFFFF"/>
        </w:rPr>
        <w:t>produkci</w:t>
      </w:r>
      <w:r w:rsidR="00C948E5" w:rsidRPr="00671343">
        <w:rPr>
          <w:rFonts w:cstheme="minorHAnsi"/>
          <w:color w:val="000000" w:themeColor="text1"/>
          <w:sz w:val="24"/>
          <w:szCs w:val="24"/>
          <w:shd w:val="clear" w:color="auto" w:fill="FFFFFF"/>
        </w:rPr>
        <w:t xml:space="preserve">, protože domácnosti budou muset omezit své výdaje z důvodu nejistoty spjaté s COVID-19.  </w:t>
      </w:r>
      <w:r w:rsidR="00DE2986" w:rsidRPr="00671343">
        <w:rPr>
          <w:rFonts w:cstheme="minorHAnsi"/>
          <w:color w:val="000000" w:themeColor="text1"/>
          <w:sz w:val="24"/>
          <w:szCs w:val="24"/>
          <w:shd w:val="clear" w:color="auto" w:fill="FFFFFF"/>
        </w:rPr>
        <w:t>Vyšší nejistota ohledně změn cen ropy způsobuje nižší investice a nižší spotřebu dlouhodobých statků (Kilian 2014). Může také vést k růstu zajišťovací poptávky po surové ropě s druhotným dopadem na ekonomickou aktivitu (</w:t>
      </w:r>
      <w:proofErr w:type="spellStart"/>
      <w:r w:rsidR="00DE2986" w:rsidRPr="00671343">
        <w:rPr>
          <w:rFonts w:cstheme="minorHAnsi"/>
          <w:color w:val="000000" w:themeColor="text1"/>
          <w:sz w:val="24"/>
          <w:szCs w:val="24"/>
          <w:shd w:val="clear" w:color="auto" w:fill="FFFFFF"/>
        </w:rPr>
        <w:t>Anzuini</w:t>
      </w:r>
      <w:proofErr w:type="spellEnd"/>
      <w:r w:rsidR="00DE2986" w:rsidRPr="00671343">
        <w:rPr>
          <w:rFonts w:cstheme="minorHAnsi"/>
          <w:color w:val="000000" w:themeColor="text1"/>
          <w:sz w:val="24"/>
          <w:szCs w:val="24"/>
          <w:shd w:val="clear" w:color="auto" w:fill="FFFFFF"/>
        </w:rPr>
        <w:t xml:space="preserve"> et. al. 201</w:t>
      </w:r>
      <w:r w:rsidR="00433A21">
        <w:rPr>
          <w:rFonts w:cstheme="minorHAnsi"/>
          <w:color w:val="000000" w:themeColor="text1"/>
          <w:sz w:val="24"/>
          <w:szCs w:val="24"/>
          <w:shd w:val="clear" w:color="auto" w:fill="FFFFFF"/>
        </w:rPr>
        <w:t>5</w:t>
      </w:r>
      <w:r w:rsidR="00DE2986" w:rsidRPr="00671343">
        <w:rPr>
          <w:rFonts w:cstheme="minorHAnsi"/>
          <w:color w:val="000000" w:themeColor="text1"/>
          <w:sz w:val="24"/>
          <w:szCs w:val="24"/>
          <w:shd w:val="clear" w:color="auto" w:fill="FFFFFF"/>
        </w:rPr>
        <w:t>). Ani akciový trh, ani měnový kurz však</w:t>
      </w:r>
      <w:r w:rsidR="00B54A07" w:rsidRPr="00671343">
        <w:rPr>
          <w:rFonts w:cstheme="minorHAnsi"/>
          <w:color w:val="000000" w:themeColor="text1"/>
          <w:sz w:val="24"/>
          <w:szCs w:val="24"/>
          <w:shd w:val="clear" w:color="auto" w:fill="FFFFFF"/>
        </w:rPr>
        <w:t xml:space="preserve"> dosud</w:t>
      </w:r>
      <w:r w:rsidR="00DE2986" w:rsidRPr="00671343">
        <w:rPr>
          <w:rFonts w:cstheme="minorHAnsi"/>
          <w:color w:val="000000" w:themeColor="text1"/>
          <w:sz w:val="24"/>
          <w:szCs w:val="24"/>
          <w:shd w:val="clear" w:color="auto" w:fill="FFFFFF"/>
        </w:rPr>
        <w:t xml:space="preserve"> nepoklesly tak rapidně jako ceny ropy. Může to být způsobeno mnoha faktory, ale jedním z pravděpodobných vysvětlení je to, že investoři neočekávají tak dlouhé trvání nízkých cen ropy, jako tomu bylo v předchozích krizích. Pokud ovšem ceny ropy zůstanou nízké po delší</w:t>
      </w:r>
      <w:r w:rsidR="00B54A07" w:rsidRPr="00671343">
        <w:rPr>
          <w:rFonts w:cstheme="minorHAnsi"/>
          <w:color w:val="000000" w:themeColor="text1"/>
          <w:sz w:val="24"/>
          <w:szCs w:val="24"/>
          <w:shd w:val="clear" w:color="auto" w:fill="FFFFFF"/>
        </w:rPr>
        <w:t xml:space="preserve"> </w:t>
      </w:r>
      <w:r w:rsidR="00DE2986" w:rsidRPr="00671343">
        <w:rPr>
          <w:rFonts w:cstheme="minorHAnsi"/>
          <w:color w:val="000000" w:themeColor="text1"/>
          <w:sz w:val="24"/>
          <w:szCs w:val="24"/>
          <w:shd w:val="clear" w:color="auto" w:fill="FFFFFF"/>
        </w:rPr>
        <w:t xml:space="preserve">dobu, může </w:t>
      </w:r>
      <w:r w:rsidR="00B54A07" w:rsidRPr="00671343">
        <w:rPr>
          <w:rFonts w:cstheme="minorHAnsi"/>
          <w:color w:val="000000" w:themeColor="text1"/>
          <w:sz w:val="24"/>
          <w:szCs w:val="24"/>
          <w:shd w:val="clear" w:color="auto" w:fill="FFFFFF"/>
        </w:rPr>
        <w:t>následovat</w:t>
      </w:r>
      <w:r w:rsidR="00DE2986" w:rsidRPr="00671343">
        <w:rPr>
          <w:rFonts w:cstheme="minorHAnsi"/>
          <w:color w:val="000000" w:themeColor="text1"/>
          <w:sz w:val="24"/>
          <w:szCs w:val="24"/>
          <w:shd w:val="clear" w:color="auto" w:fill="FFFFFF"/>
        </w:rPr>
        <w:t xml:space="preserve"> další pokles cen akcií a znehodnocení domácí měny.</w:t>
      </w:r>
      <w:r w:rsidR="00CA7FF5" w:rsidRPr="00671343">
        <w:rPr>
          <w:rFonts w:cstheme="minorHAnsi"/>
          <w:sz w:val="24"/>
          <w:szCs w:val="24"/>
        </w:rPr>
        <w:t xml:space="preserve"> Ruská ekonomika je </w:t>
      </w:r>
      <w:r w:rsidR="00BD3565">
        <w:rPr>
          <w:rFonts w:cstheme="minorHAnsi"/>
          <w:sz w:val="24"/>
          <w:szCs w:val="24"/>
        </w:rPr>
        <w:t xml:space="preserve">totiž </w:t>
      </w:r>
      <w:r w:rsidR="00CA7FF5" w:rsidRPr="00671343">
        <w:rPr>
          <w:rFonts w:cstheme="minorHAnsi"/>
          <w:sz w:val="24"/>
          <w:szCs w:val="24"/>
        </w:rPr>
        <w:t>vystavena globálním finančním trhům. Přehodnocení možností dalšího vývoje zemí vyvážejících ropu</w:t>
      </w:r>
      <w:r w:rsidR="00F1190A">
        <w:rPr>
          <w:rFonts w:cstheme="minorHAnsi"/>
          <w:sz w:val="24"/>
          <w:szCs w:val="24"/>
        </w:rPr>
        <w:t xml:space="preserve"> v minulosti</w:t>
      </w:r>
      <w:r w:rsidR="00CA7FF5" w:rsidRPr="00671343">
        <w:rPr>
          <w:rFonts w:cstheme="minorHAnsi"/>
          <w:sz w:val="24"/>
          <w:szCs w:val="24"/>
        </w:rPr>
        <w:t xml:space="preserve"> přispělo k odlivům kapitálu, ztrátám devizových rezerv, prudké </w:t>
      </w:r>
      <w:r w:rsidR="00CA7FF5" w:rsidRPr="00671343">
        <w:rPr>
          <w:rFonts w:cstheme="minorHAnsi"/>
          <w:sz w:val="24"/>
          <w:szCs w:val="24"/>
        </w:rPr>
        <w:lastRenderedPageBreak/>
        <w:t>depreciaci místních měn, nárůstu půjček (</w:t>
      </w:r>
      <w:r w:rsidR="00CA7FF5" w:rsidRPr="00671343">
        <w:rPr>
          <w:rFonts w:cstheme="minorHAnsi"/>
          <w:sz w:val="24"/>
          <w:szCs w:val="24"/>
          <w:lang w:val="en-US"/>
        </w:rPr>
        <w:t>Credit Default Swap) v </w:t>
      </w:r>
      <w:r w:rsidR="00CA7FF5" w:rsidRPr="00671343">
        <w:rPr>
          <w:rFonts w:cstheme="minorHAnsi"/>
          <w:sz w:val="24"/>
          <w:szCs w:val="24"/>
        </w:rPr>
        <w:t xml:space="preserve">řadě těchto zemí, včetně Ruska. </w:t>
      </w:r>
    </w:p>
    <w:p w14:paraId="6D898895" w14:textId="6E5752E6" w:rsidR="000B7707" w:rsidRPr="00671343" w:rsidRDefault="00220C49" w:rsidP="002B6A9D">
      <w:pPr>
        <w:spacing w:after="100" w:afterAutospacing="1" w:line="240" w:lineRule="auto"/>
        <w:ind w:firstLine="708"/>
        <w:jc w:val="both"/>
        <w:rPr>
          <w:rFonts w:cstheme="minorHAnsi"/>
          <w:sz w:val="24"/>
          <w:szCs w:val="24"/>
        </w:rPr>
      </w:pPr>
      <w:r w:rsidRPr="00671343">
        <w:rPr>
          <w:rFonts w:cstheme="minorHAnsi"/>
          <w:color w:val="000000" w:themeColor="text1"/>
          <w:sz w:val="24"/>
          <w:szCs w:val="24"/>
          <w:shd w:val="clear" w:color="auto" w:fill="FFFFFF"/>
        </w:rPr>
        <w:t>Co se týče predikce vývoje HDP, p</w:t>
      </w:r>
      <w:r w:rsidR="00B54A07" w:rsidRPr="00671343">
        <w:rPr>
          <w:rFonts w:cstheme="minorHAnsi"/>
          <w:color w:val="000000" w:themeColor="text1"/>
          <w:sz w:val="24"/>
          <w:szCs w:val="24"/>
          <w:shd w:val="clear" w:color="auto" w:fill="FFFFFF"/>
        </w:rPr>
        <w:t>ředchozí výzkumy</w:t>
      </w:r>
      <w:r w:rsidR="00DE2986" w:rsidRPr="00671343">
        <w:rPr>
          <w:rFonts w:cstheme="minorHAnsi"/>
          <w:color w:val="000000" w:themeColor="text1"/>
          <w:sz w:val="24"/>
          <w:szCs w:val="24"/>
          <w:shd w:val="clear" w:color="auto" w:fill="FFFFFF"/>
        </w:rPr>
        <w:t xml:space="preserve"> ukaz</w:t>
      </w:r>
      <w:r w:rsidR="00B54A07" w:rsidRPr="00671343">
        <w:rPr>
          <w:rFonts w:cstheme="minorHAnsi"/>
          <w:color w:val="000000" w:themeColor="text1"/>
          <w:sz w:val="24"/>
          <w:szCs w:val="24"/>
          <w:shd w:val="clear" w:color="auto" w:fill="FFFFFF"/>
        </w:rPr>
        <w:t>ují</w:t>
      </w:r>
      <w:r w:rsidR="00DE2986" w:rsidRPr="00671343">
        <w:rPr>
          <w:rFonts w:cstheme="minorHAnsi"/>
          <w:color w:val="000000" w:themeColor="text1"/>
          <w:sz w:val="24"/>
          <w:szCs w:val="24"/>
          <w:shd w:val="clear" w:color="auto" w:fill="FFFFFF"/>
        </w:rPr>
        <w:t>, že produkt v některých zemích vyvážejících ropu, včetně Ruska a některých zemí Blízkého východu a Severní Afriky, poklesl o 0,8</w:t>
      </w:r>
      <w:r w:rsidR="00C26213">
        <w:rPr>
          <w:rFonts w:cstheme="minorHAnsi"/>
          <w:color w:val="000000" w:themeColor="text1"/>
          <w:sz w:val="24"/>
          <w:szCs w:val="24"/>
          <w:shd w:val="clear" w:color="auto" w:fill="FFFFFF"/>
        </w:rPr>
        <w:t>–</w:t>
      </w:r>
      <w:r w:rsidR="00DE2986" w:rsidRPr="00671343">
        <w:rPr>
          <w:rFonts w:cstheme="minorHAnsi"/>
          <w:color w:val="000000" w:themeColor="text1"/>
          <w:sz w:val="24"/>
          <w:szCs w:val="24"/>
          <w:shd w:val="clear" w:color="auto" w:fill="FFFFFF"/>
        </w:rPr>
        <w:t xml:space="preserve">2,5 % v roce </w:t>
      </w:r>
      <w:r w:rsidR="00DE2986" w:rsidRPr="0039635A">
        <w:rPr>
          <w:rFonts w:cstheme="minorHAnsi"/>
          <w:color w:val="000000" w:themeColor="text1"/>
          <w:sz w:val="24"/>
          <w:szCs w:val="24"/>
          <w:shd w:val="clear" w:color="auto" w:fill="FFFFFF"/>
        </w:rPr>
        <w:t xml:space="preserve">následujícím po roce, ve kterém klesly ceny ropy v průměru o 10 % </w:t>
      </w:r>
      <w:r w:rsidR="00DE2986" w:rsidRPr="0039635A">
        <w:rPr>
          <w:rFonts w:cstheme="minorHAnsi"/>
          <w:sz w:val="24"/>
          <w:szCs w:val="24"/>
        </w:rPr>
        <w:t>(</w:t>
      </w:r>
      <w:proofErr w:type="spellStart"/>
      <w:r w:rsidR="00DE2986" w:rsidRPr="0039635A">
        <w:rPr>
          <w:rFonts w:cstheme="minorHAnsi"/>
          <w:sz w:val="24"/>
          <w:szCs w:val="24"/>
        </w:rPr>
        <w:t>Feldkirchner</w:t>
      </w:r>
      <w:proofErr w:type="spellEnd"/>
      <w:r w:rsidR="00DE2986" w:rsidRPr="0039635A">
        <w:rPr>
          <w:rFonts w:cstheme="minorHAnsi"/>
          <w:sz w:val="24"/>
          <w:szCs w:val="24"/>
        </w:rPr>
        <w:t xml:space="preserve"> </w:t>
      </w:r>
      <w:r w:rsidR="00F1190A">
        <w:rPr>
          <w:rFonts w:cstheme="minorHAnsi"/>
          <w:sz w:val="24"/>
          <w:szCs w:val="24"/>
        </w:rPr>
        <w:t>–</w:t>
      </w:r>
      <w:r w:rsidR="00DE2986" w:rsidRPr="0039635A">
        <w:rPr>
          <w:rFonts w:cstheme="minorHAnsi"/>
          <w:sz w:val="24"/>
          <w:szCs w:val="24"/>
        </w:rPr>
        <w:t xml:space="preserve"> </w:t>
      </w:r>
      <w:proofErr w:type="spellStart"/>
      <w:r w:rsidR="00DE2986" w:rsidRPr="0039635A">
        <w:rPr>
          <w:rFonts w:cstheme="minorHAnsi"/>
          <w:sz w:val="24"/>
          <w:szCs w:val="24"/>
        </w:rPr>
        <w:t>Korhonen</w:t>
      </w:r>
      <w:proofErr w:type="spellEnd"/>
      <w:r w:rsidR="00DE2986" w:rsidRPr="0039635A">
        <w:rPr>
          <w:rFonts w:cstheme="minorHAnsi"/>
          <w:sz w:val="24"/>
          <w:szCs w:val="24"/>
        </w:rPr>
        <w:t xml:space="preserve"> </w:t>
      </w:r>
      <w:r w:rsidR="00DE2986" w:rsidRPr="0056611B">
        <w:rPr>
          <w:rFonts w:cstheme="minorHAnsi"/>
          <w:sz w:val="24"/>
          <w:szCs w:val="24"/>
        </w:rPr>
        <w:t xml:space="preserve">2012; </w:t>
      </w:r>
      <w:proofErr w:type="spellStart"/>
      <w:r w:rsidR="0056611B" w:rsidRPr="0056611B">
        <w:rPr>
          <w:color w:val="000000" w:themeColor="text1"/>
          <w:sz w:val="24"/>
          <w:szCs w:val="24"/>
          <w:shd w:val="clear" w:color="auto" w:fill="FFFFFF"/>
          <w:lang w:val="en-US"/>
        </w:rPr>
        <w:t>Baffes</w:t>
      </w:r>
      <w:proofErr w:type="spellEnd"/>
      <w:r w:rsidR="0056611B" w:rsidRPr="0056611B">
        <w:rPr>
          <w:sz w:val="24"/>
          <w:szCs w:val="24"/>
          <w:lang w:val="en-US"/>
        </w:rPr>
        <w:t xml:space="preserve"> et. al.</w:t>
      </w:r>
      <w:r w:rsidR="0056611B" w:rsidRPr="0056611B">
        <w:rPr>
          <w:sz w:val="24"/>
          <w:szCs w:val="24"/>
        </w:rPr>
        <w:t xml:space="preserve"> 201</w:t>
      </w:r>
      <w:r w:rsidR="0056611B" w:rsidRPr="0056611B">
        <w:rPr>
          <w:sz w:val="24"/>
          <w:szCs w:val="24"/>
          <w:lang w:val="en-US"/>
        </w:rPr>
        <w:t>5</w:t>
      </w:r>
      <w:r w:rsidR="00DE2986" w:rsidRPr="0056611B">
        <w:rPr>
          <w:rFonts w:cstheme="minorHAnsi"/>
          <w:sz w:val="24"/>
          <w:szCs w:val="24"/>
        </w:rPr>
        <w:t>)</w:t>
      </w:r>
      <w:r w:rsidR="00DE2986" w:rsidRPr="0056611B">
        <w:rPr>
          <w:rFonts w:cstheme="minorHAnsi"/>
          <w:color w:val="000000" w:themeColor="text1"/>
          <w:sz w:val="24"/>
          <w:szCs w:val="24"/>
          <w:shd w:val="clear" w:color="auto" w:fill="FFFFFF"/>
        </w:rPr>
        <w:t xml:space="preserve">. </w:t>
      </w:r>
      <w:r w:rsidR="005C514F" w:rsidRPr="0056611B">
        <w:rPr>
          <w:rFonts w:cstheme="minorHAnsi"/>
          <w:color w:val="000000" w:themeColor="text1"/>
          <w:sz w:val="24"/>
          <w:szCs w:val="24"/>
          <w:shd w:val="clear" w:color="auto" w:fill="FFFFFF"/>
        </w:rPr>
        <w:t>Ruský hrubý</w:t>
      </w:r>
      <w:r w:rsidR="005C514F" w:rsidRPr="0039635A">
        <w:rPr>
          <w:rFonts w:cstheme="minorHAnsi"/>
          <w:color w:val="000000" w:themeColor="text1"/>
          <w:sz w:val="24"/>
          <w:szCs w:val="24"/>
          <w:shd w:val="clear" w:color="auto" w:fill="FFFFFF"/>
        </w:rPr>
        <w:t xml:space="preserve"> domácí produkt ve třetím čtvrtletí 2020 poklesl meziročně o 3,6 %, což následovalo po propadu </w:t>
      </w:r>
      <w:r w:rsidR="003279A0">
        <w:rPr>
          <w:rFonts w:cstheme="minorHAnsi"/>
          <w:color w:val="000000" w:themeColor="text1"/>
          <w:sz w:val="24"/>
          <w:szCs w:val="24"/>
          <w:shd w:val="clear" w:color="auto" w:fill="FFFFFF"/>
        </w:rPr>
        <w:t xml:space="preserve">o </w:t>
      </w:r>
      <w:r w:rsidR="003279A0" w:rsidRPr="0039635A">
        <w:rPr>
          <w:rFonts w:cstheme="minorHAnsi"/>
          <w:color w:val="000000" w:themeColor="text1"/>
          <w:sz w:val="24"/>
          <w:szCs w:val="24"/>
          <w:shd w:val="clear" w:color="auto" w:fill="FFFFFF"/>
        </w:rPr>
        <w:t>8</w:t>
      </w:r>
      <w:r w:rsidR="003279A0">
        <w:rPr>
          <w:rFonts w:cstheme="minorHAnsi"/>
          <w:color w:val="000000" w:themeColor="text1"/>
          <w:sz w:val="24"/>
          <w:szCs w:val="24"/>
          <w:shd w:val="clear" w:color="auto" w:fill="FFFFFF"/>
        </w:rPr>
        <w:t xml:space="preserve"> </w:t>
      </w:r>
      <w:r w:rsidR="003279A0" w:rsidRPr="0039635A">
        <w:rPr>
          <w:rFonts w:cstheme="minorHAnsi"/>
          <w:color w:val="000000" w:themeColor="text1"/>
          <w:sz w:val="24"/>
          <w:szCs w:val="24"/>
          <w:shd w:val="clear" w:color="auto" w:fill="FFFFFF"/>
        </w:rPr>
        <w:t>%</w:t>
      </w:r>
      <w:r w:rsidR="003279A0">
        <w:rPr>
          <w:rFonts w:cstheme="minorHAnsi"/>
          <w:color w:val="000000" w:themeColor="text1"/>
          <w:sz w:val="24"/>
          <w:szCs w:val="24"/>
          <w:shd w:val="clear" w:color="auto" w:fill="FFFFFF"/>
        </w:rPr>
        <w:t xml:space="preserve"> </w:t>
      </w:r>
      <w:r w:rsidR="005C514F" w:rsidRPr="0039635A">
        <w:rPr>
          <w:rFonts w:cstheme="minorHAnsi"/>
          <w:color w:val="000000" w:themeColor="text1"/>
          <w:sz w:val="24"/>
          <w:szCs w:val="24"/>
          <w:shd w:val="clear" w:color="auto" w:fill="FFFFFF"/>
        </w:rPr>
        <w:t>v předchozím období</w:t>
      </w:r>
      <w:r w:rsidRPr="0039635A">
        <w:rPr>
          <w:rFonts w:cstheme="minorHAnsi"/>
          <w:color w:val="000000" w:themeColor="text1"/>
          <w:sz w:val="24"/>
          <w:szCs w:val="24"/>
          <w:shd w:val="clear" w:color="auto" w:fill="FFFFFF"/>
        </w:rPr>
        <w:t>.</w:t>
      </w:r>
      <w:r w:rsidRPr="0039635A">
        <w:rPr>
          <w:rStyle w:val="Znakapoznpodarou"/>
          <w:rFonts w:cstheme="minorHAnsi"/>
          <w:color w:val="000000" w:themeColor="text1"/>
          <w:sz w:val="24"/>
          <w:szCs w:val="24"/>
          <w:shd w:val="clear" w:color="auto" w:fill="FFFFFF"/>
        </w:rPr>
        <w:footnoteReference w:id="3"/>
      </w:r>
      <w:r w:rsidR="005C514F" w:rsidRPr="0039635A">
        <w:rPr>
          <w:rFonts w:cstheme="minorHAnsi"/>
          <w:color w:val="000000" w:themeColor="text1"/>
          <w:sz w:val="24"/>
          <w:szCs w:val="24"/>
          <w:shd w:val="clear" w:color="auto" w:fill="FFFFFF"/>
        </w:rPr>
        <w:t xml:space="preserve"> Dle centrální banky Ruska</w:t>
      </w:r>
      <w:r w:rsidR="005C514F" w:rsidRPr="00671343">
        <w:rPr>
          <w:rFonts w:cstheme="minorHAnsi"/>
          <w:color w:val="000000" w:themeColor="text1"/>
          <w:sz w:val="24"/>
          <w:szCs w:val="24"/>
          <w:shd w:val="clear" w:color="auto" w:fill="FFFFFF"/>
        </w:rPr>
        <w:t xml:space="preserve"> činí odhad poklesu HDP v roce 2020 4</w:t>
      </w:r>
      <w:r w:rsidR="001C3A0C">
        <w:rPr>
          <w:rFonts w:cstheme="minorHAnsi"/>
          <w:color w:val="000000" w:themeColor="text1"/>
          <w:sz w:val="24"/>
          <w:szCs w:val="24"/>
          <w:shd w:val="clear" w:color="auto" w:fill="FFFFFF"/>
        </w:rPr>
        <w:t>–</w:t>
      </w:r>
      <w:r w:rsidR="005C514F" w:rsidRPr="00671343">
        <w:rPr>
          <w:rFonts w:cstheme="minorHAnsi"/>
          <w:color w:val="000000" w:themeColor="text1"/>
          <w:sz w:val="24"/>
          <w:szCs w:val="24"/>
          <w:shd w:val="clear" w:color="auto" w:fill="FFFFFF"/>
        </w:rPr>
        <w:t>5 %</w:t>
      </w:r>
      <w:r w:rsidR="00582348">
        <w:rPr>
          <w:rStyle w:val="Znakapoznpodarou"/>
          <w:rFonts w:cstheme="minorHAnsi"/>
          <w:color w:val="000000" w:themeColor="text1"/>
          <w:sz w:val="24"/>
          <w:szCs w:val="24"/>
          <w:shd w:val="clear" w:color="auto" w:fill="FFFFFF"/>
        </w:rPr>
        <w:footnoteReference w:id="4"/>
      </w:r>
      <w:r w:rsidR="005C514F" w:rsidRPr="00671343">
        <w:rPr>
          <w:rFonts w:cstheme="minorHAnsi"/>
          <w:color w:val="000000" w:themeColor="text1"/>
          <w:sz w:val="24"/>
          <w:szCs w:val="24"/>
          <w:shd w:val="clear" w:color="auto" w:fill="FFFFFF"/>
        </w:rPr>
        <w:t>.</w:t>
      </w:r>
      <w:r w:rsidR="000B7707" w:rsidRPr="00671343">
        <w:rPr>
          <w:rStyle w:val="Znakapoznpodarou"/>
          <w:rFonts w:cstheme="minorHAnsi"/>
          <w:color w:val="000000" w:themeColor="text1"/>
          <w:sz w:val="24"/>
          <w:szCs w:val="24"/>
          <w:shd w:val="clear" w:color="auto" w:fill="FFFFFF"/>
        </w:rPr>
        <w:footnoteReference w:id="5"/>
      </w:r>
      <w:r w:rsidR="005C514F" w:rsidRPr="00671343">
        <w:rPr>
          <w:rFonts w:cstheme="minorHAnsi"/>
          <w:color w:val="000000" w:themeColor="text1"/>
          <w:sz w:val="24"/>
          <w:szCs w:val="24"/>
          <w:shd w:val="clear" w:color="auto" w:fill="FFFFFF"/>
        </w:rPr>
        <w:t xml:space="preserve"> Následn</w:t>
      </w:r>
      <w:r w:rsidR="0050679F">
        <w:rPr>
          <w:rFonts w:cstheme="minorHAnsi"/>
          <w:color w:val="000000" w:themeColor="text1"/>
          <w:sz w:val="24"/>
          <w:szCs w:val="24"/>
          <w:shd w:val="clear" w:color="auto" w:fill="FFFFFF"/>
        </w:rPr>
        <w:t>ě</w:t>
      </w:r>
      <w:r w:rsidR="005C514F" w:rsidRPr="00671343">
        <w:rPr>
          <w:rFonts w:cstheme="minorHAnsi"/>
          <w:color w:val="000000" w:themeColor="text1"/>
          <w:sz w:val="24"/>
          <w:szCs w:val="24"/>
          <w:shd w:val="clear" w:color="auto" w:fill="FFFFFF"/>
        </w:rPr>
        <w:t xml:space="preserve"> se však předpokládá zotavení ekonomiky a v roce 2021 odhadováno na růst HDP o 3</w:t>
      </w:r>
      <w:r w:rsidR="00C26213">
        <w:rPr>
          <w:rFonts w:cstheme="minorHAnsi"/>
          <w:color w:val="000000" w:themeColor="text1"/>
          <w:sz w:val="24"/>
          <w:szCs w:val="24"/>
          <w:shd w:val="clear" w:color="auto" w:fill="FFFFFF"/>
        </w:rPr>
        <w:t>–</w:t>
      </w:r>
      <w:r w:rsidR="005C514F" w:rsidRPr="00671343">
        <w:rPr>
          <w:rFonts w:cstheme="minorHAnsi"/>
          <w:color w:val="000000" w:themeColor="text1"/>
          <w:sz w:val="24"/>
          <w:szCs w:val="24"/>
          <w:shd w:val="clear" w:color="auto" w:fill="FFFFFF"/>
        </w:rPr>
        <w:t xml:space="preserve">4 % </w:t>
      </w:r>
      <w:r w:rsidR="005C514F" w:rsidRPr="00671343">
        <w:rPr>
          <w:rFonts w:cstheme="minorHAnsi"/>
          <w:color w:val="000000" w:themeColor="text1"/>
          <w:sz w:val="24"/>
          <w:szCs w:val="24"/>
          <w:shd w:val="clear" w:color="auto" w:fill="FFFFFF"/>
          <w:lang w:val="en-US"/>
        </w:rPr>
        <w:t>(Federal State Statistics Service, 2020).</w:t>
      </w:r>
      <w:r w:rsidR="000B7707" w:rsidRPr="00671343">
        <w:rPr>
          <w:rFonts w:cstheme="minorHAnsi"/>
          <w:color w:val="000000" w:themeColor="text1"/>
          <w:sz w:val="24"/>
          <w:szCs w:val="24"/>
          <w:shd w:val="clear" w:color="auto" w:fill="FFFFFF"/>
          <w:lang w:val="en-US"/>
        </w:rPr>
        <w:t xml:space="preserve"> </w:t>
      </w:r>
      <w:r w:rsidR="00A266BE" w:rsidRPr="006C4CE2">
        <w:rPr>
          <w:rFonts w:cstheme="minorHAnsi"/>
          <w:color w:val="000000" w:themeColor="text1"/>
          <w:sz w:val="24"/>
          <w:szCs w:val="24"/>
          <w:shd w:val="clear" w:color="auto" w:fill="FFFFFF"/>
        </w:rPr>
        <w:t>Obdobně</w:t>
      </w:r>
      <w:r w:rsidR="00A266BE" w:rsidRPr="00671343">
        <w:rPr>
          <w:rFonts w:cstheme="minorHAnsi"/>
          <w:color w:val="000000" w:themeColor="text1"/>
          <w:sz w:val="24"/>
          <w:szCs w:val="24"/>
          <w:shd w:val="clear" w:color="auto" w:fill="FFFFFF"/>
          <w:lang w:val="en-US"/>
        </w:rPr>
        <w:t xml:space="preserve"> </w:t>
      </w:r>
      <w:r w:rsidR="00A266BE" w:rsidRPr="00671343">
        <w:rPr>
          <w:rFonts w:cstheme="minorHAnsi"/>
          <w:sz w:val="24"/>
          <w:szCs w:val="24"/>
        </w:rPr>
        <w:t xml:space="preserve">IMF </w:t>
      </w:r>
      <w:r w:rsidR="00C26213">
        <w:rPr>
          <w:rFonts w:cstheme="minorHAnsi"/>
          <w:sz w:val="24"/>
          <w:szCs w:val="24"/>
        </w:rPr>
        <w:t>očekává</w:t>
      </w:r>
      <w:r w:rsidR="00A266BE" w:rsidRPr="00671343">
        <w:rPr>
          <w:rFonts w:cstheme="minorHAnsi"/>
          <w:sz w:val="24"/>
          <w:szCs w:val="24"/>
        </w:rPr>
        <w:t xml:space="preserve">, že </w:t>
      </w:r>
      <w:r w:rsidR="00CA7FF5" w:rsidRPr="00671343">
        <w:rPr>
          <w:rFonts w:cstheme="minorHAnsi"/>
          <w:sz w:val="24"/>
          <w:szCs w:val="24"/>
        </w:rPr>
        <w:t xml:space="preserve">v roce 2020 </w:t>
      </w:r>
      <w:r w:rsidR="00A266BE" w:rsidRPr="00671343">
        <w:rPr>
          <w:rFonts w:cstheme="minorHAnsi"/>
          <w:sz w:val="24"/>
          <w:szCs w:val="24"/>
        </w:rPr>
        <w:t xml:space="preserve">HDP </w:t>
      </w:r>
      <w:r w:rsidR="00CA7FF5" w:rsidRPr="00671343">
        <w:rPr>
          <w:rFonts w:cstheme="minorHAnsi"/>
          <w:sz w:val="24"/>
          <w:szCs w:val="24"/>
        </w:rPr>
        <w:t xml:space="preserve">propadne o 4,1 % a v následujícím roce </w:t>
      </w:r>
      <w:r w:rsidR="00A266BE" w:rsidRPr="00671343">
        <w:rPr>
          <w:rFonts w:cstheme="minorHAnsi"/>
          <w:sz w:val="24"/>
          <w:szCs w:val="24"/>
        </w:rPr>
        <w:t>poroste</w:t>
      </w:r>
      <w:r w:rsidR="00CA7FF5" w:rsidRPr="00671343">
        <w:rPr>
          <w:rFonts w:cstheme="minorHAnsi"/>
          <w:sz w:val="24"/>
          <w:szCs w:val="24"/>
        </w:rPr>
        <w:t xml:space="preserve"> o 2,8 % (IMF 2020</w:t>
      </w:r>
      <w:r w:rsidR="001C3A0C">
        <w:rPr>
          <w:rFonts w:cstheme="minorHAnsi"/>
          <w:sz w:val="24"/>
          <w:szCs w:val="24"/>
        </w:rPr>
        <w:t>a</w:t>
      </w:r>
      <w:r w:rsidR="00CA7FF5" w:rsidRPr="00671343">
        <w:rPr>
          <w:rFonts w:cstheme="minorHAnsi"/>
          <w:sz w:val="24"/>
          <w:szCs w:val="24"/>
        </w:rPr>
        <w:t>).</w:t>
      </w:r>
    </w:p>
    <w:p w14:paraId="1124D779" w14:textId="5BC36967" w:rsidR="00664C73" w:rsidRPr="00671343" w:rsidRDefault="00F45D69" w:rsidP="002B6A9D">
      <w:pPr>
        <w:spacing w:after="100" w:afterAutospacing="1" w:line="240" w:lineRule="auto"/>
        <w:ind w:firstLine="708"/>
        <w:jc w:val="both"/>
        <w:rPr>
          <w:rFonts w:cstheme="minorHAnsi"/>
          <w:sz w:val="24"/>
          <w:szCs w:val="24"/>
        </w:rPr>
      </w:pPr>
      <w:r w:rsidRPr="00671343">
        <w:rPr>
          <w:rFonts w:cstheme="minorHAnsi"/>
          <w:sz w:val="24"/>
          <w:szCs w:val="24"/>
        </w:rPr>
        <w:t>Roční míra inflace v Rusku v říjnu 2020 vzrostla na 4 % z 3,7 % v předchozím měsíci</w:t>
      </w:r>
      <w:r w:rsidR="00FA1EAF">
        <w:rPr>
          <w:rStyle w:val="Znakapoznpodarou"/>
          <w:rFonts w:cstheme="minorHAnsi"/>
          <w:sz w:val="24"/>
          <w:szCs w:val="24"/>
        </w:rPr>
        <w:footnoteReference w:id="6"/>
      </w:r>
      <w:r w:rsidRPr="00671343">
        <w:rPr>
          <w:rFonts w:cstheme="minorHAnsi"/>
          <w:sz w:val="24"/>
          <w:szCs w:val="24"/>
        </w:rPr>
        <w:t xml:space="preserve"> a to v souladu s očekáváními trhů a současně při splnění deklarovaného inflačního cíle centrální banky. Byla to nejvyšší míra inflace od září 2019, neboť vzrostly náklady nejen na potraviny (4,8 % vs. 4,4 % v září), ale i na nepotravinářské produkty (4,2 % vs. 3,8 %). Míra inflace u služeb zůstala stejná (2,5 %). Meziměsíčně vzrostly spotřebitelské ceny o 0,4 %, zatímco v září poklesly o 0,1 % (</w:t>
      </w:r>
      <w:r w:rsidRPr="00671343">
        <w:rPr>
          <w:rFonts w:cstheme="minorHAnsi"/>
          <w:color w:val="000000" w:themeColor="text1"/>
          <w:sz w:val="24"/>
          <w:szCs w:val="24"/>
          <w:shd w:val="clear" w:color="auto" w:fill="FFFFFF"/>
          <w:lang w:val="en-US"/>
        </w:rPr>
        <w:t>Federal State Statistics Service</w:t>
      </w:r>
      <w:r w:rsidRPr="00671343">
        <w:rPr>
          <w:rFonts w:cstheme="minorHAnsi"/>
          <w:sz w:val="24"/>
          <w:szCs w:val="24"/>
          <w:lang w:val="en-US"/>
        </w:rPr>
        <w:t>, 2020)</w:t>
      </w:r>
      <w:r w:rsidRPr="00671343">
        <w:rPr>
          <w:rFonts w:cstheme="minorHAnsi"/>
          <w:sz w:val="24"/>
          <w:szCs w:val="24"/>
        </w:rPr>
        <w:t>.</w:t>
      </w:r>
    </w:p>
    <w:p w14:paraId="47DE27AF" w14:textId="76E35E74" w:rsidR="00414B8E" w:rsidRPr="008264B2" w:rsidRDefault="00A266BE" w:rsidP="008264B2">
      <w:pPr>
        <w:spacing w:after="100" w:afterAutospacing="1" w:line="240" w:lineRule="auto"/>
        <w:ind w:firstLine="708"/>
        <w:jc w:val="both"/>
        <w:rPr>
          <w:rFonts w:cstheme="minorHAnsi"/>
          <w:color w:val="000000" w:themeColor="text1"/>
          <w:sz w:val="24"/>
          <w:szCs w:val="24"/>
          <w:shd w:val="clear" w:color="auto" w:fill="FFFFFF"/>
        </w:rPr>
      </w:pPr>
      <w:r w:rsidRPr="008264B2">
        <w:rPr>
          <w:rFonts w:cstheme="minorHAnsi"/>
          <w:color w:val="000000" w:themeColor="text1"/>
          <w:sz w:val="24"/>
          <w:szCs w:val="24"/>
        </w:rPr>
        <w:t>Přestože se ropný trh se ve třetím čtvrtletí 2020 stabilizoval rychleji, než se očekávalo, z</w:t>
      </w:r>
      <w:r w:rsidR="00F45D69" w:rsidRPr="008264B2">
        <w:rPr>
          <w:rFonts w:cstheme="minorHAnsi"/>
          <w:color w:val="000000" w:themeColor="text1"/>
          <w:sz w:val="24"/>
          <w:szCs w:val="24"/>
          <w:shd w:val="clear" w:color="auto" w:fill="FFFFFF"/>
        </w:rPr>
        <w:t xml:space="preserve">tráty v příjmech z ropy v důsledku poklesu její ceny mohou napínat ruský státní rozpočet a mohou si vyžádat snížení vládních výdajů, dokud </w:t>
      </w:r>
      <w:r w:rsidR="00F45D69" w:rsidRPr="00311D9D">
        <w:rPr>
          <w:rFonts w:cstheme="minorHAnsi"/>
          <w:color w:val="000000" w:themeColor="text1"/>
          <w:sz w:val="24"/>
          <w:szCs w:val="24"/>
          <w:shd w:val="clear" w:color="auto" w:fill="FFFFFF"/>
        </w:rPr>
        <w:t xml:space="preserve">nezapůsobí fiskální stabilizátory. </w:t>
      </w:r>
      <w:r w:rsidR="00414B8E" w:rsidRPr="00311D9D">
        <w:rPr>
          <w:rFonts w:cstheme="minorHAnsi"/>
          <w:color w:val="000000" w:themeColor="text1"/>
          <w:sz w:val="24"/>
          <w:szCs w:val="24"/>
          <w:shd w:val="clear" w:color="auto" w:fill="FFFFFF"/>
        </w:rPr>
        <w:t xml:space="preserve">Toto je patrné z grafu 2. </w:t>
      </w:r>
      <w:r w:rsidR="008264B2" w:rsidRPr="00311D9D">
        <w:rPr>
          <w:rFonts w:cstheme="minorHAnsi"/>
          <w:color w:val="000000" w:themeColor="text1"/>
          <w:sz w:val="24"/>
          <w:szCs w:val="24"/>
          <w:shd w:val="clear" w:color="auto" w:fill="FFFFFF"/>
        </w:rPr>
        <w:t xml:space="preserve">Na druhou stranu je i zřejmé, že, </w:t>
      </w:r>
      <w:r w:rsidR="008264B2" w:rsidRPr="00311D9D">
        <w:rPr>
          <w:color w:val="000000" w:themeColor="text1"/>
          <w:sz w:val="24"/>
          <w:szCs w:val="24"/>
        </w:rPr>
        <w:t>ve srovnání se situací před pěti či šesti roky, si Rusko</w:t>
      </w:r>
      <w:r w:rsidR="008264B2" w:rsidRPr="00311D9D">
        <w:rPr>
          <w:rFonts w:cstheme="minorHAnsi"/>
          <w:color w:val="000000" w:themeColor="text1"/>
          <w:sz w:val="24"/>
          <w:szCs w:val="24"/>
          <w:shd w:val="clear" w:color="auto" w:fill="FFFFFF"/>
        </w:rPr>
        <w:t xml:space="preserve"> </w:t>
      </w:r>
      <w:r w:rsidR="008264B2" w:rsidRPr="00311D9D">
        <w:rPr>
          <w:color w:val="000000" w:themeColor="text1"/>
          <w:sz w:val="24"/>
          <w:szCs w:val="24"/>
        </w:rPr>
        <w:t>v</w:t>
      </w:r>
      <w:r w:rsidR="00414B8E" w:rsidRPr="00311D9D">
        <w:rPr>
          <w:color w:val="000000" w:themeColor="text1"/>
          <w:sz w:val="24"/>
          <w:szCs w:val="24"/>
        </w:rPr>
        <w:t xml:space="preserve"> současné době může nižší cenu ropy dovolit. Ruské vládní plány na zvýšení výdajů pro rok 2021 budou pokračovat bez ohledu na tuto nízkou cenu. Slabší rubl navíc podpoří ruské vývozy komodit, které se prodávají za USD. Mezinárodní sankce Rusko v posledních letech donutily snížit své zahraniční půjčky, přičemž přísná fiskální politika ořezala domácí výdaje na minimum. Před pěti lety Rusko potřebovalo cenu ropy přes 100 USD za barel, aby mělo vyrovnaný rozpočet. Kombinace výdajových škrtů a růst příjmů z ropy následovala poté, co v roce 2015 pád ceny ropy stlačil cenu ropy k 50 USD za barel. Příjmy z daní z ropy a plynu, které byly nad 42 USD za barel, šly do suverénního Fondu národního bohatství. V souvislosti s tím se podstatně zlepšily vládní finance, avšak životní úroveň v posledních pěti letech v Rusku poklesla.</w:t>
      </w:r>
    </w:p>
    <w:p w14:paraId="30A52CBB" w14:textId="77777777" w:rsidR="00414B8E" w:rsidRDefault="00414B8E" w:rsidP="00414B8E">
      <w:pPr>
        <w:spacing w:line="360" w:lineRule="auto"/>
        <w:jc w:val="both"/>
        <w:rPr>
          <w:color w:val="FF0000"/>
        </w:rPr>
      </w:pPr>
    </w:p>
    <w:p w14:paraId="4BB1D8B3" w14:textId="06041B15" w:rsidR="00414B8E" w:rsidRDefault="00414B8E" w:rsidP="00414B8E">
      <w:pPr>
        <w:pStyle w:val="Nadpis3"/>
        <w:jc w:val="center"/>
      </w:pPr>
      <w:bookmarkStart w:id="43" w:name="_Toc61261290"/>
      <w:bookmarkStart w:id="44" w:name="_Toc61262040"/>
      <w:bookmarkStart w:id="45" w:name="_Toc61262164"/>
      <w:r>
        <w:lastRenderedPageBreak/>
        <w:t xml:space="preserve">Graf 2: Cena ropy </w:t>
      </w:r>
      <w:r w:rsidRPr="00765A53">
        <w:t xml:space="preserve">při </w:t>
      </w:r>
      <w:r w:rsidR="008264B2" w:rsidRPr="00765A53">
        <w:t>fiskálním</w:t>
      </w:r>
      <w:r w:rsidR="008264B2">
        <w:t xml:space="preserve"> </w:t>
      </w:r>
      <w:r>
        <w:t>bodu zvratu pro Ruskou federaci</w:t>
      </w:r>
      <w:r>
        <w:rPr>
          <w:rStyle w:val="Znakapoznpodarou"/>
        </w:rPr>
        <w:footnoteReference w:id="7"/>
      </w:r>
      <w:bookmarkEnd w:id="43"/>
      <w:bookmarkEnd w:id="44"/>
      <w:bookmarkEnd w:id="45"/>
    </w:p>
    <w:p w14:paraId="00D331E8" w14:textId="668FA674" w:rsidR="00414B8E" w:rsidRDefault="00D06180" w:rsidP="00414B8E">
      <w:pPr>
        <w:spacing w:line="360" w:lineRule="auto"/>
        <w:jc w:val="center"/>
      </w:pPr>
      <w:r w:rsidRPr="00D06180">
        <w:rPr>
          <w:noProof/>
        </w:rPr>
        <w:t xml:space="preserve"> </w:t>
      </w:r>
      <w:r>
        <w:rPr>
          <w:noProof/>
        </w:rPr>
        <w:drawing>
          <wp:inline distT="0" distB="0" distL="0" distR="0" wp14:anchorId="02A45539" wp14:editId="2B1D6FEE">
            <wp:extent cx="6120130" cy="2749550"/>
            <wp:effectExtent l="0" t="0" r="13970" b="12700"/>
            <wp:docPr id="9" name="Graf 9">
              <a:extLst xmlns:a="http://schemas.openxmlformats.org/drawingml/2006/main">
                <a:ext uri="{FF2B5EF4-FFF2-40B4-BE49-F238E27FC236}">
                  <a16:creationId xmlns:a16="http://schemas.microsoft.com/office/drawing/2014/main" id="{8261DBE4-6CC4-0941-A39F-922BAFAA9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2E53D1" w14:textId="1DB2FFBD" w:rsidR="00414B8E" w:rsidRPr="00414B8E" w:rsidRDefault="00414B8E" w:rsidP="00414B8E">
      <w:pPr>
        <w:jc w:val="center"/>
        <w:rPr>
          <w:color w:val="000000" w:themeColor="text1"/>
          <w:sz w:val="21"/>
          <w:szCs w:val="21"/>
        </w:rPr>
      </w:pPr>
      <w:r w:rsidRPr="00414B8E">
        <w:rPr>
          <w:color w:val="000000" w:themeColor="text1"/>
          <w:sz w:val="21"/>
          <w:szCs w:val="21"/>
        </w:rPr>
        <w:t>Zdroj: Vlastní odhady založené na datech z </w:t>
      </w:r>
      <w:proofErr w:type="spellStart"/>
      <w:r w:rsidRPr="00414B8E">
        <w:rPr>
          <w:color w:val="000000" w:themeColor="text1"/>
          <w:sz w:val="21"/>
          <w:szCs w:val="21"/>
        </w:rPr>
        <w:t>Nordea</w:t>
      </w:r>
      <w:proofErr w:type="spellEnd"/>
      <w:r w:rsidRPr="00414B8E">
        <w:rPr>
          <w:color w:val="000000" w:themeColor="text1"/>
          <w:sz w:val="21"/>
          <w:szCs w:val="21"/>
        </w:rPr>
        <w:t xml:space="preserve"> Bank/</w:t>
      </w:r>
      <w:proofErr w:type="spellStart"/>
      <w:r w:rsidRPr="00414B8E">
        <w:rPr>
          <w:color w:val="000000" w:themeColor="text1"/>
          <w:sz w:val="21"/>
          <w:szCs w:val="21"/>
        </w:rPr>
        <w:t>Bloomberg</w:t>
      </w:r>
      <w:proofErr w:type="spellEnd"/>
      <w:r w:rsidRPr="00414B8E">
        <w:rPr>
          <w:color w:val="000000" w:themeColor="text1"/>
          <w:sz w:val="21"/>
          <w:szCs w:val="21"/>
        </w:rPr>
        <w:t>.</w:t>
      </w:r>
    </w:p>
    <w:p w14:paraId="272DD1CC" w14:textId="5F07A5A7" w:rsidR="00414B8E" w:rsidRPr="00671343" w:rsidRDefault="008264B2" w:rsidP="002B6A9D">
      <w:pPr>
        <w:spacing w:after="100" w:afterAutospacing="1" w:line="240" w:lineRule="auto"/>
        <w:ind w:firstLine="708"/>
        <w:jc w:val="both"/>
        <w:rPr>
          <w:rFonts w:cstheme="minorHAnsi"/>
          <w:color w:val="000000" w:themeColor="text1"/>
          <w:sz w:val="24"/>
          <w:szCs w:val="24"/>
          <w:shd w:val="clear" w:color="auto" w:fill="FFFFFF"/>
        </w:rPr>
      </w:pPr>
      <w:r w:rsidRPr="00671343">
        <w:rPr>
          <w:rFonts w:cstheme="minorHAnsi"/>
          <w:color w:val="000000" w:themeColor="text1"/>
          <w:sz w:val="24"/>
          <w:szCs w:val="24"/>
          <w:shd w:val="clear" w:color="auto" w:fill="FFFFFF"/>
        </w:rPr>
        <w:t>Ke zmírnění dopadů nízkých cen ropy, které jsou pod tzv. fiskálním bodem zvratu, mohou být využita aktiva z ruského (státního) suverénního fondu. Obecně pokles cen ropy sníží fiskální tlaky na vysoké energetické dotace a představuje také příležitost k zavedení zdanění paliv, které by bylo motivováno zvýšením ochrany životního prostředí.</w:t>
      </w:r>
    </w:p>
    <w:p w14:paraId="2FF56B3D" w14:textId="0507E45B" w:rsidR="00F45D69" w:rsidRPr="00031010" w:rsidRDefault="009C2B21" w:rsidP="002B6A9D">
      <w:pPr>
        <w:spacing w:after="100" w:afterAutospacing="1" w:line="240" w:lineRule="auto"/>
        <w:jc w:val="both"/>
        <w:rPr>
          <w:i/>
          <w:sz w:val="24"/>
          <w:szCs w:val="24"/>
        </w:rPr>
      </w:pPr>
      <w:r w:rsidRPr="00031010">
        <w:rPr>
          <w:i/>
          <w:sz w:val="24"/>
          <w:szCs w:val="24"/>
        </w:rPr>
        <w:t>Východiska pro politickou stabilitu Ruska a jeho zahraniční politiku po cenovém šoku</w:t>
      </w:r>
    </w:p>
    <w:p w14:paraId="625155EA" w14:textId="07CFE8BD" w:rsidR="0008123F" w:rsidRPr="00671343" w:rsidRDefault="009C2B21" w:rsidP="002B6A9D">
      <w:pPr>
        <w:spacing w:after="100" w:afterAutospacing="1" w:line="240" w:lineRule="auto"/>
        <w:jc w:val="both"/>
        <w:rPr>
          <w:rFonts w:cstheme="minorHAnsi"/>
          <w:sz w:val="24"/>
          <w:szCs w:val="24"/>
        </w:rPr>
      </w:pPr>
      <w:r w:rsidRPr="00671343">
        <w:rPr>
          <w:rFonts w:cstheme="minorHAnsi"/>
          <w:sz w:val="24"/>
          <w:szCs w:val="24"/>
        </w:rPr>
        <w:t>D</w:t>
      </w:r>
      <w:r w:rsidR="00ED2112" w:rsidRPr="00671343">
        <w:rPr>
          <w:rFonts w:cstheme="minorHAnsi"/>
          <w:sz w:val="24"/>
          <w:szCs w:val="24"/>
        </w:rPr>
        <w:t>o roku 2021</w:t>
      </w:r>
      <w:r w:rsidRPr="00671343">
        <w:rPr>
          <w:rFonts w:cstheme="minorHAnsi"/>
          <w:sz w:val="24"/>
          <w:szCs w:val="24"/>
        </w:rPr>
        <w:t xml:space="preserve"> Rusko vstupuje</w:t>
      </w:r>
      <w:r w:rsidR="00ED2112" w:rsidRPr="00671343">
        <w:rPr>
          <w:rFonts w:cstheme="minorHAnsi"/>
          <w:sz w:val="24"/>
          <w:szCs w:val="24"/>
        </w:rPr>
        <w:t xml:space="preserve"> s vysokými zlatými a devizovými rezervami i Fondem národního blahobytu (Ministry </w:t>
      </w:r>
      <w:proofErr w:type="spellStart"/>
      <w:r w:rsidR="00ED2112" w:rsidRPr="00671343">
        <w:rPr>
          <w:rFonts w:cstheme="minorHAnsi"/>
          <w:sz w:val="24"/>
          <w:szCs w:val="24"/>
        </w:rPr>
        <w:t>of</w:t>
      </w:r>
      <w:proofErr w:type="spellEnd"/>
      <w:r w:rsidR="00ED2112" w:rsidRPr="00671343">
        <w:rPr>
          <w:rFonts w:cstheme="minorHAnsi"/>
          <w:sz w:val="24"/>
          <w:szCs w:val="24"/>
        </w:rPr>
        <w:t xml:space="preserve"> Finance </w:t>
      </w:r>
      <w:proofErr w:type="spellStart"/>
      <w:r w:rsidR="00ED2112" w:rsidRPr="00671343">
        <w:rPr>
          <w:rFonts w:cstheme="minorHAnsi"/>
          <w:sz w:val="24"/>
          <w:szCs w:val="24"/>
        </w:rPr>
        <w:t>of</w:t>
      </w:r>
      <w:proofErr w:type="spellEnd"/>
      <w:r w:rsidR="00ED2112" w:rsidRPr="00671343">
        <w:rPr>
          <w:rFonts w:cstheme="minorHAnsi"/>
          <w:sz w:val="24"/>
          <w:szCs w:val="24"/>
        </w:rPr>
        <w:t xml:space="preserve"> </w:t>
      </w:r>
      <w:proofErr w:type="spellStart"/>
      <w:r w:rsidR="00ED2112" w:rsidRPr="00671343">
        <w:rPr>
          <w:rFonts w:cstheme="minorHAnsi"/>
          <w:sz w:val="24"/>
          <w:szCs w:val="24"/>
        </w:rPr>
        <w:t>the</w:t>
      </w:r>
      <w:proofErr w:type="spellEnd"/>
      <w:r w:rsidR="00ED2112" w:rsidRPr="00671343">
        <w:rPr>
          <w:rFonts w:cstheme="minorHAnsi"/>
          <w:sz w:val="24"/>
          <w:szCs w:val="24"/>
        </w:rPr>
        <w:t xml:space="preserve"> </w:t>
      </w:r>
      <w:proofErr w:type="spellStart"/>
      <w:r w:rsidR="00ED2112" w:rsidRPr="00671343">
        <w:rPr>
          <w:rFonts w:cstheme="minorHAnsi"/>
          <w:sz w:val="24"/>
          <w:szCs w:val="24"/>
        </w:rPr>
        <w:t>Russian</w:t>
      </w:r>
      <w:proofErr w:type="spellEnd"/>
      <w:r w:rsidR="00ED2112" w:rsidRPr="00671343">
        <w:rPr>
          <w:rFonts w:cstheme="minorHAnsi"/>
          <w:sz w:val="24"/>
          <w:szCs w:val="24"/>
        </w:rPr>
        <w:t xml:space="preserve"> </w:t>
      </w:r>
      <w:proofErr w:type="spellStart"/>
      <w:r w:rsidR="00ED2112" w:rsidRPr="00671343">
        <w:rPr>
          <w:rFonts w:cstheme="minorHAnsi"/>
          <w:sz w:val="24"/>
          <w:szCs w:val="24"/>
        </w:rPr>
        <w:t>Federation</w:t>
      </w:r>
      <w:proofErr w:type="spellEnd"/>
      <w:r w:rsidR="00ED2112" w:rsidRPr="00671343">
        <w:rPr>
          <w:rFonts w:cstheme="minorHAnsi"/>
          <w:sz w:val="24"/>
          <w:szCs w:val="24"/>
        </w:rPr>
        <w:t xml:space="preserve"> 2020; Bank </w:t>
      </w:r>
      <w:proofErr w:type="spellStart"/>
      <w:r w:rsidR="00ED2112" w:rsidRPr="00671343">
        <w:rPr>
          <w:rFonts w:cstheme="minorHAnsi"/>
          <w:sz w:val="24"/>
          <w:szCs w:val="24"/>
        </w:rPr>
        <w:t>of</w:t>
      </w:r>
      <w:proofErr w:type="spellEnd"/>
      <w:r w:rsidR="00ED2112" w:rsidRPr="00671343">
        <w:rPr>
          <w:rFonts w:cstheme="minorHAnsi"/>
          <w:sz w:val="24"/>
          <w:szCs w:val="24"/>
        </w:rPr>
        <w:t xml:space="preserve"> </w:t>
      </w:r>
      <w:proofErr w:type="spellStart"/>
      <w:r w:rsidR="00ED2112" w:rsidRPr="00671343">
        <w:rPr>
          <w:rFonts w:cstheme="minorHAnsi"/>
          <w:sz w:val="24"/>
          <w:szCs w:val="24"/>
        </w:rPr>
        <w:t>Russia</w:t>
      </w:r>
      <w:proofErr w:type="spellEnd"/>
      <w:r w:rsidR="00ED2112" w:rsidRPr="00671343">
        <w:rPr>
          <w:rFonts w:cstheme="minorHAnsi"/>
          <w:sz w:val="24"/>
          <w:szCs w:val="24"/>
        </w:rPr>
        <w:t xml:space="preserve"> 2020</w:t>
      </w:r>
      <w:r w:rsidR="000F7242" w:rsidRPr="00671343">
        <w:rPr>
          <w:rFonts w:cstheme="minorHAnsi"/>
          <w:sz w:val="24"/>
          <w:szCs w:val="24"/>
        </w:rPr>
        <w:t>)</w:t>
      </w:r>
      <w:r w:rsidR="000F7242">
        <w:rPr>
          <w:rFonts w:cstheme="minorHAnsi"/>
          <w:sz w:val="24"/>
          <w:szCs w:val="24"/>
        </w:rPr>
        <w:t>, a</w:t>
      </w:r>
      <w:r w:rsidR="000F7242" w:rsidRPr="00671343">
        <w:rPr>
          <w:rFonts w:cstheme="minorHAnsi"/>
          <w:sz w:val="24"/>
          <w:szCs w:val="24"/>
        </w:rPr>
        <w:t xml:space="preserve"> </w:t>
      </w:r>
      <w:r w:rsidR="000F7242">
        <w:rPr>
          <w:rFonts w:cstheme="minorHAnsi"/>
          <w:sz w:val="24"/>
          <w:szCs w:val="24"/>
        </w:rPr>
        <w:t>j</w:t>
      </w:r>
      <w:r w:rsidR="000F7242" w:rsidRPr="00671343">
        <w:rPr>
          <w:rFonts w:cstheme="minorHAnsi"/>
          <w:sz w:val="24"/>
          <w:szCs w:val="24"/>
        </w:rPr>
        <w:t xml:space="preserve">e </w:t>
      </w:r>
      <w:r w:rsidR="00ED2112" w:rsidRPr="00671343">
        <w:rPr>
          <w:rFonts w:cstheme="minorHAnsi"/>
          <w:sz w:val="24"/>
          <w:szCs w:val="24"/>
        </w:rPr>
        <w:t xml:space="preserve">tudíž připraveno </w:t>
      </w:r>
      <w:r w:rsidRPr="00671343">
        <w:rPr>
          <w:rFonts w:cstheme="minorHAnsi"/>
          <w:sz w:val="24"/>
          <w:szCs w:val="24"/>
        </w:rPr>
        <w:t xml:space="preserve">ustát </w:t>
      </w:r>
      <w:r w:rsidR="00ED2112" w:rsidRPr="00671343">
        <w:rPr>
          <w:rFonts w:cstheme="minorHAnsi"/>
          <w:sz w:val="24"/>
          <w:szCs w:val="24"/>
        </w:rPr>
        <w:t xml:space="preserve">případné další šoky. </w:t>
      </w:r>
      <w:r w:rsidR="0008123F" w:rsidRPr="00671343">
        <w:rPr>
          <w:rFonts w:cstheme="minorHAnsi"/>
          <w:sz w:val="24"/>
          <w:szCs w:val="24"/>
        </w:rPr>
        <w:t xml:space="preserve">Dostatek vlastních přírodních zdrojů i konkurenční výhody v některých vysoce technologických odvětvích (v energetice se především jedná o jádro) může zaprvé dopomoci k přeorientování </w:t>
      </w:r>
      <w:r w:rsidR="00AC7818">
        <w:rPr>
          <w:rFonts w:cstheme="minorHAnsi"/>
          <w:sz w:val="24"/>
          <w:szCs w:val="24"/>
        </w:rPr>
        <w:t>ekonomiky</w:t>
      </w:r>
      <w:r w:rsidR="00AC7818" w:rsidRPr="00671343">
        <w:rPr>
          <w:rFonts w:cstheme="minorHAnsi"/>
          <w:sz w:val="24"/>
          <w:szCs w:val="24"/>
        </w:rPr>
        <w:t xml:space="preserve"> </w:t>
      </w:r>
      <w:r w:rsidR="0008123F" w:rsidRPr="00671343">
        <w:rPr>
          <w:rFonts w:cstheme="minorHAnsi"/>
          <w:sz w:val="24"/>
          <w:szCs w:val="24"/>
        </w:rPr>
        <w:t>na vlastní trh spolu se substitucí importu, a za druhé rozšířit export například i o vodík (</w:t>
      </w:r>
      <w:proofErr w:type="spellStart"/>
      <w:r w:rsidR="0008123F" w:rsidRPr="00671343">
        <w:rPr>
          <w:rFonts w:cstheme="minorHAnsi"/>
          <w:sz w:val="24"/>
          <w:szCs w:val="24"/>
        </w:rPr>
        <w:t>Makarov</w:t>
      </w:r>
      <w:proofErr w:type="spellEnd"/>
      <w:r w:rsidR="0008123F" w:rsidRPr="00671343">
        <w:rPr>
          <w:rFonts w:cstheme="minorHAnsi"/>
          <w:sz w:val="24"/>
          <w:szCs w:val="24"/>
        </w:rPr>
        <w:t xml:space="preserve"> 2020; </w:t>
      </w:r>
      <w:proofErr w:type="spellStart"/>
      <w:r w:rsidR="0008123F" w:rsidRPr="00671343">
        <w:rPr>
          <w:rFonts w:cstheme="minorHAnsi"/>
          <w:sz w:val="24"/>
          <w:szCs w:val="24"/>
        </w:rPr>
        <w:t>Konoplyanik</w:t>
      </w:r>
      <w:proofErr w:type="spellEnd"/>
      <w:r w:rsidR="0008123F" w:rsidRPr="00671343">
        <w:rPr>
          <w:rFonts w:cstheme="minorHAnsi"/>
          <w:sz w:val="24"/>
          <w:szCs w:val="24"/>
        </w:rPr>
        <w:t xml:space="preserve"> 2020). Tomu ale brání omezený domácí trh, rozporuplné výsledky v oblasti substituce importu a </w:t>
      </w:r>
      <w:r w:rsidR="003361B4">
        <w:rPr>
          <w:rFonts w:cstheme="minorHAnsi"/>
          <w:sz w:val="24"/>
          <w:szCs w:val="24"/>
        </w:rPr>
        <w:t xml:space="preserve">přetrvávající </w:t>
      </w:r>
      <w:r w:rsidR="0008123F" w:rsidRPr="00671343">
        <w:rPr>
          <w:rFonts w:cstheme="minorHAnsi"/>
          <w:sz w:val="24"/>
          <w:szCs w:val="24"/>
        </w:rPr>
        <w:t>nejasnosti ohledně poptávky po ruském vodíku (který bude nejspíš produkován za využití jaderné energetiky)</w:t>
      </w:r>
      <w:r w:rsidR="00B61C3D">
        <w:rPr>
          <w:rFonts w:cstheme="minorHAnsi"/>
          <w:sz w:val="24"/>
          <w:szCs w:val="24"/>
        </w:rPr>
        <w:t xml:space="preserve"> i toho,</w:t>
      </w:r>
      <w:r w:rsidR="0008123F" w:rsidRPr="00671343">
        <w:rPr>
          <w:rFonts w:cstheme="minorHAnsi"/>
          <w:sz w:val="24"/>
          <w:szCs w:val="24"/>
        </w:rPr>
        <w:t xml:space="preserve"> a zda dokáže kompenzovat dopady snížení surovinové renty. Právě kvůli těmto důvodům bude kladen zvýšený důraz na regionální ekonomickou integraci v rámci Eurasie zahrnující nejen Euroasijsk</w:t>
      </w:r>
      <w:r w:rsidR="00BD3565">
        <w:rPr>
          <w:rFonts w:cstheme="minorHAnsi"/>
          <w:sz w:val="24"/>
          <w:szCs w:val="24"/>
        </w:rPr>
        <w:t>ou</w:t>
      </w:r>
      <w:r w:rsidR="0008123F" w:rsidRPr="00671343">
        <w:rPr>
          <w:rFonts w:cstheme="minorHAnsi"/>
          <w:sz w:val="24"/>
          <w:szCs w:val="24"/>
        </w:rPr>
        <w:t xml:space="preserve"> ekonomick</w:t>
      </w:r>
      <w:r w:rsidR="00BD3565">
        <w:rPr>
          <w:rFonts w:cstheme="minorHAnsi"/>
          <w:sz w:val="24"/>
          <w:szCs w:val="24"/>
        </w:rPr>
        <w:t>ou</w:t>
      </w:r>
      <w:r w:rsidR="0008123F" w:rsidRPr="00671343">
        <w:rPr>
          <w:rFonts w:cstheme="minorHAnsi"/>
          <w:sz w:val="24"/>
          <w:szCs w:val="24"/>
        </w:rPr>
        <w:t xml:space="preserve"> </w:t>
      </w:r>
      <w:r w:rsidR="00BD3565">
        <w:rPr>
          <w:rFonts w:cstheme="minorHAnsi"/>
          <w:sz w:val="24"/>
          <w:szCs w:val="24"/>
        </w:rPr>
        <w:t>unii</w:t>
      </w:r>
      <w:r w:rsidR="0008123F" w:rsidRPr="00671343">
        <w:rPr>
          <w:rFonts w:cstheme="minorHAnsi"/>
          <w:sz w:val="24"/>
          <w:szCs w:val="24"/>
        </w:rPr>
        <w:t xml:space="preserve">, ale i partnerství s dalšími zeměmi, jež mohou poskytnout dostatečně velký trh, finance, které nejsou dostupné </w:t>
      </w:r>
      <w:r w:rsidR="0008123F" w:rsidRPr="00671343">
        <w:rPr>
          <w:rFonts w:cstheme="minorHAnsi"/>
          <w:sz w:val="24"/>
          <w:szCs w:val="24"/>
        </w:rPr>
        <w:lastRenderedPageBreak/>
        <w:t xml:space="preserve">na Západě, technologie i investice. Nicméně během uplynulých šesti let od doby, co byly uvaleny sankce, pokrok v tomto směru nebyl </w:t>
      </w:r>
      <w:r w:rsidR="00BD3565">
        <w:rPr>
          <w:rFonts w:cstheme="minorHAnsi"/>
          <w:sz w:val="24"/>
          <w:szCs w:val="24"/>
        </w:rPr>
        <w:t xml:space="preserve">oproti očekávání </w:t>
      </w:r>
      <w:r w:rsidR="00B61C3D">
        <w:rPr>
          <w:rFonts w:cstheme="minorHAnsi"/>
          <w:sz w:val="24"/>
          <w:szCs w:val="24"/>
        </w:rPr>
        <w:t>tak</w:t>
      </w:r>
      <w:r w:rsidR="0008123F" w:rsidRPr="00671343">
        <w:rPr>
          <w:rFonts w:cstheme="minorHAnsi"/>
          <w:sz w:val="24"/>
          <w:szCs w:val="24"/>
        </w:rPr>
        <w:t xml:space="preserve"> velký.</w:t>
      </w:r>
    </w:p>
    <w:p w14:paraId="448E8BBB" w14:textId="6C8B6F35"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Problémy </w:t>
      </w:r>
      <w:r w:rsidR="00C87D3F">
        <w:rPr>
          <w:rFonts w:cstheme="minorHAnsi"/>
          <w:sz w:val="24"/>
          <w:szCs w:val="24"/>
        </w:rPr>
        <w:t xml:space="preserve">v </w:t>
      </w:r>
      <w:r w:rsidRPr="00671343">
        <w:rPr>
          <w:rFonts w:cstheme="minorHAnsi"/>
          <w:sz w:val="24"/>
          <w:szCs w:val="24"/>
        </w:rPr>
        <w:t>kapacitách (průmyslové kapacity a obyvatelstvo a lidský kapitál), se bude snažit ruská vláda kompenzovat ve zbývajících složkách moci</w:t>
      </w:r>
      <w:r w:rsidR="006246D8">
        <w:rPr>
          <w:rFonts w:cstheme="minorHAnsi"/>
          <w:sz w:val="24"/>
          <w:szCs w:val="24"/>
        </w:rPr>
        <w:t xml:space="preserve"> Ruska</w:t>
      </w:r>
      <w:r w:rsidRPr="00671343">
        <w:rPr>
          <w:rFonts w:cstheme="minorHAnsi"/>
          <w:sz w:val="24"/>
          <w:szCs w:val="24"/>
        </w:rPr>
        <w:t>: geografie, přírodní zdroje, ozbrojené síly, národní morálka a diplomacie</w:t>
      </w:r>
      <w:r w:rsidR="009C2B21" w:rsidRPr="00671343">
        <w:rPr>
          <w:rFonts w:cstheme="minorHAnsi"/>
          <w:sz w:val="24"/>
          <w:szCs w:val="24"/>
        </w:rPr>
        <w:t xml:space="preserve">. </w:t>
      </w:r>
      <w:r w:rsidRPr="00671343">
        <w:rPr>
          <w:rFonts w:cstheme="minorHAnsi"/>
          <w:sz w:val="24"/>
          <w:szCs w:val="24"/>
        </w:rPr>
        <w:t xml:space="preserve">V případě geografie se bude Rusko snažit nadále udržet si a rozšířit svou strategickou hloubku. Bude se jednat o snahu </w:t>
      </w:r>
      <w:r w:rsidR="006246D8">
        <w:rPr>
          <w:rFonts w:cstheme="minorHAnsi"/>
          <w:sz w:val="24"/>
          <w:szCs w:val="24"/>
        </w:rPr>
        <w:t>„</w:t>
      </w:r>
      <w:r w:rsidRPr="00671343">
        <w:rPr>
          <w:rFonts w:cstheme="minorHAnsi"/>
          <w:sz w:val="24"/>
          <w:szCs w:val="24"/>
        </w:rPr>
        <w:t>vytěsnit</w:t>
      </w:r>
      <w:r w:rsidR="006246D8">
        <w:rPr>
          <w:rFonts w:cstheme="minorHAnsi"/>
          <w:sz w:val="24"/>
          <w:szCs w:val="24"/>
        </w:rPr>
        <w:t>“</w:t>
      </w:r>
      <w:r w:rsidRPr="00671343">
        <w:rPr>
          <w:rFonts w:cstheme="minorHAnsi"/>
          <w:sz w:val="24"/>
          <w:szCs w:val="24"/>
        </w:rPr>
        <w:t xml:space="preserve"> Západ (EU a USA) z postsovětského prostoru, a to i za cenu zvýšení vlivu například Turecka nebo Číny. Ruská diplomacie v tomto směru pracovala během války v Náhorním Karabachu. Rusko bude rovněž rozšiřovat strategickou hloubku i mimo své blízké zahraničí, a sice v Africe a na Blízkém východě. Cílem tohoto angažmá nejsou pouze ekonomické zájmy nebo vyvažování západních zemí ve snaze přimět</w:t>
      </w:r>
      <w:r w:rsidR="00B61C3D">
        <w:rPr>
          <w:rFonts w:cstheme="minorHAnsi"/>
          <w:sz w:val="24"/>
          <w:szCs w:val="24"/>
        </w:rPr>
        <w:t xml:space="preserve"> </w:t>
      </w:r>
      <w:r w:rsidR="00B61C3D" w:rsidRPr="00671343">
        <w:rPr>
          <w:rFonts w:cstheme="minorHAnsi"/>
          <w:sz w:val="24"/>
          <w:szCs w:val="24"/>
        </w:rPr>
        <w:t>je</w:t>
      </w:r>
      <w:r w:rsidRPr="00671343">
        <w:rPr>
          <w:rFonts w:cstheme="minorHAnsi"/>
          <w:sz w:val="24"/>
          <w:szCs w:val="24"/>
        </w:rPr>
        <w:t xml:space="preserve"> ke kompromisu. Jedná se i o rozšíření oné strategické hloubky, kdy konfrontace se Západem, kter</w:t>
      </w:r>
      <w:r w:rsidR="00A30FA5">
        <w:rPr>
          <w:rFonts w:cstheme="minorHAnsi"/>
          <w:sz w:val="24"/>
          <w:szCs w:val="24"/>
        </w:rPr>
        <w:t>ý</w:t>
      </w:r>
      <w:r w:rsidRPr="00671343">
        <w:rPr>
          <w:rFonts w:cstheme="minorHAnsi"/>
          <w:sz w:val="24"/>
          <w:szCs w:val="24"/>
        </w:rPr>
        <w:t xml:space="preserve"> </w:t>
      </w:r>
      <w:r w:rsidR="00A30FA5">
        <w:rPr>
          <w:rFonts w:cstheme="minorHAnsi"/>
          <w:sz w:val="24"/>
          <w:szCs w:val="24"/>
        </w:rPr>
        <w:t>Rusko</w:t>
      </w:r>
      <w:r w:rsidRPr="00671343">
        <w:rPr>
          <w:rFonts w:cstheme="minorHAnsi"/>
          <w:sz w:val="24"/>
          <w:szCs w:val="24"/>
        </w:rPr>
        <w:t xml:space="preserve"> vnímá jako hlavní bezpečnostní výzvu, se přesune od ruských hranic dále do periférie.</w:t>
      </w:r>
    </w:p>
    <w:p w14:paraId="2B9369F0" w14:textId="72AC37FB"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Význam armády </w:t>
      </w:r>
      <w:r w:rsidR="00765A53">
        <w:rPr>
          <w:rFonts w:cstheme="minorHAnsi"/>
          <w:sz w:val="24"/>
          <w:szCs w:val="24"/>
        </w:rPr>
        <w:t>zůstane</w:t>
      </w:r>
      <w:r w:rsidRPr="00671343">
        <w:rPr>
          <w:rFonts w:cstheme="minorHAnsi"/>
          <w:sz w:val="24"/>
          <w:szCs w:val="24"/>
        </w:rPr>
        <w:t xml:space="preserve"> i nadále vysoký. I přes složitou ekonomickou situaci </w:t>
      </w:r>
      <w:r w:rsidR="00C56363" w:rsidRPr="00671343">
        <w:rPr>
          <w:rFonts w:cstheme="minorHAnsi"/>
          <w:sz w:val="24"/>
          <w:szCs w:val="24"/>
        </w:rPr>
        <w:t xml:space="preserve">klade </w:t>
      </w:r>
      <w:r w:rsidR="00A15914">
        <w:rPr>
          <w:rFonts w:cstheme="minorHAnsi"/>
          <w:sz w:val="24"/>
          <w:szCs w:val="24"/>
        </w:rPr>
        <w:t xml:space="preserve">Rusko </w:t>
      </w:r>
      <w:r w:rsidRPr="00671343">
        <w:rPr>
          <w:rFonts w:cstheme="minorHAnsi"/>
          <w:sz w:val="24"/>
          <w:szCs w:val="24"/>
        </w:rPr>
        <w:t xml:space="preserve">velký důraz </w:t>
      </w:r>
      <w:r w:rsidR="00C56363" w:rsidRPr="00671343">
        <w:rPr>
          <w:rFonts w:cstheme="minorHAnsi"/>
          <w:sz w:val="24"/>
          <w:szCs w:val="24"/>
        </w:rPr>
        <w:t xml:space="preserve">na výdaje </w:t>
      </w:r>
      <w:r w:rsidRPr="00671343">
        <w:rPr>
          <w:rFonts w:cstheme="minorHAnsi"/>
          <w:sz w:val="24"/>
          <w:szCs w:val="24"/>
        </w:rPr>
        <w:t>na obranu a bezpečnost.</w:t>
      </w:r>
      <w:r w:rsidR="00765A53">
        <w:rPr>
          <w:rStyle w:val="Znakapoznpodarou"/>
          <w:rFonts w:cstheme="minorHAnsi"/>
          <w:sz w:val="24"/>
          <w:szCs w:val="24"/>
        </w:rPr>
        <w:footnoteReference w:id="8"/>
      </w:r>
      <w:r w:rsidRPr="00671343">
        <w:rPr>
          <w:rFonts w:cstheme="minorHAnsi"/>
          <w:sz w:val="24"/>
          <w:szCs w:val="24"/>
        </w:rPr>
        <w:t xml:space="preserve"> </w:t>
      </w:r>
      <w:r w:rsidR="00765A53">
        <w:rPr>
          <w:rFonts w:cstheme="minorHAnsi"/>
          <w:sz w:val="24"/>
          <w:szCs w:val="24"/>
        </w:rPr>
        <w:t>B</w:t>
      </w:r>
      <w:r w:rsidRPr="00671343">
        <w:rPr>
          <w:rFonts w:cstheme="minorHAnsi"/>
          <w:sz w:val="24"/>
          <w:szCs w:val="24"/>
        </w:rPr>
        <w:t xml:space="preserve">ude </w:t>
      </w:r>
      <w:r w:rsidR="00765A53">
        <w:rPr>
          <w:rFonts w:cstheme="minorHAnsi"/>
          <w:sz w:val="24"/>
          <w:szCs w:val="24"/>
        </w:rPr>
        <w:t xml:space="preserve">tedy </w:t>
      </w:r>
      <w:r w:rsidRPr="00671343">
        <w:rPr>
          <w:rFonts w:cstheme="minorHAnsi"/>
          <w:sz w:val="24"/>
          <w:szCs w:val="24"/>
        </w:rPr>
        <w:t xml:space="preserve">odolné vůči vnějšímu tlaku a bude schopno projektovat svou moc </w:t>
      </w:r>
      <w:r w:rsidR="00B61C3D">
        <w:rPr>
          <w:rFonts w:cstheme="minorHAnsi"/>
          <w:sz w:val="24"/>
          <w:szCs w:val="24"/>
        </w:rPr>
        <w:t>do</w:t>
      </w:r>
      <w:r w:rsidRPr="00671343">
        <w:rPr>
          <w:rFonts w:cstheme="minorHAnsi"/>
          <w:sz w:val="24"/>
          <w:szCs w:val="24"/>
        </w:rPr>
        <w:t xml:space="preserve"> výše zmíněn</w:t>
      </w:r>
      <w:r w:rsidR="00B61C3D">
        <w:rPr>
          <w:rFonts w:cstheme="minorHAnsi"/>
          <w:sz w:val="24"/>
          <w:szCs w:val="24"/>
        </w:rPr>
        <w:t>ých</w:t>
      </w:r>
      <w:r w:rsidRPr="00671343">
        <w:rPr>
          <w:rFonts w:cstheme="minorHAnsi"/>
          <w:sz w:val="24"/>
          <w:szCs w:val="24"/>
        </w:rPr>
        <w:t xml:space="preserve"> region</w:t>
      </w:r>
      <w:r w:rsidR="00B61C3D">
        <w:rPr>
          <w:rFonts w:cstheme="minorHAnsi"/>
          <w:sz w:val="24"/>
          <w:szCs w:val="24"/>
        </w:rPr>
        <w:t>ů</w:t>
      </w:r>
      <w:r w:rsidRPr="00671343">
        <w:rPr>
          <w:rFonts w:cstheme="minorHAnsi"/>
          <w:sz w:val="24"/>
          <w:szCs w:val="24"/>
        </w:rPr>
        <w:t>. Pokud t</w:t>
      </w:r>
      <w:r w:rsidR="00765A53">
        <w:rPr>
          <w:rFonts w:cstheme="minorHAnsi"/>
          <w:sz w:val="24"/>
          <w:szCs w:val="24"/>
        </w:rPr>
        <w:t>u</w:t>
      </w:r>
      <w:r w:rsidRPr="00671343">
        <w:rPr>
          <w:rFonts w:cstheme="minorHAnsi"/>
          <w:sz w:val="24"/>
          <w:szCs w:val="24"/>
        </w:rPr>
        <w:t>to projekc</w:t>
      </w:r>
      <w:r w:rsidR="00765A53">
        <w:rPr>
          <w:rFonts w:cstheme="minorHAnsi"/>
          <w:sz w:val="24"/>
          <w:szCs w:val="24"/>
        </w:rPr>
        <w:t>i</w:t>
      </w:r>
      <w:r w:rsidRPr="00671343">
        <w:rPr>
          <w:rFonts w:cstheme="minorHAnsi"/>
          <w:sz w:val="24"/>
          <w:szCs w:val="24"/>
        </w:rPr>
        <w:t xml:space="preserve"> </w:t>
      </w:r>
      <w:r w:rsidR="00765A53">
        <w:rPr>
          <w:rFonts w:cstheme="minorHAnsi"/>
          <w:sz w:val="24"/>
          <w:szCs w:val="24"/>
        </w:rPr>
        <w:t>doplní</w:t>
      </w:r>
      <w:r w:rsidRPr="00671343">
        <w:rPr>
          <w:rFonts w:cstheme="minorHAnsi"/>
          <w:sz w:val="24"/>
          <w:szCs w:val="24"/>
        </w:rPr>
        <w:t xml:space="preserve"> kvalitní diplomaci</w:t>
      </w:r>
      <w:r w:rsidR="00765A53">
        <w:rPr>
          <w:rFonts w:cstheme="minorHAnsi"/>
          <w:sz w:val="24"/>
          <w:szCs w:val="24"/>
        </w:rPr>
        <w:t>e</w:t>
      </w:r>
      <w:r w:rsidRPr="00671343">
        <w:rPr>
          <w:rFonts w:cstheme="minorHAnsi"/>
          <w:sz w:val="24"/>
          <w:szCs w:val="24"/>
        </w:rPr>
        <w:t xml:space="preserve">, </w:t>
      </w:r>
      <w:r w:rsidR="00A30FA5">
        <w:rPr>
          <w:rFonts w:cstheme="minorHAnsi"/>
          <w:sz w:val="24"/>
          <w:szCs w:val="24"/>
        </w:rPr>
        <w:t>Rusko</w:t>
      </w:r>
      <w:r w:rsidR="00A30FA5" w:rsidRPr="00671343">
        <w:rPr>
          <w:rFonts w:cstheme="minorHAnsi"/>
          <w:sz w:val="24"/>
          <w:szCs w:val="24"/>
        </w:rPr>
        <w:t xml:space="preserve"> </w:t>
      </w:r>
      <w:r w:rsidRPr="00671343">
        <w:rPr>
          <w:rFonts w:cstheme="minorHAnsi"/>
          <w:sz w:val="24"/>
          <w:szCs w:val="24"/>
        </w:rPr>
        <w:t>konvertuje své obranné výdaje do politických výhod a zvýšení vlivu. K tomu ale může dojít na úkor domácí stabilit</w:t>
      </w:r>
      <w:r w:rsidR="00C56363" w:rsidRPr="00671343">
        <w:rPr>
          <w:rFonts w:cstheme="minorHAnsi"/>
          <w:sz w:val="24"/>
          <w:szCs w:val="24"/>
        </w:rPr>
        <w:t>y</w:t>
      </w:r>
      <w:r w:rsidRPr="00671343">
        <w:rPr>
          <w:rFonts w:cstheme="minorHAnsi"/>
          <w:sz w:val="24"/>
          <w:szCs w:val="24"/>
        </w:rPr>
        <w:t>.</w:t>
      </w:r>
    </w:p>
    <w:p w14:paraId="5153F055" w14:textId="38F6538E"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V případě národní morálky bude zvýšený význam</w:t>
      </w:r>
      <w:r w:rsidR="00C56363" w:rsidRPr="00671343">
        <w:rPr>
          <w:rFonts w:cstheme="minorHAnsi"/>
          <w:sz w:val="24"/>
          <w:szCs w:val="24"/>
        </w:rPr>
        <w:t xml:space="preserve"> přikládá</w:t>
      </w:r>
      <w:r w:rsidR="00950593">
        <w:rPr>
          <w:rFonts w:cstheme="minorHAnsi"/>
          <w:sz w:val="24"/>
          <w:szCs w:val="24"/>
        </w:rPr>
        <w:t>n</w:t>
      </w:r>
      <w:r w:rsidRPr="00671343">
        <w:rPr>
          <w:rFonts w:cstheme="minorHAnsi"/>
          <w:sz w:val="24"/>
          <w:szCs w:val="24"/>
        </w:rPr>
        <w:t xml:space="preserve"> domácí </w:t>
      </w:r>
      <w:r w:rsidR="00C56363" w:rsidRPr="00671343">
        <w:rPr>
          <w:rFonts w:cstheme="minorHAnsi"/>
          <w:sz w:val="24"/>
          <w:szCs w:val="24"/>
        </w:rPr>
        <w:t xml:space="preserve">patriotické propagandě </w:t>
      </w:r>
      <w:r w:rsidRPr="00671343">
        <w:rPr>
          <w:rFonts w:cstheme="minorHAnsi"/>
          <w:sz w:val="24"/>
          <w:szCs w:val="24"/>
        </w:rPr>
        <w:t xml:space="preserve">a dojde i k větší kontrole </w:t>
      </w:r>
      <w:r w:rsidR="00C56363" w:rsidRPr="00671343">
        <w:rPr>
          <w:rFonts w:cstheme="minorHAnsi"/>
          <w:sz w:val="24"/>
          <w:szCs w:val="24"/>
        </w:rPr>
        <w:t xml:space="preserve">nad </w:t>
      </w:r>
      <w:r w:rsidRPr="00671343">
        <w:rPr>
          <w:rFonts w:cstheme="minorHAnsi"/>
          <w:sz w:val="24"/>
          <w:szCs w:val="24"/>
        </w:rPr>
        <w:t>zahraničními aktivitami v Rusku, což se může negativně projevit ve vědecké spolupráci se zahraničními partnery v oblastech, které vláda považuje za citlivé. Na druhou stranu lze jasně vysledovat klesající efektivitu státní propagandy.</w:t>
      </w:r>
    </w:p>
    <w:p w14:paraId="1C37C60C" w14:textId="5F24C237"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V otázce přírodních zdrojů se Rusko v prostředí tzv. </w:t>
      </w:r>
      <w:r w:rsidR="00356A19" w:rsidRPr="00671343">
        <w:rPr>
          <w:rFonts w:cstheme="minorHAnsi"/>
          <w:i/>
          <w:sz w:val="24"/>
          <w:szCs w:val="24"/>
        </w:rPr>
        <w:t>trhu kupujícího</w:t>
      </w:r>
      <w:r w:rsidRPr="00671343">
        <w:rPr>
          <w:rFonts w:cstheme="minorHAnsi"/>
          <w:sz w:val="24"/>
          <w:szCs w:val="24"/>
        </w:rPr>
        <w:t xml:space="preserve"> snaží zmírnit rostoucí konkurenci mezi dodavateli ropy a plynu, a sice prostřednictvím upevnění multilaterálních režimů (hlavně OPEC+)</w:t>
      </w:r>
      <w:r w:rsidR="00356A19" w:rsidRPr="00671343">
        <w:rPr>
          <w:rFonts w:cstheme="minorHAnsi"/>
          <w:sz w:val="24"/>
          <w:szCs w:val="24"/>
        </w:rPr>
        <w:t>. V</w:t>
      </w:r>
      <w:r w:rsidRPr="00671343">
        <w:rPr>
          <w:rFonts w:cstheme="minorHAnsi"/>
          <w:sz w:val="24"/>
          <w:szCs w:val="24"/>
        </w:rPr>
        <w:t xml:space="preserve"> rámci nich se bude snažit uzavírat vhodné koalice s </w:t>
      </w:r>
      <w:r w:rsidR="00356A19" w:rsidRPr="00671343">
        <w:rPr>
          <w:rFonts w:cstheme="minorHAnsi"/>
          <w:sz w:val="24"/>
          <w:szCs w:val="24"/>
        </w:rPr>
        <w:t xml:space="preserve">ostatními </w:t>
      </w:r>
      <w:r w:rsidRPr="00671343">
        <w:rPr>
          <w:rFonts w:cstheme="minorHAnsi"/>
          <w:sz w:val="24"/>
          <w:szCs w:val="24"/>
        </w:rPr>
        <w:t xml:space="preserve">členy. </w:t>
      </w:r>
    </w:p>
    <w:p w14:paraId="2623B254" w14:textId="77777777" w:rsidR="0008123F" w:rsidRPr="00031010" w:rsidRDefault="0008123F" w:rsidP="002B6A9D">
      <w:pPr>
        <w:spacing w:after="100" w:afterAutospacing="1" w:line="240" w:lineRule="auto"/>
        <w:jc w:val="both"/>
        <w:rPr>
          <w:i/>
          <w:sz w:val="24"/>
          <w:szCs w:val="24"/>
        </w:rPr>
      </w:pPr>
      <w:r w:rsidRPr="00031010">
        <w:rPr>
          <w:i/>
          <w:sz w:val="24"/>
          <w:szCs w:val="24"/>
        </w:rPr>
        <w:t>Vnitropolitická stabilita</w:t>
      </w:r>
    </w:p>
    <w:p w14:paraId="427D0B5F" w14:textId="31B4F372" w:rsidR="0008123F" w:rsidRPr="00671343" w:rsidRDefault="0008123F" w:rsidP="00DA5BF3">
      <w:pPr>
        <w:spacing w:after="100" w:afterAutospacing="1" w:line="240" w:lineRule="auto"/>
        <w:jc w:val="both"/>
        <w:rPr>
          <w:rFonts w:cstheme="minorHAnsi"/>
          <w:sz w:val="24"/>
          <w:szCs w:val="24"/>
        </w:rPr>
      </w:pPr>
      <w:r w:rsidRPr="00671343">
        <w:rPr>
          <w:rFonts w:cstheme="minorHAnsi"/>
          <w:sz w:val="24"/>
          <w:szCs w:val="24"/>
        </w:rPr>
        <w:t xml:space="preserve">Vnitropolitickou stabilitu země především ovlivňují nálady obyvatelstva, vztahy mezi federálním centrem a regiony a situace v samotných regionech. V případě vztahů mezi federálním centrem a regiony klíčovým prvkem sociální a politické stability země jsou </w:t>
      </w:r>
      <w:proofErr w:type="spellStart"/>
      <w:r w:rsidRPr="00671343">
        <w:rPr>
          <w:rFonts w:cstheme="minorHAnsi"/>
          <w:sz w:val="24"/>
          <w:szCs w:val="24"/>
        </w:rPr>
        <w:t>mezirozpočtové</w:t>
      </w:r>
      <w:proofErr w:type="spellEnd"/>
      <w:r w:rsidRPr="00671343">
        <w:rPr>
          <w:rFonts w:cstheme="minorHAnsi"/>
          <w:sz w:val="24"/>
          <w:szCs w:val="24"/>
        </w:rPr>
        <w:t xml:space="preserve"> transfery, kdy finanční prostředky míří z federálního rozpočtu do rozpočtů regionů podle předem daného klíče (</w:t>
      </w:r>
      <w:proofErr w:type="spellStart"/>
      <w:r w:rsidRPr="00671343">
        <w:rPr>
          <w:rFonts w:cstheme="minorHAnsi"/>
          <w:sz w:val="24"/>
          <w:szCs w:val="24"/>
        </w:rPr>
        <w:t>Vartapetov</w:t>
      </w:r>
      <w:proofErr w:type="spellEnd"/>
      <w:r w:rsidRPr="00671343">
        <w:rPr>
          <w:rFonts w:cstheme="minorHAnsi"/>
          <w:sz w:val="24"/>
          <w:szCs w:val="24"/>
        </w:rPr>
        <w:t xml:space="preserve"> 2011; </w:t>
      </w:r>
      <w:proofErr w:type="spellStart"/>
      <w:r w:rsidRPr="00671343">
        <w:rPr>
          <w:rFonts w:cstheme="minorHAnsi"/>
          <w:sz w:val="24"/>
          <w:szCs w:val="24"/>
        </w:rPr>
        <w:t>Turovskiy</w:t>
      </w:r>
      <w:proofErr w:type="spellEnd"/>
      <w:r w:rsidRPr="00671343">
        <w:rPr>
          <w:rFonts w:cstheme="minorHAnsi"/>
          <w:sz w:val="24"/>
          <w:szCs w:val="24"/>
        </w:rPr>
        <w:t xml:space="preserve"> </w:t>
      </w:r>
      <w:r w:rsidR="00F05056">
        <w:rPr>
          <w:rFonts w:cstheme="minorHAnsi"/>
          <w:sz w:val="24"/>
          <w:szCs w:val="24"/>
        </w:rPr>
        <w:t>–</w:t>
      </w:r>
      <w:r w:rsidRPr="00671343">
        <w:rPr>
          <w:rFonts w:cstheme="minorHAnsi"/>
          <w:sz w:val="24"/>
          <w:szCs w:val="24"/>
        </w:rPr>
        <w:t xml:space="preserve"> </w:t>
      </w:r>
      <w:proofErr w:type="spellStart"/>
      <w:r w:rsidRPr="00671343">
        <w:rPr>
          <w:rFonts w:cstheme="minorHAnsi"/>
          <w:sz w:val="24"/>
          <w:szCs w:val="24"/>
        </w:rPr>
        <w:t>Dzhavatova</w:t>
      </w:r>
      <w:proofErr w:type="spellEnd"/>
      <w:r w:rsidRPr="00671343">
        <w:rPr>
          <w:rFonts w:cstheme="minorHAnsi"/>
          <w:sz w:val="24"/>
          <w:szCs w:val="24"/>
        </w:rPr>
        <w:t xml:space="preserve"> 2019). Jejich velmi centralizovaná forma je často kritizována a efektivita zpochybňována (</w:t>
      </w:r>
      <w:proofErr w:type="spellStart"/>
      <w:r w:rsidRPr="00671343">
        <w:rPr>
          <w:rFonts w:cstheme="minorHAnsi"/>
          <w:sz w:val="24"/>
          <w:szCs w:val="24"/>
        </w:rPr>
        <w:t>Kolomak</w:t>
      </w:r>
      <w:proofErr w:type="spellEnd"/>
      <w:r w:rsidRPr="00671343">
        <w:rPr>
          <w:rFonts w:cstheme="minorHAnsi"/>
          <w:sz w:val="24"/>
          <w:szCs w:val="24"/>
        </w:rPr>
        <w:t xml:space="preserve"> </w:t>
      </w:r>
      <w:r w:rsidR="00F05056">
        <w:rPr>
          <w:rFonts w:cstheme="minorHAnsi"/>
          <w:sz w:val="24"/>
          <w:szCs w:val="24"/>
        </w:rPr>
        <w:t>–</w:t>
      </w:r>
      <w:proofErr w:type="spellStart"/>
      <w:r w:rsidRPr="00671343">
        <w:rPr>
          <w:rFonts w:cstheme="minorHAnsi"/>
          <w:sz w:val="24"/>
          <w:szCs w:val="24"/>
        </w:rPr>
        <w:t>Sumskaya</w:t>
      </w:r>
      <w:proofErr w:type="spellEnd"/>
      <w:r w:rsidRPr="00671343">
        <w:rPr>
          <w:rFonts w:cstheme="minorHAnsi"/>
          <w:sz w:val="24"/>
          <w:szCs w:val="24"/>
        </w:rPr>
        <w:t xml:space="preserve"> 2020). I přes existující problémy se ale federálnímu centru dařilo alespoň částečně tlumit ekonomické a sociální rozdíly mezi regiony a stimulova</w:t>
      </w:r>
      <w:r w:rsidR="00B61C3D">
        <w:rPr>
          <w:rFonts w:cstheme="minorHAnsi"/>
          <w:sz w:val="24"/>
          <w:szCs w:val="24"/>
        </w:rPr>
        <w:t>t</w:t>
      </w:r>
      <w:r w:rsidRPr="00671343">
        <w:rPr>
          <w:rFonts w:cstheme="minorHAnsi"/>
          <w:sz w:val="24"/>
          <w:szCs w:val="24"/>
        </w:rPr>
        <w:t xml:space="preserve"> v nich </w:t>
      </w:r>
      <w:r w:rsidR="0094575D">
        <w:rPr>
          <w:rFonts w:cstheme="minorHAnsi"/>
          <w:sz w:val="24"/>
          <w:szCs w:val="24"/>
        </w:rPr>
        <w:t>ekonomic</w:t>
      </w:r>
      <w:r w:rsidR="00B61C3D">
        <w:rPr>
          <w:rFonts w:cstheme="minorHAnsi"/>
          <w:sz w:val="24"/>
          <w:szCs w:val="24"/>
        </w:rPr>
        <w:t>k</w:t>
      </w:r>
      <w:r w:rsidR="0094575D">
        <w:rPr>
          <w:rFonts w:cstheme="minorHAnsi"/>
          <w:sz w:val="24"/>
          <w:szCs w:val="24"/>
        </w:rPr>
        <w:t>ý</w:t>
      </w:r>
      <w:r w:rsidR="0094575D" w:rsidRPr="00671343">
        <w:rPr>
          <w:rFonts w:cstheme="minorHAnsi"/>
          <w:sz w:val="24"/>
          <w:szCs w:val="24"/>
        </w:rPr>
        <w:t xml:space="preserve"> </w:t>
      </w:r>
      <w:r w:rsidRPr="00671343">
        <w:rPr>
          <w:rFonts w:cstheme="minorHAnsi"/>
          <w:sz w:val="24"/>
          <w:szCs w:val="24"/>
        </w:rPr>
        <w:t>růst (</w:t>
      </w:r>
      <w:proofErr w:type="spellStart"/>
      <w:r w:rsidRPr="00671343">
        <w:rPr>
          <w:rFonts w:cstheme="minorHAnsi"/>
          <w:sz w:val="24"/>
          <w:szCs w:val="24"/>
        </w:rPr>
        <w:t>Turovskiy</w:t>
      </w:r>
      <w:proofErr w:type="spellEnd"/>
      <w:r w:rsidRPr="00671343">
        <w:rPr>
          <w:rFonts w:cstheme="minorHAnsi"/>
          <w:sz w:val="24"/>
          <w:szCs w:val="24"/>
        </w:rPr>
        <w:t xml:space="preserve"> </w:t>
      </w:r>
      <w:r w:rsidR="00F05056">
        <w:rPr>
          <w:rFonts w:cstheme="minorHAnsi"/>
          <w:sz w:val="24"/>
          <w:szCs w:val="24"/>
        </w:rPr>
        <w:t>–</w:t>
      </w:r>
      <w:r w:rsidRPr="00671343">
        <w:rPr>
          <w:rFonts w:cstheme="minorHAnsi"/>
          <w:sz w:val="24"/>
          <w:szCs w:val="24"/>
        </w:rPr>
        <w:t xml:space="preserve"> </w:t>
      </w:r>
      <w:proofErr w:type="spellStart"/>
      <w:r w:rsidRPr="00671343">
        <w:rPr>
          <w:rFonts w:cstheme="minorHAnsi"/>
          <w:sz w:val="24"/>
          <w:szCs w:val="24"/>
        </w:rPr>
        <w:t>Dzhavatova</w:t>
      </w:r>
      <w:proofErr w:type="spellEnd"/>
      <w:r w:rsidRPr="00671343">
        <w:rPr>
          <w:rFonts w:cstheme="minorHAnsi"/>
          <w:sz w:val="24"/>
          <w:szCs w:val="24"/>
        </w:rPr>
        <w:t xml:space="preserve"> 2019; </w:t>
      </w:r>
      <w:proofErr w:type="spellStart"/>
      <w:r w:rsidRPr="00671343">
        <w:rPr>
          <w:rFonts w:cstheme="minorHAnsi"/>
          <w:sz w:val="24"/>
          <w:szCs w:val="24"/>
        </w:rPr>
        <w:t>Mikhailova</w:t>
      </w:r>
      <w:proofErr w:type="spellEnd"/>
      <w:r w:rsidRPr="00671343">
        <w:rPr>
          <w:rFonts w:cstheme="minorHAnsi"/>
          <w:sz w:val="24"/>
          <w:szCs w:val="24"/>
        </w:rPr>
        <w:t xml:space="preserve"> 2017).</w:t>
      </w:r>
    </w:p>
    <w:p w14:paraId="522A0098" w14:textId="5FE7353E"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lastRenderedPageBreak/>
        <w:t>Snížení příjmů z exportu surovin povede ke snížení těchto transferů, což ostatně předpokládá ministerstvo financí (</w:t>
      </w:r>
      <w:proofErr w:type="spellStart"/>
      <w:r w:rsidRPr="00671343">
        <w:rPr>
          <w:rFonts w:cstheme="minorHAnsi"/>
          <w:sz w:val="24"/>
          <w:szCs w:val="24"/>
        </w:rPr>
        <w:t>Электронный</w:t>
      </w:r>
      <w:proofErr w:type="spellEnd"/>
      <w:r w:rsidRPr="00671343">
        <w:rPr>
          <w:rFonts w:cstheme="minorHAnsi"/>
          <w:sz w:val="24"/>
          <w:szCs w:val="24"/>
        </w:rPr>
        <w:t xml:space="preserve"> </w:t>
      </w:r>
      <w:proofErr w:type="spellStart"/>
      <w:r w:rsidRPr="00671343">
        <w:rPr>
          <w:rFonts w:cstheme="minorHAnsi"/>
          <w:sz w:val="24"/>
          <w:szCs w:val="24"/>
        </w:rPr>
        <w:t>бюджет</w:t>
      </w:r>
      <w:proofErr w:type="spellEnd"/>
      <w:r w:rsidRPr="00671343">
        <w:rPr>
          <w:rFonts w:cstheme="minorHAnsi"/>
          <w:sz w:val="24"/>
          <w:szCs w:val="24"/>
        </w:rPr>
        <w:t xml:space="preserve"> 2020). Kvůli epidemii </w:t>
      </w:r>
      <w:r w:rsidR="00E62C0E" w:rsidRPr="00671343">
        <w:rPr>
          <w:rFonts w:cstheme="minorHAnsi"/>
          <w:sz w:val="24"/>
          <w:szCs w:val="24"/>
        </w:rPr>
        <w:t>COVID</w:t>
      </w:r>
      <w:r w:rsidRPr="00671343">
        <w:rPr>
          <w:rFonts w:cstheme="minorHAnsi"/>
          <w:sz w:val="24"/>
          <w:szCs w:val="24"/>
        </w:rPr>
        <w:t xml:space="preserve">-19 se řada regionů dostala do problémů se svými rozpočtovými výdaji. Výpadky příjmů regionálních rozpočtů budou kompenzovány Rezervním fondem vlády RF (RIA Novosti 2020). Jedná se však od </w:t>
      </w:r>
      <w:r w:rsidRPr="00671343">
        <w:rPr>
          <w:rFonts w:cstheme="minorHAnsi"/>
          <w:i/>
          <w:sz w:val="24"/>
          <w:szCs w:val="24"/>
        </w:rPr>
        <w:t>ad hoc</w:t>
      </w:r>
      <w:r w:rsidRPr="00671343">
        <w:rPr>
          <w:rFonts w:cstheme="minorHAnsi"/>
          <w:sz w:val="24"/>
          <w:szCs w:val="24"/>
        </w:rPr>
        <w:t xml:space="preserve"> opatření, které reaguje na aktuální krizi </w:t>
      </w:r>
      <w:r w:rsidR="00950593">
        <w:rPr>
          <w:rFonts w:cstheme="minorHAnsi"/>
          <w:sz w:val="24"/>
          <w:szCs w:val="24"/>
        </w:rPr>
        <w:t>s cílem vyrovnat</w:t>
      </w:r>
      <w:r w:rsidR="00950593" w:rsidRPr="00671343">
        <w:rPr>
          <w:rFonts w:cstheme="minorHAnsi"/>
          <w:sz w:val="24"/>
          <w:szCs w:val="24"/>
        </w:rPr>
        <w:t xml:space="preserve"> </w:t>
      </w:r>
      <w:r w:rsidRPr="00671343">
        <w:rPr>
          <w:rFonts w:cstheme="minorHAnsi"/>
          <w:sz w:val="24"/>
          <w:szCs w:val="24"/>
        </w:rPr>
        <w:t xml:space="preserve">regionální rozpočty. Z hlediska příštích několika let, pokud nedojde ke znatelnému zvýšení cen ropy, se </w:t>
      </w:r>
      <w:proofErr w:type="spellStart"/>
      <w:r w:rsidRPr="00671343">
        <w:rPr>
          <w:rFonts w:cstheme="minorHAnsi"/>
          <w:sz w:val="24"/>
          <w:szCs w:val="24"/>
        </w:rPr>
        <w:t>mezirozpočtové</w:t>
      </w:r>
      <w:proofErr w:type="spellEnd"/>
      <w:r w:rsidRPr="00671343">
        <w:rPr>
          <w:rFonts w:cstheme="minorHAnsi"/>
          <w:sz w:val="24"/>
          <w:szCs w:val="24"/>
        </w:rPr>
        <w:t xml:space="preserve"> transfery sníží, a regionální vlády tak zůstávají v nejistotě ohledně svých budoucích příjmů a výdajů. </w:t>
      </w:r>
    </w:p>
    <w:p w14:paraId="3065B331" w14:textId="7EB99F2B"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Na druhou stranu, jak některé studie dokázaly, paradoxním důsledkem snížení příjmů z prodeje uhlovodíků je i snížení nerovnosti mezi regiony: regiony produkují</w:t>
      </w:r>
      <w:r w:rsidR="00B61C3D">
        <w:rPr>
          <w:rFonts w:cstheme="minorHAnsi"/>
          <w:sz w:val="24"/>
          <w:szCs w:val="24"/>
        </w:rPr>
        <w:t>cí</w:t>
      </w:r>
      <w:r w:rsidRPr="00671343">
        <w:rPr>
          <w:rFonts w:cstheme="minorHAnsi"/>
          <w:sz w:val="24"/>
          <w:szCs w:val="24"/>
        </w:rPr>
        <w:t xml:space="preserve"> suroviny </w:t>
      </w:r>
      <w:r w:rsidR="00B61C3D">
        <w:rPr>
          <w:rFonts w:cstheme="minorHAnsi"/>
          <w:sz w:val="24"/>
          <w:szCs w:val="24"/>
        </w:rPr>
        <w:t xml:space="preserve">pro </w:t>
      </w:r>
      <w:r w:rsidRPr="00671343">
        <w:rPr>
          <w:rFonts w:cstheme="minorHAnsi"/>
          <w:sz w:val="24"/>
          <w:szCs w:val="24"/>
        </w:rPr>
        <w:t>export se posunou na úroveň chudších regionů (</w:t>
      </w:r>
      <w:proofErr w:type="spellStart"/>
      <w:r w:rsidRPr="00671343">
        <w:rPr>
          <w:rFonts w:cstheme="minorHAnsi"/>
          <w:sz w:val="24"/>
          <w:szCs w:val="24"/>
        </w:rPr>
        <w:t>Turovskiy</w:t>
      </w:r>
      <w:proofErr w:type="spellEnd"/>
      <w:r w:rsidRPr="00671343">
        <w:rPr>
          <w:rFonts w:cstheme="minorHAnsi"/>
          <w:sz w:val="24"/>
          <w:szCs w:val="24"/>
        </w:rPr>
        <w:t xml:space="preserve"> </w:t>
      </w:r>
      <w:r w:rsidR="00F05056">
        <w:rPr>
          <w:rFonts w:cstheme="minorHAnsi"/>
          <w:sz w:val="24"/>
          <w:szCs w:val="24"/>
        </w:rPr>
        <w:t>–</w:t>
      </w:r>
      <w:r w:rsidRPr="00671343">
        <w:rPr>
          <w:rFonts w:cstheme="minorHAnsi"/>
          <w:sz w:val="24"/>
          <w:szCs w:val="24"/>
        </w:rPr>
        <w:t xml:space="preserve"> </w:t>
      </w:r>
      <w:proofErr w:type="spellStart"/>
      <w:r w:rsidRPr="00671343">
        <w:rPr>
          <w:rFonts w:cstheme="minorHAnsi"/>
          <w:sz w:val="24"/>
          <w:szCs w:val="24"/>
        </w:rPr>
        <w:t>Dzhavatova</w:t>
      </w:r>
      <w:proofErr w:type="spellEnd"/>
      <w:r w:rsidRPr="00671343">
        <w:rPr>
          <w:rFonts w:cstheme="minorHAnsi"/>
          <w:sz w:val="24"/>
          <w:szCs w:val="24"/>
        </w:rPr>
        <w:t xml:space="preserve"> 2019).</w:t>
      </w:r>
      <w:r w:rsidR="00B61C3D">
        <w:rPr>
          <w:rStyle w:val="Znakapoznpodarou"/>
          <w:rFonts w:cstheme="minorHAnsi"/>
          <w:sz w:val="24"/>
          <w:szCs w:val="24"/>
        </w:rPr>
        <w:footnoteReference w:id="9"/>
      </w:r>
      <w:r w:rsidRPr="00671343">
        <w:rPr>
          <w:rFonts w:cstheme="minorHAnsi"/>
          <w:sz w:val="24"/>
          <w:szCs w:val="24"/>
        </w:rPr>
        <w:t xml:space="preserve"> Tudíž z tohoto hlediska nelze očekávat, že by stabilitu státu ohrozila zvýšená meziregionální diferenciace v důsledku </w:t>
      </w:r>
      <w:r w:rsidR="00F06698">
        <w:rPr>
          <w:rFonts w:cstheme="minorHAnsi"/>
          <w:sz w:val="24"/>
          <w:szCs w:val="24"/>
        </w:rPr>
        <w:t>ekonomických</w:t>
      </w:r>
      <w:r w:rsidR="00F06698" w:rsidRPr="00671343">
        <w:rPr>
          <w:rFonts w:cstheme="minorHAnsi"/>
          <w:sz w:val="24"/>
          <w:szCs w:val="24"/>
        </w:rPr>
        <w:t xml:space="preserve"> </w:t>
      </w:r>
      <w:r w:rsidRPr="00671343">
        <w:rPr>
          <w:rFonts w:cstheme="minorHAnsi"/>
          <w:sz w:val="24"/>
          <w:szCs w:val="24"/>
        </w:rPr>
        <w:t>problémů tak, jak tomu bylo v 90. letech</w:t>
      </w:r>
      <w:r w:rsidR="00356A19" w:rsidRPr="00671343">
        <w:rPr>
          <w:rFonts w:cstheme="minorHAnsi"/>
          <w:sz w:val="24"/>
          <w:szCs w:val="24"/>
        </w:rPr>
        <w:t xml:space="preserve"> minulého století</w:t>
      </w:r>
      <w:r w:rsidRPr="00671343">
        <w:rPr>
          <w:rFonts w:cstheme="minorHAnsi"/>
          <w:sz w:val="24"/>
          <w:szCs w:val="24"/>
        </w:rPr>
        <w:t>.</w:t>
      </w:r>
    </w:p>
    <w:p w14:paraId="48982ED3" w14:textId="43F2820F" w:rsidR="0008123F" w:rsidRPr="00671343" w:rsidRDefault="00356A19" w:rsidP="002B6A9D">
      <w:pPr>
        <w:spacing w:after="100" w:afterAutospacing="1" w:line="240" w:lineRule="auto"/>
        <w:ind w:firstLine="709"/>
        <w:jc w:val="both"/>
        <w:rPr>
          <w:rFonts w:cstheme="minorHAnsi"/>
          <w:sz w:val="24"/>
          <w:szCs w:val="24"/>
        </w:rPr>
      </w:pPr>
      <w:r w:rsidRPr="00671343">
        <w:rPr>
          <w:rFonts w:cstheme="minorHAnsi"/>
          <w:sz w:val="24"/>
          <w:szCs w:val="24"/>
        </w:rPr>
        <w:t>Z</w:t>
      </w:r>
      <w:r w:rsidR="0008123F" w:rsidRPr="00671343">
        <w:rPr>
          <w:rFonts w:cstheme="minorHAnsi"/>
          <w:sz w:val="24"/>
          <w:szCs w:val="24"/>
        </w:rPr>
        <w:t>nepokojivá</w:t>
      </w:r>
      <w:r w:rsidRPr="00671343">
        <w:rPr>
          <w:rFonts w:cstheme="minorHAnsi"/>
          <w:sz w:val="24"/>
          <w:szCs w:val="24"/>
        </w:rPr>
        <w:t xml:space="preserve"> je naopak</w:t>
      </w:r>
      <w:r w:rsidR="0008123F" w:rsidRPr="00671343">
        <w:rPr>
          <w:rFonts w:cstheme="minorHAnsi"/>
          <w:sz w:val="24"/>
          <w:szCs w:val="24"/>
        </w:rPr>
        <w:t xml:space="preserve"> situace v oblasti sociálních nálad, kde</w:t>
      </w:r>
      <w:r w:rsidRPr="00671343">
        <w:rPr>
          <w:rFonts w:cstheme="minorHAnsi"/>
          <w:sz w:val="24"/>
          <w:szCs w:val="24"/>
        </w:rPr>
        <w:t xml:space="preserve"> se</w:t>
      </w:r>
      <w:r w:rsidR="0008123F" w:rsidRPr="00671343">
        <w:rPr>
          <w:rFonts w:cstheme="minorHAnsi"/>
          <w:sz w:val="24"/>
          <w:szCs w:val="24"/>
        </w:rPr>
        <w:t xml:space="preserve">, jak vyplývá z průzkumů sociologického centra </w:t>
      </w:r>
      <w:proofErr w:type="spellStart"/>
      <w:r w:rsidR="0008123F" w:rsidRPr="00671343">
        <w:rPr>
          <w:rFonts w:cstheme="minorHAnsi"/>
          <w:sz w:val="24"/>
          <w:szCs w:val="24"/>
        </w:rPr>
        <w:t>Levada</w:t>
      </w:r>
      <w:proofErr w:type="spellEnd"/>
      <w:r w:rsidR="0008123F" w:rsidRPr="00671343">
        <w:rPr>
          <w:rFonts w:cstheme="minorHAnsi"/>
          <w:sz w:val="24"/>
          <w:szCs w:val="24"/>
        </w:rPr>
        <w:t xml:space="preserve">, </w:t>
      </w:r>
      <w:r w:rsidRPr="00671343">
        <w:rPr>
          <w:rFonts w:cstheme="minorHAnsi"/>
          <w:sz w:val="24"/>
          <w:szCs w:val="24"/>
        </w:rPr>
        <w:t xml:space="preserve">objevuje </w:t>
      </w:r>
      <w:r w:rsidR="0008123F" w:rsidRPr="00671343">
        <w:rPr>
          <w:rFonts w:cstheme="minorHAnsi"/>
          <w:sz w:val="24"/>
          <w:szCs w:val="24"/>
        </w:rPr>
        <w:t xml:space="preserve">několik negativních trendů. Jedná se především o ztrátu důvěry </w:t>
      </w:r>
      <w:proofErr w:type="spellStart"/>
      <w:r w:rsidR="0008123F" w:rsidRPr="00671343">
        <w:rPr>
          <w:rFonts w:cstheme="minorHAnsi"/>
          <w:sz w:val="24"/>
          <w:szCs w:val="24"/>
        </w:rPr>
        <w:t>Putinovi</w:t>
      </w:r>
      <w:proofErr w:type="spellEnd"/>
      <w:r w:rsidR="0008123F" w:rsidRPr="00671343">
        <w:rPr>
          <w:rFonts w:cstheme="minorHAnsi"/>
          <w:sz w:val="24"/>
          <w:szCs w:val="24"/>
        </w:rPr>
        <w:t xml:space="preserve"> a o růst protestních nálad (</w:t>
      </w:r>
      <w:proofErr w:type="spellStart"/>
      <w:r w:rsidR="0008123F" w:rsidRPr="00671343">
        <w:rPr>
          <w:rFonts w:cstheme="minorHAnsi"/>
          <w:sz w:val="24"/>
          <w:szCs w:val="24"/>
        </w:rPr>
        <w:t>Levinson</w:t>
      </w:r>
      <w:proofErr w:type="spellEnd"/>
      <w:r w:rsidR="0008123F" w:rsidRPr="00671343">
        <w:rPr>
          <w:rFonts w:cstheme="minorHAnsi"/>
          <w:sz w:val="24"/>
          <w:szCs w:val="24"/>
        </w:rPr>
        <w:t xml:space="preserve"> 2020). Ačkoli se jedná o několikaletou tendenci, ztráta zaměstnaní a nedostatečná materiální a finanční pomoc ze strany státu během epidemie </w:t>
      </w:r>
      <w:r w:rsidR="00950593" w:rsidRPr="00671343">
        <w:rPr>
          <w:rFonts w:cstheme="minorHAnsi"/>
          <w:sz w:val="24"/>
          <w:szCs w:val="24"/>
        </w:rPr>
        <w:t>vedl</w:t>
      </w:r>
      <w:r w:rsidR="00950593">
        <w:rPr>
          <w:rFonts w:cstheme="minorHAnsi"/>
          <w:sz w:val="24"/>
          <w:szCs w:val="24"/>
        </w:rPr>
        <w:t xml:space="preserve">y </w:t>
      </w:r>
      <w:r w:rsidR="0008123F" w:rsidRPr="00671343">
        <w:rPr>
          <w:rFonts w:cstheme="minorHAnsi"/>
          <w:sz w:val="24"/>
          <w:szCs w:val="24"/>
        </w:rPr>
        <w:t>k radikalizaci. Vrchol protestního potenciálu (nikoliv aktivit) byl zaznamenán v květnu. Protestů je ochotna se zúčastnit velmi mobilní skupina obyvatel. Jedná se o studenty a pracující (</w:t>
      </w:r>
      <w:proofErr w:type="spellStart"/>
      <w:r w:rsidR="0008123F" w:rsidRPr="00671343">
        <w:rPr>
          <w:rFonts w:cstheme="minorHAnsi"/>
          <w:sz w:val="24"/>
          <w:szCs w:val="24"/>
        </w:rPr>
        <w:t>Levinson</w:t>
      </w:r>
      <w:proofErr w:type="spellEnd"/>
      <w:r w:rsidR="0008123F" w:rsidRPr="00671343">
        <w:rPr>
          <w:rFonts w:cstheme="minorHAnsi"/>
          <w:sz w:val="24"/>
          <w:szCs w:val="24"/>
        </w:rPr>
        <w:t xml:space="preserve"> 2020). Lze to interpretovat jako reakci na neschopnost prezidenta ochránit lid před dopady COVID</w:t>
      </w:r>
      <w:r w:rsidR="00E62C0E" w:rsidRPr="00671343">
        <w:rPr>
          <w:rFonts w:cstheme="minorHAnsi"/>
          <w:sz w:val="24"/>
          <w:szCs w:val="24"/>
        </w:rPr>
        <w:t>-</w:t>
      </w:r>
      <w:r w:rsidR="0008123F" w:rsidRPr="00671343">
        <w:rPr>
          <w:rFonts w:cstheme="minorHAnsi"/>
          <w:sz w:val="24"/>
          <w:szCs w:val="24"/>
        </w:rPr>
        <w:t xml:space="preserve">19, zatímco sám iniciuje referendum o změně ústavy tak, aby mohl kandidovat na další volební období. </w:t>
      </w:r>
    </w:p>
    <w:p w14:paraId="11492E32" w14:textId="7847BE75"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Prezidenta Putina podporuje především nejvíce konzervativně naladěná skupina obyvatelstva, starší lidé a občané s nižším vzděláním. Ale i mezi </w:t>
      </w:r>
      <w:r w:rsidR="00B04F75">
        <w:rPr>
          <w:rFonts w:cstheme="minorHAnsi"/>
          <w:sz w:val="24"/>
          <w:szCs w:val="24"/>
        </w:rPr>
        <w:t>nimi</w:t>
      </w:r>
      <w:r w:rsidRPr="00671343">
        <w:rPr>
          <w:rFonts w:cstheme="minorHAnsi"/>
          <w:sz w:val="24"/>
          <w:szCs w:val="24"/>
        </w:rPr>
        <w:t xml:space="preserve"> podpora klesá</w:t>
      </w:r>
      <w:r w:rsidR="00B04F75">
        <w:rPr>
          <w:rFonts w:cstheme="minorHAnsi"/>
          <w:sz w:val="24"/>
          <w:szCs w:val="24"/>
        </w:rPr>
        <w:t xml:space="preserve">, což </w:t>
      </w:r>
      <w:r w:rsidRPr="00671343">
        <w:rPr>
          <w:rFonts w:cstheme="minorHAnsi"/>
          <w:sz w:val="24"/>
          <w:szCs w:val="24"/>
        </w:rPr>
        <w:t xml:space="preserve">se </w:t>
      </w:r>
      <w:r w:rsidR="00B04F75">
        <w:rPr>
          <w:rFonts w:cstheme="minorHAnsi"/>
          <w:sz w:val="24"/>
          <w:szCs w:val="24"/>
        </w:rPr>
        <w:t>týká</w:t>
      </w:r>
      <w:r w:rsidRPr="00671343">
        <w:rPr>
          <w:rFonts w:cstheme="minorHAnsi"/>
          <w:sz w:val="24"/>
          <w:szCs w:val="24"/>
        </w:rPr>
        <w:t xml:space="preserve"> především lidí, kteří se přidržují patriotických názorů či podporují imperialistickou politiku. Podle této skupiny obyvatelstva není Putin schopen hájit zájmy Ruska a </w:t>
      </w:r>
      <w:r w:rsidR="00F05056">
        <w:rPr>
          <w:rFonts w:cstheme="minorHAnsi"/>
          <w:sz w:val="24"/>
          <w:szCs w:val="24"/>
        </w:rPr>
        <w:t>dělá</w:t>
      </w:r>
      <w:r w:rsidRPr="00671343">
        <w:rPr>
          <w:rFonts w:cstheme="minorHAnsi"/>
          <w:sz w:val="24"/>
          <w:szCs w:val="24"/>
        </w:rPr>
        <w:t xml:space="preserve"> zbytečné ústupky. Sociálními skupinami, které nejvíce podporují Putina, jsou ty, které jsou na to finančně zainteresovány (jejich příjmy závisí na výdajích z rozpočtu), a ty, jež se obávají změny </w:t>
      </w:r>
      <w:proofErr w:type="spellStart"/>
      <w:r w:rsidRPr="00671343">
        <w:rPr>
          <w:rFonts w:cstheme="minorHAnsi"/>
          <w:i/>
          <w:sz w:val="24"/>
          <w:szCs w:val="24"/>
        </w:rPr>
        <w:t>statu</w:t>
      </w:r>
      <w:proofErr w:type="spellEnd"/>
      <w:r w:rsidRPr="00671343">
        <w:rPr>
          <w:rFonts w:cstheme="minorHAnsi"/>
          <w:i/>
          <w:sz w:val="24"/>
          <w:szCs w:val="24"/>
        </w:rPr>
        <w:t xml:space="preserve"> quo </w:t>
      </w:r>
      <w:r w:rsidRPr="00671343">
        <w:rPr>
          <w:rFonts w:cstheme="minorHAnsi"/>
          <w:sz w:val="24"/>
          <w:szCs w:val="24"/>
        </w:rPr>
        <w:t xml:space="preserve">(rovněž viz </w:t>
      </w:r>
      <w:proofErr w:type="spellStart"/>
      <w:r w:rsidRPr="00671343">
        <w:rPr>
          <w:rFonts w:cstheme="minorHAnsi"/>
          <w:sz w:val="24"/>
          <w:szCs w:val="24"/>
        </w:rPr>
        <w:t>Gruppa</w:t>
      </w:r>
      <w:proofErr w:type="spellEnd"/>
      <w:r w:rsidRPr="00671343">
        <w:rPr>
          <w:rFonts w:cstheme="minorHAnsi"/>
          <w:sz w:val="24"/>
          <w:szCs w:val="24"/>
        </w:rPr>
        <w:t xml:space="preserve"> </w:t>
      </w:r>
      <w:proofErr w:type="spellStart"/>
      <w:r w:rsidRPr="00671343">
        <w:rPr>
          <w:rFonts w:cstheme="minorHAnsi"/>
          <w:sz w:val="24"/>
          <w:szCs w:val="24"/>
        </w:rPr>
        <w:t>Belanovskogo</w:t>
      </w:r>
      <w:proofErr w:type="spellEnd"/>
      <w:r w:rsidRPr="00671343">
        <w:rPr>
          <w:rFonts w:cstheme="minorHAnsi"/>
          <w:sz w:val="24"/>
          <w:szCs w:val="24"/>
        </w:rPr>
        <w:t xml:space="preserve"> 2020). Jsou to ovšem skupiny, které nebudou aktivně bránit režim v případě závažné krize (</w:t>
      </w:r>
      <w:proofErr w:type="spellStart"/>
      <w:r w:rsidRPr="00671343">
        <w:rPr>
          <w:rFonts w:cstheme="minorHAnsi"/>
          <w:sz w:val="24"/>
          <w:szCs w:val="24"/>
        </w:rPr>
        <w:t>Levinson</w:t>
      </w:r>
      <w:proofErr w:type="spellEnd"/>
      <w:r w:rsidRPr="00671343">
        <w:rPr>
          <w:rFonts w:cstheme="minorHAnsi"/>
          <w:sz w:val="24"/>
          <w:szCs w:val="24"/>
        </w:rPr>
        <w:t xml:space="preserve"> 2020)</w:t>
      </w:r>
      <w:r w:rsidRPr="00671343">
        <w:rPr>
          <w:rStyle w:val="Znakapoznpodarou"/>
          <w:rFonts w:cstheme="minorHAnsi"/>
          <w:sz w:val="24"/>
          <w:szCs w:val="24"/>
        </w:rPr>
        <w:footnoteReference w:id="10"/>
      </w:r>
      <w:r w:rsidRPr="00671343">
        <w:rPr>
          <w:rFonts w:cstheme="minorHAnsi"/>
          <w:sz w:val="24"/>
          <w:szCs w:val="24"/>
        </w:rPr>
        <w:t xml:space="preserve">. </w:t>
      </w:r>
    </w:p>
    <w:p w14:paraId="3F7DE9F7" w14:textId="1A683146"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lastRenderedPageBreak/>
        <w:t>Co se týče ratingů prezidenta Vladimira Putina, v polovině roku 2020</w:t>
      </w:r>
      <w:r w:rsidR="00B04F75">
        <w:rPr>
          <w:rFonts w:cstheme="minorHAnsi"/>
          <w:sz w:val="24"/>
          <w:szCs w:val="24"/>
        </w:rPr>
        <w:t xml:space="preserve"> (tj. během pandemie)</w:t>
      </w:r>
      <w:r w:rsidRPr="00671343">
        <w:rPr>
          <w:rFonts w:cstheme="minorHAnsi"/>
          <w:sz w:val="24"/>
          <w:szCs w:val="24"/>
        </w:rPr>
        <w:t xml:space="preserve"> se mu podařilo zastavit několikaletý klesající trend. Nyní jeho činnost schvaluje kolem 68</w:t>
      </w:r>
      <w:r w:rsidR="00F05056">
        <w:rPr>
          <w:rFonts w:cstheme="minorHAnsi"/>
          <w:sz w:val="24"/>
          <w:szCs w:val="24"/>
        </w:rPr>
        <w:t> </w:t>
      </w:r>
      <w:r w:rsidRPr="00671343">
        <w:rPr>
          <w:rFonts w:cstheme="minorHAnsi"/>
          <w:sz w:val="24"/>
          <w:szCs w:val="24"/>
        </w:rPr>
        <w:t xml:space="preserve">% dotázaných. Premiérovi Michailu </w:t>
      </w:r>
      <w:proofErr w:type="spellStart"/>
      <w:r w:rsidRPr="00671343">
        <w:rPr>
          <w:rFonts w:cstheme="minorHAnsi"/>
          <w:sz w:val="24"/>
          <w:szCs w:val="24"/>
        </w:rPr>
        <w:t>Mišustinovi</w:t>
      </w:r>
      <w:proofErr w:type="spellEnd"/>
      <w:r w:rsidRPr="00671343">
        <w:rPr>
          <w:rFonts w:cstheme="minorHAnsi"/>
          <w:sz w:val="24"/>
          <w:szCs w:val="24"/>
        </w:rPr>
        <w:t xml:space="preserve"> se podařilo zachovat relativně vysokou úroveň podpory: jeho činnost schvaluje kolem 58 % lidí a během epidemie lze vidět rostoucí trend. Nicméně zároveň i roste počet těch, </w:t>
      </w:r>
      <w:r w:rsidR="00AB0F65">
        <w:rPr>
          <w:rFonts w:cstheme="minorHAnsi"/>
          <w:sz w:val="24"/>
          <w:szCs w:val="24"/>
        </w:rPr>
        <w:t>kteří</w:t>
      </w:r>
      <w:r w:rsidR="00AB0F65" w:rsidRPr="00671343">
        <w:rPr>
          <w:rFonts w:cstheme="minorHAnsi"/>
          <w:sz w:val="24"/>
          <w:szCs w:val="24"/>
        </w:rPr>
        <w:t xml:space="preserve"> </w:t>
      </w:r>
      <w:r w:rsidRPr="00671343">
        <w:rPr>
          <w:rFonts w:cstheme="minorHAnsi"/>
          <w:sz w:val="24"/>
          <w:szCs w:val="24"/>
        </w:rPr>
        <w:t xml:space="preserve">jeho politiku </w:t>
      </w:r>
      <w:r w:rsidR="00AB0F65" w:rsidRPr="00671343">
        <w:rPr>
          <w:rFonts w:cstheme="minorHAnsi"/>
          <w:sz w:val="24"/>
          <w:szCs w:val="24"/>
        </w:rPr>
        <w:t>neschvaluj</w:t>
      </w:r>
      <w:r w:rsidR="00AB0F65">
        <w:rPr>
          <w:rFonts w:cstheme="minorHAnsi"/>
          <w:sz w:val="24"/>
          <w:szCs w:val="24"/>
        </w:rPr>
        <w:t>í</w:t>
      </w:r>
      <w:r w:rsidRPr="00671343">
        <w:rPr>
          <w:rFonts w:cstheme="minorHAnsi"/>
          <w:sz w:val="24"/>
          <w:szCs w:val="24"/>
        </w:rPr>
        <w:t xml:space="preserve">: 38 % v září oproti 27 % v červenci. </w:t>
      </w:r>
      <w:proofErr w:type="spellStart"/>
      <w:r w:rsidR="00B04F75">
        <w:rPr>
          <w:rFonts w:cstheme="minorHAnsi"/>
          <w:sz w:val="24"/>
          <w:szCs w:val="24"/>
        </w:rPr>
        <w:t>Mišustinův</w:t>
      </w:r>
      <w:proofErr w:type="spellEnd"/>
      <w:r w:rsidR="00B04F75">
        <w:rPr>
          <w:rFonts w:cstheme="minorHAnsi"/>
          <w:sz w:val="24"/>
          <w:szCs w:val="24"/>
        </w:rPr>
        <w:t xml:space="preserve"> r</w:t>
      </w:r>
      <w:r w:rsidRPr="00671343">
        <w:rPr>
          <w:rFonts w:cstheme="minorHAnsi"/>
          <w:sz w:val="24"/>
          <w:szCs w:val="24"/>
        </w:rPr>
        <w:t>ating ale</w:t>
      </w:r>
      <w:r w:rsidR="00B04F75">
        <w:rPr>
          <w:rFonts w:cstheme="minorHAnsi"/>
          <w:sz w:val="24"/>
          <w:szCs w:val="24"/>
        </w:rPr>
        <w:t xml:space="preserve"> zůstává</w:t>
      </w:r>
      <w:r w:rsidRPr="00671343">
        <w:rPr>
          <w:rFonts w:cstheme="minorHAnsi"/>
          <w:sz w:val="24"/>
          <w:szCs w:val="24"/>
        </w:rPr>
        <w:t xml:space="preserve"> mnohem vyšší, než byl rating jeho předchůdce </w:t>
      </w:r>
      <w:proofErr w:type="spellStart"/>
      <w:r w:rsidRPr="00671343">
        <w:rPr>
          <w:rFonts w:cstheme="minorHAnsi"/>
          <w:sz w:val="24"/>
          <w:szCs w:val="24"/>
        </w:rPr>
        <w:t>Dmitrije</w:t>
      </w:r>
      <w:proofErr w:type="spellEnd"/>
      <w:r w:rsidRPr="00671343">
        <w:rPr>
          <w:rFonts w:cstheme="minorHAnsi"/>
          <w:sz w:val="24"/>
          <w:szCs w:val="24"/>
        </w:rPr>
        <w:t xml:space="preserve"> </w:t>
      </w:r>
      <w:proofErr w:type="spellStart"/>
      <w:r w:rsidRPr="00671343">
        <w:rPr>
          <w:rFonts w:cstheme="minorHAnsi"/>
          <w:sz w:val="24"/>
          <w:szCs w:val="24"/>
        </w:rPr>
        <w:t>Medv</w:t>
      </w:r>
      <w:r w:rsidR="005D2897">
        <w:rPr>
          <w:rFonts w:cstheme="minorHAnsi"/>
          <w:sz w:val="24"/>
          <w:szCs w:val="24"/>
        </w:rPr>
        <w:t>e</w:t>
      </w:r>
      <w:r w:rsidRPr="00671343">
        <w:rPr>
          <w:rFonts w:cstheme="minorHAnsi"/>
          <w:sz w:val="24"/>
          <w:szCs w:val="24"/>
        </w:rPr>
        <w:t>děva</w:t>
      </w:r>
      <w:proofErr w:type="spellEnd"/>
      <w:r w:rsidRPr="00671343">
        <w:rPr>
          <w:rFonts w:cstheme="minorHAnsi"/>
          <w:sz w:val="24"/>
          <w:szCs w:val="24"/>
        </w:rPr>
        <w:t>.</w:t>
      </w:r>
      <w:r w:rsidR="00356A19" w:rsidRPr="00671343">
        <w:rPr>
          <w:rStyle w:val="Znakapoznpodarou"/>
          <w:rFonts w:cstheme="minorHAnsi"/>
          <w:sz w:val="24"/>
          <w:szCs w:val="24"/>
        </w:rPr>
        <w:footnoteReference w:id="11"/>
      </w:r>
      <w:r w:rsidRPr="00671343">
        <w:rPr>
          <w:rFonts w:cstheme="minorHAnsi"/>
          <w:sz w:val="24"/>
          <w:szCs w:val="24"/>
        </w:rPr>
        <w:t xml:space="preserve"> </w:t>
      </w:r>
    </w:p>
    <w:p w14:paraId="5C856C3D" w14:textId="2A36F97C"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Kromě schvalování činnosti vrcholových politiků měří centrum </w:t>
      </w:r>
      <w:proofErr w:type="spellStart"/>
      <w:r w:rsidRPr="00671343">
        <w:rPr>
          <w:rFonts w:cstheme="minorHAnsi"/>
          <w:sz w:val="24"/>
          <w:szCs w:val="24"/>
        </w:rPr>
        <w:t>Levada</w:t>
      </w:r>
      <w:proofErr w:type="spellEnd"/>
      <w:r w:rsidRPr="00671343">
        <w:rPr>
          <w:rFonts w:cstheme="minorHAnsi"/>
          <w:sz w:val="24"/>
          <w:szCs w:val="24"/>
        </w:rPr>
        <w:t xml:space="preserve"> i důvěru v politické osobnosti (</w:t>
      </w:r>
      <w:proofErr w:type="spellStart"/>
      <w:r w:rsidRPr="00671343">
        <w:rPr>
          <w:rFonts w:cstheme="minorHAnsi"/>
          <w:sz w:val="24"/>
          <w:szCs w:val="24"/>
        </w:rPr>
        <w:t>Levada</w:t>
      </w:r>
      <w:proofErr w:type="spellEnd"/>
      <w:r w:rsidRPr="00671343">
        <w:rPr>
          <w:rFonts w:cstheme="minorHAnsi"/>
          <w:sz w:val="24"/>
          <w:szCs w:val="24"/>
        </w:rPr>
        <w:t xml:space="preserve"> Centr 2020c). Oproti předešlé metodě respondenti samostatně </w:t>
      </w:r>
      <w:r w:rsidR="00AB0F65">
        <w:rPr>
          <w:rFonts w:cstheme="minorHAnsi"/>
          <w:sz w:val="24"/>
          <w:szCs w:val="24"/>
        </w:rPr>
        <w:t>uvádě</w:t>
      </w:r>
      <w:r w:rsidR="00AB0F65" w:rsidRPr="00671343">
        <w:rPr>
          <w:rFonts w:cstheme="minorHAnsi"/>
          <w:sz w:val="24"/>
          <w:szCs w:val="24"/>
        </w:rPr>
        <w:t xml:space="preserve">jí </w:t>
      </w:r>
      <w:r w:rsidRPr="00671343">
        <w:rPr>
          <w:rFonts w:cstheme="minorHAnsi"/>
          <w:sz w:val="24"/>
          <w:szCs w:val="24"/>
        </w:rPr>
        <w:t>jména politiků, kterým nejvíce důvěřují. V tomto ohledu ztráta důvěry v Putina je ještě více evidentní. V říjnu mu důvěřovalo 34 % lidí. Pro srovnání na konci roku 2017 mu důvěřovalo 59 %. Podporu ztrácí i mezi skupinami voličů, o které se tradičně opíral. Přesto se mu v létě podařilo přelomit klesající trend a důvěra stoupla o téměř deset procentních bodů. Na druhé</w:t>
      </w:r>
      <w:r w:rsidR="00AB0F65">
        <w:rPr>
          <w:rFonts w:cstheme="minorHAnsi"/>
          <w:sz w:val="24"/>
          <w:szCs w:val="24"/>
        </w:rPr>
        <w:t>m</w:t>
      </w:r>
      <w:r w:rsidRPr="00671343">
        <w:rPr>
          <w:rFonts w:cstheme="minorHAnsi"/>
          <w:sz w:val="24"/>
          <w:szCs w:val="24"/>
        </w:rPr>
        <w:t xml:space="preserve"> a třetím místě jsou Michail </w:t>
      </w:r>
      <w:proofErr w:type="spellStart"/>
      <w:r w:rsidRPr="00671343">
        <w:rPr>
          <w:rFonts w:cstheme="minorHAnsi"/>
          <w:sz w:val="24"/>
          <w:szCs w:val="24"/>
        </w:rPr>
        <w:t>Mišustin</w:t>
      </w:r>
      <w:proofErr w:type="spellEnd"/>
      <w:r w:rsidRPr="00671343">
        <w:rPr>
          <w:rFonts w:cstheme="minorHAnsi"/>
          <w:sz w:val="24"/>
          <w:szCs w:val="24"/>
        </w:rPr>
        <w:t xml:space="preserve"> (13 %) a Vladimir </w:t>
      </w:r>
      <w:proofErr w:type="spellStart"/>
      <w:r w:rsidRPr="00671343">
        <w:rPr>
          <w:rFonts w:cstheme="minorHAnsi"/>
          <w:sz w:val="24"/>
          <w:szCs w:val="24"/>
        </w:rPr>
        <w:t>Žirinovskij</w:t>
      </w:r>
      <w:proofErr w:type="spellEnd"/>
      <w:r w:rsidRPr="00671343">
        <w:rPr>
          <w:rFonts w:cstheme="minorHAnsi"/>
          <w:sz w:val="24"/>
          <w:szCs w:val="24"/>
        </w:rPr>
        <w:t xml:space="preserve"> (12 %). Důvěra v opozičníka Alexeje </w:t>
      </w:r>
      <w:proofErr w:type="spellStart"/>
      <w:r w:rsidRPr="00671343">
        <w:rPr>
          <w:rFonts w:cstheme="minorHAnsi"/>
          <w:sz w:val="24"/>
          <w:szCs w:val="24"/>
        </w:rPr>
        <w:t>Navalného</w:t>
      </w:r>
      <w:proofErr w:type="spellEnd"/>
      <w:r w:rsidRPr="00671343">
        <w:rPr>
          <w:rFonts w:cstheme="minorHAnsi"/>
          <w:sz w:val="24"/>
          <w:szCs w:val="24"/>
        </w:rPr>
        <w:t xml:space="preserve"> dosahuje </w:t>
      </w:r>
      <w:r w:rsidR="00B04F75">
        <w:rPr>
          <w:rFonts w:cstheme="minorHAnsi"/>
          <w:sz w:val="24"/>
          <w:szCs w:val="24"/>
        </w:rPr>
        <w:t>4 %</w:t>
      </w:r>
      <w:r w:rsidRPr="00671343">
        <w:rPr>
          <w:rFonts w:cstheme="minorHAnsi"/>
          <w:sz w:val="24"/>
          <w:szCs w:val="24"/>
        </w:rPr>
        <w:t xml:space="preserve">, což je stejná hodnota jako u předsedy komunistické strany Gennadije </w:t>
      </w:r>
      <w:proofErr w:type="spellStart"/>
      <w:r w:rsidRPr="00671343">
        <w:rPr>
          <w:rFonts w:cstheme="minorHAnsi"/>
          <w:sz w:val="24"/>
          <w:szCs w:val="24"/>
        </w:rPr>
        <w:t>Zjuganova</w:t>
      </w:r>
      <w:proofErr w:type="spellEnd"/>
      <w:r w:rsidRPr="00671343">
        <w:rPr>
          <w:rFonts w:cstheme="minorHAnsi"/>
          <w:sz w:val="24"/>
          <w:szCs w:val="24"/>
        </w:rPr>
        <w:t xml:space="preserve">. </w:t>
      </w:r>
    </w:p>
    <w:p w14:paraId="05965341" w14:textId="2253C87C" w:rsidR="0008123F" w:rsidRPr="00671343" w:rsidRDefault="00B04F75" w:rsidP="002B6A9D">
      <w:pPr>
        <w:spacing w:after="100" w:afterAutospacing="1" w:line="240" w:lineRule="auto"/>
        <w:ind w:firstLine="709"/>
        <w:jc w:val="both"/>
        <w:rPr>
          <w:rFonts w:cstheme="minorHAnsi"/>
          <w:sz w:val="24"/>
          <w:szCs w:val="24"/>
        </w:rPr>
      </w:pPr>
      <w:r>
        <w:rPr>
          <w:rFonts w:cstheme="minorHAnsi"/>
          <w:sz w:val="24"/>
          <w:szCs w:val="24"/>
        </w:rPr>
        <w:t>Z</w:t>
      </w:r>
      <w:r w:rsidRPr="00671343">
        <w:rPr>
          <w:rFonts w:cstheme="minorHAnsi"/>
          <w:sz w:val="24"/>
          <w:szCs w:val="24"/>
        </w:rPr>
        <w:t>ajímavou tendenci</w:t>
      </w:r>
      <w:r>
        <w:rPr>
          <w:rFonts w:cstheme="minorHAnsi"/>
          <w:sz w:val="24"/>
          <w:szCs w:val="24"/>
        </w:rPr>
        <w:t xml:space="preserve"> lze</w:t>
      </w:r>
      <w:r w:rsidRPr="00671343">
        <w:rPr>
          <w:rFonts w:cstheme="minorHAnsi"/>
          <w:sz w:val="24"/>
          <w:szCs w:val="24"/>
        </w:rPr>
        <w:t xml:space="preserve"> </w:t>
      </w:r>
      <w:r>
        <w:rPr>
          <w:rFonts w:cstheme="minorHAnsi"/>
          <w:sz w:val="24"/>
          <w:szCs w:val="24"/>
        </w:rPr>
        <w:t>o</w:t>
      </w:r>
      <w:r w:rsidR="0008123F" w:rsidRPr="00671343">
        <w:rPr>
          <w:rFonts w:cstheme="minorHAnsi"/>
          <w:sz w:val="24"/>
          <w:szCs w:val="24"/>
        </w:rPr>
        <w:t>proti tomu vysledovat v případě gubernátorů (</w:t>
      </w:r>
      <w:proofErr w:type="spellStart"/>
      <w:r w:rsidR="0008123F" w:rsidRPr="00671343">
        <w:rPr>
          <w:rFonts w:cstheme="minorHAnsi"/>
          <w:sz w:val="24"/>
          <w:szCs w:val="24"/>
        </w:rPr>
        <w:t>Levada</w:t>
      </w:r>
      <w:proofErr w:type="spellEnd"/>
      <w:r w:rsidR="0008123F" w:rsidRPr="00671343">
        <w:rPr>
          <w:rFonts w:cstheme="minorHAnsi"/>
          <w:sz w:val="24"/>
          <w:szCs w:val="24"/>
        </w:rPr>
        <w:t xml:space="preserve"> Centr </w:t>
      </w:r>
      <w:proofErr w:type="gramStart"/>
      <w:r w:rsidR="0008123F" w:rsidRPr="00671343">
        <w:rPr>
          <w:rFonts w:cstheme="minorHAnsi"/>
          <w:sz w:val="24"/>
          <w:szCs w:val="24"/>
        </w:rPr>
        <w:t>2020b</w:t>
      </w:r>
      <w:proofErr w:type="gramEnd"/>
      <w:r w:rsidR="0008123F" w:rsidRPr="00671343">
        <w:rPr>
          <w:rFonts w:cstheme="minorHAnsi"/>
          <w:sz w:val="24"/>
          <w:szCs w:val="24"/>
        </w:rPr>
        <w:t xml:space="preserve">). Za posledních tři roky se počet těch, </w:t>
      </w:r>
      <w:r w:rsidR="00AB0F65" w:rsidRPr="00671343">
        <w:rPr>
          <w:rFonts w:cstheme="minorHAnsi"/>
          <w:sz w:val="24"/>
          <w:szCs w:val="24"/>
        </w:rPr>
        <w:t>k</w:t>
      </w:r>
      <w:r w:rsidR="00AB0F65">
        <w:rPr>
          <w:rFonts w:cstheme="minorHAnsi"/>
          <w:sz w:val="24"/>
          <w:szCs w:val="24"/>
        </w:rPr>
        <w:t>teří</w:t>
      </w:r>
      <w:r w:rsidR="00AB0F65" w:rsidRPr="00671343">
        <w:rPr>
          <w:rFonts w:cstheme="minorHAnsi"/>
          <w:sz w:val="24"/>
          <w:szCs w:val="24"/>
        </w:rPr>
        <w:t xml:space="preserve"> </w:t>
      </w:r>
      <w:r w:rsidR="0008123F" w:rsidRPr="00671343">
        <w:rPr>
          <w:rFonts w:cstheme="minorHAnsi"/>
          <w:sz w:val="24"/>
          <w:szCs w:val="24"/>
        </w:rPr>
        <w:t>schvaluj</w:t>
      </w:r>
      <w:r>
        <w:rPr>
          <w:rFonts w:cstheme="minorHAnsi"/>
          <w:sz w:val="24"/>
          <w:szCs w:val="24"/>
        </w:rPr>
        <w:t>í</w:t>
      </w:r>
      <w:r w:rsidR="0008123F" w:rsidRPr="00671343">
        <w:rPr>
          <w:rFonts w:cstheme="minorHAnsi"/>
          <w:sz w:val="24"/>
          <w:szCs w:val="24"/>
        </w:rPr>
        <w:t xml:space="preserve"> jejich činnost, výrazně zvýšil a téměř dosahuje ratingu prezidenta. Oproti situaci s </w:t>
      </w:r>
      <w:proofErr w:type="spellStart"/>
      <w:r w:rsidR="0008123F" w:rsidRPr="00671343">
        <w:rPr>
          <w:rFonts w:cstheme="minorHAnsi"/>
          <w:sz w:val="24"/>
          <w:szCs w:val="24"/>
        </w:rPr>
        <w:t>Putinem</w:t>
      </w:r>
      <w:proofErr w:type="spellEnd"/>
      <w:r w:rsidR="0008123F" w:rsidRPr="00671343">
        <w:rPr>
          <w:rFonts w:cstheme="minorHAnsi"/>
          <w:sz w:val="24"/>
          <w:szCs w:val="24"/>
        </w:rPr>
        <w:t xml:space="preserve"> se ale jedná o stoupající trend, který zastavila až </w:t>
      </w:r>
      <w:r>
        <w:rPr>
          <w:rFonts w:cstheme="minorHAnsi"/>
          <w:sz w:val="24"/>
          <w:szCs w:val="24"/>
        </w:rPr>
        <w:t>pan</w:t>
      </w:r>
      <w:r w:rsidR="0008123F" w:rsidRPr="00671343">
        <w:rPr>
          <w:rFonts w:cstheme="minorHAnsi"/>
          <w:sz w:val="24"/>
          <w:szCs w:val="24"/>
        </w:rPr>
        <w:t xml:space="preserve">demie. Z toho plyne, že místním hlavám regionů lidé začínali věřit více než </w:t>
      </w:r>
      <w:proofErr w:type="spellStart"/>
      <w:r w:rsidR="0008123F" w:rsidRPr="00671343">
        <w:rPr>
          <w:rFonts w:cstheme="minorHAnsi"/>
          <w:sz w:val="24"/>
          <w:szCs w:val="24"/>
        </w:rPr>
        <w:t>Putinovi</w:t>
      </w:r>
      <w:proofErr w:type="spellEnd"/>
      <w:r w:rsidR="0008123F" w:rsidRPr="00671343">
        <w:rPr>
          <w:rFonts w:cstheme="minorHAnsi"/>
          <w:sz w:val="24"/>
          <w:szCs w:val="24"/>
        </w:rPr>
        <w:t xml:space="preserve">. Do té doby byl jejich rating výrazně nižší a spíše následoval rating prezidenta. Jak ukázal případ někdejšího gubernátora Chabarovského kraje Sergeje </w:t>
      </w:r>
      <w:proofErr w:type="spellStart"/>
      <w:r w:rsidR="0008123F" w:rsidRPr="00671343">
        <w:rPr>
          <w:rFonts w:cstheme="minorHAnsi"/>
          <w:sz w:val="24"/>
          <w:szCs w:val="24"/>
        </w:rPr>
        <w:t>Furgala</w:t>
      </w:r>
      <w:proofErr w:type="spellEnd"/>
      <w:r w:rsidR="00BB5B43" w:rsidRPr="00671343">
        <w:rPr>
          <w:rFonts w:cstheme="minorHAnsi"/>
          <w:sz w:val="24"/>
          <w:szCs w:val="24"/>
        </w:rPr>
        <w:t>,</w:t>
      </w:r>
      <w:r w:rsidR="0008123F" w:rsidRPr="00671343">
        <w:rPr>
          <w:rFonts w:cstheme="minorHAnsi"/>
          <w:sz w:val="24"/>
          <w:szCs w:val="24"/>
        </w:rPr>
        <w:t xml:space="preserve"> tato nová situace může představovat problém pro federální centrum. Nicméně neschopnost v řadě regionů adekvátně reagovat na krizi COVID</w:t>
      </w:r>
      <w:r w:rsidR="00BB5B43" w:rsidRPr="00671343">
        <w:rPr>
          <w:rFonts w:cstheme="minorHAnsi"/>
          <w:sz w:val="24"/>
          <w:szCs w:val="24"/>
        </w:rPr>
        <w:t>-</w:t>
      </w:r>
      <w:r w:rsidR="0008123F" w:rsidRPr="00671343">
        <w:rPr>
          <w:rFonts w:cstheme="minorHAnsi"/>
          <w:sz w:val="24"/>
          <w:szCs w:val="24"/>
        </w:rPr>
        <w:t>19 růst jejich popularity zastavila.</w:t>
      </w:r>
    </w:p>
    <w:p w14:paraId="73049816" w14:textId="31013779"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Protesty, které v Rusku v posledních letech probíhaly, měly většinou lokální charakter a týkaly se především </w:t>
      </w:r>
      <w:r w:rsidR="00B04F75">
        <w:rPr>
          <w:rFonts w:cstheme="minorHAnsi"/>
          <w:sz w:val="24"/>
          <w:szCs w:val="24"/>
        </w:rPr>
        <w:t>místních</w:t>
      </w:r>
      <w:r w:rsidRPr="00671343">
        <w:rPr>
          <w:rFonts w:cstheme="minorHAnsi"/>
          <w:sz w:val="24"/>
          <w:szCs w:val="24"/>
        </w:rPr>
        <w:t xml:space="preserve"> problémů. Přesto kritika poměrně záhy směř</w:t>
      </w:r>
      <w:r w:rsidR="00B04F75">
        <w:rPr>
          <w:rFonts w:cstheme="minorHAnsi"/>
          <w:sz w:val="24"/>
          <w:szCs w:val="24"/>
        </w:rPr>
        <w:t>ovala</w:t>
      </w:r>
      <w:r w:rsidRPr="00671343">
        <w:rPr>
          <w:rFonts w:cstheme="minorHAnsi"/>
          <w:sz w:val="24"/>
          <w:szCs w:val="24"/>
        </w:rPr>
        <w:t xml:space="preserve"> přímo na Kreml. Tyto protesty nenab</w:t>
      </w:r>
      <w:r w:rsidR="00B04F75">
        <w:rPr>
          <w:rFonts w:cstheme="minorHAnsi"/>
          <w:sz w:val="24"/>
          <w:szCs w:val="24"/>
        </w:rPr>
        <w:t>yly</w:t>
      </w:r>
      <w:r w:rsidRPr="00671343">
        <w:rPr>
          <w:rFonts w:cstheme="minorHAnsi"/>
          <w:sz w:val="24"/>
          <w:szCs w:val="24"/>
        </w:rPr>
        <w:t xml:space="preserve"> celonárodní</w:t>
      </w:r>
      <w:r w:rsidR="00AB0F65">
        <w:rPr>
          <w:rFonts w:cstheme="minorHAnsi"/>
          <w:sz w:val="24"/>
          <w:szCs w:val="24"/>
        </w:rPr>
        <w:t>ho</w:t>
      </w:r>
      <w:r w:rsidRPr="00671343">
        <w:rPr>
          <w:rFonts w:cstheme="minorHAnsi"/>
          <w:sz w:val="24"/>
          <w:szCs w:val="24"/>
        </w:rPr>
        <w:t xml:space="preserve"> charakter</w:t>
      </w:r>
      <w:r w:rsidR="00AB0F65">
        <w:rPr>
          <w:rFonts w:cstheme="minorHAnsi"/>
          <w:sz w:val="24"/>
          <w:szCs w:val="24"/>
        </w:rPr>
        <w:t>u</w:t>
      </w:r>
      <w:r w:rsidRPr="00671343">
        <w:rPr>
          <w:rFonts w:cstheme="minorHAnsi"/>
          <w:sz w:val="24"/>
          <w:szCs w:val="24"/>
        </w:rPr>
        <w:t>, aby sjednotily společnost. Přesto dochází k růstu celonárodní politické nespokojenosti (</w:t>
      </w:r>
      <w:proofErr w:type="spellStart"/>
      <w:r w:rsidRPr="00671343">
        <w:rPr>
          <w:rFonts w:cstheme="minorHAnsi"/>
          <w:sz w:val="24"/>
          <w:szCs w:val="24"/>
        </w:rPr>
        <w:t>Baryšnikov</w:t>
      </w:r>
      <w:proofErr w:type="spellEnd"/>
      <w:r w:rsidRPr="00671343">
        <w:rPr>
          <w:rFonts w:cstheme="minorHAnsi"/>
          <w:sz w:val="24"/>
          <w:szCs w:val="24"/>
        </w:rPr>
        <w:t xml:space="preserve"> 2020). V případě politických protestů nejsou vyslovovány konkrétní požadavky. Demonstruje se většinou pouze proti nějakému jevu, např. korupc</w:t>
      </w:r>
      <w:r w:rsidR="004F7818">
        <w:rPr>
          <w:rFonts w:cstheme="minorHAnsi"/>
          <w:sz w:val="24"/>
          <w:szCs w:val="24"/>
        </w:rPr>
        <w:t>i</w:t>
      </w:r>
      <w:r w:rsidRPr="00671343">
        <w:rPr>
          <w:rFonts w:cstheme="minorHAnsi"/>
          <w:sz w:val="24"/>
          <w:szCs w:val="24"/>
        </w:rPr>
        <w:t>. Nedošlo k vytvoření organizovaných zájmových skupin. I přes klesající ratingy</w:t>
      </w:r>
      <w:r w:rsidR="004F7818">
        <w:rPr>
          <w:rFonts w:cstheme="minorHAnsi"/>
          <w:sz w:val="24"/>
          <w:szCs w:val="24"/>
        </w:rPr>
        <w:t xml:space="preserve"> </w:t>
      </w:r>
      <w:r w:rsidR="00733FFC">
        <w:rPr>
          <w:rFonts w:cstheme="minorHAnsi"/>
          <w:sz w:val="24"/>
          <w:szCs w:val="24"/>
        </w:rPr>
        <w:t xml:space="preserve">Putina </w:t>
      </w:r>
      <w:r w:rsidR="004F7818">
        <w:rPr>
          <w:rFonts w:cstheme="minorHAnsi"/>
          <w:sz w:val="24"/>
          <w:szCs w:val="24"/>
        </w:rPr>
        <w:t>se neobjevil</w:t>
      </w:r>
      <w:r w:rsidRPr="00671343">
        <w:rPr>
          <w:rFonts w:cstheme="minorHAnsi"/>
          <w:sz w:val="24"/>
          <w:szCs w:val="24"/>
        </w:rPr>
        <w:t xml:space="preserve"> žádný opoziční vůdce, který by získal podporu u lidových mas. Alexej </w:t>
      </w:r>
      <w:proofErr w:type="spellStart"/>
      <w:r w:rsidR="00BB5B43" w:rsidRPr="00671343">
        <w:rPr>
          <w:rFonts w:cstheme="minorHAnsi"/>
          <w:sz w:val="24"/>
          <w:szCs w:val="24"/>
        </w:rPr>
        <w:t>Navalnyj</w:t>
      </w:r>
      <w:proofErr w:type="spellEnd"/>
      <w:r w:rsidRPr="00671343">
        <w:rPr>
          <w:rFonts w:cstheme="minorHAnsi"/>
          <w:sz w:val="24"/>
          <w:szCs w:val="24"/>
        </w:rPr>
        <w:t xml:space="preserve">, který je západními médii označován jako předák ruské opozice, má důvěru pouze u 4 % obyvatelstva. Během předešlého vrcholu protestních nálad, kdy byl rating </w:t>
      </w:r>
      <w:r w:rsidR="00733FFC">
        <w:rPr>
          <w:rFonts w:cstheme="minorHAnsi"/>
          <w:sz w:val="24"/>
          <w:szCs w:val="24"/>
        </w:rPr>
        <w:t xml:space="preserve">Putina </w:t>
      </w:r>
      <w:r w:rsidRPr="00671343">
        <w:rPr>
          <w:rFonts w:cstheme="minorHAnsi"/>
          <w:sz w:val="24"/>
          <w:szCs w:val="24"/>
        </w:rPr>
        <w:t xml:space="preserve">na dnešní úrovni, </w:t>
      </w:r>
      <w:proofErr w:type="spellStart"/>
      <w:r w:rsidRPr="00671343">
        <w:rPr>
          <w:rFonts w:cstheme="minorHAnsi"/>
          <w:sz w:val="24"/>
          <w:szCs w:val="24"/>
        </w:rPr>
        <w:t>Navalnyj</w:t>
      </w:r>
      <w:proofErr w:type="spellEnd"/>
      <w:r w:rsidRPr="00671343">
        <w:rPr>
          <w:rFonts w:cstheme="minorHAnsi"/>
          <w:sz w:val="24"/>
          <w:szCs w:val="24"/>
        </w:rPr>
        <w:t xml:space="preserve"> dokázal v opozičně naladěné Moskvě získat pouze 27</w:t>
      </w:r>
      <w:r w:rsidR="004F7818">
        <w:rPr>
          <w:rFonts w:cstheme="minorHAnsi"/>
          <w:sz w:val="24"/>
          <w:szCs w:val="24"/>
        </w:rPr>
        <w:t> </w:t>
      </w:r>
      <w:r w:rsidRPr="00671343">
        <w:rPr>
          <w:rFonts w:cstheme="minorHAnsi"/>
          <w:sz w:val="24"/>
          <w:szCs w:val="24"/>
        </w:rPr>
        <w:t>% hlasů. Sám navíc často opozici namísto spojování naopak rozděluje.</w:t>
      </w:r>
    </w:p>
    <w:p w14:paraId="124B7C08" w14:textId="033EF52C"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Vzhledem k relativně dobrému vnímání gubernátorů veřejností a případu </w:t>
      </w:r>
      <w:r w:rsidR="00905A68">
        <w:rPr>
          <w:rFonts w:cstheme="minorHAnsi"/>
          <w:sz w:val="24"/>
          <w:szCs w:val="24"/>
        </w:rPr>
        <w:t xml:space="preserve">S. </w:t>
      </w:r>
      <w:proofErr w:type="spellStart"/>
      <w:r w:rsidRPr="00671343">
        <w:rPr>
          <w:rFonts w:cstheme="minorHAnsi"/>
          <w:sz w:val="24"/>
          <w:szCs w:val="24"/>
        </w:rPr>
        <w:t>Furgala</w:t>
      </w:r>
      <w:proofErr w:type="spellEnd"/>
      <w:r w:rsidRPr="00671343">
        <w:rPr>
          <w:rFonts w:cstheme="minorHAnsi"/>
          <w:sz w:val="24"/>
          <w:szCs w:val="24"/>
        </w:rPr>
        <w:t>, může opozice vůči federálnímu centru vzniknout právě v</w:t>
      </w:r>
      <w:r w:rsidR="004F7818">
        <w:rPr>
          <w:rFonts w:cstheme="minorHAnsi"/>
          <w:sz w:val="24"/>
          <w:szCs w:val="24"/>
        </w:rPr>
        <w:t> </w:t>
      </w:r>
      <w:r w:rsidRPr="00671343">
        <w:rPr>
          <w:rFonts w:cstheme="minorHAnsi"/>
          <w:sz w:val="24"/>
          <w:szCs w:val="24"/>
        </w:rPr>
        <w:t>regionech</w:t>
      </w:r>
      <w:r w:rsidR="004F7818">
        <w:rPr>
          <w:rFonts w:cstheme="minorHAnsi"/>
          <w:sz w:val="24"/>
          <w:szCs w:val="24"/>
        </w:rPr>
        <w:t>.</w:t>
      </w:r>
      <w:r w:rsidRPr="00671343">
        <w:rPr>
          <w:rStyle w:val="Znakapoznpodarou"/>
          <w:rFonts w:cstheme="minorHAnsi"/>
          <w:sz w:val="24"/>
          <w:szCs w:val="24"/>
        </w:rPr>
        <w:footnoteReference w:id="12"/>
      </w:r>
      <w:r w:rsidRPr="00671343">
        <w:rPr>
          <w:rFonts w:cstheme="minorHAnsi"/>
          <w:sz w:val="24"/>
          <w:szCs w:val="24"/>
        </w:rPr>
        <w:t xml:space="preserve"> Reakce zástupců </w:t>
      </w:r>
      <w:r w:rsidRPr="00671343">
        <w:rPr>
          <w:rFonts w:cstheme="minorHAnsi"/>
          <w:sz w:val="24"/>
          <w:szCs w:val="24"/>
        </w:rPr>
        <w:lastRenderedPageBreak/>
        <w:t xml:space="preserve">federálního centra v případě </w:t>
      </w:r>
      <w:r w:rsidR="00905A68">
        <w:rPr>
          <w:rFonts w:cstheme="minorHAnsi"/>
          <w:sz w:val="24"/>
          <w:szCs w:val="24"/>
        </w:rPr>
        <w:t xml:space="preserve">S. </w:t>
      </w:r>
      <w:proofErr w:type="spellStart"/>
      <w:r w:rsidRPr="00671343">
        <w:rPr>
          <w:rFonts w:cstheme="minorHAnsi"/>
          <w:sz w:val="24"/>
          <w:szCs w:val="24"/>
        </w:rPr>
        <w:t>Furgala</w:t>
      </w:r>
      <w:proofErr w:type="spellEnd"/>
      <w:r w:rsidRPr="00671343">
        <w:rPr>
          <w:rFonts w:cstheme="minorHAnsi"/>
          <w:sz w:val="24"/>
          <w:szCs w:val="24"/>
        </w:rPr>
        <w:t xml:space="preserve"> se ukázala být neefektivní a vedoucí k destabilizaci situace. Je otázk</w:t>
      </w:r>
      <w:r w:rsidR="00BB5B43" w:rsidRPr="00671343">
        <w:rPr>
          <w:rFonts w:cstheme="minorHAnsi"/>
          <w:sz w:val="24"/>
          <w:szCs w:val="24"/>
        </w:rPr>
        <w:t>ou</w:t>
      </w:r>
      <w:r w:rsidRPr="00671343">
        <w:rPr>
          <w:rFonts w:cstheme="minorHAnsi"/>
          <w:sz w:val="24"/>
          <w:szCs w:val="24"/>
        </w:rPr>
        <w:t xml:space="preserve">, jak se nízké ceny ropy projeví na této dynamice. Je pravděpodobné, že snížení </w:t>
      </w:r>
      <w:proofErr w:type="spellStart"/>
      <w:r w:rsidRPr="00671343">
        <w:rPr>
          <w:rFonts w:cstheme="minorHAnsi"/>
          <w:sz w:val="24"/>
          <w:szCs w:val="24"/>
        </w:rPr>
        <w:t>mezirozpočtových</w:t>
      </w:r>
      <w:proofErr w:type="spellEnd"/>
      <w:r w:rsidRPr="00671343">
        <w:rPr>
          <w:rFonts w:cstheme="minorHAnsi"/>
          <w:sz w:val="24"/>
          <w:szCs w:val="24"/>
        </w:rPr>
        <w:t xml:space="preserve"> transferů povede </w:t>
      </w:r>
      <w:r w:rsidR="004F7818">
        <w:rPr>
          <w:rFonts w:cstheme="minorHAnsi"/>
          <w:sz w:val="24"/>
          <w:szCs w:val="24"/>
        </w:rPr>
        <w:t>k soupeření</w:t>
      </w:r>
      <w:r w:rsidRPr="00671343">
        <w:rPr>
          <w:rFonts w:cstheme="minorHAnsi"/>
          <w:sz w:val="24"/>
          <w:szCs w:val="24"/>
        </w:rPr>
        <w:t xml:space="preserve"> mezi regiony </w:t>
      </w:r>
      <w:r w:rsidR="004F7818">
        <w:rPr>
          <w:rFonts w:cstheme="minorHAnsi"/>
          <w:sz w:val="24"/>
          <w:szCs w:val="24"/>
        </w:rPr>
        <w:t>o</w:t>
      </w:r>
      <w:r w:rsidRPr="00671343">
        <w:rPr>
          <w:rFonts w:cstheme="minorHAnsi"/>
          <w:sz w:val="24"/>
          <w:szCs w:val="24"/>
        </w:rPr>
        <w:t xml:space="preserve"> přízeň federálního centra. Tím se sníží nezávislost regionálních elit a nivelizují snahy obyvatelstva regionů „potrestat“ vládnoucí stranu Jednotné Rusko</w:t>
      </w:r>
      <w:r w:rsidR="004F7818">
        <w:rPr>
          <w:rFonts w:cstheme="minorHAnsi"/>
          <w:sz w:val="24"/>
          <w:szCs w:val="24"/>
        </w:rPr>
        <w:t>,</w:t>
      </w:r>
      <w:r w:rsidRPr="00671343">
        <w:rPr>
          <w:rFonts w:cstheme="minorHAnsi"/>
          <w:sz w:val="24"/>
          <w:szCs w:val="24"/>
        </w:rPr>
        <w:t xml:space="preserve"> a tím i Kreml</w:t>
      </w:r>
      <w:r w:rsidR="004F7818">
        <w:rPr>
          <w:rFonts w:cstheme="minorHAnsi"/>
          <w:sz w:val="24"/>
          <w:szCs w:val="24"/>
        </w:rPr>
        <w:t>,</w:t>
      </w:r>
      <w:r w:rsidRPr="00671343">
        <w:rPr>
          <w:rFonts w:cstheme="minorHAnsi"/>
          <w:sz w:val="24"/>
          <w:szCs w:val="24"/>
        </w:rPr>
        <w:t xml:space="preserve"> prostřednictvím hlasování </w:t>
      </w:r>
      <w:r w:rsidR="00493E06">
        <w:rPr>
          <w:rFonts w:cstheme="minorHAnsi"/>
          <w:sz w:val="24"/>
          <w:szCs w:val="24"/>
        </w:rPr>
        <w:t>pro</w:t>
      </w:r>
      <w:r w:rsidR="00493E06" w:rsidRPr="00671343">
        <w:rPr>
          <w:rFonts w:cstheme="minorHAnsi"/>
          <w:sz w:val="24"/>
          <w:szCs w:val="24"/>
        </w:rPr>
        <w:t xml:space="preserve"> </w:t>
      </w:r>
      <w:r w:rsidRPr="00671343">
        <w:rPr>
          <w:rFonts w:cstheme="minorHAnsi"/>
          <w:sz w:val="24"/>
          <w:szCs w:val="24"/>
        </w:rPr>
        <w:t xml:space="preserve">opoziční kandidáty. Další možností, jak neutralizovat hrozbu vzpurných regionů, je zrušení přímých voleb gubernátorů. Jak ale opět ukazuje příklad </w:t>
      </w:r>
      <w:r w:rsidR="00905A68">
        <w:rPr>
          <w:rFonts w:cstheme="minorHAnsi"/>
          <w:sz w:val="24"/>
          <w:szCs w:val="24"/>
        </w:rPr>
        <w:t xml:space="preserve">S. </w:t>
      </w:r>
      <w:proofErr w:type="spellStart"/>
      <w:r w:rsidRPr="00671343">
        <w:rPr>
          <w:rFonts w:cstheme="minorHAnsi"/>
          <w:sz w:val="24"/>
          <w:szCs w:val="24"/>
        </w:rPr>
        <w:t>Furgala</w:t>
      </w:r>
      <w:proofErr w:type="spellEnd"/>
      <w:r w:rsidRPr="00671343">
        <w:rPr>
          <w:rFonts w:cstheme="minorHAnsi"/>
          <w:sz w:val="24"/>
          <w:szCs w:val="24"/>
        </w:rPr>
        <w:t xml:space="preserve">, může to mít za důsledek dlouhotrvající protesty. Navíc bude složité pro tento krok nalézt záminku. </w:t>
      </w:r>
    </w:p>
    <w:p w14:paraId="74E1F214" w14:textId="4E727346"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Problémy, kterým čelí Jednotné Rusko v regionech, se ještě zostří v roce 2021, kdy se budou konat volby do Státní dumy. </w:t>
      </w:r>
      <w:r w:rsidR="004F7818">
        <w:rPr>
          <w:rFonts w:cstheme="minorHAnsi"/>
          <w:sz w:val="24"/>
          <w:szCs w:val="24"/>
        </w:rPr>
        <w:t>S</w:t>
      </w:r>
      <w:r w:rsidRPr="00671343">
        <w:rPr>
          <w:rFonts w:cstheme="minorHAnsi"/>
          <w:sz w:val="24"/>
          <w:szCs w:val="24"/>
        </w:rPr>
        <w:t xml:space="preserve">trana je velmi zdiskreditována a činnost jejího předsedy </w:t>
      </w:r>
      <w:proofErr w:type="spellStart"/>
      <w:r w:rsidRPr="00671343">
        <w:rPr>
          <w:rFonts w:cstheme="minorHAnsi"/>
          <w:sz w:val="24"/>
          <w:szCs w:val="24"/>
        </w:rPr>
        <w:t>Dmitrije</w:t>
      </w:r>
      <w:proofErr w:type="spellEnd"/>
      <w:r w:rsidRPr="00671343">
        <w:rPr>
          <w:rFonts w:cstheme="minorHAnsi"/>
          <w:sz w:val="24"/>
          <w:szCs w:val="24"/>
        </w:rPr>
        <w:t xml:space="preserve"> </w:t>
      </w:r>
      <w:proofErr w:type="spellStart"/>
      <w:r w:rsidRPr="00671343">
        <w:rPr>
          <w:rFonts w:cstheme="minorHAnsi"/>
          <w:sz w:val="24"/>
          <w:szCs w:val="24"/>
        </w:rPr>
        <w:t>Medveděva</w:t>
      </w:r>
      <w:proofErr w:type="spellEnd"/>
      <w:r w:rsidRPr="00671343">
        <w:rPr>
          <w:rFonts w:cstheme="minorHAnsi"/>
          <w:sz w:val="24"/>
          <w:szCs w:val="24"/>
        </w:rPr>
        <w:t xml:space="preserve"> nepodporuje přes 60 % obyvatel. Pro zachování ústavní většiny se proto bude nejspíše nutné uchýlit k podvodům</w:t>
      </w:r>
      <w:r w:rsidR="00BB5B43" w:rsidRPr="00671343">
        <w:rPr>
          <w:rFonts w:cstheme="minorHAnsi"/>
          <w:sz w:val="24"/>
          <w:szCs w:val="24"/>
        </w:rPr>
        <w:t>. J</w:t>
      </w:r>
      <w:r w:rsidRPr="00671343">
        <w:rPr>
          <w:rFonts w:cstheme="minorHAnsi"/>
          <w:sz w:val="24"/>
          <w:szCs w:val="24"/>
        </w:rPr>
        <w:t>ak demonstruje příklad sousedního Běloruska, za této situace mohou vypuknout rozsáhlé, a především dlouhotrvající protesty.</w:t>
      </w:r>
    </w:p>
    <w:p w14:paraId="1B10EBCB" w14:textId="2DA4BE46"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Je ovšem otázka, nakolik jsou tyto protesty schopny destabilizovat režim. Jak ukazují příklady z Běloruska, Venezuely, ale i Francie, režim, který si zachová vnitřní disciplínu, je schopen se adaptovat a přečkat</w:t>
      </w:r>
      <w:r w:rsidR="00794E3F">
        <w:rPr>
          <w:rFonts w:cstheme="minorHAnsi"/>
          <w:sz w:val="24"/>
          <w:szCs w:val="24"/>
        </w:rPr>
        <w:t xml:space="preserve"> období protestů</w:t>
      </w:r>
      <w:r w:rsidRPr="00671343">
        <w:rPr>
          <w:rFonts w:cstheme="minorHAnsi"/>
          <w:sz w:val="24"/>
          <w:szCs w:val="24"/>
        </w:rPr>
        <w:t>. Dalším důležitým datem je rok 2024, kdy se budou konat prezidentské volby. Pokud se jich bude účastnit stávající prezident Putin, aniž by si opětovně získal podporu u značné části obyvatelstva, budou hrozit protesty. V případě, že se Putin rozhodne odejít z vrchol</w:t>
      </w:r>
      <w:r w:rsidR="00B04F75">
        <w:rPr>
          <w:rFonts w:cstheme="minorHAnsi"/>
          <w:sz w:val="24"/>
          <w:szCs w:val="24"/>
        </w:rPr>
        <w:t>n</w:t>
      </w:r>
      <w:r w:rsidRPr="00671343">
        <w:rPr>
          <w:rFonts w:cstheme="minorHAnsi"/>
          <w:sz w:val="24"/>
          <w:szCs w:val="24"/>
        </w:rPr>
        <w:t>é politiky, například zaujme senátorské křeslo, může hrozit zmiňovaná ztráta disciplíny vládnoucích elit. Na druhou stranu i protestní nálady budou nejspíše menší.</w:t>
      </w:r>
    </w:p>
    <w:p w14:paraId="758E0671" w14:textId="77777777" w:rsidR="0008123F" w:rsidRPr="00031010" w:rsidRDefault="0008123F" w:rsidP="002B6A9D">
      <w:pPr>
        <w:spacing w:after="100" w:afterAutospacing="1" w:line="240" w:lineRule="auto"/>
        <w:jc w:val="both"/>
        <w:rPr>
          <w:i/>
          <w:sz w:val="24"/>
          <w:szCs w:val="24"/>
        </w:rPr>
      </w:pPr>
      <w:r w:rsidRPr="00031010">
        <w:rPr>
          <w:i/>
          <w:sz w:val="24"/>
          <w:szCs w:val="24"/>
        </w:rPr>
        <w:t>Zahraniční politika</w:t>
      </w:r>
    </w:p>
    <w:p w14:paraId="649A1529" w14:textId="2B91F40E" w:rsidR="0008123F" w:rsidRPr="00671343" w:rsidRDefault="0008123F" w:rsidP="002B6A9D">
      <w:pPr>
        <w:spacing w:after="100" w:afterAutospacing="1" w:line="240" w:lineRule="auto"/>
        <w:jc w:val="both"/>
        <w:rPr>
          <w:rFonts w:cstheme="minorHAnsi"/>
          <w:sz w:val="24"/>
          <w:szCs w:val="24"/>
        </w:rPr>
      </w:pPr>
      <w:r w:rsidRPr="00671343">
        <w:rPr>
          <w:rFonts w:cstheme="minorHAnsi"/>
          <w:sz w:val="24"/>
          <w:szCs w:val="24"/>
        </w:rPr>
        <w:t>Z ekonomického hlediska</w:t>
      </w:r>
      <w:r w:rsidR="00BB5B43" w:rsidRPr="00671343">
        <w:rPr>
          <w:rFonts w:cstheme="minorHAnsi"/>
          <w:sz w:val="24"/>
          <w:szCs w:val="24"/>
        </w:rPr>
        <w:t xml:space="preserve"> bude</w:t>
      </w:r>
      <w:r w:rsidRPr="00671343">
        <w:rPr>
          <w:rFonts w:cstheme="minorHAnsi"/>
          <w:sz w:val="24"/>
          <w:szCs w:val="24"/>
        </w:rPr>
        <w:t xml:space="preserve"> v případě snížení příjmů z exportu prioritou </w:t>
      </w:r>
      <w:r w:rsidR="004F7818">
        <w:rPr>
          <w:rFonts w:cstheme="minorHAnsi"/>
          <w:sz w:val="24"/>
          <w:szCs w:val="24"/>
        </w:rPr>
        <w:t xml:space="preserve">zachování </w:t>
      </w:r>
      <w:r w:rsidRPr="00671343">
        <w:rPr>
          <w:rFonts w:cstheme="minorHAnsi"/>
          <w:sz w:val="24"/>
          <w:szCs w:val="24"/>
        </w:rPr>
        <w:t>sociální stability, a to na úkor investic. Může proto být problematické udržet současnou průmyslovou základnu a dále ji rozvíjet. To se obzvláště týká energeticky intenzivních odvětví i alternativních zdrojů energetiky. Vzhledem k tomu, že se v EU debatuje o uvalení cel na obchodní partnery, kte</w:t>
      </w:r>
      <w:r w:rsidR="00B04F75">
        <w:rPr>
          <w:rFonts w:cstheme="minorHAnsi"/>
          <w:sz w:val="24"/>
          <w:szCs w:val="24"/>
        </w:rPr>
        <w:t>ří</w:t>
      </w:r>
      <w:r w:rsidRPr="00671343">
        <w:rPr>
          <w:rFonts w:cstheme="minorHAnsi"/>
          <w:sz w:val="24"/>
          <w:szCs w:val="24"/>
        </w:rPr>
        <w:t xml:space="preserve"> nesnižují svou uhlíkovou stopu, a uvalení odvetných cel na Rusko kvůli údajnému dumpingu (</w:t>
      </w:r>
      <w:r w:rsidR="00D057FB" w:rsidRPr="00671343">
        <w:rPr>
          <w:rFonts w:cstheme="minorHAnsi"/>
          <w:sz w:val="24"/>
          <w:szCs w:val="24"/>
        </w:rPr>
        <w:t xml:space="preserve">EK </w:t>
      </w:r>
      <w:r w:rsidR="001F3911" w:rsidRPr="00671343">
        <w:rPr>
          <w:rFonts w:cstheme="minorHAnsi"/>
          <w:sz w:val="24"/>
          <w:szCs w:val="24"/>
        </w:rPr>
        <w:t>2020</w:t>
      </w:r>
      <w:r w:rsidRPr="00671343">
        <w:rPr>
          <w:rFonts w:cstheme="minorHAnsi"/>
          <w:sz w:val="24"/>
          <w:szCs w:val="24"/>
        </w:rPr>
        <w:t>b), rusk</w:t>
      </w:r>
      <w:r w:rsidR="001E681B">
        <w:rPr>
          <w:rFonts w:cstheme="minorHAnsi"/>
          <w:sz w:val="24"/>
          <w:szCs w:val="24"/>
        </w:rPr>
        <w:t>á</w:t>
      </w:r>
      <w:r w:rsidRPr="00671343">
        <w:rPr>
          <w:rFonts w:cstheme="minorHAnsi"/>
          <w:sz w:val="24"/>
          <w:szCs w:val="24"/>
        </w:rPr>
        <w:t xml:space="preserve"> </w:t>
      </w:r>
      <w:r w:rsidR="001E681B">
        <w:rPr>
          <w:rFonts w:cstheme="minorHAnsi"/>
          <w:sz w:val="24"/>
          <w:szCs w:val="24"/>
        </w:rPr>
        <w:t xml:space="preserve">ekonomika </w:t>
      </w:r>
      <w:r w:rsidRPr="00671343">
        <w:rPr>
          <w:rFonts w:cstheme="minorHAnsi"/>
          <w:sz w:val="24"/>
          <w:szCs w:val="24"/>
        </w:rPr>
        <w:t xml:space="preserve">a rozpočtové příjmy mohou dostat další </w:t>
      </w:r>
      <w:r w:rsidR="00F028A4">
        <w:rPr>
          <w:rFonts w:cstheme="minorHAnsi"/>
          <w:sz w:val="24"/>
          <w:szCs w:val="24"/>
        </w:rPr>
        <w:t>šok</w:t>
      </w:r>
      <w:r w:rsidRPr="00671343">
        <w:rPr>
          <w:rFonts w:cstheme="minorHAnsi"/>
          <w:sz w:val="24"/>
          <w:szCs w:val="24"/>
        </w:rPr>
        <w:t>. Zároveň finance vyčleňované na udržování sociální stability nejsou investicemi do lidského kapitálu.</w:t>
      </w:r>
    </w:p>
    <w:p w14:paraId="062AA655" w14:textId="194C8206" w:rsidR="0008123F" w:rsidRPr="00671343" w:rsidRDefault="001F0AFF" w:rsidP="002B6A9D">
      <w:pPr>
        <w:spacing w:after="100" w:afterAutospacing="1" w:line="240" w:lineRule="auto"/>
        <w:ind w:firstLine="709"/>
        <w:jc w:val="both"/>
        <w:rPr>
          <w:rFonts w:cstheme="minorHAnsi"/>
          <w:sz w:val="24"/>
          <w:szCs w:val="24"/>
        </w:rPr>
      </w:pPr>
      <w:r>
        <w:rPr>
          <w:rFonts w:cstheme="minorHAnsi"/>
          <w:sz w:val="24"/>
          <w:szCs w:val="24"/>
        </w:rPr>
        <w:t>S n</w:t>
      </w:r>
      <w:r w:rsidR="0008123F" w:rsidRPr="00671343">
        <w:rPr>
          <w:rFonts w:cstheme="minorHAnsi"/>
          <w:sz w:val="24"/>
          <w:szCs w:val="24"/>
        </w:rPr>
        <w:t>ízk</w:t>
      </w:r>
      <w:r>
        <w:rPr>
          <w:rFonts w:cstheme="minorHAnsi"/>
          <w:sz w:val="24"/>
          <w:szCs w:val="24"/>
        </w:rPr>
        <w:t>ým</w:t>
      </w:r>
      <w:r w:rsidR="0008123F" w:rsidRPr="00671343">
        <w:rPr>
          <w:rFonts w:cstheme="minorHAnsi"/>
          <w:sz w:val="24"/>
          <w:szCs w:val="24"/>
        </w:rPr>
        <w:t xml:space="preserve"> temp</w:t>
      </w:r>
      <w:r>
        <w:rPr>
          <w:rFonts w:cstheme="minorHAnsi"/>
          <w:sz w:val="24"/>
          <w:szCs w:val="24"/>
        </w:rPr>
        <w:t>em</w:t>
      </w:r>
      <w:r w:rsidR="0008123F" w:rsidRPr="00671343">
        <w:rPr>
          <w:rFonts w:cstheme="minorHAnsi"/>
          <w:sz w:val="24"/>
          <w:szCs w:val="24"/>
        </w:rPr>
        <w:t xml:space="preserve"> </w:t>
      </w:r>
      <w:r w:rsidR="001E681B">
        <w:rPr>
          <w:rFonts w:cstheme="minorHAnsi"/>
          <w:sz w:val="24"/>
          <w:szCs w:val="24"/>
        </w:rPr>
        <w:t>ekonomického</w:t>
      </w:r>
      <w:r w:rsidR="0008123F" w:rsidRPr="00671343">
        <w:rPr>
          <w:rFonts w:cstheme="minorHAnsi"/>
          <w:sz w:val="24"/>
          <w:szCs w:val="24"/>
        </w:rPr>
        <w:t xml:space="preserve"> růstu </w:t>
      </w:r>
      <w:r>
        <w:rPr>
          <w:rFonts w:cstheme="minorHAnsi"/>
          <w:sz w:val="24"/>
          <w:szCs w:val="24"/>
        </w:rPr>
        <w:t xml:space="preserve">se </w:t>
      </w:r>
      <w:r w:rsidR="0008123F" w:rsidRPr="00671343">
        <w:rPr>
          <w:rFonts w:cstheme="minorHAnsi"/>
          <w:sz w:val="24"/>
          <w:szCs w:val="24"/>
        </w:rPr>
        <w:t xml:space="preserve">Rusko </w:t>
      </w:r>
      <w:r>
        <w:rPr>
          <w:rFonts w:cstheme="minorHAnsi"/>
          <w:sz w:val="24"/>
          <w:szCs w:val="24"/>
        </w:rPr>
        <w:t xml:space="preserve">potýká </w:t>
      </w:r>
      <w:r w:rsidR="0008123F" w:rsidRPr="00671343">
        <w:rPr>
          <w:rFonts w:cstheme="minorHAnsi"/>
          <w:sz w:val="24"/>
          <w:szCs w:val="24"/>
        </w:rPr>
        <w:t>již delší dobu. To se však příliš neprojevilo na zahraničněpolitické aktivitě země. Tato aktivita se naopak znatelně zvýšila, což jasně ilustruje vojenská operace v Sýrii, hlubší pronikání do Afriky, kde v minulosti Rusko příliš aktivně nepůsobilo, či poslední vojenské angažmá v Náhorním Karabachu. Byla by ovšem chyba tvrdit, že dynamika HDP či ropného trhu nemá žádný dopad na ruskou zahraniční politiku.</w:t>
      </w:r>
    </w:p>
    <w:p w14:paraId="2D3BB597" w14:textId="5589A24C"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Z hlediska nedávné ruské historie a současného politického myšlení lze v oblasti zahraniční politiky identifikovat dvě krajní reakce na </w:t>
      </w:r>
      <w:r w:rsidR="00FD1EC1">
        <w:rPr>
          <w:rFonts w:cstheme="minorHAnsi"/>
          <w:sz w:val="24"/>
          <w:szCs w:val="24"/>
        </w:rPr>
        <w:t>ekonomické</w:t>
      </w:r>
      <w:r w:rsidR="00FD1EC1" w:rsidRPr="00671343">
        <w:rPr>
          <w:rFonts w:cstheme="minorHAnsi"/>
          <w:sz w:val="24"/>
          <w:szCs w:val="24"/>
        </w:rPr>
        <w:t xml:space="preserve"> </w:t>
      </w:r>
      <w:r w:rsidRPr="00671343">
        <w:rPr>
          <w:rFonts w:cstheme="minorHAnsi"/>
          <w:sz w:val="24"/>
          <w:szCs w:val="24"/>
        </w:rPr>
        <w:t xml:space="preserve">problémy. Za první extrém lze označit razantní snížení zahraničněpolitické aktivity ve snaze řešit domácí problémy. Druhý </w:t>
      </w:r>
      <w:r w:rsidRPr="00671343">
        <w:rPr>
          <w:rFonts w:cstheme="minorHAnsi"/>
          <w:sz w:val="24"/>
          <w:szCs w:val="24"/>
        </w:rPr>
        <w:lastRenderedPageBreak/>
        <w:t xml:space="preserve">extrém představuje naopak zvýšení aktivity za hranicemi s nadějí, že zahraničněpolitické úspěchy zvýší legitimitu režimu. Ačkoli oba tyto politické směry jsou aktivně zastoupeny v ruském diskurzu, je nepravděpodobné, že dojde k přijetí některé z těchto politik. </w:t>
      </w:r>
    </w:p>
    <w:p w14:paraId="66B229DC" w14:textId="6F81A9A2"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I v případě snížení zahraničněpolitické aktivity je totiž nepravděpodobné, že by se snížil tlak na Rusko. V expertní komunitě panují pochybnosti, že finance, které by například nešly na obranu, by byly vhodně využité doma na jiné cíle. Staré vnitropolitické problémy by zůstaly</w:t>
      </w:r>
      <w:r w:rsidR="002B6A9D">
        <w:rPr>
          <w:rFonts w:cstheme="minorHAnsi"/>
          <w:sz w:val="24"/>
          <w:szCs w:val="24"/>
        </w:rPr>
        <w:t xml:space="preserve"> a</w:t>
      </w:r>
      <w:r w:rsidRPr="00671343">
        <w:rPr>
          <w:rFonts w:cstheme="minorHAnsi"/>
          <w:sz w:val="24"/>
          <w:szCs w:val="24"/>
        </w:rPr>
        <w:t xml:space="preserve"> nové zahraničněpolitické problémy by se naopak objevily. Zároveň je ovšem mnohým jasné, že přespříliš aktivní zahraniční politika, která není opřena o silnou ekonomiku, může vést Rusko k přepínání (</w:t>
      </w:r>
      <w:proofErr w:type="spellStart"/>
      <w:r w:rsidRPr="00671343">
        <w:rPr>
          <w:rFonts w:cstheme="minorHAnsi"/>
          <w:sz w:val="24"/>
          <w:szCs w:val="24"/>
        </w:rPr>
        <w:t>Lukyanov</w:t>
      </w:r>
      <w:proofErr w:type="spellEnd"/>
      <w:r w:rsidR="00200AFF">
        <w:rPr>
          <w:rFonts w:cstheme="minorHAnsi"/>
          <w:sz w:val="24"/>
          <w:szCs w:val="24"/>
        </w:rPr>
        <w:t xml:space="preserve">  </w:t>
      </w:r>
      <w:r w:rsidR="004F7818">
        <w:rPr>
          <w:rFonts w:cstheme="minorHAnsi"/>
          <w:sz w:val="24"/>
          <w:szCs w:val="24"/>
        </w:rPr>
        <w:t>–</w:t>
      </w:r>
      <w:r w:rsidR="00632072" w:rsidRPr="00671343">
        <w:rPr>
          <w:rFonts w:cstheme="minorHAnsi"/>
          <w:sz w:val="24"/>
          <w:szCs w:val="24"/>
        </w:rPr>
        <w:t xml:space="preserve"> </w:t>
      </w:r>
      <w:r w:rsidRPr="00671343">
        <w:rPr>
          <w:rFonts w:cstheme="minorHAnsi"/>
          <w:sz w:val="24"/>
          <w:szCs w:val="24"/>
        </w:rPr>
        <w:t xml:space="preserve">Miller 2017). Riziko uvíznout ve složitých regionálních konfliktech je velké, zatímco potenciální zisky vágní. </w:t>
      </w:r>
    </w:p>
    <w:p w14:paraId="0C2F63A8" w14:textId="77777777" w:rsidR="0008123F" w:rsidRPr="00031010" w:rsidRDefault="0008123F" w:rsidP="002B6A9D">
      <w:pPr>
        <w:spacing w:after="100" w:afterAutospacing="1" w:line="240" w:lineRule="auto"/>
        <w:jc w:val="both"/>
        <w:rPr>
          <w:i/>
          <w:sz w:val="24"/>
          <w:szCs w:val="24"/>
        </w:rPr>
      </w:pPr>
      <w:r w:rsidRPr="00031010">
        <w:rPr>
          <w:i/>
          <w:sz w:val="24"/>
          <w:szCs w:val="24"/>
        </w:rPr>
        <w:t>Vztahy s importéry s ohledem na trendy na energetických trzích</w:t>
      </w:r>
    </w:p>
    <w:p w14:paraId="110EE5D2" w14:textId="21504E56" w:rsidR="0008123F" w:rsidRPr="00671343" w:rsidRDefault="0008123F" w:rsidP="002B6A9D">
      <w:pPr>
        <w:spacing w:after="100" w:afterAutospacing="1" w:line="240" w:lineRule="auto"/>
        <w:jc w:val="both"/>
        <w:rPr>
          <w:rFonts w:cstheme="minorHAnsi"/>
          <w:sz w:val="24"/>
          <w:szCs w:val="24"/>
        </w:rPr>
      </w:pPr>
      <w:r w:rsidRPr="00671343">
        <w:rPr>
          <w:rFonts w:cstheme="minorHAnsi"/>
          <w:sz w:val="24"/>
          <w:szCs w:val="24"/>
        </w:rPr>
        <w:t>Vedení Ruska si je vědomo výzev a rizik, kterým čelí energetický sektor země a tím pádem i ruská ekonomika. Z ruské doktríny energetické bezpečnosti vyplývá, že tyto výzvy a hrozby mohou mít negativní dopady na národní bezpečnost a vnitřní stabilitu země (</w:t>
      </w:r>
      <w:r w:rsidR="004D54C2">
        <w:rPr>
          <w:rFonts w:cstheme="minorHAnsi"/>
          <w:sz w:val="24"/>
          <w:szCs w:val="24"/>
        </w:rPr>
        <w:t xml:space="preserve">v </w:t>
      </w:r>
      <w:r w:rsidRPr="00671343">
        <w:rPr>
          <w:rFonts w:cstheme="minorHAnsi"/>
          <w:sz w:val="24"/>
          <w:szCs w:val="24"/>
        </w:rPr>
        <w:t>první řadě na sociální stabilitu), ale i na mezinárodní vztahy (</w:t>
      </w:r>
      <w:proofErr w:type="spellStart"/>
      <w:r w:rsidRPr="00671343">
        <w:rPr>
          <w:rFonts w:cstheme="minorHAnsi"/>
          <w:sz w:val="24"/>
          <w:szCs w:val="24"/>
        </w:rPr>
        <w:t>Указ</w:t>
      </w:r>
      <w:proofErr w:type="spellEnd"/>
      <w:r w:rsidRPr="00671343">
        <w:rPr>
          <w:rFonts w:cstheme="minorHAnsi"/>
          <w:sz w:val="24"/>
          <w:szCs w:val="24"/>
        </w:rPr>
        <w:t xml:space="preserve"> </w:t>
      </w:r>
      <w:proofErr w:type="spellStart"/>
      <w:r w:rsidRPr="00671343">
        <w:rPr>
          <w:rFonts w:cstheme="minorHAnsi"/>
          <w:sz w:val="24"/>
          <w:szCs w:val="24"/>
        </w:rPr>
        <w:t>Президента</w:t>
      </w:r>
      <w:proofErr w:type="spellEnd"/>
      <w:r w:rsidRPr="00671343">
        <w:rPr>
          <w:rFonts w:cstheme="minorHAnsi"/>
          <w:sz w:val="24"/>
          <w:szCs w:val="24"/>
        </w:rPr>
        <w:t xml:space="preserve"> </w:t>
      </w:r>
      <w:proofErr w:type="spellStart"/>
      <w:r w:rsidRPr="00671343">
        <w:rPr>
          <w:rFonts w:cstheme="minorHAnsi"/>
          <w:sz w:val="24"/>
          <w:szCs w:val="24"/>
        </w:rPr>
        <w:t>Российской</w:t>
      </w:r>
      <w:proofErr w:type="spellEnd"/>
      <w:r w:rsidRPr="00671343">
        <w:rPr>
          <w:rFonts w:cstheme="minorHAnsi"/>
          <w:sz w:val="24"/>
          <w:szCs w:val="24"/>
        </w:rPr>
        <w:t xml:space="preserve"> </w:t>
      </w:r>
      <w:proofErr w:type="spellStart"/>
      <w:r w:rsidRPr="00671343">
        <w:rPr>
          <w:rFonts w:cstheme="minorHAnsi"/>
          <w:sz w:val="24"/>
          <w:szCs w:val="24"/>
        </w:rPr>
        <w:t>Федерации</w:t>
      </w:r>
      <w:proofErr w:type="spellEnd"/>
      <w:r w:rsidRPr="00671343">
        <w:rPr>
          <w:rFonts w:cstheme="minorHAnsi"/>
          <w:sz w:val="24"/>
          <w:szCs w:val="24"/>
        </w:rPr>
        <w:t xml:space="preserve"> 2019). Přesněji řečeno, vývoj mezinárodních vztahů má dopad na to, jak se tyto výzvy a hrozby projevují. Podle vedení země tyto výzvy a hrozby mají nejen objektivní (</w:t>
      </w:r>
      <w:r w:rsidR="002B6A9D">
        <w:rPr>
          <w:rFonts w:cstheme="minorHAnsi"/>
          <w:sz w:val="24"/>
          <w:szCs w:val="24"/>
        </w:rPr>
        <w:t>viz</w:t>
      </w:r>
      <w:r w:rsidRPr="00671343">
        <w:rPr>
          <w:rFonts w:cstheme="minorHAnsi"/>
          <w:sz w:val="24"/>
          <w:szCs w:val="24"/>
        </w:rPr>
        <w:t xml:space="preserve"> přirozený vývoj energetického sektoru i klimatická politika zaměřená na boj proti globálnímu oteplování), ale i subjektivní</w:t>
      </w:r>
      <w:r w:rsidR="001845FC">
        <w:rPr>
          <w:rFonts w:cstheme="minorHAnsi"/>
          <w:sz w:val="24"/>
          <w:szCs w:val="24"/>
        </w:rPr>
        <w:t xml:space="preserve"> charakter</w:t>
      </w:r>
      <w:r w:rsidRPr="00671343">
        <w:rPr>
          <w:rFonts w:cstheme="minorHAnsi"/>
          <w:sz w:val="24"/>
          <w:szCs w:val="24"/>
        </w:rPr>
        <w:t>.</w:t>
      </w:r>
      <w:r w:rsidR="002B6A9D">
        <w:rPr>
          <w:rStyle w:val="Znakapoznpodarou"/>
          <w:rFonts w:cstheme="minorHAnsi"/>
          <w:sz w:val="24"/>
          <w:szCs w:val="24"/>
        </w:rPr>
        <w:footnoteReference w:id="13"/>
      </w:r>
      <w:r w:rsidRPr="00671343">
        <w:rPr>
          <w:rFonts w:cstheme="minorHAnsi"/>
          <w:sz w:val="24"/>
          <w:szCs w:val="24"/>
        </w:rPr>
        <w:t xml:space="preserve"> Doktrína fakticky obviňuje EU, že cílem </w:t>
      </w:r>
      <w:r w:rsidR="000404DC" w:rsidRPr="00671343">
        <w:rPr>
          <w:rFonts w:cstheme="minorHAnsi"/>
          <w:sz w:val="24"/>
          <w:szCs w:val="24"/>
        </w:rPr>
        <w:t>Zelené dohody</w:t>
      </w:r>
      <w:r w:rsidRPr="00671343">
        <w:rPr>
          <w:rFonts w:cstheme="minorHAnsi"/>
          <w:sz w:val="24"/>
          <w:szCs w:val="24"/>
        </w:rPr>
        <w:t xml:space="preserve"> není pouze boj proti globálnímu oteplování, ale omezení přítomnosti Ruska na evropských energetických trzích</w:t>
      </w:r>
      <w:r w:rsidR="00ED5BF9">
        <w:rPr>
          <w:rFonts w:cstheme="minorHAnsi"/>
          <w:sz w:val="24"/>
          <w:szCs w:val="24"/>
        </w:rPr>
        <w:t>,</w:t>
      </w:r>
      <w:r w:rsidRPr="00671343">
        <w:rPr>
          <w:rFonts w:cstheme="minorHAnsi"/>
          <w:sz w:val="24"/>
          <w:szCs w:val="24"/>
        </w:rPr>
        <w:t xml:space="preserve"> a tím pádem i poškození ruské energetické bezpečnosti. Klimaticko-energetická politika EU destabilizuje Rusko a děje se to záměrně. Další kritika směřuje na omezující opatření (především sankce) proti ruskému energetickému sektoru. </w:t>
      </w:r>
    </w:p>
    <w:p w14:paraId="03936F34" w14:textId="07FD5871"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Zároveň ale </w:t>
      </w:r>
      <w:r w:rsidR="00A30FA5">
        <w:rPr>
          <w:rFonts w:cstheme="minorHAnsi"/>
          <w:sz w:val="24"/>
          <w:szCs w:val="24"/>
        </w:rPr>
        <w:t>Rusko nepočítá s tím</w:t>
      </w:r>
      <w:r w:rsidRPr="00671343">
        <w:rPr>
          <w:rFonts w:cstheme="minorHAnsi"/>
          <w:sz w:val="24"/>
          <w:szCs w:val="24"/>
        </w:rPr>
        <w:t xml:space="preserve">, že je možné se </w:t>
      </w:r>
      <w:r w:rsidR="00A30FA5" w:rsidRPr="00671343">
        <w:rPr>
          <w:rFonts w:cstheme="minorHAnsi"/>
          <w:sz w:val="24"/>
          <w:szCs w:val="24"/>
        </w:rPr>
        <w:t xml:space="preserve">zcela </w:t>
      </w:r>
      <w:r w:rsidRPr="00671343">
        <w:rPr>
          <w:rFonts w:cstheme="minorHAnsi"/>
          <w:sz w:val="24"/>
          <w:szCs w:val="24"/>
        </w:rPr>
        <w:t>zbavit závislosti na ropě a plynu. Dokonce znějí varování před nedostatečnými investicemi do ropného odvětví v důsledku pandemie COVID</w:t>
      </w:r>
      <w:r w:rsidR="00E36DF5" w:rsidRPr="00671343">
        <w:rPr>
          <w:rFonts w:cstheme="minorHAnsi"/>
          <w:sz w:val="24"/>
          <w:szCs w:val="24"/>
        </w:rPr>
        <w:t>-</w:t>
      </w:r>
      <w:r w:rsidRPr="00671343">
        <w:rPr>
          <w:rFonts w:cstheme="minorHAnsi"/>
          <w:sz w:val="24"/>
          <w:szCs w:val="24"/>
        </w:rPr>
        <w:t>19 a přemrštěných očekávání vkládaných do energetického tranzitu (</w:t>
      </w:r>
      <w:proofErr w:type="spellStart"/>
      <w:r w:rsidRPr="00671343">
        <w:rPr>
          <w:rFonts w:cstheme="minorHAnsi"/>
          <w:sz w:val="24"/>
          <w:szCs w:val="24"/>
        </w:rPr>
        <w:t>Mitrova</w:t>
      </w:r>
      <w:proofErr w:type="spellEnd"/>
      <w:r w:rsidRPr="00671343">
        <w:rPr>
          <w:rFonts w:cstheme="minorHAnsi"/>
          <w:sz w:val="24"/>
          <w:szCs w:val="24"/>
        </w:rPr>
        <w:t xml:space="preserve"> et al. 2020b; Putin 2020). To může v budoucnu vést ke skokovému zvýšení cen. </w:t>
      </w:r>
      <w:r w:rsidR="00C25283">
        <w:rPr>
          <w:rFonts w:cstheme="minorHAnsi"/>
          <w:sz w:val="24"/>
          <w:szCs w:val="24"/>
        </w:rPr>
        <w:t>Rusko</w:t>
      </w:r>
      <w:r w:rsidR="00C25283" w:rsidRPr="00671343">
        <w:rPr>
          <w:rFonts w:cstheme="minorHAnsi"/>
          <w:sz w:val="24"/>
          <w:szCs w:val="24"/>
        </w:rPr>
        <w:t xml:space="preserve"> </w:t>
      </w:r>
      <w:r w:rsidRPr="00671343">
        <w:rPr>
          <w:rFonts w:cstheme="minorHAnsi"/>
          <w:sz w:val="24"/>
          <w:szCs w:val="24"/>
        </w:rPr>
        <w:t>proto vyzývá k depolitizaci tématu a nalezení rovnováhy mezi ekologií</w:t>
      </w:r>
      <w:r w:rsidRPr="00671343">
        <w:rPr>
          <w:rStyle w:val="Znakapoznpodarou"/>
          <w:rFonts w:cstheme="minorHAnsi"/>
          <w:sz w:val="24"/>
          <w:szCs w:val="24"/>
        </w:rPr>
        <w:footnoteReference w:id="14"/>
      </w:r>
      <w:r w:rsidRPr="00671343">
        <w:rPr>
          <w:rFonts w:cstheme="minorHAnsi"/>
          <w:sz w:val="24"/>
          <w:szCs w:val="24"/>
        </w:rPr>
        <w:t xml:space="preserve"> a ekonomickými zájmy. Cíle EU tak vedení Ruska vnímá jako nerealizovatelné. Tento názor </w:t>
      </w:r>
      <w:r w:rsidR="002B6A9D">
        <w:rPr>
          <w:rFonts w:cstheme="minorHAnsi"/>
          <w:sz w:val="24"/>
          <w:szCs w:val="24"/>
        </w:rPr>
        <w:t>se</w:t>
      </w:r>
      <w:r w:rsidRPr="00671343">
        <w:rPr>
          <w:rFonts w:cstheme="minorHAnsi"/>
          <w:sz w:val="24"/>
          <w:szCs w:val="24"/>
        </w:rPr>
        <w:t xml:space="preserve"> dokládá</w:t>
      </w:r>
      <w:r w:rsidR="002B6A9D">
        <w:rPr>
          <w:rFonts w:cstheme="minorHAnsi"/>
          <w:sz w:val="24"/>
          <w:szCs w:val="24"/>
        </w:rPr>
        <w:t xml:space="preserve"> </w:t>
      </w:r>
      <w:r w:rsidR="002B6A9D" w:rsidRPr="00671343">
        <w:rPr>
          <w:rFonts w:cstheme="minorHAnsi"/>
          <w:sz w:val="24"/>
          <w:szCs w:val="24"/>
        </w:rPr>
        <w:t>například</w:t>
      </w:r>
      <w:r w:rsidRPr="00671343">
        <w:rPr>
          <w:rFonts w:cstheme="minorHAnsi"/>
          <w:sz w:val="24"/>
          <w:szCs w:val="24"/>
        </w:rPr>
        <w:t xml:space="preserve"> tím, že kromě ropy dochází i k „diskriminaci“ zemního plynu i jaderné energetiky. Jedná se tudíž o snahu některých zemí zvýšit konkurenceschopnost vlastních průmyslových odvětví na úkor jiných států. </w:t>
      </w:r>
    </w:p>
    <w:p w14:paraId="4A1DBD0F" w14:textId="0A0117EB"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Energetická doktrína jasně říká, že se Rusko proti této politice bude aktivně bránit. Tato obrana bude probíhat v první řadě prostřednictvím mezinárodně-právních instrumentů: Světové obchodní organizace (WTO), Evropského soudního dvora či arbitráží. V rámci těchto institutů se bude Rusko snažit dokázat, že evropská politika má diskriminační povahu. </w:t>
      </w:r>
      <w:r w:rsidR="00E36DF5" w:rsidRPr="00671343">
        <w:rPr>
          <w:rFonts w:cstheme="minorHAnsi"/>
          <w:sz w:val="24"/>
          <w:szCs w:val="24"/>
        </w:rPr>
        <w:t xml:space="preserve">Charakteristickým </w:t>
      </w:r>
      <w:r w:rsidRPr="00671343">
        <w:rPr>
          <w:rFonts w:cstheme="minorHAnsi"/>
          <w:sz w:val="24"/>
          <w:szCs w:val="24"/>
        </w:rPr>
        <w:t xml:space="preserve">případem byla ruská stížnost u WTO z roku 2014 proti třetímu </w:t>
      </w:r>
      <w:r w:rsidRPr="00671343">
        <w:rPr>
          <w:rFonts w:cstheme="minorHAnsi"/>
          <w:sz w:val="24"/>
          <w:szCs w:val="24"/>
        </w:rPr>
        <w:lastRenderedPageBreak/>
        <w:t>energetickému balíčku. Jedná se o civilizované řešení sporu, které dopomáhá k depolitizaci tématu, což v současně napjatých vztazích velmi důležité.</w:t>
      </w:r>
    </w:p>
    <w:p w14:paraId="71EAD7DD" w14:textId="1D36AC36"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Další odpovědí bude úsilí přeorientovat se na jiné trhy, kde nebudou tolik přísná klimatická pravidla. Problémem ovšem je, že klimatické cíle si stanoví i Čína </w:t>
      </w:r>
      <w:r w:rsidR="00E36DF5" w:rsidRPr="00671343">
        <w:rPr>
          <w:rFonts w:cstheme="minorHAnsi"/>
          <w:sz w:val="24"/>
          <w:szCs w:val="24"/>
        </w:rPr>
        <w:t>a</w:t>
      </w:r>
      <w:r w:rsidRPr="00671343">
        <w:rPr>
          <w:rFonts w:cstheme="minorHAnsi"/>
          <w:sz w:val="24"/>
          <w:szCs w:val="24"/>
        </w:rPr>
        <w:t xml:space="preserve"> </w:t>
      </w:r>
      <w:r w:rsidR="000404DC" w:rsidRPr="00671343">
        <w:rPr>
          <w:rFonts w:cstheme="minorHAnsi"/>
          <w:sz w:val="24"/>
          <w:szCs w:val="24"/>
        </w:rPr>
        <w:t>stávající</w:t>
      </w:r>
      <w:r w:rsidRPr="00671343">
        <w:rPr>
          <w:rFonts w:cstheme="minorHAnsi"/>
          <w:sz w:val="24"/>
          <w:szCs w:val="24"/>
        </w:rPr>
        <w:t xml:space="preserve"> vítěz amerických prezidentských voleb </w:t>
      </w:r>
      <w:proofErr w:type="spellStart"/>
      <w:r w:rsidRPr="00671343">
        <w:rPr>
          <w:rFonts w:cstheme="minorHAnsi"/>
          <w:sz w:val="24"/>
          <w:szCs w:val="24"/>
        </w:rPr>
        <w:t>Joe</w:t>
      </w:r>
      <w:proofErr w:type="spellEnd"/>
      <w:r w:rsidRPr="00671343">
        <w:rPr>
          <w:rFonts w:cstheme="minorHAnsi"/>
          <w:sz w:val="24"/>
          <w:szCs w:val="24"/>
        </w:rPr>
        <w:t xml:space="preserve"> </w:t>
      </w:r>
      <w:proofErr w:type="spellStart"/>
      <w:r w:rsidRPr="00671343">
        <w:rPr>
          <w:rFonts w:cstheme="minorHAnsi"/>
          <w:sz w:val="24"/>
          <w:szCs w:val="24"/>
        </w:rPr>
        <w:t>Biden</w:t>
      </w:r>
      <w:proofErr w:type="spellEnd"/>
      <w:r w:rsidRPr="00671343">
        <w:rPr>
          <w:rFonts w:cstheme="minorHAnsi"/>
          <w:sz w:val="24"/>
          <w:szCs w:val="24"/>
        </w:rPr>
        <w:t xml:space="preserve">. Je ale možné, že v těchto zemích nebudou regulatorní opatření natolik přísná jako v EU a bude kladen nižší důraz na přechod na </w:t>
      </w:r>
      <w:r w:rsidR="00744B15">
        <w:rPr>
          <w:rFonts w:cstheme="minorHAnsi"/>
          <w:sz w:val="24"/>
          <w:szCs w:val="24"/>
        </w:rPr>
        <w:t>OZE</w:t>
      </w:r>
      <w:r w:rsidRPr="00671343">
        <w:rPr>
          <w:rFonts w:cstheme="minorHAnsi"/>
          <w:sz w:val="24"/>
          <w:szCs w:val="24"/>
        </w:rPr>
        <w:t xml:space="preserve"> se zapojením technologií </w:t>
      </w:r>
      <w:proofErr w:type="spellStart"/>
      <w:r w:rsidR="000A173F" w:rsidRPr="002B6A9D">
        <w:rPr>
          <w:rFonts w:cstheme="minorHAnsi"/>
          <w:sz w:val="24"/>
          <w:szCs w:val="24"/>
        </w:rPr>
        <w:t>Carbon</w:t>
      </w:r>
      <w:proofErr w:type="spellEnd"/>
      <w:r w:rsidR="000A173F" w:rsidRPr="002B6A9D">
        <w:rPr>
          <w:rFonts w:cstheme="minorHAnsi"/>
          <w:sz w:val="24"/>
          <w:szCs w:val="24"/>
        </w:rPr>
        <w:t xml:space="preserve"> </w:t>
      </w:r>
      <w:proofErr w:type="spellStart"/>
      <w:r w:rsidR="000A173F" w:rsidRPr="002B6A9D">
        <w:rPr>
          <w:rFonts w:cstheme="minorHAnsi"/>
          <w:sz w:val="24"/>
          <w:szCs w:val="24"/>
        </w:rPr>
        <w:t>Capture</w:t>
      </w:r>
      <w:proofErr w:type="spellEnd"/>
      <w:r w:rsidR="000A173F" w:rsidRPr="002B6A9D">
        <w:rPr>
          <w:rFonts w:cstheme="minorHAnsi"/>
          <w:sz w:val="24"/>
          <w:szCs w:val="24"/>
        </w:rPr>
        <w:t xml:space="preserve"> and </w:t>
      </w:r>
      <w:proofErr w:type="spellStart"/>
      <w:r w:rsidR="000A173F" w:rsidRPr="002B6A9D">
        <w:rPr>
          <w:rFonts w:cstheme="minorHAnsi"/>
          <w:sz w:val="24"/>
          <w:szCs w:val="24"/>
        </w:rPr>
        <w:t>Storage</w:t>
      </w:r>
      <w:proofErr w:type="spellEnd"/>
      <w:r w:rsidR="000A173F" w:rsidRPr="00671343">
        <w:rPr>
          <w:rFonts w:cstheme="minorHAnsi"/>
          <w:sz w:val="24"/>
          <w:szCs w:val="24"/>
        </w:rPr>
        <w:t xml:space="preserve"> </w:t>
      </w:r>
      <w:r w:rsidR="000A173F">
        <w:rPr>
          <w:rFonts w:cstheme="minorHAnsi"/>
          <w:sz w:val="24"/>
          <w:szCs w:val="24"/>
        </w:rPr>
        <w:t>(</w:t>
      </w:r>
      <w:r w:rsidRPr="00671343">
        <w:rPr>
          <w:rFonts w:cstheme="minorHAnsi"/>
          <w:sz w:val="24"/>
          <w:szCs w:val="24"/>
        </w:rPr>
        <w:t>CCS</w:t>
      </w:r>
      <w:r w:rsidR="000A173F">
        <w:rPr>
          <w:rFonts w:cstheme="minorHAnsi"/>
          <w:sz w:val="24"/>
          <w:szCs w:val="24"/>
        </w:rPr>
        <w:t xml:space="preserve">, </w:t>
      </w:r>
      <w:r w:rsidR="000A173F" w:rsidRPr="002B6A9D">
        <w:rPr>
          <w:rFonts w:cstheme="minorHAnsi"/>
          <w:sz w:val="24"/>
          <w:szCs w:val="24"/>
        </w:rPr>
        <w:t>zachytávání a ukládání oxidu uhličitého</w:t>
      </w:r>
      <w:r w:rsidR="000A173F">
        <w:rPr>
          <w:rFonts w:cstheme="minorHAnsi"/>
          <w:sz w:val="24"/>
          <w:szCs w:val="24"/>
        </w:rPr>
        <w:t>)</w:t>
      </w:r>
      <w:r w:rsidRPr="00671343">
        <w:rPr>
          <w:rFonts w:cstheme="minorHAnsi"/>
          <w:sz w:val="24"/>
          <w:szCs w:val="24"/>
        </w:rPr>
        <w:t xml:space="preserve"> pro tradiční energetické nosiče. </w:t>
      </w:r>
    </w:p>
    <w:p w14:paraId="0F04DBA4" w14:textId="65913FB0" w:rsidR="0008123F" w:rsidRPr="00671343" w:rsidRDefault="006B250C" w:rsidP="002B6A9D">
      <w:pPr>
        <w:spacing w:after="100" w:afterAutospacing="1" w:line="240" w:lineRule="auto"/>
        <w:ind w:firstLine="709"/>
        <w:jc w:val="both"/>
        <w:rPr>
          <w:rFonts w:cstheme="minorHAnsi"/>
          <w:sz w:val="24"/>
          <w:szCs w:val="24"/>
        </w:rPr>
      </w:pPr>
      <w:r w:rsidRPr="00671343">
        <w:rPr>
          <w:rFonts w:cstheme="minorHAnsi"/>
          <w:sz w:val="24"/>
          <w:szCs w:val="24"/>
        </w:rPr>
        <w:t>Kromě toho, že R</w:t>
      </w:r>
      <w:r w:rsidR="0008123F" w:rsidRPr="00671343">
        <w:rPr>
          <w:rFonts w:cstheme="minorHAnsi"/>
          <w:sz w:val="24"/>
          <w:szCs w:val="24"/>
        </w:rPr>
        <w:t>usko</w:t>
      </w:r>
      <w:r w:rsidRPr="00671343">
        <w:rPr>
          <w:rFonts w:cstheme="minorHAnsi"/>
          <w:sz w:val="24"/>
          <w:szCs w:val="24"/>
        </w:rPr>
        <w:t xml:space="preserve"> vnímá</w:t>
      </w:r>
      <w:r w:rsidR="0008123F" w:rsidRPr="00671343">
        <w:rPr>
          <w:rFonts w:cstheme="minorHAnsi"/>
          <w:sz w:val="24"/>
          <w:szCs w:val="24"/>
        </w:rPr>
        <w:t xml:space="preserve"> evropskou energetickou transformaci jako pokus o omezení svých ekonomických zájmů, </w:t>
      </w:r>
      <w:r w:rsidR="002B6A9D">
        <w:rPr>
          <w:rFonts w:cstheme="minorHAnsi"/>
          <w:sz w:val="24"/>
          <w:szCs w:val="24"/>
        </w:rPr>
        <w:t>je</w:t>
      </w:r>
      <w:r w:rsidR="0008123F" w:rsidRPr="00671343">
        <w:rPr>
          <w:rFonts w:cstheme="minorHAnsi"/>
          <w:sz w:val="24"/>
          <w:szCs w:val="24"/>
        </w:rPr>
        <w:t xml:space="preserve"> otázk</w:t>
      </w:r>
      <w:r w:rsidRPr="00671343">
        <w:rPr>
          <w:rFonts w:cstheme="minorHAnsi"/>
          <w:sz w:val="24"/>
          <w:szCs w:val="24"/>
        </w:rPr>
        <w:t>ou</w:t>
      </w:r>
      <w:r w:rsidR="0008123F" w:rsidRPr="00671343">
        <w:rPr>
          <w:rFonts w:cstheme="minorHAnsi"/>
          <w:sz w:val="24"/>
          <w:szCs w:val="24"/>
        </w:rPr>
        <w:t xml:space="preserve">, </w:t>
      </w:r>
      <w:r w:rsidR="002B6A9D">
        <w:rPr>
          <w:rFonts w:cstheme="minorHAnsi"/>
          <w:sz w:val="24"/>
          <w:szCs w:val="24"/>
        </w:rPr>
        <w:t>nakolik</w:t>
      </w:r>
      <w:r w:rsidR="0008123F" w:rsidRPr="00671343">
        <w:rPr>
          <w:rFonts w:cstheme="minorHAnsi"/>
          <w:sz w:val="24"/>
          <w:szCs w:val="24"/>
        </w:rPr>
        <w:t xml:space="preserve"> je EU schopna a ochotna čelit americkým sekundárním sankcím proti ruskému energetickému průmyslu. V</w:t>
      </w:r>
      <w:r w:rsidRPr="00671343">
        <w:rPr>
          <w:rFonts w:cstheme="minorHAnsi"/>
          <w:sz w:val="24"/>
          <w:szCs w:val="24"/>
        </w:rPr>
        <w:t> </w:t>
      </w:r>
      <w:r w:rsidR="0008123F" w:rsidRPr="00671343">
        <w:rPr>
          <w:rFonts w:cstheme="minorHAnsi"/>
          <w:sz w:val="24"/>
          <w:szCs w:val="24"/>
        </w:rPr>
        <w:t>první řadě se jedná</w:t>
      </w:r>
      <w:r w:rsidR="002B6A9D">
        <w:rPr>
          <w:rFonts w:cstheme="minorHAnsi"/>
          <w:sz w:val="24"/>
          <w:szCs w:val="24"/>
        </w:rPr>
        <w:t xml:space="preserve"> o</w:t>
      </w:r>
      <w:r w:rsidR="0008123F" w:rsidRPr="00671343">
        <w:rPr>
          <w:rFonts w:cstheme="minorHAnsi"/>
          <w:sz w:val="24"/>
          <w:szCs w:val="24"/>
        </w:rPr>
        <w:t xml:space="preserve"> dokončení plynovodu </w:t>
      </w:r>
      <w:proofErr w:type="spellStart"/>
      <w:r w:rsidR="0008123F" w:rsidRPr="00671343">
        <w:rPr>
          <w:rFonts w:cstheme="minorHAnsi"/>
          <w:sz w:val="24"/>
          <w:szCs w:val="24"/>
        </w:rPr>
        <w:t>Nord</w:t>
      </w:r>
      <w:proofErr w:type="spellEnd"/>
      <w:r w:rsidR="0008123F" w:rsidRPr="00671343">
        <w:rPr>
          <w:rFonts w:cstheme="minorHAnsi"/>
          <w:sz w:val="24"/>
          <w:szCs w:val="24"/>
        </w:rPr>
        <w:t xml:space="preserve"> </w:t>
      </w:r>
      <w:proofErr w:type="spellStart"/>
      <w:r w:rsidR="0008123F" w:rsidRPr="00671343">
        <w:rPr>
          <w:rFonts w:cstheme="minorHAnsi"/>
          <w:sz w:val="24"/>
          <w:szCs w:val="24"/>
        </w:rPr>
        <w:t>Stream</w:t>
      </w:r>
      <w:proofErr w:type="spellEnd"/>
      <w:r w:rsidR="0008123F" w:rsidRPr="00671343">
        <w:rPr>
          <w:rFonts w:cstheme="minorHAnsi"/>
          <w:sz w:val="24"/>
          <w:szCs w:val="24"/>
        </w:rPr>
        <w:t xml:space="preserve"> 2. Za těchto okolností proto nelze vyloučit zhoršení bilaterálních vztahů mezi Ruskem a jeho tradičním evropským partnerem, Německem, obzvláště pokud budou součástí příští vládní koalice</w:t>
      </w:r>
      <w:r w:rsidR="00ED5BF9">
        <w:rPr>
          <w:rFonts w:cstheme="minorHAnsi"/>
          <w:sz w:val="24"/>
          <w:szCs w:val="24"/>
        </w:rPr>
        <w:t xml:space="preserve"> </w:t>
      </w:r>
      <w:r w:rsidR="00ED5BF9" w:rsidRPr="00671343">
        <w:rPr>
          <w:rFonts w:cstheme="minorHAnsi"/>
          <w:sz w:val="24"/>
          <w:szCs w:val="24"/>
        </w:rPr>
        <w:t>Zelení</w:t>
      </w:r>
      <w:r w:rsidR="0008123F" w:rsidRPr="00671343">
        <w:rPr>
          <w:rFonts w:cstheme="minorHAnsi"/>
          <w:sz w:val="24"/>
          <w:szCs w:val="24"/>
        </w:rPr>
        <w:t>. Pokud například Paříž (případně jiný významný evropský stát či koalice států) nenahradí Berlín coby spojovací prvek mezi Západem a Ruskem, dojde k</w:t>
      </w:r>
      <w:r w:rsidRPr="00671343">
        <w:rPr>
          <w:rFonts w:cstheme="minorHAnsi"/>
          <w:sz w:val="24"/>
          <w:szCs w:val="24"/>
        </w:rPr>
        <w:t> </w:t>
      </w:r>
      <w:r w:rsidR="0008123F" w:rsidRPr="00671343">
        <w:rPr>
          <w:rFonts w:cstheme="minorHAnsi"/>
          <w:sz w:val="24"/>
          <w:szCs w:val="24"/>
        </w:rPr>
        <w:t>dalšímu zhoršení</w:t>
      </w:r>
      <w:r w:rsidR="002B6A9D">
        <w:rPr>
          <w:rFonts w:cstheme="minorHAnsi"/>
          <w:sz w:val="24"/>
          <w:szCs w:val="24"/>
        </w:rPr>
        <w:t xml:space="preserve"> vzájemných</w:t>
      </w:r>
      <w:r w:rsidR="0008123F" w:rsidRPr="00671343">
        <w:rPr>
          <w:rFonts w:cstheme="minorHAnsi"/>
          <w:sz w:val="24"/>
          <w:szCs w:val="24"/>
        </w:rPr>
        <w:t xml:space="preserve"> vztahů mezi Západem a Ruskem. Přitom právě energetika je v</w:t>
      </w:r>
      <w:r w:rsidR="002B6A9D">
        <w:rPr>
          <w:rFonts w:cstheme="minorHAnsi"/>
          <w:sz w:val="24"/>
          <w:szCs w:val="24"/>
        </w:rPr>
        <w:t> </w:t>
      </w:r>
      <w:r w:rsidR="0008123F" w:rsidRPr="00671343">
        <w:rPr>
          <w:rFonts w:cstheme="minorHAnsi"/>
          <w:sz w:val="24"/>
          <w:szCs w:val="24"/>
        </w:rPr>
        <w:t>Rusku</w:t>
      </w:r>
      <w:r w:rsidR="002B6A9D">
        <w:rPr>
          <w:rFonts w:cstheme="minorHAnsi"/>
          <w:sz w:val="24"/>
          <w:szCs w:val="24"/>
        </w:rPr>
        <w:t xml:space="preserve"> </w:t>
      </w:r>
      <w:r w:rsidR="002B6A9D" w:rsidRPr="00671343">
        <w:rPr>
          <w:rFonts w:cstheme="minorHAnsi"/>
          <w:sz w:val="24"/>
          <w:szCs w:val="24"/>
        </w:rPr>
        <w:t>tradičně</w:t>
      </w:r>
      <w:r w:rsidR="002B6A9D">
        <w:rPr>
          <w:rFonts w:cstheme="minorHAnsi"/>
          <w:sz w:val="24"/>
          <w:szCs w:val="24"/>
        </w:rPr>
        <w:t>,</w:t>
      </w:r>
      <w:r w:rsidR="0008123F" w:rsidRPr="00671343">
        <w:rPr>
          <w:rFonts w:cstheme="minorHAnsi"/>
          <w:sz w:val="24"/>
          <w:szCs w:val="24"/>
        </w:rPr>
        <w:t xml:space="preserve"> ještě z</w:t>
      </w:r>
      <w:r w:rsidRPr="00671343">
        <w:rPr>
          <w:rFonts w:cstheme="minorHAnsi"/>
          <w:sz w:val="24"/>
          <w:szCs w:val="24"/>
        </w:rPr>
        <w:t> </w:t>
      </w:r>
      <w:r w:rsidR="0008123F" w:rsidRPr="00671343">
        <w:rPr>
          <w:rFonts w:cstheme="minorHAnsi"/>
          <w:sz w:val="24"/>
          <w:szCs w:val="24"/>
        </w:rPr>
        <w:t>dob studené války</w:t>
      </w:r>
      <w:r w:rsidR="002B6A9D">
        <w:rPr>
          <w:rFonts w:cstheme="minorHAnsi"/>
          <w:sz w:val="24"/>
          <w:szCs w:val="24"/>
        </w:rPr>
        <w:t>,</w:t>
      </w:r>
      <w:r w:rsidR="0008123F" w:rsidRPr="00671343">
        <w:rPr>
          <w:rFonts w:cstheme="minorHAnsi"/>
          <w:sz w:val="24"/>
          <w:szCs w:val="24"/>
        </w:rPr>
        <w:t xml:space="preserve"> vnímána jako spojující prvek s</w:t>
      </w:r>
      <w:r w:rsidRPr="00671343">
        <w:rPr>
          <w:rFonts w:cstheme="minorHAnsi"/>
          <w:sz w:val="24"/>
          <w:szCs w:val="24"/>
        </w:rPr>
        <w:t> </w:t>
      </w:r>
      <w:r w:rsidR="0008123F" w:rsidRPr="00671343">
        <w:rPr>
          <w:rFonts w:cstheme="minorHAnsi"/>
          <w:sz w:val="24"/>
          <w:szCs w:val="24"/>
        </w:rPr>
        <w:t xml:space="preserve">evropskými zeměmi. Otázka dostavby a zprovoznění plynovodu </w:t>
      </w:r>
      <w:proofErr w:type="spellStart"/>
      <w:r w:rsidR="0008123F" w:rsidRPr="00671343">
        <w:rPr>
          <w:rFonts w:cstheme="minorHAnsi"/>
          <w:sz w:val="24"/>
          <w:szCs w:val="24"/>
        </w:rPr>
        <w:t>Nord</w:t>
      </w:r>
      <w:proofErr w:type="spellEnd"/>
      <w:r w:rsidR="0008123F" w:rsidRPr="00671343">
        <w:rPr>
          <w:rFonts w:cstheme="minorHAnsi"/>
          <w:sz w:val="24"/>
          <w:szCs w:val="24"/>
        </w:rPr>
        <w:t xml:space="preserve"> </w:t>
      </w:r>
      <w:proofErr w:type="spellStart"/>
      <w:r w:rsidR="0008123F" w:rsidRPr="00671343">
        <w:rPr>
          <w:rFonts w:cstheme="minorHAnsi"/>
          <w:sz w:val="24"/>
          <w:szCs w:val="24"/>
        </w:rPr>
        <w:t>Stream</w:t>
      </w:r>
      <w:proofErr w:type="spellEnd"/>
      <w:r w:rsidR="00D37FF8">
        <w:rPr>
          <w:rFonts w:cstheme="minorHAnsi"/>
          <w:sz w:val="24"/>
          <w:szCs w:val="24"/>
        </w:rPr>
        <w:t xml:space="preserve"> 2</w:t>
      </w:r>
      <w:r w:rsidR="0008123F" w:rsidRPr="00671343">
        <w:rPr>
          <w:rFonts w:cstheme="minorHAnsi"/>
          <w:sz w:val="24"/>
          <w:szCs w:val="24"/>
        </w:rPr>
        <w:t xml:space="preserve"> bude </w:t>
      </w:r>
      <w:r w:rsidR="00A90768">
        <w:rPr>
          <w:rFonts w:cstheme="minorHAnsi"/>
          <w:sz w:val="24"/>
          <w:szCs w:val="24"/>
        </w:rPr>
        <w:t>te</w:t>
      </w:r>
      <w:r w:rsidR="00D47BBE">
        <w:rPr>
          <w:rFonts w:cstheme="minorHAnsi"/>
          <w:sz w:val="24"/>
          <w:szCs w:val="24"/>
        </w:rPr>
        <w:t>dy</w:t>
      </w:r>
      <w:r w:rsidR="00A90768">
        <w:rPr>
          <w:rFonts w:cstheme="minorHAnsi"/>
          <w:sz w:val="24"/>
          <w:szCs w:val="24"/>
        </w:rPr>
        <w:t xml:space="preserve"> </w:t>
      </w:r>
      <w:r w:rsidR="0008123F" w:rsidRPr="00671343">
        <w:rPr>
          <w:rFonts w:cstheme="minorHAnsi"/>
          <w:sz w:val="24"/>
          <w:szCs w:val="24"/>
        </w:rPr>
        <w:t>jistým způsobem „stress testem“ budoucnosti vztahů s</w:t>
      </w:r>
      <w:r w:rsidRPr="00671343">
        <w:rPr>
          <w:rFonts w:cstheme="minorHAnsi"/>
          <w:sz w:val="24"/>
          <w:szCs w:val="24"/>
        </w:rPr>
        <w:t> </w:t>
      </w:r>
      <w:r w:rsidR="0008123F" w:rsidRPr="00671343">
        <w:rPr>
          <w:rFonts w:cstheme="minorHAnsi"/>
          <w:sz w:val="24"/>
          <w:szCs w:val="24"/>
        </w:rPr>
        <w:t>Ruskem.</w:t>
      </w:r>
    </w:p>
    <w:p w14:paraId="44E7D12A" w14:textId="3B857852" w:rsidR="0008123F" w:rsidRPr="00031010" w:rsidRDefault="0008123F" w:rsidP="002B6A9D">
      <w:pPr>
        <w:spacing w:after="100" w:afterAutospacing="1" w:line="240" w:lineRule="auto"/>
        <w:jc w:val="both"/>
        <w:rPr>
          <w:i/>
          <w:sz w:val="24"/>
          <w:szCs w:val="24"/>
        </w:rPr>
      </w:pPr>
      <w:r w:rsidRPr="00031010">
        <w:rPr>
          <w:i/>
          <w:sz w:val="24"/>
          <w:szCs w:val="24"/>
        </w:rPr>
        <w:t>Vztahy s</w:t>
      </w:r>
      <w:r w:rsidR="006B250C" w:rsidRPr="00031010">
        <w:rPr>
          <w:i/>
          <w:sz w:val="24"/>
          <w:szCs w:val="24"/>
        </w:rPr>
        <w:t> </w:t>
      </w:r>
      <w:r w:rsidRPr="00031010">
        <w:rPr>
          <w:i/>
          <w:sz w:val="24"/>
          <w:szCs w:val="24"/>
        </w:rPr>
        <w:t>producenty</w:t>
      </w:r>
      <w:r w:rsidR="006B250C" w:rsidRPr="00031010">
        <w:rPr>
          <w:i/>
          <w:sz w:val="24"/>
          <w:szCs w:val="24"/>
        </w:rPr>
        <w:t xml:space="preserve"> ropy</w:t>
      </w:r>
    </w:p>
    <w:p w14:paraId="76A7FCB1" w14:textId="64FA79F1" w:rsidR="0008123F" w:rsidRPr="00671343" w:rsidRDefault="006B250C" w:rsidP="002B6A9D">
      <w:pPr>
        <w:spacing w:after="100" w:afterAutospacing="1" w:line="240" w:lineRule="auto"/>
        <w:jc w:val="both"/>
        <w:rPr>
          <w:rFonts w:cstheme="minorHAnsi"/>
          <w:sz w:val="24"/>
          <w:szCs w:val="24"/>
        </w:rPr>
      </w:pPr>
      <w:r w:rsidRPr="00671343">
        <w:rPr>
          <w:rFonts w:cstheme="minorHAnsi"/>
          <w:sz w:val="24"/>
          <w:szCs w:val="24"/>
        </w:rPr>
        <w:t>Pokud je o vztahy s producenty ropy, bude n</w:t>
      </w:r>
      <w:r w:rsidR="0008123F" w:rsidRPr="00671343">
        <w:rPr>
          <w:rFonts w:cstheme="minorHAnsi"/>
          <w:sz w:val="24"/>
          <w:szCs w:val="24"/>
        </w:rPr>
        <w:t>a jedné straně pokračovat ostrá konkurence mezi tradičními dodavateli</w:t>
      </w:r>
      <w:r w:rsidR="006D32E3">
        <w:rPr>
          <w:rFonts w:cstheme="minorHAnsi"/>
          <w:sz w:val="24"/>
          <w:szCs w:val="24"/>
        </w:rPr>
        <w:t>, n</w:t>
      </w:r>
      <w:r w:rsidR="0008123F" w:rsidRPr="00671343">
        <w:rPr>
          <w:rFonts w:cstheme="minorHAnsi"/>
          <w:sz w:val="24"/>
          <w:szCs w:val="24"/>
        </w:rPr>
        <w:t xml:space="preserve">a druhou stranu z trhu odejdou hráči, jejichž projekty jsou </w:t>
      </w:r>
      <w:r w:rsidR="006D32E3">
        <w:rPr>
          <w:rFonts w:cstheme="minorHAnsi"/>
          <w:sz w:val="24"/>
          <w:szCs w:val="24"/>
        </w:rPr>
        <w:t>při</w:t>
      </w:r>
      <w:r w:rsidR="006D32E3" w:rsidRPr="00671343">
        <w:rPr>
          <w:rFonts w:cstheme="minorHAnsi"/>
          <w:sz w:val="24"/>
          <w:szCs w:val="24"/>
        </w:rPr>
        <w:t> </w:t>
      </w:r>
      <w:r w:rsidR="0008123F" w:rsidRPr="00671343">
        <w:rPr>
          <w:rFonts w:cstheme="minorHAnsi"/>
          <w:sz w:val="24"/>
          <w:szCs w:val="24"/>
        </w:rPr>
        <w:t>nízké cen</w:t>
      </w:r>
      <w:r w:rsidR="006D32E3">
        <w:rPr>
          <w:rFonts w:cstheme="minorHAnsi"/>
          <w:sz w:val="24"/>
          <w:szCs w:val="24"/>
        </w:rPr>
        <w:t xml:space="preserve">ě ropy </w:t>
      </w:r>
      <w:r w:rsidR="0008123F" w:rsidRPr="00671343">
        <w:rPr>
          <w:rFonts w:cstheme="minorHAnsi"/>
          <w:sz w:val="24"/>
          <w:szCs w:val="24"/>
        </w:rPr>
        <w:t>nevýhodné. Během předchozích cenových válek z minulých let, za nimiž stála Saúdská Arábie</w:t>
      </w:r>
      <w:r w:rsidRPr="00671343">
        <w:rPr>
          <w:rFonts w:cstheme="minorHAnsi"/>
          <w:sz w:val="24"/>
          <w:szCs w:val="24"/>
        </w:rPr>
        <w:t xml:space="preserve"> a</w:t>
      </w:r>
      <w:r w:rsidR="0008123F" w:rsidRPr="00671343">
        <w:rPr>
          <w:rFonts w:cstheme="minorHAnsi"/>
          <w:sz w:val="24"/>
          <w:szCs w:val="24"/>
        </w:rPr>
        <w:t xml:space="preserve"> které byly doprovázeny politickou konfrontací o Sýrii, se v Rusku začalo otevřeně spekulovat, zda by nebylo </w:t>
      </w:r>
      <w:r w:rsidR="006D32E3" w:rsidRPr="00671343">
        <w:rPr>
          <w:rFonts w:cstheme="minorHAnsi"/>
          <w:sz w:val="24"/>
          <w:szCs w:val="24"/>
        </w:rPr>
        <w:t>vhodn</w:t>
      </w:r>
      <w:r w:rsidR="006D32E3">
        <w:rPr>
          <w:rFonts w:cstheme="minorHAnsi"/>
          <w:sz w:val="24"/>
          <w:szCs w:val="24"/>
        </w:rPr>
        <w:t>é</w:t>
      </w:r>
      <w:r w:rsidR="006D32E3" w:rsidRPr="00671343">
        <w:rPr>
          <w:rFonts w:cstheme="minorHAnsi"/>
          <w:sz w:val="24"/>
          <w:szCs w:val="24"/>
        </w:rPr>
        <w:t xml:space="preserve"> </w:t>
      </w:r>
      <w:r w:rsidR="0008123F" w:rsidRPr="00671343">
        <w:rPr>
          <w:rFonts w:cstheme="minorHAnsi"/>
          <w:sz w:val="24"/>
          <w:szCs w:val="24"/>
        </w:rPr>
        <w:t>destabilizovat arabské monarchie v Perském zálivu</w:t>
      </w:r>
      <w:r w:rsidR="006D32E3">
        <w:rPr>
          <w:rFonts w:cstheme="minorHAnsi"/>
          <w:sz w:val="24"/>
          <w:szCs w:val="24"/>
        </w:rPr>
        <w:t>,</w:t>
      </w:r>
      <w:r w:rsidR="0008123F" w:rsidRPr="00671343">
        <w:rPr>
          <w:rFonts w:cstheme="minorHAnsi"/>
          <w:sz w:val="24"/>
          <w:szCs w:val="24"/>
        </w:rPr>
        <w:t xml:space="preserve"> a potrestat je tak za jejich politiku.</w:t>
      </w:r>
      <w:r w:rsidRPr="00671343">
        <w:rPr>
          <w:rFonts w:cstheme="minorHAnsi"/>
          <w:sz w:val="24"/>
          <w:szCs w:val="24"/>
        </w:rPr>
        <w:t xml:space="preserve"> </w:t>
      </w:r>
      <w:r w:rsidR="0008123F" w:rsidRPr="00671343">
        <w:rPr>
          <w:rFonts w:cstheme="minorHAnsi"/>
          <w:sz w:val="24"/>
          <w:szCs w:val="24"/>
        </w:rPr>
        <w:t>Nicméně k tomuto radikálnímu scénáři nedošlo a Rusko naopak zvolilo cestu multilaterální spoluprác</w:t>
      </w:r>
      <w:r w:rsidRPr="00671343">
        <w:rPr>
          <w:rFonts w:cstheme="minorHAnsi"/>
          <w:sz w:val="24"/>
          <w:szCs w:val="24"/>
        </w:rPr>
        <w:t>e</w:t>
      </w:r>
      <w:r w:rsidR="0008123F" w:rsidRPr="00671343">
        <w:rPr>
          <w:rFonts w:cstheme="minorHAnsi"/>
          <w:sz w:val="24"/>
          <w:szCs w:val="24"/>
        </w:rPr>
        <w:t xml:space="preserve"> s nezápadními zeměmi, jejíž význam stoupl </w:t>
      </w:r>
      <w:r w:rsidR="006D32E3">
        <w:rPr>
          <w:rFonts w:cstheme="minorHAnsi"/>
          <w:sz w:val="24"/>
          <w:szCs w:val="24"/>
        </w:rPr>
        <w:t>v důsledku</w:t>
      </w:r>
      <w:r w:rsidR="006D32E3" w:rsidRPr="00671343">
        <w:rPr>
          <w:rFonts w:cstheme="minorHAnsi"/>
          <w:sz w:val="24"/>
          <w:szCs w:val="24"/>
        </w:rPr>
        <w:t xml:space="preserve"> </w:t>
      </w:r>
      <w:r w:rsidR="0008123F" w:rsidRPr="00671343">
        <w:rPr>
          <w:rFonts w:cstheme="minorHAnsi"/>
          <w:sz w:val="24"/>
          <w:szCs w:val="24"/>
        </w:rPr>
        <w:t>prohlubování konfliktu se Západem. To ostatně odpovídá politickým zájmům Ruska nastavit bilaterální vztahy s blízkovýchodními zeměmi tak, aby na pozadí četných regionálních konfliktů mělo dobré nebo velmi dobré vztahy se všemi jejich účastníky.</w:t>
      </w:r>
    </w:p>
    <w:p w14:paraId="25960325" w14:textId="1C24120E" w:rsidR="0008123F" w:rsidRPr="00671343" w:rsidRDefault="000A3F0A" w:rsidP="002B6A9D">
      <w:pPr>
        <w:spacing w:after="100" w:afterAutospacing="1" w:line="240" w:lineRule="auto"/>
        <w:ind w:firstLine="709"/>
        <w:jc w:val="both"/>
        <w:rPr>
          <w:rFonts w:cstheme="minorHAnsi"/>
          <w:sz w:val="24"/>
          <w:szCs w:val="24"/>
        </w:rPr>
      </w:pPr>
      <w:r>
        <w:rPr>
          <w:rFonts w:cstheme="minorHAnsi"/>
          <w:sz w:val="24"/>
          <w:szCs w:val="24"/>
        </w:rPr>
        <w:t>Ruskem</w:t>
      </w:r>
      <w:r w:rsidRPr="00671343">
        <w:rPr>
          <w:rFonts w:cstheme="minorHAnsi"/>
          <w:sz w:val="24"/>
          <w:szCs w:val="24"/>
        </w:rPr>
        <w:t xml:space="preserve"> </w:t>
      </w:r>
      <w:r w:rsidR="0008123F" w:rsidRPr="00671343">
        <w:rPr>
          <w:rFonts w:cstheme="minorHAnsi"/>
          <w:sz w:val="24"/>
          <w:szCs w:val="24"/>
        </w:rPr>
        <w:t xml:space="preserve">je tudíž kladen větší důraz na vytváření či podporu multilaterálních energetických režimů, kterých se neúčastní západní země nebo v nich nehrají důležitou roli. Prezident Putin (2020) ve svém projevu na letošním zasedání </w:t>
      </w:r>
      <w:proofErr w:type="spellStart"/>
      <w:r w:rsidR="0008123F" w:rsidRPr="00671343">
        <w:rPr>
          <w:rFonts w:cstheme="minorHAnsi"/>
          <w:sz w:val="24"/>
          <w:szCs w:val="24"/>
        </w:rPr>
        <w:t>Valdajského</w:t>
      </w:r>
      <w:proofErr w:type="spellEnd"/>
      <w:r w:rsidR="0008123F" w:rsidRPr="00671343">
        <w:rPr>
          <w:rFonts w:cstheme="minorHAnsi"/>
          <w:sz w:val="24"/>
          <w:szCs w:val="24"/>
        </w:rPr>
        <w:t xml:space="preserve"> klubu zmínil nové nezápadní politické struktury, jež prokazují svou vysokou efektivitu pro řešení společných problémů (na rozdíl od činnosti západních zemí). Kromě Šanghajské organizace pro spolupráci či </w:t>
      </w:r>
      <w:proofErr w:type="spellStart"/>
      <w:r w:rsidR="0008123F" w:rsidRPr="00671343">
        <w:rPr>
          <w:rFonts w:cstheme="minorHAnsi"/>
          <w:sz w:val="24"/>
          <w:szCs w:val="24"/>
        </w:rPr>
        <w:t>astaninského</w:t>
      </w:r>
      <w:proofErr w:type="spellEnd"/>
      <w:r w:rsidR="0008123F" w:rsidRPr="00671343">
        <w:rPr>
          <w:rFonts w:cstheme="minorHAnsi"/>
          <w:sz w:val="24"/>
          <w:szCs w:val="24"/>
        </w:rPr>
        <w:t xml:space="preserve"> formátu pro řešení konfliktu v Sýrii zmínil i uskupení OPEC+, které dokázalo stabilizovat ropné trhy, byť, jak připustil, nalezení shody mezi exportéry nebylo jednoduché. </w:t>
      </w:r>
    </w:p>
    <w:p w14:paraId="07036B33" w14:textId="14E7DA73" w:rsidR="0008123F" w:rsidRPr="00671343" w:rsidRDefault="0008123F" w:rsidP="002B6A9D">
      <w:pPr>
        <w:spacing w:after="100" w:afterAutospacing="1" w:line="240" w:lineRule="auto"/>
        <w:ind w:firstLine="709"/>
        <w:jc w:val="both"/>
        <w:rPr>
          <w:rFonts w:cstheme="minorHAnsi"/>
          <w:sz w:val="24"/>
          <w:szCs w:val="24"/>
        </w:rPr>
      </w:pPr>
      <w:r w:rsidRPr="00671343">
        <w:rPr>
          <w:rFonts w:cstheme="minorHAnsi"/>
          <w:sz w:val="24"/>
          <w:szCs w:val="24"/>
        </w:rPr>
        <w:t xml:space="preserve">I přes jarní cenovou válku exportéři ropy nakonec dospěli k závěru, že spolupráce je nejen výhodná, ale i možná (resp. prakticky realizovatelná). Rusko se bude snažit dále ovlivňovat rozhodování v tomto uskupení a bude soupeřit o vliv se Saúdskou Arábií. Zda toto </w:t>
      </w:r>
      <w:r w:rsidRPr="00671343">
        <w:rPr>
          <w:rFonts w:cstheme="minorHAnsi"/>
          <w:sz w:val="24"/>
          <w:szCs w:val="24"/>
        </w:rPr>
        <w:lastRenderedPageBreak/>
        <w:t xml:space="preserve">soupeření bude doprovázeno i cenovými válkami, </w:t>
      </w:r>
      <w:r w:rsidR="006B250C" w:rsidRPr="00671343">
        <w:rPr>
          <w:rFonts w:cstheme="minorHAnsi"/>
          <w:sz w:val="24"/>
          <w:szCs w:val="24"/>
        </w:rPr>
        <w:t xml:space="preserve">jakých </w:t>
      </w:r>
      <w:r w:rsidRPr="00671343">
        <w:rPr>
          <w:rFonts w:cstheme="minorHAnsi"/>
          <w:sz w:val="24"/>
          <w:szCs w:val="24"/>
        </w:rPr>
        <w:t>jsme byli svědky, bude záležet na tom, jak efektivně budou Rijád i Moskva vytvářet koalice s ostatními exportéry. Vliv Ruska na politiku OPEC tak vzroste, ale připraví</w:t>
      </w:r>
      <w:r w:rsidR="006B250C" w:rsidRPr="00671343">
        <w:rPr>
          <w:rFonts w:cstheme="minorHAnsi"/>
          <w:sz w:val="24"/>
          <w:szCs w:val="24"/>
        </w:rPr>
        <w:t xml:space="preserve"> se tím</w:t>
      </w:r>
      <w:r w:rsidRPr="00671343">
        <w:rPr>
          <w:rFonts w:cstheme="minorHAnsi"/>
          <w:sz w:val="24"/>
          <w:szCs w:val="24"/>
        </w:rPr>
        <w:t xml:space="preserve"> o pozici „černého pasažéra“, kdy v minulosti </w:t>
      </w:r>
      <w:r w:rsidR="006B250C" w:rsidRPr="00671343">
        <w:rPr>
          <w:rFonts w:cstheme="minorHAnsi"/>
          <w:sz w:val="24"/>
          <w:szCs w:val="24"/>
        </w:rPr>
        <w:t>nebylo</w:t>
      </w:r>
      <w:r w:rsidRPr="00671343">
        <w:rPr>
          <w:rFonts w:cstheme="minorHAnsi"/>
          <w:sz w:val="24"/>
          <w:szCs w:val="24"/>
        </w:rPr>
        <w:t xml:space="preserve"> vázáno žádnými kvótami.</w:t>
      </w:r>
    </w:p>
    <w:p w14:paraId="4D526C23" w14:textId="55958D61" w:rsidR="000A76F0" w:rsidRDefault="0008123F" w:rsidP="002B6A9D">
      <w:pPr>
        <w:spacing w:after="100" w:afterAutospacing="1" w:line="240" w:lineRule="auto"/>
        <w:ind w:firstLine="709"/>
        <w:jc w:val="both"/>
        <w:rPr>
          <w:rFonts w:cstheme="minorHAnsi"/>
          <w:sz w:val="24"/>
          <w:szCs w:val="24"/>
        </w:rPr>
        <w:sectPr w:rsidR="000A76F0" w:rsidSect="006B69B0">
          <w:headerReference w:type="even" r:id="rId12"/>
          <w:headerReference w:type="default" r:id="rId13"/>
          <w:footerReference w:type="even" r:id="rId14"/>
          <w:footerReference w:type="default" r:id="rId15"/>
          <w:headerReference w:type="first" r:id="rId16"/>
          <w:footerReference w:type="first" r:id="rId17"/>
          <w:pgSz w:w="11906" w:h="16838"/>
          <w:pgMar w:top="681" w:right="1134" w:bottom="1134" w:left="1134" w:header="2438" w:footer="567" w:gutter="0"/>
          <w:cols w:space="708"/>
          <w:titlePg/>
          <w:docGrid w:linePitch="360"/>
        </w:sectPr>
      </w:pPr>
      <w:r w:rsidRPr="00671343">
        <w:rPr>
          <w:rFonts w:cstheme="minorHAnsi"/>
          <w:sz w:val="24"/>
          <w:szCs w:val="24"/>
        </w:rPr>
        <w:t>Pokud E</w:t>
      </w:r>
      <w:r w:rsidR="003012F9">
        <w:rPr>
          <w:rFonts w:cstheme="minorHAnsi"/>
          <w:sz w:val="24"/>
          <w:szCs w:val="24"/>
        </w:rPr>
        <w:t>U</w:t>
      </w:r>
      <w:r w:rsidRPr="00671343">
        <w:rPr>
          <w:rFonts w:cstheme="minorHAnsi"/>
          <w:sz w:val="24"/>
          <w:szCs w:val="24"/>
        </w:rPr>
        <w:t xml:space="preserve"> považuje alternativní </w:t>
      </w:r>
      <w:r w:rsidR="003012F9">
        <w:rPr>
          <w:rFonts w:cstheme="minorHAnsi"/>
          <w:sz w:val="24"/>
          <w:szCs w:val="24"/>
        </w:rPr>
        <w:t>zdroje energie (zejména OZE)</w:t>
      </w:r>
      <w:r w:rsidRPr="00671343">
        <w:rPr>
          <w:rFonts w:cstheme="minorHAnsi"/>
          <w:sz w:val="24"/>
          <w:szCs w:val="24"/>
        </w:rPr>
        <w:t xml:space="preserve"> za účinné a má zájem na jejich ovlivňování, měla by zvážit aktivn</w:t>
      </w:r>
      <w:r w:rsidR="003012F9">
        <w:rPr>
          <w:rFonts w:cstheme="minorHAnsi"/>
          <w:sz w:val="24"/>
          <w:szCs w:val="24"/>
        </w:rPr>
        <w:t>ější</w:t>
      </w:r>
      <w:r w:rsidRPr="00671343">
        <w:rPr>
          <w:rFonts w:cstheme="minorHAnsi"/>
          <w:sz w:val="24"/>
          <w:szCs w:val="24"/>
        </w:rPr>
        <w:t xml:space="preserve"> spolupráci. Zde může projevit své vůdčí pozice i ambice v oblasti alternativních zdrojů energie i energetické účinnosti. Vzhledem k energetické transformaci, která probíhá na Západě (v EU a popřípadě USA), může v tomto ohledu sehrát důležitou roli Mezinárodní energetické fórum (International </w:t>
      </w:r>
      <w:proofErr w:type="spellStart"/>
      <w:r w:rsidRPr="00671343">
        <w:rPr>
          <w:rFonts w:cstheme="minorHAnsi"/>
          <w:sz w:val="24"/>
          <w:szCs w:val="24"/>
        </w:rPr>
        <w:t>Energy</w:t>
      </w:r>
      <w:proofErr w:type="spellEnd"/>
      <w:r w:rsidRPr="00671343">
        <w:rPr>
          <w:rFonts w:cstheme="minorHAnsi"/>
          <w:sz w:val="24"/>
          <w:szCs w:val="24"/>
        </w:rPr>
        <w:t xml:space="preserve"> </w:t>
      </w:r>
      <w:proofErr w:type="spellStart"/>
      <w:r w:rsidRPr="00671343">
        <w:rPr>
          <w:rFonts w:cstheme="minorHAnsi"/>
          <w:sz w:val="24"/>
          <w:szCs w:val="24"/>
        </w:rPr>
        <w:t>Forum</w:t>
      </w:r>
      <w:proofErr w:type="spellEnd"/>
      <w:r w:rsidRPr="00671343">
        <w:rPr>
          <w:rFonts w:cstheme="minorHAnsi"/>
          <w:sz w:val="24"/>
          <w:szCs w:val="24"/>
        </w:rPr>
        <w:t>, IEF), které zahrnuje jak hlavní producenty nerostných surovin, tak i jejich hlavní spotřebitele. Ostatně jak importéři, tak i exportéři mají společný zájem na tom, aby ceny ropy byly stabilní.</w:t>
      </w:r>
    </w:p>
    <w:p w14:paraId="6E0B559A" w14:textId="05AFA9A1" w:rsidR="000A76F0" w:rsidRPr="00DA5BF3" w:rsidRDefault="000A76F0" w:rsidP="00DA5BF3">
      <w:pPr>
        <w:pStyle w:val="Odstavecseseznamem"/>
        <w:numPr>
          <w:ilvl w:val="0"/>
          <w:numId w:val="10"/>
        </w:numPr>
        <w:autoSpaceDE w:val="0"/>
        <w:autoSpaceDN w:val="0"/>
        <w:adjustRightInd w:val="0"/>
        <w:spacing w:after="100" w:afterAutospacing="1" w:line="240" w:lineRule="auto"/>
        <w:ind w:left="0" w:firstLine="0"/>
        <w:jc w:val="both"/>
        <w:rPr>
          <w:rStyle w:val="Nadpis2Char"/>
        </w:rPr>
      </w:pPr>
      <w:bookmarkStart w:id="46" w:name="_Toc61259191"/>
      <w:bookmarkStart w:id="47" w:name="_Toc61261169"/>
      <w:bookmarkStart w:id="48" w:name="_Toc61261291"/>
      <w:bookmarkStart w:id="49" w:name="_Toc61262041"/>
      <w:bookmarkStart w:id="50" w:name="_Toc61262165"/>
      <w:r w:rsidRPr="00DA5BF3">
        <w:rPr>
          <w:rStyle w:val="Nadpis2Char"/>
        </w:rPr>
        <w:lastRenderedPageBreak/>
        <w:t>Dopady poklesu cen ropy na Ázerbájdžán</w:t>
      </w:r>
      <w:bookmarkEnd w:id="46"/>
      <w:bookmarkEnd w:id="47"/>
      <w:bookmarkEnd w:id="48"/>
      <w:bookmarkEnd w:id="49"/>
      <w:bookmarkEnd w:id="50"/>
    </w:p>
    <w:p w14:paraId="43DFDB73" w14:textId="4AA3CCC3" w:rsidR="000A76F0" w:rsidRPr="000A76F0" w:rsidRDefault="000A76F0" w:rsidP="002B6A9D">
      <w:pPr>
        <w:spacing w:line="240" w:lineRule="auto"/>
        <w:jc w:val="both"/>
        <w:rPr>
          <w:sz w:val="24"/>
          <w:szCs w:val="24"/>
        </w:rPr>
      </w:pPr>
      <w:r w:rsidRPr="000A76F0">
        <w:rPr>
          <w:sz w:val="24"/>
          <w:szCs w:val="24"/>
        </w:rPr>
        <w:t>Ázerbájdžán patří mezi země, které jsou na vývozu ropy závislé</w:t>
      </w:r>
      <w:r w:rsidR="00C812FF">
        <w:rPr>
          <w:sz w:val="24"/>
          <w:szCs w:val="24"/>
        </w:rPr>
        <w:t xml:space="preserve"> </w:t>
      </w:r>
      <w:r w:rsidR="00C812FF" w:rsidRPr="000A76F0">
        <w:rPr>
          <w:sz w:val="24"/>
          <w:szCs w:val="24"/>
        </w:rPr>
        <w:t>nejvíce</w:t>
      </w:r>
      <w:r w:rsidRPr="000A76F0">
        <w:rPr>
          <w:sz w:val="24"/>
          <w:szCs w:val="24"/>
        </w:rPr>
        <w:t xml:space="preserve">. </w:t>
      </w:r>
      <w:r w:rsidR="00C812FF">
        <w:rPr>
          <w:sz w:val="24"/>
          <w:szCs w:val="24"/>
        </w:rPr>
        <w:t xml:space="preserve">Podíl </w:t>
      </w:r>
      <w:r w:rsidRPr="000A76F0">
        <w:rPr>
          <w:sz w:val="24"/>
          <w:szCs w:val="24"/>
        </w:rPr>
        <w:t xml:space="preserve">této suroviny </w:t>
      </w:r>
      <w:r w:rsidR="00C812FF">
        <w:rPr>
          <w:sz w:val="24"/>
          <w:szCs w:val="24"/>
        </w:rPr>
        <w:t xml:space="preserve">na celkovém vývozu </w:t>
      </w:r>
      <w:r w:rsidRPr="000A76F0">
        <w:rPr>
          <w:sz w:val="24"/>
          <w:szCs w:val="24"/>
        </w:rPr>
        <w:t>dosahuje až 80 %.</w:t>
      </w:r>
      <w:r w:rsidR="00C812FF">
        <w:rPr>
          <w:rStyle w:val="Znakapoznpodarou"/>
          <w:sz w:val="24"/>
          <w:szCs w:val="24"/>
        </w:rPr>
        <w:footnoteReference w:id="15"/>
      </w:r>
      <w:r w:rsidRPr="000A76F0">
        <w:rPr>
          <w:sz w:val="24"/>
          <w:szCs w:val="24"/>
        </w:rPr>
        <w:t xml:space="preserve"> Export ropy a plynu odpovídá zhruba třetině HDP země. Příjmy státního rozpočtu z téměř 60 % pocházejí z ropného a plynového sektoru. Diversifikace ekonomiky je minimální. V minulých letech měl Ázerbájdžán prospěch z vysokých cen ropy a zvýšené produkce plynu, přičemž neropný sektor a sektor založený na plynu rovněž rostly. Slabinou ovšem bylo, že se k rozvoji neropných sektorů slouž</w:t>
      </w:r>
      <w:r w:rsidR="003E08A5">
        <w:rPr>
          <w:sz w:val="24"/>
          <w:szCs w:val="24"/>
        </w:rPr>
        <w:t>ily</w:t>
      </w:r>
      <w:r w:rsidRPr="000A76F0">
        <w:rPr>
          <w:sz w:val="24"/>
          <w:szCs w:val="24"/>
        </w:rPr>
        <w:t xml:space="preserve"> příjmy z ropy, podíl ropy ve vývozech zůstáv</w:t>
      </w:r>
      <w:r w:rsidR="003E08A5">
        <w:rPr>
          <w:sz w:val="24"/>
          <w:szCs w:val="24"/>
        </w:rPr>
        <w:t>al</w:t>
      </w:r>
      <w:r w:rsidRPr="000A76F0">
        <w:rPr>
          <w:sz w:val="24"/>
          <w:szCs w:val="24"/>
        </w:rPr>
        <w:t xml:space="preserve"> velmi vysoký a vládnutí a ekonomické instituce </w:t>
      </w:r>
      <w:r w:rsidR="00E06EF7">
        <w:rPr>
          <w:sz w:val="24"/>
          <w:szCs w:val="24"/>
        </w:rPr>
        <w:t>nedosahovaly</w:t>
      </w:r>
      <w:r w:rsidR="00E06EF7" w:rsidRPr="000A76F0">
        <w:rPr>
          <w:sz w:val="24"/>
          <w:szCs w:val="24"/>
        </w:rPr>
        <w:t xml:space="preserve"> </w:t>
      </w:r>
      <w:r w:rsidRPr="000A76F0">
        <w:rPr>
          <w:sz w:val="24"/>
          <w:szCs w:val="24"/>
        </w:rPr>
        <w:t>dostatečn</w:t>
      </w:r>
      <w:r w:rsidR="003E08A5">
        <w:rPr>
          <w:sz w:val="24"/>
          <w:szCs w:val="24"/>
        </w:rPr>
        <w:t>ého stupně</w:t>
      </w:r>
      <w:r w:rsidRPr="000A76F0">
        <w:rPr>
          <w:sz w:val="24"/>
          <w:szCs w:val="24"/>
        </w:rPr>
        <w:t xml:space="preserve"> rozv</w:t>
      </w:r>
      <w:r w:rsidR="003E08A5">
        <w:rPr>
          <w:sz w:val="24"/>
          <w:szCs w:val="24"/>
        </w:rPr>
        <w:t>oje</w:t>
      </w:r>
      <w:r w:rsidRPr="000A76F0">
        <w:rPr>
          <w:sz w:val="24"/>
          <w:szCs w:val="24"/>
        </w:rPr>
        <w:t xml:space="preserve">. </w:t>
      </w:r>
      <w:r w:rsidR="003E08A5">
        <w:rPr>
          <w:sz w:val="24"/>
          <w:szCs w:val="24"/>
        </w:rPr>
        <w:t>K s</w:t>
      </w:r>
      <w:r w:rsidRPr="000A76F0">
        <w:rPr>
          <w:sz w:val="24"/>
          <w:szCs w:val="24"/>
        </w:rPr>
        <w:t>ilným stránk</w:t>
      </w:r>
      <w:r w:rsidR="003E08A5">
        <w:rPr>
          <w:sz w:val="24"/>
          <w:szCs w:val="24"/>
        </w:rPr>
        <w:t>ám</w:t>
      </w:r>
      <w:r w:rsidRPr="000A76F0">
        <w:rPr>
          <w:sz w:val="24"/>
          <w:szCs w:val="24"/>
        </w:rPr>
        <w:t xml:space="preserve"> země </w:t>
      </w:r>
      <w:r w:rsidR="003E08A5">
        <w:rPr>
          <w:sz w:val="24"/>
          <w:szCs w:val="24"/>
        </w:rPr>
        <w:t>naopak patř</w:t>
      </w:r>
      <w:r w:rsidR="00040512">
        <w:rPr>
          <w:sz w:val="24"/>
          <w:szCs w:val="24"/>
        </w:rPr>
        <w:t>i</w:t>
      </w:r>
      <w:r w:rsidR="003E08A5">
        <w:rPr>
          <w:sz w:val="24"/>
          <w:szCs w:val="24"/>
        </w:rPr>
        <w:t xml:space="preserve">l objem </w:t>
      </w:r>
      <w:r w:rsidR="003E08A5" w:rsidRPr="000A76F0">
        <w:rPr>
          <w:sz w:val="24"/>
          <w:szCs w:val="24"/>
          <w:shd w:val="clear" w:color="auto" w:fill="FFFFFF"/>
        </w:rPr>
        <w:t>Státního ropného fondu Ázerbájdžánu (suverénní</w:t>
      </w:r>
      <w:r w:rsidR="003E08A5">
        <w:rPr>
          <w:sz w:val="24"/>
          <w:szCs w:val="24"/>
          <w:shd w:val="clear" w:color="auto" w:fill="FFFFFF"/>
        </w:rPr>
        <w:t>ho</w:t>
      </w:r>
      <w:r w:rsidR="003E08A5" w:rsidRPr="000A76F0">
        <w:rPr>
          <w:sz w:val="24"/>
          <w:szCs w:val="24"/>
          <w:shd w:val="clear" w:color="auto" w:fill="FFFFFF"/>
        </w:rPr>
        <w:t xml:space="preserve"> fond</w:t>
      </w:r>
      <w:r w:rsidR="003E08A5">
        <w:rPr>
          <w:sz w:val="24"/>
          <w:szCs w:val="24"/>
          <w:shd w:val="clear" w:color="auto" w:fill="FFFFFF"/>
        </w:rPr>
        <w:t>u</w:t>
      </w:r>
      <w:r w:rsidR="003E08A5" w:rsidRPr="000A76F0">
        <w:rPr>
          <w:sz w:val="24"/>
          <w:szCs w:val="24"/>
          <w:shd w:val="clear" w:color="auto" w:fill="FFFFFF"/>
        </w:rPr>
        <w:t>)</w:t>
      </w:r>
      <w:r w:rsidRPr="000A76F0">
        <w:rPr>
          <w:sz w:val="24"/>
          <w:szCs w:val="24"/>
        </w:rPr>
        <w:t>, hojné zásoby plynu v Kaspickém moři a růst vývozů do Turecka a Evropy</w:t>
      </w:r>
      <w:r w:rsidR="005B3230">
        <w:rPr>
          <w:sz w:val="24"/>
          <w:szCs w:val="24"/>
        </w:rPr>
        <w:t xml:space="preserve"> obecně (</w:t>
      </w:r>
      <w:r w:rsidRPr="000A76F0">
        <w:rPr>
          <w:sz w:val="24"/>
          <w:szCs w:val="24"/>
        </w:rPr>
        <w:t xml:space="preserve">Ázerbájdžán slouží </w:t>
      </w:r>
      <w:r w:rsidR="005B3230">
        <w:rPr>
          <w:sz w:val="24"/>
          <w:szCs w:val="24"/>
        </w:rPr>
        <w:t xml:space="preserve">rovněž </w:t>
      </w:r>
      <w:r w:rsidRPr="000A76F0">
        <w:rPr>
          <w:sz w:val="24"/>
          <w:szCs w:val="24"/>
        </w:rPr>
        <w:t>jako prostředník mezi Čínou a Evropou</w:t>
      </w:r>
      <w:r w:rsidR="005B3230">
        <w:rPr>
          <w:sz w:val="24"/>
          <w:szCs w:val="24"/>
        </w:rPr>
        <w:t>)</w:t>
      </w:r>
      <w:r w:rsidRPr="000A76F0">
        <w:rPr>
          <w:sz w:val="24"/>
          <w:szCs w:val="24"/>
        </w:rPr>
        <w:t>.</w:t>
      </w:r>
    </w:p>
    <w:p w14:paraId="7DF290D5" w14:textId="720DF501" w:rsidR="000A76F0" w:rsidRPr="000A76F0" w:rsidRDefault="000A76F0" w:rsidP="00C812FF">
      <w:pPr>
        <w:spacing w:before="240" w:line="240" w:lineRule="auto"/>
        <w:ind w:firstLine="708"/>
        <w:jc w:val="both"/>
        <w:rPr>
          <w:sz w:val="24"/>
          <w:szCs w:val="24"/>
        </w:rPr>
      </w:pPr>
      <w:r w:rsidRPr="000A76F0">
        <w:rPr>
          <w:sz w:val="24"/>
          <w:szCs w:val="24"/>
        </w:rPr>
        <w:t>R</w:t>
      </w:r>
      <w:r w:rsidRPr="000A76F0">
        <w:rPr>
          <w:sz w:val="24"/>
          <w:szCs w:val="24"/>
          <w:shd w:val="clear" w:color="auto" w:fill="FFFFFF"/>
        </w:rPr>
        <w:t>opný sektor a příjmy z</w:t>
      </w:r>
      <w:r w:rsidR="00C812FF">
        <w:rPr>
          <w:sz w:val="24"/>
          <w:szCs w:val="24"/>
          <w:shd w:val="clear" w:color="auto" w:fill="FFFFFF"/>
        </w:rPr>
        <w:t> </w:t>
      </w:r>
      <w:r w:rsidRPr="000A76F0">
        <w:rPr>
          <w:sz w:val="24"/>
          <w:szCs w:val="24"/>
          <w:shd w:val="clear" w:color="auto" w:fill="FFFFFF"/>
        </w:rPr>
        <w:t>něj</w:t>
      </w:r>
      <w:r w:rsidR="00C812FF">
        <w:rPr>
          <w:sz w:val="24"/>
          <w:szCs w:val="24"/>
          <w:shd w:val="clear" w:color="auto" w:fill="FFFFFF"/>
        </w:rPr>
        <w:t xml:space="preserve"> domácí</w:t>
      </w:r>
      <w:r w:rsidRPr="000A76F0">
        <w:rPr>
          <w:sz w:val="24"/>
          <w:szCs w:val="24"/>
          <w:shd w:val="clear" w:color="auto" w:fill="FFFFFF"/>
        </w:rPr>
        <w:t xml:space="preserve"> ekonomiku </w:t>
      </w:r>
      <w:r w:rsidR="003E08A5">
        <w:rPr>
          <w:sz w:val="24"/>
          <w:szCs w:val="24"/>
          <w:shd w:val="clear" w:color="auto" w:fill="FFFFFF"/>
        </w:rPr>
        <w:t>výrazně</w:t>
      </w:r>
      <w:r w:rsidRPr="000A76F0">
        <w:rPr>
          <w:sz w:val="24"/>
          <w:szCs w:val="24"/>
          <w:shd w:val="clear" w:color="auto" w:fill="FFFFFF"/>
        </w:rPr>
        <w:t xml:space="preserve"> ovlivňují</w:t>
      </w:r>
      <w:r w:rsidR="00C812FF">
        <w:rPr>
          <w:sz w:val="24"/>
          <w:szCs w:val="24"/>
          <w:shd w:val="clear" w:color="auto" w:fill="FFFFFF"/>
        </w:rPr>
        <w:t>, a to</w:t>
      </w:r>
      <w:r w:rsidRPr="000A76F0">
        <w:rPr>
          <w:sz w:val="24"/>
          <w:szCs w:val="24"/>
          <w:shd w:val="clear" w:color="auto" w:fill="FFFFFF"/>
        </w:rPr>
        <w:t xml:space="preserve"> prostřednictvím fiskálního sektoru, neboť významný podíl fiskálních příjmů tvoří transfery ze</w:t>
      </w:r>
      <w:r w:rsidR="003E08A5">
        <w:rPr>
          <w:sz w:val="24"/>
          <w:szCs w:val="24"/>
          <w:shd w:val="clear" w:color="auto" w:fill="FFFFFF"/>
        </w:rPr>
        <w:t xml:space="preserve"> suverénního </w:t>
      </w:r>
      <w:r w:rsidR="009B6DA3">
        <w:rPr>
          <w:sz w:val="24"/>
          <w:szCs w:val="24"/>
          <w:shd w:val="clear" w:color="auto" w:fill="FFFFFF"/>
        </w:rPr>
        <w:t>fondu</w:t>
      </w:r>
      <w:r w:rsidR="009B6DA3" w:rsidRPr="000A76F0">
        <w:rPr>
          <w:sz w:val="24"/>
          <w:szCs w:val="24"/>
          <w:shd w:val="clear" w:color="auto" w:fill="FFFFFF"/>
        </w:rPr>
        <w:t xml:space="preserve"> </w:t>
      </w:r>
      <w:r w:rsidRPr="000A76F0">
        <w:rPr>
          <w:sz w:val="24"/>
          <w:szCs w:val="24"/>
          <w:shd w:val="clear" w:color="auto" w:fill="FFFFFF"/>
        </w:rPr>
        <w:t xml:space="preserve">a dále daně z ropného sektoru. </w:t>
      </w:r>
      <w:r w:rsidR="003E08A5">
        <w:rPr>
          <w:sz w:val="24"/>
          <w:szCs w:val="24"/>
          <w:shd w:val="clear" w:color="auto" w:fill="FFFFFF"/>
        </w:rPr>
        <w:t>R</w:t>
      </w:r>
      <w:r w:rsidR="003E08A5" w:rsidRPr="000A76F0">
        <w:rPr>
          <w:sz w:val="24"/>
          <w:szCs w:val="24"/>
          <w:shd w:val="clear" w:color="auto" w:fill="FFFFFF"/>
        </w:rPr>
        <w:t>opným sektorem</w:t>
      </w:r>
      <w:r w:rsidR="003E08A5">
        <w:rPr>
          <w:sz w:val="24"/>
          <w:szCs w:val="24"/>
          <w:shd w:val="clear" w:color="auto" w:fill="FFFFFF"/>
        </w:rPr>
        <w:t xml:space="preserve"> jsou</w:t>
      </w:r>
      <w:r w:rsidR="003E08A5" w:rsidRPr="000A76F0">
        <w:rPr>
          <w:sz w:val="24"/>
          <w:szCs w:val="24"/>
          <w:shd w:val="clear" w:color="auto" w:fill="FFFFFF"/>
        </w:rPr>
        <w:t xml:space="preserve"> nepřímo financována </w:t>
      </w:r>
      <w:r w:rsidR="003E08A5">
        <w:rPr>
          <w:sz w:val="24"/>
          <w:szCs w:val="24"/>
          <w:shd w:val="clear" w:color="auto" w:fill="FFFFFF"/>
        </w:rPr>
        <w:t>d</w:t>
      </w:r>
      <w:r w:rsidRPr="000A76F0">
        <w:rPr>
          <w:sz w:val="24"/>
          <w:szCs w:val="24"/>
          <w:shd w:val="clear" w:color="auto" w:fill="FFFFFF"/>
        </w:rPr>
        <w:t>okonce i vedoucí průmyslová neropná odvětví jako služby, výstavba a doprava</w:t>
      </w:r>
      <w:r w:rsidR="003E08A5">
        <w:rPr>
          <w:sz w:val="24"/>
          <w:szCs w:val="24"/>
          <w:shd w:val="clear" w:color="auto" w:fill="FFFFFF"/>
        </w:rPr>
        <w:t>. V</w:t>
      </w:r>
      <w:r w:rsidRPr="000A76F0">
        <w:rPr>
          <w:sz w:val="24"/>
          <w:szCs w:val="24"/>
          <w:shd w:val="clear" w:color="auto" w:fill="FFFFFF"/>
        </w:rPr>
        <w:t xml:space="preserve">elká část soukromého sektoru </w:t>
      </w:r>
      <w:r w:rsidR="003E08A5">
        <w:rPr>
          <w:sz w:val="24"/>
          <w:szCs w:val="24"/>
          <w:shd w:val="clear" w:color="auto" w:fill="FFFFFF"/>
        </w:rPr>
        <w:t>současně závisí</w:t>
      </w:r>
      <w:r w:rsidRPr="000A76F0">
        <w:rPr>
          <w:sz w:val="24"/>
          <w:szCs w:val="24"/>
          <w:shd w:val="clear" w:color="auto" w:fill="FFFFFF"/>
        </w:rPr>
        <w:t xml:space="preserve"> na státních zakázkách z veřejných investic. </w:t>
      </w:r>
      <w:r w:rsidRPr="000A76F0">
        <w:rPr>
          <w:sz w:val="24"/>
          <w:szCs w:val="24"/>
        </w:rPr>
        <w:t xml:space="preserve">Přitom paradoxně některé veřejné statky, </w:t>
      </w:r>
      <w:r w:rsidR="00C812FF">
        <w:rPr>
          <w:sz w:val="24"/>
          <w:szCs w:val="24"/>
        </w:rPr>
        <w:t xml:space="preserve">např. </w:t>
      </w:r>
      <w:r w:rsidRPr="000A76F0">
        <w:rPr>
          <w:sz w:val="24"/>
          <w:szCs w:val="24"/>
        </w:rPr>
        <w:t xml:space="preserve"> zdravotní péče či vzdělávání, zůstáv</w:t>
      </w:r>
      <w:r w:rsidR="00C812FF">
        <w:rPr>
          <w:sz w:val="24"/>
          <w:szCs w:val="24"/>
        </w:rPr>
        <w:t>ají</w:t>
      </w:r>
      <w:r w:rsidRPr="000A76F0">
        <w:rPr>
          <w:sz w:val="24"/>
          <w:szCs w:val="24"/>
        </w:rPr>
        <w:t xml:space="preserve"> i přes velké příjmy z prodeje ropy na nižší úrovni srovnatelné s okolními státy, které obdobné přírodní bohatství nemají. </w:t>
      </w:r>
    </w:p>
    <w:p w14:paraId="0C253FF2" w14:textId="1460CC55" w:rsidR="000A76F0" w:rsidRPr="00DA5BF3" w:rsidRDefault="000A76F0" w:rsidP="00DA5BF3">
      <w:pPr>
        <w:spacing w:after="100" w:afterAutospacing="1" w:line="240" w:lineRule="auto"/>
        <w:jc w:val="both"/>
        <w:rPr>
          <w:i/>
          <w:sz w:val="24"/>
          <w:szCs w:val="24"/>
        </w:rPr>
      </w:pPr>
      <w:r w:rsidRPr="00DA5BF3">
        <w:rPr>
          <w:i/>
          <w:sz w:val="24"/>
          <w:szCs w:val="24"/>
        </w:rPr>
        <w:t xml:space="preserve">Vliv poklesu ceny ropy </w:t>
      </w:r>
      <w:r w:rsidR="009B6DA3" w:rsidRPr="00DA5BF3">
        <w:rPr>
          <w:i/>
          <w:sz w:val="24"/>
          <w:szCs w:val="24"/>
        </w:rPr>
        <w:t xml:space="preserve">na </w:t>
      </w:r>
      <w:r w:rsidRPr="00DA5BF3">
        <w:rPr>
          <w:i/>
          <w:sz w:val="24"/>
          <w:szCs w:val="24"/>
        </w:rPr>
        <w:t>ekonomiku Ázerbájdžánu</w:t>
      </w:r>
    </w:p>
    <w:p w14:paraId="0C12ECE7" w14:textId="437BCA0F" w:rsidR="000A76F0" w:rsidRPr="006D6D00" w:rsidRDefault="000A76F0" w:rsidP="000A76F0">
      <w:pPr>
        <w:spacing w:line="240" w:lineRule="auto"/>
        <w:jc w:val="both"/>
        <w:rPr>
          <w:sz w:val="24"/>
          <w:szCs w:val="24"/>
        </w:rPr>
      </w:pPr>
      <w:r w:rsidRPr="000A76F0">
        <w:rPr>
          <w:sz w:val="24"/>
          <w:szCs w:val="24"/>
          <w:shd w:val="clear" w:color="auto" w:fill="FFFFFF"/>
        </w:rPr>
        <w:t>V roce 2020 Ázerbájdžán prošel nejen nemocí COVID-19 a poklesem cen ropy, ale rovněž válkou</w:t>
      </w:r>
      <w:r w:rsidR="00A67642">
        <w:rPr>
          <w:sz w:val="24"/>
          <w:szCs w:val="24"/>
          <w:shd w:val="clear" w:color="auto" w:fill="FFFFFF"/>
        </w:rPr>
        <w:t xml:space="preserve"> (na kterou se připravoval)</w:t>
      </w:r>
      <w:r w:rsidRPr="000A76F0">
        <w:rPr>
          <w:sz w:val="24"/>
          <w:szCs w:val="24"/>
          <w:shd w:val="clear" w:color="auto" w:fill="FFFFFF"/>
        </w:rPr>
        <w:t xml:space="preserve">. </w:t>
      </w:r>
      <w:r w:rsidRPr="000A76F0">
        <w:rPr>
          <w:sz w:val="24"/>
          <w:szCs w:val="24"/>
        </w:rPr>
        <w:t xml:space="preserve">Tento nepříznivý vývoj měl dle očekávání </w:t>
      </w:r>
      <w:r w:rsidR="003E08A5" w:rsidRPr="000A76F0">
        <w:rPr>
          <w:sz w:val="24"/>
          <w:szCs w:val="24"/>
        </w:rPr>
        <w:t xml:space="preserve">negativní dopad </w:t>
      </w:r>
      <w:r w:rsidRPr="000A76F0">
        <w:rPr>
          <w:sz w:val="24"/>
          <w:szCs w:val="24"/>
        </w:rPr>
        <w:t>na</w:t>
      </w:r>
      <w:r w:rsidR="003E08A5">
        <w:rPr>
          <w:sz w:val="24"/>
          <w:szCs w:val="24"/>
        </w:rPr>
        <w:t xml:space="preserve"> domácí</w:t>
      </w:r>
      <w:r w:rsidRPr="000A76F0">
        <w:rPr>
          <w:sz w:val="24"/>
          <w:szCs w:val="24"/>
        </w:rPr>
        <w:t xml:space="preserve"> ekonomiku</w:t>
      </w:r>
      <w:r w:rsidR="003E08A5">
        <w:rPr>
          <w:sz w:val="24"/>
          <w:szCs w:val="24"/>
        </w:rPr>
        <w:t>.</w:t>
      </w:r>
      <w:r w:rsidRPr="000A76F0">
        <w:rPr>
          <w:sz w:val="24"/>
          <w:szCs w:val="24"/>
        </w:rPr>
        <w:t xml:space="preserve"> Mezi lednem a říjnem 2020 poklesl HDP o 3,8 % </w:t>
      </w:r>
      <w:r w:rsidRPr="002A3BEE">
        <w:rPr>
          <w:sz w:val="24"/>
          <w:szCs w:val="24"/>
        </w:rPr>
        <w:t>ve srovnání se stejným obdobím ro</w:t>
      </w:r>
      <w:r w:rsidR="003E08A5">
        <w:rPr>
          <w:sz w:val="24"/>
          <w:szCs w:val="24"/>
        </w:rPr>
        <w:t>ku</w:t>
      </w:r>
      <w:r w:rsidRPr="002A3BEE">
        <w:rPr>
          <w:sz w:val="24"/>
          <w:szCs w:val="24"/>
        </w:rPr>
        <w:t xml:space="preserve"> 2019. Odhady celkového poklesu za rok 2020 se pohybovaly v rozmezí od</w:t>
      </w:r>
      <w:r w:rsidRPr="002A3BEE">
        <w:rPr>
          <w:sz w:val="24"/>
          <w:szCs w:val="24"/>
          <w:shd w:val="clear" w:color="auto" w:fill="FFFFFF"/>
        </w:rPr>
        <w:t xml:space="preserve"> 1,7 % (</w:t>
      </w:r>
      <w:proofErr w:type="spellStart"/>
      <w:r w:rsidRPr="002A3BEE">
        <w:rPr>
          <w:rStyle w:val="source-description"/>
          <w:color w:val="333333"/>
          <w:sz w:val="24"/>
          <w:szCs w:val="24"/>
        </w:rPr>
        <w:t>The</w:t>
      </w:r>
      <w:proofErr w:type="spellEnd"/>
      <w:r w:rsidRPr="002A3BEE">
        <w:rPr>
          <w:rStyle w:val="source-description"/>
          <w:color w:val="333333"/>
          <w:sz w:val="24"/>
          <w:szCs w:val="24"/>
        </w:rPr>
        <w:t xml:space="preserve"> </w:t>
      </w:r>
      <w:proofErr w:type="spellStart"/>
      <w:r w:rsidRPr="002A3BEE">
        <w:rPr>
          <w:rStyle w:val="source-description"/>
          <w:color w:val="333333"/>
          <w:sz w:val="24"/>
          <w:szCs w:val="24"/>
        </w:rPr>
        <w:t>State</w:t>
      </w:r>
      <w:proofErr w:type="spellEnd"/>
      <w:r w:rsidRPr="002A3BEE">
        <w:rPr>
          <w:rStyle w:val="source-description"/>
          <w:color w:val="333333"/>
          <w:sz w:val="24"/>
          <w:szCs w:val="24"/>
        </w:rPr>
        <w:t xml:space="preserve"> </w:t>
      </w:r>
      <w:proofErr w:type="spellStart"/>
      <w:r w:rsidRPr="002A3BEE">
        <w:rPr>
          <w:rStyle w:val="source-description"/>
          <w:color w:val="333333"/>
          <w:sz w:val="24"/>
          <w:szCs w:val="24"/>
        </w:rPr>
        <w:t>Statistical</w:t>
      </w:r>
      <w:proofErr w:type="spellEnd"/>
      <w:r w:rsidRPr="002A3BEE">
        <w:rPr>
          <w:rStyle w:val="source-description"/>
          <w:color w:val="333333"/>
          <w:sz w:val="24"/>
          <w:szCs w:val="24"/>
        </w:rPr>
        <w:t xml:space="preserve"> </w:t>
      </w:r>
      <w:proofErr w:type="spellStart"/>
      <w:r w:rsidRPr="002A3BEE">
        <w:rPr>
          <w:rStyle w:val="source-description"/>
          <w:color w:val="333333"/>
          <w:sz w:val="24"/>
          <w:szCs w:val="24"/>
        </w:rPr>
        <w:t>Committee</w:t>
      </w:r>
      <w:proofErr w:type="spellEnd"/>
      <w:r w:rsidRPr="002A3BEE">
        <w:rPr>
          <w:rStyle w:val="source-description"/>
          <w:color w:val="333333"/>
          <w:sz w:val="24"/>
          <w:szCs w:val="24"/>
        </w:rPr>
        <w:t xml:space="preserve"> </w:t>
      </w:r>
      <w:proofErr w:type="spellStart"/>
      <w:r w:rsidRPr="002A3BEE">
        <w:rPr>
          <w:rStyle w:val="source-description"/>
          <w:color w:val="333333"/>
          <w:sz w:val="24"/>
          <w:szCs w:val="24"/>
        </w:rPr>
        <w:t>of</w:t>
      </w:r>
      <w:proofErr w:type="spellEnd"/>
      <w:r w:rsidRPr="002A3BEE">
        <w:rPr>
          <w:rStyle w:val="source-description"/>
          <w:color w:val="333333"/>
          <w:sz w:val="24"/>
          <w:szCs w:val="24"/>
        </w:rPr>
        <w:t xml:space="preserve"> </w:t>
      </w:r>
      <w:proofErr w:type="spellStart"/>
      <w:r w:rsidRPr="002A3BEE">
        <w:rPr>
          <w:rStyle w:val="source-description"/>
          <w:color w:val="333333"/>
          <w:sz w:val="24"/>
          <w:szCs w:val="24"/>
        </w:rPr>
        <w:t>the</w:t>
      </w:r>
      <w:proofErr w:type="spellEnd"/>
      <w:r w:rsidRPr="002A3BEE">
        <w:rPr>
          <w:rStyle w:val="source-description"/>
          <w:color w:val="333333"/>
          <w:sz w:val="24"/>
          <w:szCs w:val="24"/>
        </w:rPr>
        <w:t xml:space="preserve"> Republic </w:t>
      </w:r>
      <w:proofErr w:type="spellStart"/>
      <w:r w:rsidRPr="002A3BEE">
        <w:rPr>
          <w:rStyle w:val="source-description"/>
          <w:color w:val="333333"/>
          <w:sz w:val="24"/>
          <w:szCs w:val="24"/>
        </w:rPr>
        <w:t>of</w:t>
      </w:r>
      <w:proofErr w:type="spellEnd"/>
      <w:r w:rsidRPr="002A3BEE">
        <w:rPr>
          <w:rStyle w:val="source-description"/>
          <w:color w:val="333333"/>
          <w:sz w:val="24"/>
          <w:szCs w:val="24"/>
        </w:rPr>
        <w:t xml:space="preserve"> </w:t>
      </w:r>
      <w:proofErr w:type="spellStart"/>
      <w:r w:rsidRPr="002A3BEE">
        <w:rPr>
          <w:rStyle w:val="source-description"/>
          <w:color w:val="333333"/>
          <w:sz w:val="24"/>
          <w:szCs w:val="24"/>
        </w:rPr>
        <w:t>Azerbaijan</w:t>
      </w:r>
      <w:proofErr w:type="spellEnd"/>
      <w:r w:rsidR="006D6D00" w:rsidRPr="002A3BEE">
        <w:rPr>
          <w:rStyle w:val="source-description"/>
          <w:color w:val="333333"/>
          <w:sz w:val="24"/>
          <w:szCs w:val="24"/>
        </w:rPr>
        <w:t xml:space="preserve"> 2020</w:t>
      </w:r>
      <w:r w:rsidRPr="002A3BEE">
        <w:rPr>
          <w:sz w:val="24"/>
          <w:szCs w:val="24"/>
          <w:shd w:val="clear" w:color="auto" w:fill="FFFFFF"/>
        </w:rPr>
        <w:t xml:space="preserve">) do </w:t>
      </w:r>
      <w:r w:rsidRPr="002A3BEE">
        <w:rPr>
          <w:sz w:val="24"/>
          <w:szCs w:val="24"/>
        </w:rPr>
        <w:t xml:space="preserve">4 % (IMF </w:t>
      </w:r>
      <w:proofErr w:type="gramStart"/>
      <w:r w:rsidRPr="002A3BEE">
        <w:rPr>
          <w:sz w:val="24"/>
          <w:szCs w:val="24"/>
        </w:rPr>
        <w:t>2020</w:t>
      </w:r>
      <w:r w:rsidR="006D6D00" w:rsidRPr="002A3BEE">
        <w:rPr>
          <w:sz w:val="24"/>
          <w:szCs w:val="24"/>
        </w:rPr>
        <w:t>a</w:t>
      </w:r>
      <w:proofErr w:type="gramEnd"/>
      <w:r w:rsidRPr="002A3BEE">
        <w:rPr>
          <w:sz w:val="24"/>
          <w:szCs w:val="24"/>
        </w:rPr>
        <w:t>).</w:t>
      </w:r>
      <w:r w:rsidR="00C812FF">
        <w:rPr>
          <w:rStyle w:val="Znakapoznpodarou"/>
          <w:sz w:val="24"/>
          <w:szCs w:val="24"/>
        </w:rPr>
        <w:footnoteReference w:id="16"/>
      </w:r>
      <w:r w:rsidRPr="002A3BEE">
        <w:rPr>
          <w:sz w:val="24"/>
          <w:szCs w:val="24"/>
        </w:rPr>
        <w:t xml:space="preserve"> Pro srovnání byl růs</w:t>
      </w:r>
      <w:r w:rsidRPr="006D6D00">
        <w:rPr>
          <w:sz w:val="24"/>
          <w:szCs w:val="24"/>
        </w:rPr>
        <w:t>t HDP</w:t>
      </w:r>
      <w:r w:rsidR="003E08A5">
        <w:rPr>
          <w:sz w:val="24"/>
          <w:szCs w:val="24"/>
        </w:rPr>
        <w:t xml:space="preserve"> </w:t>
      </w:r>
      <w:r w:rsidR="003E08A5" w:rsidRPr="002A3BEE">
        <w:rPr>
          <w:sz w:val="24"/>
          <w:szCs w:val="24"/>
        </w:rPr>
        <w:t>v roce 2019</w:t>
      </w:r>
      <w:r w:rsidRPr="006D6D00">
        <w:rPr>
          <w:sz w:val="24"/>
          <w:szCs w:val="24"/>
        </w:rPr>
        <w:t xml:space="preserve"> na hodnotě 2,2 %, v roce 2021 by mělo dojít k 2% růstu HDP (</w:t>
      </w:r>
      <w:proofErr w:type="spellStart"/>
      <w:r w:rsidRPr="006D6D00">
        <w:rPr>
          <w:sz w:val="24"/>
          <w:szCs w:val="24"/>
        </w:rPr>
        <w:t>ibid</w:t>
      </w:r>
      <w:proofErr w:type="spellEnd"/>
      <w:r w:rsidRPr="006D6D00">
        <w:rPr>
          <w:sz w:val="24"/>
          <w:szCs w:val="24"/>
        </w:rPr>
        <w:t xml:space="preserve">.). </w:t>
      </w:r>
    </w:p>
    <w:p w14:paraId="066A0463" w14:textId="2723CF65" w:rsidR="000A76F0" w:rsidRPr="000A76F0" w:rsidRDefault="000A76F0" w:rsidP="000A76F0">
      <w:pPr>
        <w:spacing w:before="240" w:line="240" w:lineRule="auto"/>
        <w:ind w:firstLine="708"/>
        <w:jc w:val="both"/>
        <w:rPr>
          <w:sz w:val="24"/>
          <w:szCs w:val="24"/>
        </w:rPr>
      </w:pPr>
      <w:r w:rsidRPr="006D6D00">
        <w:rPr>
          <w:sz w:val="24"/>
          <w:szCs w:val="24"/>
          <w:shd w:val="clear" w:color="auto" w:fill="FFFFFF"/>
        </w:rPr>
        <w:t>Celosvětová epidemiologická opatření v roce 2020 omezila ázerbajdžánské ekonomické aktivity oslabením poptávky na energetickém trhu.</w:t>
      </w:r>
      <w:r w:rsidRPr="006D6D00">
        <w:rPr>
          <w:sz w:val="24"/>
          <w:szCs w:val="24"/>
        </w:rPr>
        <w:t xml:space="preserve"> Mezi lednem a říjnem znatelně vzrostl deficit státního rozpočtu</w:t>
      </w:r>
      <w:r w:rsidR="003E08A5">
        <w:rPr>
          <w:sz w:val="24"/>
          <w:szCs w:val="24"/>
        </w:rPr>
        <w:t>, a to</w:t>
      </w:r>
      <w:r w:rsidRPr="006D6D00">
        <w:rPr>
          <w:sz w:val="24"/>
          <w:szCs w:val="24"/>
        </w:rPr>
        <w:t xml:space="preserve"> o 12,3 % ve srovnání se stejným obdobím předchozího roku. Oproti předchozí </w:t>
      </w:r>
      <w:r w:rsidR="00DD00CB">
        <w:rPr>
          <w:sz w:val="24"/>
          <w:szCs w:val="24"/>
        </w:rPr>
        <w:t xml:space="preserve">ropné </w:t>
      </w:r>
      <w:r w:rsidRPr="006D6D00">
        <w:rPr>
          <w:sz w:val="24"/>
          <w:szCs w:val="24"/>
        </w:rPr>
        <w:t>krizi v letech 2015</w:t>
      </w:r>
      <w:r w:rsidR="00C812FF">
        <w:rPr>
          <w:sz w:val="24"/>
          <w:szCs w:val="24"/>
        </w:rPr>
        <w:t>–</w:t>
      </w:r>
      <w:r w:rsidRPr="006D6D00">
        <w:rPr>
          <w:sz w:val="24"/>
          <w:szCs w:val="24"/>
        </w:rPr>
        <w:t>2016 ned</w:t>
      </w:r>
      <w:r w:rsidRPr="000A76F0">
        <w:rPr>
          <w:sz w:val="24"/>
          <w:szCs w:val="24"/>
        </w:rPr>
        <w:t>ošlo k žádné devalvaci</w:t>
      </w:r>
      <w:r w:rsidRPr="000A76F0">
        <w:rPr>
          <w:rStyle w:val="Znakapoznpodarou"/>
          <w:sz w:val="24"/>
          <w:szCs w:val="24"/>
        </w:rPr>
        <w:footnoteReference w:id="17"/>
      </w:r>
      <w:r w:rsidRPr="000A76F0">
        <w:rPr>
          <w:sz w:val="24"/>
          <w:szCs w:val="24"/>
        </w:rPr>
        <w:t xml:space="preserve"> </w:t>
      </w:r>
      <w:r w:rsidR="00A300FE">
        <w:rPr>
          <w:sz w:val="24"/>
          <w:szCs w:val="24"/>
        </w:rPr>
        <w:t>a k</w:t>
      </w:r>
      <w:r w:rsidRPr="000A76F0">
        <w:rPr>
          <w:sz w:val="24"/>
          <w:szCs w:val="24"/>
        </w:rPr>
        <w:t xml:space="preserve">urz zůstal na úrovni 1,70 </w:t>
      </w:r>
      <w:proofErr w:type="spellStart"/>
      <w:r w:rsidRPr="000A76F0">
        <w:rPr>
          <w:sz w:val="24"/>
          <w:szCs w:val="24"/>
        </w:rPr>
        <w:t>manatů</w:t>
      </w:r>
      <w:proofErr w:type="spellEnd"/>
      <w:r w:rsidRPr="000A76F0">
        <w:rPr>
          <w:sz w:val="24"/>
          <w:szCs w:val="24"/>
        </w:rPr>
        <w:t xml:space="preserve"> za dolar (</w:t>
      </w:r>
      <w:proofErr w:type="spellStart"/>
      <w:r w:rsidRPr="000A76F0">
        <w:rPr>
          <w:sz w:val="24"/>
          <w:szCs w:val="24"/>
        </w:rPr>
        <w:t>Central</w:t>
      </w:r>
      <w:proofErr w:type="spellEnd"/>
      <w:r w:rsidRPr="000A76F0">
        <w:rPr>
          <w:sz w:val="24"/>
          <w:szCs w:val="24"/>
        </w:rPr>
        <w:t xml:space="preserve"> Bank </w:t>
      </w:r>
      <w:proofErr w:type="spellStart"/>
      <w:r w:rsidRPr="000A76F0">
        <w:rPr>
          <w:sz w:val="24"/>
          <w:szCs w:val="24"/>
        </w:rPr>
        <w:t>of</w:t>
      </w:r>
      <w:proofErr w:type="spellEnd"/>
      <w:r w:rsidRPr="000A76F0">
        <w:rPr>
          <w:sz w:val="24"/>
          <w:szCs w:val="24"/>
        </w:rPr>
        <w:t xml:space="preserve"> </w:t>
      </w:r>
      <w:proofErr w:type="spellStart"/>
      <w:r w:rsidRPr="000A76F0">
        <w:rPr>
          <w:sz w:val="24"/>
          <w:szCs w:val="24"/>
        </w:rPr>
        <w:t>the</w:t>
      </w:r>
      <w:proofErr w:type="spellEnd"/>
      <w:r w:rsidRPr="000A76F0">
        <w:rPr>
          <w:sz w:val="24"/>
          <w:szCs w:val="24"/>
        </w:rPr>
        <w:t xml:space="preserve"> Republic </w:t>
      </w:r>
      <w:proofErr w:type="spellStart"/>
      <w:r w:rsidRPr="000A76F0">
        <w:rPr>
          <w:sz w:val="24"/>
          <w:szCs w:val="24"/>
        </w:rPr>
        <w:t>of</w:t>
      </w:r>
      <w:proofErr w:type="spellEnd"/>
      <w:r w:rsidRPr="000A76F0">
        <w:rPr>
          <w:sz w:val="24"/>
          <w:szCs w:val="24"/>
        </w:rPr>
        <w:t xml:space="preserve"> </w:t>
      </w:r>
      <w:proofErr w:type="spellStart"/>
      <w:r w:rsidRPr="000A76F0">
        <w:rPr>
          <w:sz w:val="24"/>
          <w:szCs w:val="24"/>
        </w:rPr>
        <w:t>Azerbaijan</w:t>
      </w:r>
      <w:proofErr w:type="spellEnd"/>
      <w:r w:rsidRPr="000A76F0">
        <w:rPr>
          <w:sz w:val="24"/>
          <w:szCs w:val="24"/>
        </w:rPr>
        <w:t xml:space="preserve"> 2020).</w:t>
      </w:r>
      <w:r w:rsidRPr="000A76F0">
        <w:rPr>
          <w:rStyle w:val="Znakapoznpodarou"/>
          <w:sz w:val="24"/>
          <w:szCs w:val="24"/>
        </w:rPr>
        <w:footnoteReference w:id="18"/>
      </w:r>
      <w:r w:rsidRPr="000A76F0">
        <w:rPr>
          <w:sz w:val="24"/>
          <w:szCs w:val="24"/>
        </w:rPr>
        <w:t xml:space="preserve"> Díky udržení stabilního kurzu s využitím zdrojů </w:t>
      </w:r>
      <w:r w:rsidR="003E08A5">
        <w:rPr>
          <w:sz w:val="24"/>
          <w:szCs w:val="24"/>
        </w:rPr>
        <w:t>suverénního fondu</w:t>
      </w:r>
      <w:r w:rsidRPr="000A76F0">
        <w:rPr>
          <w:sz w:val="24"/>
          <w:szCs w:val="24"/>
        </w:rPr>
        <w:t xml:space="preserve"> se podařilo udržet inflaci na hodnotách pod 3 % </w:t>
      </w:r>
      <w:r w:rsidRPr="006D6D00">
        <w:rPr>
          <w:rFonts w:cs="Adobe Garamond Pro"/>
          <w:sz w:val="24"/>
          <w:szCs w:val="24"/>
        </w:rPr>
        <w:t>(IMF 2020</w:t>
      </w:r>
      <w:r w:rsidR="006D6D00" w:rsidRPr="006D6D00">
        <w:rPr>
          <w:rFonts w:cs="Adobe Garamond Pro"/>
          <w:sz w:val="24"/>
          <w:szCs w:val="24"/>
        </w:rPr>
        <w:t>b</w:t>
      </w:r>
      <w:r w:rsidRPr="006D6D00">
        <w:rPr>
          <w:rFonts w:cs="Adobe Garamond Pro"/>
          <w:sz w:val="24"/>
          <w:szCs w:val="24"/>
        </w:rPr>
        <w:t>).</w:t>
      </w:r>
      <w:r w:rsidR="00C812FF">
        <w:rPr>
          <w:rStyle w:val="Znakapoznpodarou"/>
          <w:rFonts w:cs="Adobe Garamond Pro"/>
          <w:sz w:val="24"/>
          <w:szCs w:val="24"/>
        </w:rPr>
        <w:footnoteReference w:id="19"/>
      </w:r>
    </w:p>
    <w:p w14:paraId="5432054A" w14:textId="2E32C4DE" w:rsidR="00D130CA" w:rsidRPr="000A76F0" w:rsidRDefault="003E08A5" w:rsidP="00D130CA">
      <w:pPr>
        <w:spacing w:before="240" w:line="240" w:lineRule="auto"/>
        <w:ind w:firstLine="708"/>
        <w:jc w:val="both"/>
        <w:rPr>
          <w:rFonts w:cs="Times New Roman"/>
          <w:sz w:val="24"/>
          <w:szCs w:val="24"/>
        </w:rPr>
      </w:pPr>
      <w:r>
        <w:rPr>
          <w:sz w:val="24"/>
          <w:szCs w:val="24"/>
        </w:rPr>
        <w:lastRenderedPageBreak/>
        <w:t>D</w:t>
      </w:r>
      <w:r w:rsidRPr="000A76F0">
        <w:rPr>
          <w:sz w:val="24"/>
          <w:szCs w:val="24"/>
        </w:rPr>
        <w:t>eficit</w:t>
      </w:r>
      <w:r>
        <w:rPr>
          <w:sz w:val="24"/>
          <w:szCs w:val="24"/>
        </w:rPr>
        <w:t xml:space="preserve"> státního</w:t>
      </w:r>
      <w:r w:rsidRPr="000A76F0">
        <w:rPr>
          <w:sz w:val="24"/>
          <w:szCs w:val="24"/>
        </w:rPr>
        <w:t xml:space="preserve"> rozpočtu </w:t>
      </w:r>
      <w:r>
        <w:rPr>
          <w:sz w:val="24"/>
          <w:szCs w:val="24"/>
        </w:rPr>
        <w:t>bude p</w:t>
      </w:r>
      <w:r w:rsidR="000A76F0" w:rsidRPr="000A76F0">
        <w:rPr>
          <w:sz w:val="24"/>
          <w:szCs w:val="24"/>
        </w:rPr>
        <w:t xml:space="preserve">odle odhadů na konci roku 2020 dosahovat 3,368 miliardy </w:t>
      </w:r>
      <w:proofErr w:type="spellStart"/>
      <w:r w:rsidR="000A76F0" w:rsidRPr="000A76F0">
        <w:rPr>
          <w:sz w:val="24"/>
          <w:szCs w:val="24"/>
        </w:rPr>
        <w:t>manatů</w:t>
      </w:r>
      <w:proofErr w:type="spellEnd"/>
      <w:r w:rsidR="000A76F0" w:rsidRPr="000A76F0">
        <w:rPr>
          <w:sz w:val="24"/>
          <w:szCs w:val="24"/>
        </w:rPr>
        <w:t xml:space="preserve"> (1,98 m</w:t>
      </w:r>
      <w:r w:rsidR="00C812FF">
        <w:rPr>
          <w:sz w:val="24"/>
          <w:szCs w:val="24"/>
        </w:rPr>
        <w:t>ld.</w:t>
      </w:r>
      <w:r w:rsidR="000A76F0" w:rsidRPr="000A76F0">
        <w:rPr>
          <w:sz w:val="24"/>
          <w:szCs w:val="24"/>
        </w:rPr>
        <w:t xml:space="preserve"> </w:t>
      </w:r>
      <w:r w:rsidR="00310AFA">
        <w:rPr>
          <w:sz w:val="24"/>
          <w:szCs w:val="24"/>
        </w:rPr>
        <w:t>USD</w:t>
      </w:r>
      <w:r w:rsidR="000A76F0" w:rsidRPr="000A76F0">
        <w:rPr>
          <w:sz w:val="24"/>
          <w:szCs w:val="24"/>
        </w:rPr>
        <w:t xml:space="preserve">). </w:t>
      </w:r>
      <w:r w:rsidR="000A76F0" w:rsidRPr="000A76F0">
        <w:rPr>
          <w:rFonts w:cs="Adobe Garamond Pro"/>
          <w:sz w:val="24"/>
          <w:szCs w:val="24"/>
        </w:rPr>
        <w:t>Celkově je však fiskální deficit o 0,8 % HDP příznivější než u většiny zemí MENA</w:t>
      </w:r>
      <w:r w:rsidR="00800125">
        <w:rPr>
          <w:rFonts w:cs="Adobe Garamond Pro"/>
          <w:sz w:val="24"/>
          <w:szCs w:val="24"/>
        </w:rPr>
        <w:t>.</w:t>
      </w:r>
      <w:r w:rsidR="000A76F0" w:rsidRPr="000A76F0">
        <w:rPr>
          <w:rFonts w:cs="Adobe Garamond Pro"/>
          <w:sz w:val="24"/>
          <w:szCs w:val="24"/>
        </w:rPr>
        <w:t xml:space="preserve"> Ázerbájdžán tedy není v kritické situaci. </w:t>
      </w:r>
      <w:r w:rsidR="00D130CA" w:rsidRPr="000A76F0">
        <w:rPr>
          <w:sz w:val="24"/>
          <w:szCs w:val="24"/>
        </w:rPr>
        <w:t xml:space="preserve">Deficit rozpočtu byl z velké části financován transfery ze </w:t>
      </w:r>
      <w:r w:rsidR="00D130CA">
        <w:rPr>
          <w:sz w:val="24"/>
          <w:szCs w:val="24"/>
        </w:rPr>
        <w:t>suverénního fondu</w:t>
      </w:r>
      <w:r w:rsidR="00D130CA" w:rsidRPr="000A76F0">
        <w:rPr>
          <w:sz w:val="24"/>
          <w:szCs w:val="24"/>
        </w:rPr>
        <w:t xml:space="preserve">. Došlo ovšem i k růstu </w:t>
      </w:r>
      <w:r w:rsidR="000666EE">
        <w:rPr>
          <w:sz w:val="24"/>
          <w:szCs w:val="24"/>
        </w:rPr>
        <w:t xml:space="preserve">poměru </w:t>
      </w:r>
      <w:r w:rsidR="00D130CA" w:rsidRPr="000A76F0">
        <w:rPr>
          <w:sz w:val="24"/>
          <w:szCs w:val="24"/>
        </w:rPr>
        <w:t>státního dluhu k</w:t>
      </w:r>
      <w:r w:rsidR="000666EE">
        <w:rPr>
          <w:sz w:val="24"/>
          <w:szCs w:val="24"/>
        </w:rPr>
        <w:t> </w:t>
      </w:r>
      <w:r w:rsidR="00D130CA" w:rsidRPr="000A76F0">
        <w:rPr>
          <w:sz w:val="24"/>
          <w:szCs w:val="24"/>
        </w:rPr>
        <w:t>HDP</w:t>
      </w:r>
      <w:r w:rsidR="000666EE">
        <w:rPr>
          <w:sz w:val="24"/>
          <w:szCs w:val="24"/>
        </w:rPr>
        <w:t xml:space="preserve"> (</w:t>
      </w:r>
      <w:r w:rsidR="00D130CA" w:rsidRPr="000A76F0">
        <w:rPr>
          <w:sz w:val="24"/>
          <w:szCs w:val="24"/>
        </w:rPr>
        <w:t>což bylo způsobeno hlavně poklesem ekonomiky</w:t>
      </w:r>
      <w:r w:rsidR="000666EE">
        <w:rPr>
          <w:sz w:val="24"/>
          <w:szCs w:val="24"/>
        </w:rPr>
        <w:t>)</w:t>
      </w:r>
      <w:r w:rsidR="00D130CA" w:rsidRPr="000A76F0">
        <w:rPr>
          <w:sz w:val="24"/>
          <w:szCs w:val="24"/>
        </w:rPr>
        <w:t xml:space="preserve">. Na konci třetího čtvrtletí dosahoval dluh 23 % HDP, zatímco na konci roku to bylo něco přes 17 % HDP. </w:t>
      </w:r>
    </w:p>
    <w:p w14:paraId="501582CD" w14:textId="7D1042F0" w:rsidR="00D130CA" w:rsidRPr="00D130CA" w:rsidRDefault="00D130CA" w:rsidP="00D130CA">
      <w:pPr>
        <w:spacing w:before="240" w:line="240" w:lineRule="auto"/>
        <w:ind w:firstLine="708"/>
        <w:jc w:val="both"/>
        <w:rPr>
          <w:sz w:val="24"/>
          <w:szCs w:val="24"/>
        </w:rPr>
      </w:pPr>
      <w:r w:rsidRPr="000A76F0">
        <w:rPr>
          <w:sz w:val="24"/>
          <w:szCs w:val="24"/>
        </w:rPr>
        <w:t xml:space="preserve">Situace se samotným suverénním fondem je i přes nízké ceny ropy stabilní. Mezi lednem a říjnem </w:t>
      </w:r>
      <w:r>
        <w:rPr>
          <w:sz w:val="24"/>
          <w:szCs w:val="24"/>
        </w:rPr>
        <w:t>fond</w:t>
      </w:r>
      <w:r w:rsidRPr="000A76F0">
        <w:rPr>
          <w:sz w:val="24"/>
          <w:szCs w:val="24"/>
        </w:rPr>
        <w:t xml:space="preserve"> ze svých rezerv</w:t>
      </w:r>
      <w:r>
        <w:rPr>
          <w:sz w:val="24"/>
          <w:szCs w:val="24"/>
        </w:rPr>
        <w:t xml:space="preserve"> </w:t>
      </w:r>
      <w:r w:rsidRPr="000A76F0">
        <w:rPr>
          <w:sz w:val="24"/>
          <w:szCs w:val="24"/>
        </w:rPr>
        <w:t xml:space="preserve">prodal 6,2 </w:t>
      </w:r>
      <w:r w:rsidR="00C812FF">
        <w:rPr>
          <w:sz w:val="24"/>
          <w:szCs w:val="24"/>
        </w:rPr>
        <w:t>mld.</w:t>
      </w:r>
      <w:r w:rsidRPr="000A76F0">
        <w:rPr>
          <w:sz w:val="24"/>
          <w:szCs w:val="24"/>
        </w:rPr>
        <w:t xml:space="preserve"> </w:t>
      </w:r>
      <w:r w:rsidR="00C812FF">
        <w:rPr>
          <w:sz w:val="24"/>
          <w:szCs w:val="24"/>
        </w:rPr>
        <w:t>USD</w:t>
      </w:r>
      <w:r w:rsidRPr="000A76F0">
        <w:rPr>
          <w:sz w:val="24"/>
          <w:szCs w:val="24"/>
        </w:rPr>
        <w:t xml:space="preserve">, z toho 2,6 </w:t>
      </w:r>
      <w:r w:rsidR="00C812FF">
        <w:rPr>
          <w:sz w:val="24"/>
          <w:szCs w:val="24"/>
        </w:rPr>
        <w:t>mld.</w:t>
      </w:r>
      <w:r w:rsidRPr="000A76F0">
        <w:rPr>
          <w:sz w:val="24"/>
          <w:szCs w:val="24"/>
        </w:rPr>
        <w:t xml:space="preserve"> </w:t>
      </w:r>
      <w:r w:rsidR="00C812FF">
        <w:rPr>
          <w:sz w:val="24"/>
          <w:szCs w:val="24"/>
        </w:rPr>
        <w:t>USD</w:t>
      </w:r>
      <w:r w:rsidRPr="000A76F0">
        <w:rPr>
          <w:sz w:val="24"/>
          <w:szCs w:val="24"/>
        </w:rPr>
        <w:t xml:space="preserve"> připadlo na období mezi březnem a dubnem. Růst cen </w:t>
      </w:r>
      <w:r>
        <w:rPr>
          <w:sz w:val="24"/>
          <w:szCs w:val="24"/>
        </w:rPr>
        <w:t>zlata</w:t>
      </w:r>
      <w:r w:rsidRPr="000A76F0">
        <w:rPr>
          <w:sz w:val="24"/>
          <w:szCs w:val="24"/>
        </w:rPr>
        <w:t xml:space="preserve">, které </w:t>
      </w:r>
      <w:r>
        <w:rPr>
          <w:sz w:val="24"/>
          <w:szCs w:val="24"/>
        </w:rPr>
        <w:t>fond</w:t>
      </w:r>
      <w:r w:rsidRPr="000A76F0">
        <w:rPr>
          <w:sz w:val="24"/>
          <w:szCs w:val="24"/>
        </w:rPr>
        <w:t xml:space="preserve"> kupoval od začátku roku 2020, k začátku posledního čtvrtletí 2020 téměř kompenzoval propad příjmů z prodeje ropy a plynu. Podle posledních dostupných dat byla aktiva </w:t>
      </w:r>
      <w:r>
        <w:rPr>
          <w:sz w:val="24"/>
          <w:szCs w:val="24"/>
        </w:rPr>
        <w:t>fondu</w:t>
      </w:r>
      <w:r w:rsidRPr="000A76F0">
        <w:rPr>
          <w:sz w:val="24"/>
          <w:szCs w:val="24"/>
        </w:rPr>
        <w:t xml:space="preserve"> v</w:t>
      </w:r>
      <w:r>
        <w:rPr>
          <w:sz w:val="24"/>
          <w:szCs w:val="24"/>
        </w:rPr>
        <w:t> </w:t>
      </w:r>
      <w:r w:rsidRPr="000A76F0">
        <w:rPr>
          <w:sz w:val="24"/>
          <w:szCs w:val="24"/>
        </w:rPr>
        <w:t>říjnu</w:t>
      </w:r>
      <w:r>
        <w:rPr>
          <w:sz w:val="24"/>
          <w:szCs w:val="24"/>
        </w:rPr>
        <w:t xml:space="preserve"> 2020</w:t>
      </w:r>
      <w:r w:rsidRPr="000A76F0">
        <w:rPr>
          <w:sz w:val="24"/>
          <w:szCs w:val="24"/>
        </w:rPr>
        <w:t xml:space="preserve"> na úrovni 43,223 </w:t>
      </w:r>
      <w:r w:rsidR="00C812FF">
        <w:rPr>
          <w:sz w:val="24"/>
          <w:szCs w:val="24"/>
        </w:rPr>
        <w:t>mld. USD</w:t>
      </w:r>
      <w:r>
        <w:rPr>
          <w:rStyle w:val="Znakapoznpodarou"/>
          <w:sz w:val="24"/>
          <w:szCs w:val="24"/>
        </w:rPr>
        <w:footnoteReference w:id="20"/>
      </w:r>
      <w:r w:rsidRPr="00D130CA">
        <w:rPr>
          <w:sz w:val="24"/>
          <w:szCs w:val="24"/>
        </w:rPr>
        <w:t xml:space="preserve"> </w:t>
      </w:r>
      <w:r w:rsidRPr="000A76F0">
        <w:rPr>
          <w:sz w:val="24"/>
          <w:szCs w:val="24"/>
        </w:rPr>
        <w:t xml:space="preserve">(SOFAZ 2020). Nehledě na konflikt v Náhorním Karabachu poptávka po zahraniční měně zůstala stabilní (Sputnik </w:t>
      </w:r>
      <w:proofErr w:type="spellStart"/>
      <w:r w:rsidRPr="000A76F0">
        <w:rPr>
          <w:sz w:val="24"/>
          <w:szCs w:val="24"/>
        </w:rPr>
        <w:t>Azerbaijani</w:t>
      </w:r>
      <w:proofErr w:type="spellEnd"/>
      <w:r w:rsidRPr="000A76F0">
        <w:rPr>
          <w:sz w:val="24"/>
          <w:szCs w:val="24"/>
        </w:rPr>
        <w:t xml:space="preserve"> 2020c).</w:t>
      </w:r>
    </w:p>
    <w:p w14:paraId="2C3701A3" w14:textId="1E690CE3" w:rsidR="000A76F0" w:rsidRPr="000A76F0" w:rsidRDefault="000A76F0" w:rsidP="000A76F0">
      <w:pPr>
        <w:spacing w:line="240" w:lineRule="auto"/>
        <w:ind w:firstLine="708"/>
        <w:jc w:val="both"/>
        <w:rPr>
          <w:rFonts w:cs="Adobe Garamond Pro"/>
          <w:sz w:val="24"/>
          <w:szCs w:val="24"/>
        </w:rPr>
      </w:pPr>
      <w:r w:rsidRPr="000A76F0">
        <w:rPr>
          <w:rFonts w:cs="Adobe Garamond Pro"/>
          <w:sz w:val="24"/>
          <w:szCs w:val="24"/>
        </w:rPr>
        <w:t xml:space="preserve">Nepříznivý vývoj HDP a růst nezaměstnanosti budou dále ovlivňovat nejvíce zasažené sektory, zejména turistika, která se v Ázerbájdžánu v posledních letech </w:t>
      </w:r>
      <w:r w:rsidR="00DB7CB1">
        <w:rPr>
          <w:rFonts w:cs="Adobe Garamond Pro"/>
          <w:sz w:val="24"/>
          <w:szCs w:val="24"/>
        </w:rPr>
        <w:t xml:space="preserve">poměrně </w:t>
      </w:r>
      <w:r w:rsidRPr="000A76F0">
        <w:rPr>
          <w:rFonts w:cs="Adobe Garamond Pro"/>
          <w:sz w:val="24"/>
          <w:szCs w:val="24"/>
        </w:rPr>
        <w:t>rychle rozvíjela. Země se totiž snaž</w:t>
      </w:r>
      <w:r w:rsidR="003E08A5">
        <w:rPr>
          <w:rFonts w:cs="Adobe Garamond Pro"/>
          <w:sz w:val="24"/>
          <w:szCs w:val="24"/>
        </w:rPr>
        <w:t>ila</w:t>
      </w:r>
      <w:r w:rsidRPr="000A76F0">
        <w:rPr>
          <w:rFonts w:cs="Adobe Garamond Pro"/>
          <w:sz w:val="24"/>
          <w:szCs w:val="24"/>
        </w:rPr>
        <w:t xml:space="preserve"> sn</w:t>
      </w:r>
      <w:r w:rsidR="00D130CA">
        <w:rPr>
          <w:rFonts w:cs="Adobe Garamond Pro"/>
          <w:sz w:val="24"/>
          <w:szCs w:val="24"/>
        </w:rPr>
        <w:t>i</w:t>
      </w:r>
      <w:r w:rsidRPr="000A76F0">
        <w:rPr>
          <w:rFonts w:cs="Adobe Garamond Pro"/>
          <w:sz w:val="24"/>
          <w:szCs w:val="24"/>
        </w:rPr>
        <w:t>ž</w:t>
      </w:r>
      <w:r w:rsidR="003E08A5">
        <w:rPr>
          <w:rFonts w:cs="Adobe Garamond Pro"/>
          <w:sz w:val="24"/>
          <w:szCs w:val="24"/>
        </w:rPr>
        <w:t>ovat</w:t>
      </w:r>
      <w:r w:rsidRPr="000A76F0">
        <w:rPr>
          <w:rFonts w:cs="Adobe Garamond Pro"/>
          <w:sz w:val="24"/>
          <w:szCs w:val="24"/>
        </w:rPr>
        <w:t xml:space="preserve"> závislost na ropě, a proto podpor</w:t>
      </w:r>
      <w:r w:rsidR="003E08A5">
        <w:rPr>
          <w:rFonts w:cs="Adobe Garamond Pro"/>
          <w:sz w:val="24"/>
          <w:szCs w:val="24"/>
        </w:rPr>
        <w:t>ovala</w:t>
      </w:r>
      <w:r w:rsidRPr="000A76F0">
        <w:rPr>
          <w:rFonts w:cs="Adobe Garamond Pro"/>
          <w:sz w:val="24"/>
          <w:szCs w:val="24"/>
        </w:rPr>
        <w:t xml:space="preserve"> rozvoj neropných odvětví. Firmy </w:t>
      </w:r>
      <w:r w:rsidR="00C812FF">
        <w:rPr>
          <w:rFonts w:cs="Adobe Garamond Pro"/>
          <w:sz w:val="24"/>
          <w:szCs w:val="24"/>
        </w:rPr>
        <w:t>v</w:t>
      </w:r>
      <w:r w:rsidRPr="000A76F0">
        <w:rPr>
          <w:rFonts w:cs="Adobe Garamond Pro"/>
          <w:sz w:val="24"/>
          <w:szCs w:val="24"/>
        </w:rPr>
        <w:t> neropné</w:t>
      </w:r>
      <w:r w:rsidR="00C812FF">
        <w:rPr>
          <w:rFonts w:cs="Adobe Garamond Pro"/>
          <w:sz w:val="24"/>
          <w:szCs w:val="24"/>
        </w:rPr>
        <w:t>m</w:t>
      </w:r>
      <w:r w:rsidRPr="000A76F0">
        <w:rPr>
          <w:rFonts w:cs="Adobe Garamond Pro"/>
          <w:sz w:val="24"/>
          <w:szCs w:val="24"/>
        </w:rPr>
        <w:t xml:space="preserve"> sektoru dostávaly podporu z příjmů z ropy, avšak vysoké využití úvěru a podstatné snížení příjmů a ziskovosti firem v roce 2020 představují nyní vyšší střednědobé riziko jejich insolvence. Pomalá relokace pracovní síly z nejvíce zasažených sektorů a omezená schopnost práce z domova povedou v zemi k vyšší nezaměstnanosti po několik dalších let. </w:t>
      </w:r>
    </w:p>
    <w:p w14:paraId="5546A27B" w14:textId="30E1A5E3" w:rsidR="000A76F0" w:rsidRPr="000A76F0" w:rsidRDefault="000A76F0" w:rsidP="006D6D00">
      <w:pPr>
        <w:spacing w:before="240" w:line="240" w:lineRule="auto"/>
        <w:ind w:firstLine="708"/>
        <w:jc w:val="both"/>
        <w:rPr>
          <w:rFonts w:cs="Adobe Garamond Pro"/>
          <w:sz w:val="24"/>
          <w:szCs w:val="24"/>
        </w:rPr>
      </w:pPr>
      <w:r w:rsidRPr="000A76F0">
        <w:rPr>
          <w:sz w:val="24"/>
          <w:szCs w:val="24"/>
        </w:rPr>
        <w:t xml:space="preserve">Rozpočty na roky 2020 a 2021 předpokládají ceny </w:t>
      </w:r>
      <w:r w:rsidR="007A64B2">
        <w:rPr>
          <w:sz w:val="24"/>
          <w:szCs w:val="24"/>
        </w:rPr>
        <w:t xml:space="preserve">ropy </w:t>
      </w:r>
      <w:r w:rsidRPr="000A76F0">
        <w:rPr>
          <w:sz w:val="24"/>
          <w:szCs w:val="24"/>
        </w:rPr>
        <w:t xml:space="preserve">na úrovni 35 </w:t>
      </w:r>
      <w:r w:rsidR="00C812FF">
        <w:rPr>
          <w:sz w:val="24"/>
          <w:szCs w:val="24"/>
        </w:rPr>
        <w:t>USD</w:t>
      </w:r>
      <w:r w:rsidRPr="000A76F0">
        <w:rPr>
          <w:sz w:val="24"/>
          <w:szCs w:val="24"/>
        </w:rPr>
        <w:t xml:space="preserve"> za barel. Jedná se o konzervativní odhady a ceny mohou být vyšší, což umožní doplnit </w:t>
      </w:r>
      <w:r w:rsidR="007F6951">
        <w:rPr>
          <w:sz w:val="24"/>
          <w:szCs w:val="24"/>
        </w:rPr>
        <w:t>prostředky</w:t>
      </w:r>
      <w:r w:rsidR="007F6951" w:rsidRPr="000A76F0">
        <w:rPr>
          <w:sz w:val="24"/>
          <w:szCs w:val="24"/>
        </w:rPr>
        <w:t xml:space="preserve"> </w:t>
      </w:r>
      <w:r w:rsidR="00D130CA">
        <w:rPr>
          <w:sz w:val="24"/>
          <w:szCs w:val="24"/>
        </w:rPr>
        <w:t>suverénního fondu</w:t>
      </w:r>
      <w:r w:rsidRPr="000A76F0">
        <w:rPr>
          <w:sz w:val="24"/>
          <w:szCs w:val="24"/>
        </w:rPr>
        <w:t xml:space="preserve"> a použ</w:t>
      </w:r>
      <w:r w:rsidR="00D130CA">
        <w:rPr>
          <w:sz w:val="24"/>
          <w:szCs w:val="24"/>
        </w:rPr>
        <w:t>í</w:t>
      </w:r>
      <w:r w:rsidRPr="000A76F0">
        <w:rPr>
          <w:sz w:val="24"/>
          <w:szCs w:val="24"/>
        </w:rPr>
        <w:t xml:space="preserve">t je například pro snížení státního dluhu. </w:t>
      </w:r>
      <w:r w:rsidRPr="000A76F0">
        <w:rPr>
          <w:rFonts w:cs="Adobe Garamond Pro"/>
          <w:sz w:val="24"/>
          <w:szCs w:val="24"/>
        </w:rPr>
        <w:t xml:space="preserve">I v roce 2021 bude ale </w:t>
      </w:r>
      <w:r w:rsidRPr="000A76F0">
        <w:rPr>
          <w:sz w:val="24"/>
          <w:szCs w:val="24"/>
          <w:shd w:val="clear" w:color="auto" w:fill="FFFFFF"/>
        </w:rPr>
        <w:t xml:space="preserve">trh spojený s energiemi čelit velké nerovnováze mezi nabídkou a poptávkou, jakož i změně struktury obchodu. </w:t>
      </w:r>
      <w:proofErr w:type="spellStart"/>
      <w:r w:rsidRPr="000A76F0">
        <w:rPr>
          <w:sz w:val="24"/>
          <w:szCs w:val="24"/>
          <w:shd w:val="clear" w:color="auto" w:fill="FFFFFF"/>
        </w:rPr>
        <w:t>Lockdowny</w:t>
      </w:r>
      <w:proofErr w:type="spellEnd"/>
      <w:r w:rsidRPr="000A76F0">
        <w:rPr>
          <w:sz w:val="24"/>
          <w:szCs w:val="24"/>
          <w:shd w:val="clear" w:color="auto" w:fill="FFFFFF"/>
        </w:rPr>
        <w:t xml:space="preserve"> spjaté s pandemií, poklesy cen ropy a válka povedou k vyšším fiskálním deficitům, což v zemi zvýší potřebu jejich profinancování. Je třeba sanovat ztracená pracovní místa, oživit ekonomiku po prudkých poklesech cen ropy a najít i jiné zdroje pro zvýšení vládních příjmů v roce 2021.</w:t>
      </w:r>
    </w:p>
    <w:p w14:paraId="4B00CB9D" w14:textId="1658228A" w:rsidR="000A76F0" w:rsidRPr="000A76F0" w:rsidRDefault="00D130CA" w:rsidP="000A76F0">
      <w:pPr>
        <w:spacing w:before="240" w:line="240" w:lineRule="auto"/>
        <w:ind w:firstLine="708"/>
        <w:jc w:val="both"/>
        <w:rPr>
          <w:sz w:val="24"/>
          <w:szCs w:val="24"/>
        </w:rPr>
      </w:pPr>
      <w:r>
        <w:rPr>
          <w:sz w:val="24"/>
          <w:szCs w:val="24"/>
        </w:rPr>
        <w:t>Problematická je i</w:t>
      </w:r>
      <w:r w:rsidR="000A76F0" w:rsidRPr="000A76F0">
        <w:rPr>
          <w:sz w:val="24"/>
          <w:szCs w:val="24"/>
        </w:rPr>
        <w:t xml:space="preserve"> situace v zahraničním obchodu, který kvůli poklesu cen ropy v prvních deseti měsících roku 2020 klesl o 28,2 % ve srovnání se stejným obdobím předchozího roku (</w:t>
      </w:r>
      <w:proofErr w:type="spellStart"/>
      <w:r w:rsidR="000A76F0" w:rsidRPr="000A76F0">
        <w:rPr>
          <w:sz w:val="24"/>
          <w:szCs w:val="24"/>
        </w:rPr>
        <w:t>State</w:t>
      </w:r>
      <w:proofErr w:type="spellEnd"/>
      <w:r w:rsidR="000A76F0" w:rsidRPr="000A76F0">
        <w:rPr>
          <w:sz w:val="24"/>
          <w:szCs w:val="24"/>
        </w:rPr>
        <w:t xml:space="preserve"> </w:t>
      </w:r>
      <w:proofErr w:type="spellStart"/>
      <w:r w:rsidR="000A76F0" w:rsidRPr="000A76F0">
        <w:rPr>
          <w:sz w:val="24"/>
          <w:szCs w:val="24"/>
        </w:rPr>
        <w:t>Statistical</w:t>
      </w:r>
      <w:proofErr w:type="spellEnd"/>
      <w:r w:rsidR="000A76F0" w:rsidRPr="000A76F0">
        <w:rPr>
          <w:sz w:val="24"/>
          <w:szCs w:val="24"/>
        </w:rPr>
        <w:t xml:space="preserve"> </w:t>
      </w:r>
      <w:proofErr w:type="spellStart"/>
      <w:r w:rsidR="000A76F0" w:rsidRPr="000A76F0">
        <w:rPr>
          <w:sz w:val="24"/>
          <w:szCs w:val="24"/>
        </w:rPr>
        <w:t>Committee</w:t>
      </w:r>
      <w:proofErr w:type="spellEnd"/>
      <w:r w:rsidR="000A76F0" w:rsidRPr="000A76F0">
        <w:rPr>
          <w:sz w:val="24"/>
          <w:szCs w:val="24"/>
        </w:rPr>
        <w:t xml:space="preserve"> </w:t>
      </w:r>
      <w:proofErr w:type="spellStart"/>
      <w:r w:rsidR="000A76F0" w:rsidRPr="000A76F0">
        <w:rPr>
          <w:sz w:val="24"/>
          <w:szCs w:val="24"/>
        </w:rPr>
        <w:t>of</w:t>
      </w:r>
      <w:proofErr w:type="spellEnd"/>
      <w:r w:rsidR="000A76F0" w:rsidRPr="000A76F0">
        <w:rPr>
          <w:sz w:val="24"/>
          <w:szCs w:val="24"/>
        </w:rPr>
        <w:t xml:space="preserve"> </w:t>
      </w:r>
      <w:proofErr w:type="spellStart"/>
      <w:r w:rsidR="000A76F0" w:rsidRPr="000A76F0">
        <w:rPr>
          <w:sz w:val="24"/>
          <w:szCs w:val="24"/>
        </w:rPr>
        <w:t>the</w:t>
      </w:r>
      <w:proofErr w:type="spellEnd"/>
      <w:r w:rsidR="000A76F0" w:rsidRPr="000A76F0">
        <w:rPr>
          <w:sz w:val="24"/>
          <w:szCs w:val="24"/>
        </w:rPr>
        <w:t xml:space="preserve"> Republic </w:t>
      </w:r>
      <w:proofErr w:type="spellStart"/>
      <w:r w:rsidR="000A76F0" w:rsidRPr="000A76F0">
        <w:rPr>
          <w:sz w:val="24"/>
          <w:szCs w:val="24"/>
        </w:rPr>
        <w:t>of</w:t>
      </w:r>
      <w:proofErr w:type="spellEnd"/>
      <w:r w:rsidR="000A76F0" w:rsidRPr="000A76F0">
        <w:rPr>
          <w:sz w:val="24"/>
          <w:szCs w:val="24"/>
        </w:rPr>
        <w:t xml:space="preserve"> </w:t>
      </w:r>
      <w:proofErr w:type="spellStart"/>
      <w:r w:rsidR="000A76F0" w:rsidRPr="000A76F0">
        <w:rPr>
          <w:sz w:val="24"/>
          <w:szCs w:val="24"/>
        </w:rPr>
        <w:t>Azerbaijan</w:t>
      </w:r>
      <w:proofErr w:type="spellEnd"/>
      <w:r w:rsidR="000A76F0" w:rsidRPr="000A76F0">
        <w:rPr>
          <w:sz w:val="24"/>
          <w:szCs w:val="24"/>
        </w:rPr>
        <w:t xml:space="preserve"> 2020). Nadále si však země zachovává pozitivní saldo </w:t>
      </w:r>
      <w:r w:rsidR="007F6951">
        <w:rPr>
          <w:sz w:val="24"/>
          <w:szCs w:val="24"/>
        </w:rPr>
        <w:t xml:space="preserve">obchodní bilance </w:t>
      </w:r>
      <w:r w:rsidR="000A76F0" w:rsidRPr="000A76F0">
        <w:rPr>
          <w:sz w:val="24"/>
          <w:szCs w:val="24"/>
        </w:rPr>
        <w:t xml:space="preserve">(10 miliard dolarů exportu oproti 7,8 miliardy dolarů importu). Během prvního pololetí roku 2020 došlo i ke znatelnému růstu odlivu kapitálu, a sice o 32,1 % a dosáhl 1,844 </w:t>
      </w:r>
      <w:r w:rsidR="007E6A1D">
        <w:rPr>
          <w:sz w:val="24"/>
          <w:szCs w:val="24"/>
        </w:rPr>
        <w:t>mld. USD</w:t>
      </w:r>
      <w:r w:rsidR="000A76F0" w:rsidRPr="000A76F0">
        <w:rPr>
          <w:sz w:val="24"/>
          <w:szCs w:val="24"/>
        </w:rPr>
        <w:t xml:space="preserve"> (</w:t>
      </w:r>
      <w:proofErr w:type="spellStart"/>
      <w:r w:rsidR="000A76F0" w:rsidRPr="000A76F0">
        <w:rPr>
          <w:sz w:val="24"/>
          <w:szCs w:val="24"/>
        </w:rPr>
        <w:t>Mamedov</w:t>
      </w:r>
      <w:proofErr w:type="spellEnd"/>
      <w:r w:rsidR="000A76F0" w:rsidRPr="000A76F0">
        <w:rPr>
          <w:sz w:val="24"/>
          <w:szCs w:val="24"/>
        </w:rPr>
        <w:t xml:space="preserve"> 2020).</w:t>
      </w:r>
    </w:p>
    <w:p w14:paraId="78903560" w14:textId="4E31C520" w:rsidR="000A76F0" w:rsidRPr="000A76F0" w:rsidRDefault="000A76F0" w:rsidP="000A76F0">
      <w:pPr>
        <w:spacing w:before="240" w:line="240" w:lineRule="auto"/>
        <w:jc w:val="both"/>
        <w:rPr>
          <w:sz w:val="24"/>
          <w:szCs w:val="24"/>
        </w:rPr>
      </w:pPr>
      <w:r w:rsidRPr="000A76F0">
        <w:rPr>
          <w:sz w:val="24"/>
          <w:szCs w:val="24"/>
        </w:rPr>
        <w:tab/>
        <w:t>Kapitálové investice se za prvních deset měsíců snížily o 2,1 % ve srovnání se stejným obdobím předešlého roku. Zde je ale vidět kontrast mezi surovinovým a nesurovinovým sektorem ekonomiky. Zatímco kapitálové investice do neuhlovodíkového sektoru klesly o   9,9 %, investice do ropného a plynového sektoru se naopak zvýšily o 11,7 % (</w:t>
      </w:r>
      <w:proofErr w:type="spellStart"/>
      <w:r w:rsidRPr="000A76F0">
        <w:rPr>
          <w:sz w:val="24"/>
          <w:szCs w:val="24"/>
        </w:rPr>
        <w:t>State</w:t>
      </w:r>
      <w:proofErr w:type="spellEnd"/>
      <w:r w:rsidRPr="000A76F0">
        <w:rPr>
          <w:sz w:val="24"/>
          <w:szCs w:val="24"/>
        </w:rPr>
        <w:t xml:space="preserve"> </w:t>
      </w:r>
      <w:proofErr w:type="spellStart"/>
      <w:r w:rsidRPr="000A76F0">
        <w:rPr>
          <w:sz w:val="24"/>
          <w:szCs w:val="24"/>
        </w:rPr>
        <w:t>Statistical</w:t>
      </w:r>
      <w:proofErr w:type="spellEnd"/>
      <w:r w:rsidRPr="000A76F0">
        <w:rPr>
          <w:sz w:val="24"/>
          <w:szCs w:val="24"/>
        </w:rPr>
        <w:t xml:space="preserve"> </w:t>
      </w:r>
      <w:proofErr w:type="spellStart"/>
      <w:r w:rsidRPr="000A76F0">
        <w:rPr>
          <w:sz w:val="24"/>
          <w:szCs w:val="24"/>
        </w:rPr>
        <w:lastRenderedPageBreak/>
        <w:t>Committee</w:t>
      </w:r>
      <w:proofErr w:type="spellEnd"/>
      <w:r w:rsidRPr="000A76F0">
        <w:rPr>
          <w:sz w:val="24"/>
          <w:szCs w:val="24"/>
        </w:rPr>
        <w:t xml:space="preserve"> </w:t>
      </w:r>
      <w:proofErr w:type="spellStart"/>
      <w:r w:rsidRPr="000A76F0">
        <w:rPr>
          <w:sz w:val="24"/>
          <w:szCs w:val="24"/>
        </w:rPr>
        <w:t>of</w:t>
      </w:r>
      <w:proofErr w:type="spellEnd"/>
      <w:r w:rsidRPr="000A76F0">
        <w:rPr>
          <w:sz w:val="24"/>
          <w:szCs w:val="24"/>
        </w:rPr>
        <w:t xml:space="preserve"> </w:t>
      </w:r>
      <w:proofErr w:type="spellStart"/>
      <w:r w:rsidRPr="000A76F0">
        <w:rPr>
          <w:sz w:val="24"/>
          <w:szCs w:val="24"/>
        </w:rPr>
        <w:t>the</w:t>
      </w:r>
      <w:proofErr w:type="spellEnd"/>
      <w:r w:rsidRPr="000A76F0">
        <w:rPr>
          <w:sz w:val="24"/>
          <w:szCs w:val="24"/>
        </w:rPr>
        <w:t xml:space="preserve"> Republic </w:t>
      </w:r>
      <w:proofErr w:type="spellStart"/>
      <w:r w:rsidRPr="000A76F0">
        <w:rPr>
          <w:sz w:val="24"/>
          <w:szCs w:val="24"/>
        </w:rPr>
        <w:t>of</w:t>
      </w:r>
      <w:proofErr w:type="spellEnd"/>
      <w:r w:rsidRPr="000A76F0">
        <w:rPr>
          <w:sz w:val="24"/>
          <w:szCs w:val="24"/>
        </w:rPr>
        <w:t xml:space="preserve"> </w:t>
      </w:r>
      <w:proofErr w:type="spellStart"/>
      <w:r w:rsidRPr="000A76F0">
        <w:rPr>
          <w:sz w:val="24"/>
          <w:szCs w:val="24"/>
        </w:rPr>
        <w:t>Azerbaijan</w:t>
      </w:r>
      <w:proofErr w:type="spellEnd"/>
      <w:r w:rsidRPr="000A76F0">
        <w:rPr>
          <w:sz w:val="24"/>
          <w:szCs w:val="24"/>
        </w:rPr>
        <w:t xml:space="preserve"> 2020). Je to v první řadě spojené s plánovaným rozvojem ropného a plynového naleziště ACG, kdy na jaře došlo k začátku stavby platformy </w:t>
      </w:r>
      <w:proofErr w:type="spellStart"/>
      <w:r w:rsidRPr="000A76F0">
        <w:rPr>
          <w:sz w:val="24"/>
          <w:szCs w:val="24"/>
        </w:rPr>
        <w:t>Azeri</w:t>
      </w:r>
      <w:proofErr w:type="spellEnd"/>
      <w:r w:rsidRPr="000A76F0">
        <w:rPr>
          <w:sz w:val="24"/>
          <w:szCs w:val="24"/>
        </w:rPr>
        <w:t xml:space="preserve"> </w:t>
      </w:r>
      <w:proofErr w:type="spellStart"/>
      <w:r w:rsidRPr="000A76F0">
        <w:rPr>
          <w:sz w:val="24"/>
          <w:szCs w:val="24"/>
        </w:rPr>
        <w:t>Central</w:t>
      </w:r>
      <w:proofErr w:type="spellEnd"/>
      <w:r w:rsidRPr="000A76F0">
        <w:rPr>
          <w:sz w:val="24"/>
          <w:szCs w:val="24"/>
        </w:rPr>
        <w:t xml:space="preserve"> East. Svědčí to ale i o optimistickém očekávání vývoje ázerbájdžánského plynového průmyslu. V srpnu 2020 společnost BP oznámila, že nehodlá snižovat své investice v Ázerbájdžánu nehledě na své globální plány na diverzifikaci svého portfolia ve prospěch </w:t>
      </w:r>
      <w:r w:rsidR="008F4162">
        <w:rPr>
          <w:sz w:val="24"/>
          <w:szCs w:val="24"/>
        </w:rPr>
        <w:t>OZE</w:t>
      </w:r>
      <w:r w:rsidRPr="000A76F0">
        <w:rPr>
          <w:sz w:val="24"/>
          <w:szCs w:val="24"/>
        </w:rPr>
        <w:t xml:space="preserve"> (BP 2020b). Na druhou stranu, a to je zásadní, pokles investic do neuhlovodíkového sektoru představuje problém pro diverzifikaci ekonomiky, která investice potřebuje.</w:t>
      </w:r>
    </w:p>
    <w:p w14:paraId="2F96AA72" w14:textId="246238E7" w:rsidR="000A76F0" w:rsidRPr="00031010" w:rsidRDefault="000A76F0" w:rsidP="000A76F0">
      <w:pPr>
        <w:spacing w:after="100" w:afterAutospacing="1" w:line="240" w:lineRule="auto"/>
        <w:jc w:val="both"/>
        <w:rPr>
          <w:i/>
          <w:sz w:val="24"/>
          <w:szCs w:val="24"/>
        </w:rPr>
      </w:pPr>
      <w:r w:rsidRPr="00031010">
        <w:rPr>
          <w:i/>
          <w:sz w:val="24"/>
          <w:szCs w:val="24"/>
        </w:rPr>
        <w:t xml:space="preserve">Východiska pro politickou stabilitu </w:t>
      </w:r>
      <w:r w:rsidR="00E17B60" w:rsidRPr="00031010">
        <w:rPr>
          <w:i/>
          <w:sz w:val="24"/>
          <w:szCs w:val="24"/>
        </w:rPr>
        <w:t>Ázerbájdžánu</w:t>
      </w:r>
      <w:r w:rsidRPr="00031010">
        <w:rPr>
          <w:i/>
          <w:sz w:val="24"/>
          <w:szCs w:val="24"/>
        </w:rPr>
        <w:t xml:space="preserve"> a jeho zahraniční politiku po cenovém šoku</w:t>
      </w:r>
    </w:p>
    <w:p w14:paraId="4215A50A" w14:textId="72BDB274" w:rsidR="000A76F0" w:rsidRPr="000A76F0" w:rsidRDefault="000A76F0" w:rsidP="00DA5BF3">
      <w:pPr>
        <w:spacing w:before="240" w:line="240" w:lineRule="auto"/>
        <w:jc w:val="both"/>
        <w:rPr>
          <w:sz w:val="24"/>
          <w:szCs w:val="24"/>
        </w:rPr>
      </w:pPr>
      <w:r w:rsidRPr="000A76F0">
        <w:rPr>
          <w:sz w:val="24"/>
          <w:szCs w:val="24"/>
        </w:rPr>
        <w:t>V delším časovém horizontu se situace bude zhoršovat kvůli klesající těžbě ropy</w:t>
      </w:r>
      <w:r w:rsidR="00F64ECF">
        <w:rPr>
          <w:sz w:val="24"/>
          <w:szCs w:val="24"/>
        </w:rPr>
        <w:t>,</w:t>
      </w:r>
      <w:r w:rsidRPr="000A76F0">
        <w:rPr>
          <w:sz w:val="24"/>
          <w:szCs w:val="24"/>
        </w:rPr>
        <w:t xml:space="preserve"> a tím i</w:t>
      </w:r>
      <w:r w:rsidR="00D130CA">
        <w:rPr>
          <w:sz w:val="24"/>
          <w:szCs w:val="24"/>
        </w:rPr>
        <w:t xml:space="preserve"> snižování</w:t>
      </w:r>
      <w:r w:rsidRPr="000A76F0">
        <w:rPr>
          <w:sz w:val="24"/>
          <w:szCs w:val="24"/>
        </w:rPr>
        <w:t xml:space="preserve"> příjmů. Ačkoli se zásoby ropy již mnoho let stabilně drží na úrovni 7 miliard barelů, vrchol těžby byl zaznamenán v roce 2010 ve výši 1,037 milionu barelů denně</w:t>
      </w:r>
      <w:r w:rsidR="00D130CA">
        <w:rPr>
          <w:sz w:val="24"/>
          <w:szCs w:val="24"/>
        </w:rPr>
        <w:t>. O</w:t>
      </w:r>
      <w:r w:rsidRPr="000A76F0">
        <w:rPr>
          <w:sz w:val="24"/>
          <w:szCs w:val="24"/>
        </w:rPr>
        <w:t>d té doby produkce stále klesá, a to v průměru 1,4 % ročně (BP 2020a). V roce 2019 dosahovala</w:t>
      </w:r>
      <w:r w:rsidR="00D130CA">
        <w:rPr>
          <w:sz w:val="24"/>
          <w:szCs w:val="24"/>
        </w:rPr>
        <w:t xml:space="preserve"> těžba</w:t>
      </w:r>
      <w:r w:rsidRPr="000A76F0">
        <w:rPr>
          <w:sz w:val="24"/>
          <w:szCs w:val="24"/>
        </w:rPr>
        <w:t xml:space="preserve"> 0,779 milionu barelů denně. Z tohoto důvodu ekonomická stabilita země z větší části záviset na tom, jak úspěšně bude pokračovat rozvoj plynového sektoru</w:t>
      </w:r>
      <w:r w:rsidR="006F7C8B">
        <w:rPr>
          <w:sz w:val="24"/>
          <w:szCs w:val="24"/>
        </w:rPr>
        <w:t>. Pokles</w:t>
      </w:r>
      <w:r w:rsidR="006F7C8B" w:rsidRPr="006F7C8B">
        <w:rPr>
          <w:sz w:val="24"/>
          <w:szCs w:val="24"/>
        </w:rPr>
        <w:t xml:space="preserve"> </w:t>
      </w:r>
      <w:r w:rsidR="006F7C8B" w:rsidRPr="000A76F0">
        <w:rPr>
          <w:sz w:val="24"/>
          <w:szCs w:val="24"/>
        </w:rPr>
        <w:t xml:space="preserve">prodeje ropy </w:t>
      </w:r>
      <w:r w:rsidRPr="000A76F0">
        <w:rPr>
          <w:sz w:val="24"/>
          <w:szCs w:val="24"/>
        </w:rPr>
        <w:t>bude moci kompenzovat v příštích letech</w:t>
      </w:r>
      <w:r w:rsidR="006F7C8B">
        <w:rPr>
          <w:sz w:val="24"/>
          <w:szCs w:val="24"/>
        </w:rPr>
        <w:t xml:space="preserve"> totiž právě pouze </w:t>
      </w:r>
      <w:r w:rsidR="006F7C8B" w:rsidRPr="000A76F0">
        <w:rPr>
          <w:sz w:val="24"/>
          <w:szCs w:val="24"/>
        </w:rPr>
        <w:t>export zemního plynu</w:t>
      </w:r>
      <w:r w:rsidRPr="000A76F0">
        <w:rPr>
          <w:sz w:val="24"/>
          <w:szCs w:val="24"/>
        </w:rPr>
        <w:t>.</w:t>
      </w:r>
    </w:p>
    <w:p w14:paraId="6B24D6AC" w14:textId="35753078" w:rsidR="004B78B1" w:rsidRDefault="000A76F0" w:rsidP="004B78B1">
      <w:pPr>
        <w:spacing w:before="240" w:line="240" w:lineRule="auto"/>
        <w:ind w:firstLine="708"/>
        <w:jc w:val="both"/>
        <w:rPr>
          <w:sz w:val="24"/>
          <w:szCs w:val="24"/>
        </w:rPr>
      </w:pPr>
      <w:r w:rsidRPr="000A76F0">
        <w:rPr>
          <w:sz w:val="24"/>
          <w:szCs w:val="24"/>
        </w:rPr>
        <w:t>Podle dostupných analýz může Ázerbájdžán k roku 2030 těžit od 32,6 mld. m</w:t>
      </w:r>
      <w:r w:rsidRPr="000A76F0">
        <w:rPr>
          <w:sz w:val="24"/>
          <w:szCs w:val="24"/>
          <w:vertAlign w:val="superscript"/>
        </w:rPr>
        <w:t>3</w:t>
      </w:r>
      <w:r w:rsidRPr="000A76F0">
        <w:rPr>
          <w:sz w:val="24"/>
          <w:szCs w:val="24"/>
        </w:rPr>
        <w:t xml:space="preserve"> do 54 mld. m</w:t>
      </w:r>
      <w:r w:rsidRPr="000A76F0">
        <w:rPr>
          <w:sz w:val="24"/>
          <w:szCs w:val="24"/>
          <w:vertAlign w:val="superscript"/>
        </w:rPr>
        <w:t>3</w:t>
      </w:r>
      <w:r w:rsidRPr="000A76F0">
        <w:rPr>
          <w:sz w:val="24"/>
          <w:szCs w:val="24"/>
        </w:rPr>
        <w:t xml:space="preserve"> plynu (Pirani 2018). </w:t>
      </w:r>
      <w:r w:rsidR="004018E1">
        <w:rPr>
          <w:sz w:val="24"/>
          <w:szCs w:val="24"/>
        </w:rPr>
        <w:t xml:space="preserve">Množství </w:t>
      </w:r>
      <w:r w:rsidRPr="000A76F0">
        <w:rPr>
          <w:sz w:val="24"/>
          <w:szCs w:val="24"/>
        </w:rPr>
        <w:t>16 mld. m</w:t>
      </w:r>
      <w:r w:rsidRPr="000A76F0">
        <w:rPr>
          <w:sz w:val="24"/>
          <w:szCs w:val="24"/>
          <w:vertAlign w:val="superscript"/>
        </w:rPr>
        <w:t xml:space="preserve">3 </w:t>
      </w:r>
      <w:r w:rsidRPr="000A76F0">
        <w:rPr>
          <w:sz w:val="24"/>
          <w:szCs w:val="24"/>
        </w:rPr>
        <w:t>ročně</w:t>
      </w:r>
      <w:r w:rsidR="006F7C8B">
        <w:rPr>
          <w:sz w:val="24"/>
          <w:szCs w:val="24"/>
        </w:rPr>
        <w:t xml:space="preserve"> je</w:t>
      </w:r>
      <w:r w:rsidRPr="000A76F0">
        <w:rPr>
          <w:sz w:val="24"/>
          <w:szCs w:val="24"/>
        </w:rPr>
        <w:t xml:space="preserve"> dohodnuto na dodávky do Turecka (6 mld. m</w:t>
      </w:r>
      <w:r w:rsidRPr="000A76F0">
        <w:rPr>
          <w:sz w:val="24"/>
          <w:szCs w:val="24"/>
          <w:vertAlign w:val="superscript"/>
        </w:rPr>
        <w:t>3</w:t>
      </w:r>
      <w:r w:rsidRPr="000A76F0">
        <w:rPr>
          <w:sz w:val="24"/>
          <w:szCs w:val="24"/>
        </w:rPr>
        <w:t>), Řecka (1 mld. m</w:t>
      </w:r>
      <w:r w:rsidRPr="000A76F0">
        <w:rPr>
          <w:sz w:val="24"/>
          <w:szCs w:val="24"/>
          <w:vertAlign w:val="superscript"/>
        </w:rPr>
        <w:t>3</w:t>
      </w:r>
      <w:r w:rsidRPr="000A76F0">
        <w:rPr>
          <w:sz w:val="24"/>
          <w:szCs w:val="24"/>
        </w:rPr>
        <w:t>), Bulharska (1 mld. m</w:t>
      </w:r>
      <w:r w:rsidRPr="000A76F0">
        <w:rPr>
          <w:sz w:val="24"/>
          <w:szCs w:val="24"/>
          <w:vertAlign w:val="superscript"/>
        </w:rPr>
        <w:t>3</w:t>
      </w:r>
      <w:r w:rsidRPr="000A76F0">
        <w:rPr>
          <w:sz w:val="24"/>
          <w:szCs w:val="24"/>
        </w:rPr>
        <w:t>) a Itálie (8 mld. m</w:t>
      </w:r>
      <w:r w:rsidRPr="000A76F0">
        <w:rPr>
          <w:sz w:val="24"/>
          <w:szCs w:val="24"/>
          <w:vertAlign w:val="superscript"/>
        </w:rPr>
        <w:t>3</w:t>
      </w:r>
      <w:r w:rsidRPr="000A76F0">
        <w:rPr>
          <w:sz w:val="24"/>
          <w:szCs w:val="24"/>
        </w:rPr>
        <w:t>) po dobu příštích 25 let. Dalších 2,5 mld. m</w:t>
      </w:r>
      <w:r w:rsidRPr="000A76F0">
        <w:rPr>
          <w:sz w:val="24"/>
          <w:szCs w:val="24"/>
          <w:vertAlign w:val="superscript"/>
        </w:rPr>
        <w:t xml:space="preserve">3 </w:t>
      </w:r>
      <w:r w:rsidRPr="000A76F0">
        <w:rPr>
          <w:sz w:val="24"/>
          <w:szCs w:val="24"/>
        </w:rPr>
        <w:t>ročně půjde do Gruzie. Domácí spotřeba plynu bude ročně dosahovat zhruba 14 mld. m</w:t>
      </w:r>
      <w:r w:rsidRPr="000A76F0">
        <w:rPr>
          <w:sz w:val="24"/>
          <w:szCs w:val="24"/>
          <w:vertAlign w:val="superscript"/>
        </w:rPr>
        <w:t>3</w:t>
      </w:r>
      <w:r w:rsidRPr="000A76F0">
        <w:rPr>
          <w:sz w:val="24"/>
          <w:szCs w:val="24"/>
        </w:rPr>
        <w:t>. Z toho plyne, že do deseti let bude možné exportovat na vnější trhy dodatečných 0,1 až 21,9 mld. m</w:t>
      </w:r>
      <w:r w:rsidRPr="000A76F0">
        <w:rPr>
          <w:sz w:val="24"/>
          <w:szCs w:val="24"/>
          <w:vertAlign w:val="superscript"/>
        </w:rPr>
        <w:t xml:space="preserve">3 </w:t>
      </w:r>
      <w:r w:rsidRPr="000A76F0">
        <w:rPr>
          <w:sz w:val="24"/>
          <w:szCs w:val="24"/>
        </w:rPr>
        <w:t>ročně (Pirani 2018), což představuje značný rozptyl. Vzhledem ke klesající těžbě ropy je tato nejistota problematická.</w:t>
      </w:r>
    </w:p>
    <w:p w14:paraId="0A6349BC" w14:textId="076E4F4D" w:rsidR="000A76F0" w:rsidRPr="000A76F0" w:rsidRDefault="006F7C8B" w:rsidP="004B78B1">
      <w:pPr>
        <w:spacing w:before="240" w:line="240" w:lineRule="auto"/>
        <w:ind w:firstLine="708"/>
        <w:jc w:val="both"/>
        <w:rPr>
          <w:sz w:val="24"/>
          <w:szCs w:val="24"/>
        </w:rPr>
      </w:pPr>
      <w:r>
        <w:rPr>
          <w:sz w:val="24"/>
          <w:szCs w:val="24"/>
        </w:rPr>
        <w:t>P</w:t>
      </w:r>
      <w:r w:rsidRPr="000A76F0">
        <w:rPr>
          <w:sz w:val="24"/>
          <w:szCs w:val="24"/>
        </w:rPr>
        <w:t>roblém pro exportní kapacity</w:t>
      </w:r>
      <w:r>
        <w:rPr>
          <w:sz w:val="24"/>
          <w:szCs w:val="24"/>
        </w:rPr>
        <w:t xml:space="preserve"> </w:t>
      </w:r>
      <w:r w:rsidRPr="000A76F0">
        <w:rPr>
          <w:sz w:val="24"/>
          <w:szCs w:val="24"/>
        </w:rPr>
        <w:t xml:space="preserve">představuje </w:t>
      </w:r>
      <w:r>
        <w:rPr>
          <w:sz w:val="24"/>
          <w:szCs w:val="24"/>
        </w:rPr>
        <w:t>r</w:t>
      </w:r>
      <w:r w:rsidR="000A76F0" w:rsidRPr="000A76F0">
        <w:rPr>
          <w:sz w:val="24"/>
          <w:szCs w:val="24"/>
        </w:rPr>
        <w:t>ůst domácí poptávky po plynu. Zemní plyn se podílí zhruba 63 % na primární energetické spotřebě. Podíl plynu v produkci elektřiny je dokonce větší než 90 %. Z tohoto důvodu má v plánu rozvíjet OZE</w:t>
      </w:r>
      <w:r w:rsidR="008F4162">
        <w:rPr>
          <w:sz w:val="24"/>
          <w:szCs w:val="24"/>
        </w:rPr>
        <w:t xml:space="preserve"> </w:t>
      </w:r>
      <w:r w:rsidR="000A76F0" w:rsidRPr="000A76F0">
        <w:rPr>
          <w:sz w:val="24"/>
          <w:szCs w:val="24"/>
        </w:rPr>
        <w:t>a exportní kapacity tím uvolnit. V prvním čtvrtletí roku 2020 byly uzavřeny dvě dohody na stavbu větrné elektrárny o výkonu 240</w:t>
      </w:r>
      <w:r w:rsidR="007E6A1D">
        <w:rPr>
          <w:sz w:val="24"/>
          <w:szCs w:val="24"/>
        </w:rPr>
        <w:t xml:space="preserve"> </w:t>
      </w:r>
      <w:r w:rsidR="000A76F0" w:rsidRPr="000A76F0">
        <w:rPr>
          <w:sz w:val="24"/>
          <w:szCs w:val="24"/>
        </w:rPr>
        <w:t>MW a solární elektrárny o výkonu 200</w:t>
      </w:r>
      <w:r w:rsidR="007E6A1D">
        <w:rPr>
          <w:sz w:val="24"/>
          <w:szCs w:val="24"/>
        </w:rPr>
        <w:t xml:space="preserve"> </w:t>
      </w:r>
      <w:r w:rsidR="000A76F0" w:rsidRPr="000A76F0">
        <w:rPr>
          <w:sz w:val="24"/>
          <w:szCs w:val="24"/>
        </w:rPr>
        <w:t>MW. Až se zprovozní, očekává se, že budou produkovat 5 % elektrické spotřeby (</w:t>
      </w:r>
      <w:proofErr w:type="spellStart"/>
      <w:r w:rsidR="000A76F0" w:rsidRPr="000A76F0">
        <w:rPr>
          <w:rStyle w:val="author"/>
          <w:sz w:val="24"/>
          <w:szCs w:val="24"/>
        </w:rPr>
        <w:t>O'Byrne</w:t>
      </w:r>
      <w:proofErr w:type="spellEnd"/>
      <w:r w:rsidR="000A76F0" w:rsidRPr="000A76F0">
        <w:rPr>
          <w:rStyle w:val="author"/>
          <w:sz w:val="24"/>
          <w:szCs w:val="24"/>
        </w:rPr>
        <w:t xml:space="preserve"> 2020)</w:t>
      </w:r>
      <w:r w:rsidR="000A76F0" w:rsidRPr="000A76F0">
        <w:rPr>
          <w:sz w:val="24"/>
          <w:szCs w:val="24"/>
        </w:rPr>
        <w:t>. Do roku 2030 by podíl OZE měl stoupnout na 30 %.</w:t>
      </w:r>
    </w:p>
    <w:p w14:paraId="1E1068D2" w14:textId="77777777" w:rsidR="000A76F0" w:rsidRPr="000A76F0" w:rsidRDefault="000A76F0" w:rsidP="000A76F0">
      <w:pPr>
        <w:spacing w:before="240" w:line="240" w:lineRule="auto"/>
        <w:ind w:firstLine="708"/>
        <w:jc w:val="both"/>
        <w:rPr>
          <w:sz w:val="24"/>
          <w:szCs w:val="24"/>
        </w:rPr>
      </w:pPr>
      <w:r w:rsidRPr="000A76F0">
        <w:rPr>
          <w:sz w:val="24"/>
          <w:szCs w:val="24"/>
        </w:rPr>
        <w:t>V případě nižších cen plynu na trzích v EU bude pro Ázerbájdžán ekonomicky výhodnější exportovat svůj plyn do Turecka. Ázerbájdžánská státní společnost SOCAR vlastní 58% podíl na plynovodu TANAP, zatímco turecká BOTAS drží 30 %. Podle dohody z roku 2012 může SOCAR zablokovat přepravu jiného než ázerbájdžánského plynu. Zároveň musí ázerbájdžánská strana nabídnout plyn, který přesahuje objem 10 mld. m</w:t>
      </w:r>
      <w:r w:rsidRPr="000A76F0">
        <w:rPr>
          <w:sz w:val="24"/>
          <w:szCs w:val="24"/>
          <w:vertAlign w:val="superscript"/>
        </w:rPr>
        <w:t xml:space="preserve">3 </w:t>
      </w:r>
      <w:r w:rsidRPr="000A76F0">
        <w:rPr>
          <w:sz w:val="24"/>
          <w:szCs w:val="24"/>
        </w:rPr>
        <w:t>ročně určených pro Evropu, tureckým spotřebitelům. Pouze pokud tento plyn Turecko odmítne, může ho Ázerbájdžán exportovat na další trhy. V případě, že bude kapacita plynovodu TANAP zvýšena na více než 32 mld. m</w:t>
      </w:r>
      <w:r w:rsidRPr="000A76F0">
        <w:rPr>
          <w:sz w:val="24"/>
          <w:szCs w:val="24"/>
          <w:vertAlign w:val="superscript"/>
        </w:rPr>
        <w:t xml:space="preserve">3 </w:t>
      </w:r>
      <w:r w:rsidRPr="000A76F0">
        <w:rPr>
          <w:sz w:val="24"/>
          <w:szCs w:val="24"/>
        </w:rPr>
        <w:t>ročně, bude nutné podepsat další mezivládní dohodu (</w:t>
      </w:r>
      <w:proofErr w:type="spellStart"/>
      <w:r w:rsidRPr="000A76F0">
        <w:rPr>
          <w:sz w:val="24"/>
          <w:szCs w:val="24"/>
        </w:rPr>
        <w:t>Intergovernmental</w:t>
      </w:r>
      <w:proofErr w:type="spellEnd"/>
      <w:r w:rsidRPr="000A76F0">
        <w:rPr>
          <w:sz w:val="24"/>
          <w:szCs w:val="24"/>
        </w:rPr>
        <w:t xml:space="preserve"> </w:t>
      </w:r>
      <w:proofErr w:type="spellStart"/>
      <w:r w:rsidRPr="000A76F0">
        <w:rPr>
          <w:sz w:val="24"/>
          <w:szCs w:val="24"/>
        </w:rPr>
        <w:t>Agreement</w:t>
      </w:r>
      <w:proofErr w:type="spellEnd"/>
      <w:r w:rsidRPr="000A76F0">
        <w:rPr>
          <w:sz w:val="24"/>
          <w:szCs w:val="24"/>
        </w:rPr>
        <w:t xml:space="preserve"> 2012).</w:t>
      </w:r>
    </w:p>
    <w:p w14:paraId="43C3B39F" w14:textId="77777777" w:rsidR="00DA5BF3" w:rsidRDefault="00DA5BF3" w:rsidP="00DA5BF3">
      <w:pPr>
        <w:spacing w:after="100" w:afterAutospacing="1" w:line="240" w:lineRule="auto"/>
        <w:jc w:val="both"/>
        <w:rPr>
          <w:i/>
          <w:sz w:val="24"/>
          <w:szCs w:val="24"/>
        </w:rPr>
      </w:pPr>
    </w:p>
    <w:p w14:paraId="24F09542" w14:textId="77777777" w:rsidR="00DA5BF3" w:rsidRDefault="00DA5BF3" w:rsidP="00DA5BF3">
      <w:pPr>
        <w:spacing w:after="100" w:afterAutospacing="1" w:line="240" w:lineRule="auto"/>
        <w:jc w:val="both"/>
        <w:rPr>
          <w:i/>
          <w:sz w:val="24"/>
          <w:szCs w:val="24"/>
        </w:rPr>
      </w:pPr>
    </w:p>
    <w:p w14:paraId="76920A9D" w14:textId="45CEADDB" w:rsidR="000A76F0" w:rsidRPr="000B64F0" w:rsidRDefault="000A76F0" w:rsidP="00DA5BF3">
      <w:pPr>
        <w:spacing w:after="100" w:afterAutospacing="1" w:line="240" w:lineRule="auto"/>
        <w:jc w:val="both"/>
        <w:rPr>
          <w:i/>
          <w:sz w:val="24"/>
          <w:szCs w:val="24"/>
        </w:rPr>
      </w:pPr>
      <w:r w:rsidRPr="000B64F0">
        <w:rPr>
          <w:i/>
          <w:sz w:val="24"/>
          <w:szCs w:val="24"/>
        </w:rPr>
        <w:lastRenderedPageBreak/>
        <w:t>Vnitropolitická situace: konsolidace elit a „karabašský konsensus“</w:t>
      </w:r>
    </w:p>
    <w:p w14:paraId="5BAE306E" w14:textId="261697C4" w:rsidR="000A76F0" w:rsidRPr="000A76F0" w:rsidRDefault="00F64ECF" w:rsidP="00DA5BF3">
      <w:pPr>
        <w:spacing w:before="240" w:line="240" w:lineRule="auto"/>
        <w:jc w:val="both"/>
        <w:rPr>
          <w:sz w:val="24"/>
          <w:szCs w:val="24"/>
        </w:rPr>
      </w:pPr>
      <w:r>
        <w:rPr>
          <w:sz w:val="24"/>
          <w:szCs w:val="24"/>
        </w:rPr>
        <w:t>Á</w:t>
      </w:r>
      <w:r w:rsidRPr="000A76F0">
        <w:rPr>
          <w:sz w:val="24"/>
          <w:szCs w:val="24"/>
        </w:rPr>
        <w:t xml:space="preserve">zerbájdžánská elita </w:t>
      </w:r>
      <w:r>
        <w:rPr>
          <w:sz w:val="24"/>
          <w:szCs w:val="24"/>
        </w:rPr>
        <w:t>je v</w:t>
      </w:r>
      <w:r w:rsidR="000A76F0" w:rsidRPr="000A76F0">
        <w:rPr>
          <w:sz w:val="24"/>
          <w:szCs w:val="24"/>
        </w:rPr>
        <w:t> současné době rozdělena na několik klanů</w:t>
      </w:r>
      <w:r>
        <w:rPr>
          <w:sz w:val="24"/>
          <w:szCs w:val="24"/>
        </w:rPr>
        <w:t>. P</w:t>
      </w:r>
      <w:r w:rsidR="000A76F0" w:rsidRPr="000A76F0">
        <w:rPr>
          <w:sz w:val="24"/>
          <w:szCs w:val="24"/>
        </w:rPr>
        <w:t>rezident</w:t>
      </w:r>
      <w:r>
        <w:rPr>
          <w:sz w:val="24"/>
          <w:szCs w:val="24"/>
        </w:rPr>
        <w:t xml:space="preserve"> </w:t>
      </w:r>
      <w:r w:rsidRPr="000A76F0">
        <w:rPr>
          <w:sz w:val="24"/>
          <w:szCs w:val="24"/>
        </w:rPr>
        <w:t>mezi nimi</w:t>
      </w:r>
      <w:r w:rsidR="000A76F0" w:rsidRPr="000A76F0">
        <w:rPr>
          <w:sz w:val="24"/>
          <w:szCs w:val="24"/>
        </w:rPr>
        <w:t xml:space="preserve"> doposud vystupoval jako arbitr. V roce 2016 </w:t>
      </w:r>
      <w:r>
        <w:rPr>
          <w:sz w:val="24"/>
          <w:szCs w:val="24"/>
        </w:rPr>
        <w:t xml:space="preserve">došlo </w:t>
      </w:r>
      <w:r w:rsidR="000A76F0" w:rsidRPr="000A76F0">
        <w:rPr>
          <w:sz w:val="24"/>
          <w:szCs w:val="24"/>
        </w:rPr>
        <w:t xml:space="preserve">na základě referenda v Ázerbájdžánu ke změnám ústavy. </w:t>
      </w:r>
      <w:r>
        <w:rPr>
          <w:sz w:val="24"/>
          <w:szCs w:val="24"/>
        </w:rPr>
        <w:t>Funkční období hlavy státu bylo</w:t>
      </w:r>
      <w:r w:rsidR="000A76F0" w:rsidRPr="000A76F0">
        <w:rPr>
          <w:sz w:val="24"/>
          <w:szCs w:val="24"/>
        </w:rPr>
        <w:t> prodloužen</w:t>
      </w:r>
      <w:r>
        <w:rPr>
          <w:sz w:val="24"/>
          <w:szCs w:val="24"/>
        </w:rPr>
        <w:t xml:space="preserve">o </w:t>
      </w:r>
      <w:r w:rsidR="000A76F0" w:rsidRPr="000A76F0">
        <w:rPr>
          <w:sz w:val="24"/>
          <w:szCs w:val="24"/>
        </w:rPr>
        <w:t xml:space="preserve">z pěti na sedm let a </w:t>
      </w:r>
      <w:r>
        <w:rPr>
          <w:sz w:val="24"/>
          <w:szCs w:val="24"/>
        </w:rPr>
        <w:t>při současném rozšíření</w:t>
      </w:r>
      <w:r w:rsidR="000A76F0" w:rsidRPr="000A76F0">
        <w:rPr>
          <w:sz w:val="24"/>
          <w:szCs w:val="24"/>
        </w:rPr>
        <w:t xml:space="preserve"> pravomocí. Další důležitou změnou bylo zřízení funkce viceprezidenta, který se ujme vlády v případě předčasného ukončení prezident</w:t>
      </w:r>
      <w:r w:rsidR="00865823">
        <w:rPr>
          <w:sz w:val="24"/>
          <w:szCs w:val="24"/>
        </w:rPr>
        <w:t>ského mandátu</w:t>
      </w:r>
      <w:r w:rsidR="000A76F0" w:rsidRPr="000A76F0">
        <w:rPr>
          <w:sz w:val="24"/>
          <w:szCs w:val="24"/>
        </w:rPr>
        <w:t xml:space="preserve">. </w:t>
      </w:r>
      <w:r w:rsidR="00865823">
        <w:rPr>
          <w:sz w:val="24"/>
          <w:szCs w:val="24"/>
        </w:rPr>
        <w:t>Do</w:t>
      </w:r>
      <w:r w:rsidR="000A76F0" w:rsidRPr="000A76F0">
        <w:rPr>
          <w:sz w:val="24"/>
          <w:szCs w:val="24"/>
        </w:rPr>
        <w:t xml:space="preserve"> funkc</w:t>
      </w:r>
      <w:r w:rsidR="00865823">
        <w:rPr>
          <w:sz w:val="24"/>
          <w:szCs w:val="24"/>
        </w:rPr>
        <w:t>e</w:t>
      </w:r>
      <w:r w:rsidR="000A76F0" w:rsidRPr="000A76F0">
        <w:rPr>
          <w:sz w:val="24"/>
          <w:szCs w:val="24"/>
        </w:rPr>
        <w:t xml:space="preserve"> prvního viceprezidenta jmenoval </w:t>
      </w:r>
      <w:proofErr w:type="spellStart"/>
      <w:r w:rsidR="000A76F0" w:rsidRPr="000A76F0">
        <w:rPr>
          <w:sz w:val="24"/>
          <w:szCs w:val="24"/>
        </w:rPr>
        <w:t>Aliev</w:t>
      </w:r>
      <w:proofErr w:type="spellEnd"/>
      <w:r w:rsidR="000A76F0" w:rsidRPr="000A76F0">
        <w:rPr>
          <w:sz w:val="24"/>
          <w:szCs w:val="24"/>
        </w:rPr>
        <w:t xml:space="preserve"> svou manželku </w:t>
      </w:r>
      <w:proofErr w:type="spellStart"/>
      <w:r w:rsidR="000A76F0" w:rsidRPr="000A76F0">
        <w:rPr>
          <w:sz w:val="24"/>
          <w:szCs w:val="24"/>
        </w:rPr>
        <w:t>Mehriban</w:t>
      </w:r>
      <w:proofErr w:type="spellEnd"/>
      <w:r w:rsidR="007E6A1D">
        <w:rPr>
          <w:sz w:val="24"/>
          <w:szCs w:val="24"/>
        </w:rPr>
        <w:t xml:space="preserve">. </w:t>
      </w:r>
      <w:r w:rsidR="000A76F0" w:rsidRPr="000A76F0">
        <w:rPr>
          <w:sz w:val="24"/>
          <w:szCs w:val="24"/>
        </w:rPr>
        <w:t xml:space="preserve"> </w:t>
      </w:r>
      <w:r w:rsidR="007E6A1D">
        <w:rPr>
          <w:sz w:val="24"/>
          <w:szCs w:val="24"/>
        </w:rPr>
        <w:t>S</w:t>
      </w:r>
      <w:r w:rsidR="007E6A1D" w:rsidRPr="000A76F0">
        <w:rPr>
          <w:sz w:val="24"/>
          <w:szCs w:val="24"/>
        </w:rPr>
        <w:t>n</w:t>
      </w:r>
      <w:r w:rsidR="007E6A1D">
        <w:rPr>
          <w:sz w:val="24"/>
          <w:szCs w:val="24"/>
        </w:rPr>
        <w:t>í</w:t>
      </w:r>
      <w:r w:rsidR="007E6A1D" w:rsidRPr="000A76F0">
        <w:rPr>
          <w:sz w:val="24"/>
          <w:szCs w:val="24"/>
        </w:rPr>
        <w:t>ž</w:t>
      </w:r>
      <w:r w:rsidR="007E6A1D">
        <w:rPr>
          <w:sz w:val="24"/>
          <w:szCs w:val="24"/>
        </w:rPr>
        <w:t>il tím</w:t>
      </w:r>
      <w:r w:rsidR="000A76F0" w:rsidRPr="000A76F0">
        <w:rPr>
          <w:sz w:val="24"/>
          <w:szCs w:val="24"/>
        </w:rPr>
        <w:t xml:space="preserve"> význam premiéra i konflikt mezi elitami o tuto funkci, ale zároveň nepoměrně přes</w:t>
      </w:r>
      <w:r w:rsidR="00865823">
        <w:rPr>
          <w:sz w:val="24"/>
          <w:szCs w:val="24"/>
        </w:rPr>
        <w:t>unul</w:t>
      </w:r>
      <w:r w:rsidR="000A76F0" w:rsidRPr="000A76F0">
        <w:rPr>
          <w:sz w:val="24"/>
          <w:szCs w:val="24"/>
        </w:rPr>
        <w:t xml:space="preserve"> </w:t>
      </w:r>
      <w:r w:rsidR="00865823">
        <w:rPr>
          <w:sz w:val="24"/>
          <w:szCs w:val="24"/>
        </w:rPr>
        <w:t>mocenské těžiště směrem ke</w:t>
      </w:r>
      <w:r w:rsidR="000A76F0" w:rsidRPr="000A76F0">
        <w:rPr>
          <w:sz w:val="24"/>
          <w:szCs w:val="24"/>
        </w:rPr>
        <w:t xml:space="preserve"> klan</w:t>
      </w:r>
      <w:r w:rsidR="00865823">
        <w:rPr>
          <w:sz w:val="24"/>
          <w:szCs w:val="24"/>
        </w:rPr>
        <w:t>u</w:t>
      </w:r>
      <w:r w:rsidR="000A76F0" w:rsidRPr="000A76F0">
        <w:rPr>
          <w:sz w:val="24"/>
          <w:szCs w:val="24"/>
        </w:rPr>
        <w:t xml:space="preserve"> choti prezidenta</w:t>
      </w:r>
      <w:r w:rsidR="00865823">
        <w:rPr>
          <w:sz w:val="24"/>
          <w:szCs w:val="24"/>
        </w:rPr>
        <w:t>,</w:t>
      </w:r>
      <w:r w:rsidR="000A76F0" w:rsidRPr="000A76F0">
        <w:rPr>
          <w:sz w:val="24"/>
          <w:szCs w:val="24"/>
        </w:rPr>
        <w:t xml:space="preserve"> </w:t>
      </w:r>
      <w:r w:rsidR="00967F5A">
        <w:rPr>
          <w:sz w:val="24"/>
          <w:szCs w:val="24"/>
        </w:rPr>
        <w:t xml:space="preserve">k </w:t>
      </w:r>
      <w:proofErr w:type="spellStart"/>
      <w:r w:rsidR="000A76F0" w:rsidRPr="000A76F0">
        <w:rPr>
          <w:sz w:val="24"/>
          <w:szCs w:val="24"/>
        </w:rPr>
        <w:t>Pašajevový</w:t>
      </w:r>
      <w:r w:rsidR="00865823">
        <w:rPr>
          <w:sz w:val="24"/>
          <w:szCs w:val="24"/>
        </w:rPr>
        <w:t>m</w:t>
      </w:r>
      <w:proofErr w:type="spellEnd"/>
      <w:r w:rsidR="000A76F0" w:rsidRPr="000A76F0">
        <w:rPr>
          <w:sz w:val="24"/>
          <w:szCs w:val="24"/>
        </w:rPr>
        <w:t>.</w:t>
      </w:r>
      <w:r w:rsidR="007E6A1D">
        <w:rPr>
          <w:rStyle w:val="Znakapoznpodarou"/>
          <w:sz w:val="24"/>
          <w:szCs w:val="24"/>
        </w:rPr>
        <w:footnoteReference w:id="21"/>
      </w:r>
      <w:r w:rsidR="000A76F0" w:rsidRPr="000A76F0">
        <w:rPr>
          <w:sz w:val="24"/>
          <w:szCs w:val="24"/>
        </w:rPr>
        <w:t xml:space="preserve"> </w:t>
      </w:r>
    </w:p>
    <w:p w14:paraId="4484CE7E" w14:textId="4BC95190" w:rsidR="000A76F0" w:rsidRPr="000A76F0" w:rsidRDefault="000A76F0" w:rsidP="000A76F0">
      <w:pPr>
        <w:spacing w:before="240" w:line="240" w:lineRule="auto"/>
        <w:jc w:val="both"/>
        <w:rPr>
          <w:sz w:val="24"/>
          <w:szCs w:val="24"/>
        </w:rPr>
      </w:pPr>
      <w:r w:rsidRPr="000A76F0">
        <w:rPr>
          <w:sz w:val="24"/>
          <w:szCs w:val="24"/>
        </w:rPr>
        <w:tab/>
        <w:t xml:space="preserve">Mezi další klany patří klan napojený na </w:t>
      </w:r>
      <w:proofErr w:type="spellStart"/>
      <w:r w:rsidRPr="000A76F0">
        <w:rPr>
          <w:sz w:val="24"/>
          <w:szCs w:val="24"/>
        </w:rPr>
        <w:t>Bajlara</w:t>
      </w:r>
      <w:proofErr w:type="spellEnd"/>
      <w:r w:rsidRPr="000A76F0">
        <w:rPr>
          <w:sz w:val="24"/>
          <w:szCs w:val="24"/>
        </w:rPr>
        <w:t xml:space="preserve"> </w:t>
      </w:r>
      <w:proofErr w:type="spellStart"/>
      <w:r w:rsidRPr="000A76F0">
        <w:rPr>
          <w:sz w:val="24"/>
          <w:szCs w:val="24"/>
        </w:rPr>
        <w:t>Ajubova</w:t>
      </w:r>
      <w:proofErr w:type="spellEnd"/>
      <w:r w:rsidRPr="000A76F0">
        <w:rPr>
          <w:sz w:val="24"/>
          <w:szCs w:val="24"/>
        </w:rPr>
        <w:t xml:space="preserve">, šéfa prezidentovy ochranky. Ten se opírá především o západ země a o zemědělský sektor, ve kterém působí jeho společnosti. </w:t>
      </w:r>
      <w:r w:rsidR="00865823">
        <w:rPr>
          <w:sz w:val="24"/>
          <w:szCs w:val="24"/>
        </w:rPr>
        <w:t>V</w:t>
      </w:r>
      <w:r w:rsidRPr="000A76F0">
        <w:rPr>
          <w:sz w:val="24"/>
          <w:szCs w:val="24"/>
        </w:rPr>
        <w:t xml:space="preserve">ýznamný klan </w:t>
      </w:r>
      <w:r w:rsidR="00865823">
        <w:rPr>
          <w:sz w:val="24"/>
          <w:szCs w:val="24"/>
        </w:rPr>
        <w:t>reprezentuje rovněž</w:t>
      </w:r>
      <w:r w:rsidRPr="000A76F0">
        <w:rPr>
          <w:sz w:val="24"/>
          <w:szCs w:val="24"/>
        </w:rPr>
        <w:t xml:space="preserve"> </w:t>
      </w:r>
      <w:proofErr w:type="spellStart"/>
      <w:r w:rsidRPr="000A76F0">
        <w:rPr>
          <w:sz w:val="24"/>
          <w:szCs w:val="24"/>
        </w:rPr>
        <w:t>Kamaladdin</w:t>
      </w:r>
      <w:proofErr w:type="spellEnd"/>
      <w:r w:rsidRPr="000A76F0">
        <w:rPr>
          <w:sz w:val="24"/>
          <w:szCs w:val="24"/>
        </w:rPr>
        <w:t xml:space="preserve"> </w:t>
      </w:r>
      <w:proofErr w:type="spellStart"/>
      <w:r w:rsidRPr="000A76F0">
        <w:rPr>
          <w:sz w:val="24"/>
          <w:szCs w:val="24"/>
        </w:rPr>
        <w:t>Heydarov</w:t>
      </w:r>
      <w:proofErr w:type="spellEnd"/>
      <w:r w:rsidRPr="000A76F0">
        <w:rPr>
          <w:sz w:val="24"/>
          <w:szCs w:val="24"/>
        </w:rPr>
        <w:t xml:space="preserve"> </w:t>
      </w:r>
      <w:proofErr w:type="spellStart"/>
      <w:r w:rsidRPr="000A76F0">
        <w:rPr>
          <w:sz w:val="24"/>
          <w:szCs w:val="24"/>
        </w:rPr>
        <w:t>Fattah</w:t>
      </w:r>
      <w:proofErr w:type="spellEnd"/>
      <w:r w:rsidRPr="000A76F0">
        <w:rPr>
          <w:sz w:val="24"/>
          <w:szCs w:val="24"/>
        </w:rPr>
        <w:t xml:space="preserve">, který od roku 2006 stojí v čele ministerstva pro mimořádné situace. V případě </w:t>
      </w:r>
      <w:proofErr w:type="spellStart"/>
      <w:r w:rsidRPr="000A76F0">
        <w:rPr>
          <w:sz w:val="24"/>
          <w:szCs w:val="24"/>
        </w:rPr>
        <w:t>Heydarova</w:t>
      </w:r>
      <w:proofErr w:type="spellEnd"/>
      <w:r w:rsidRPr="000A76F0">
        <w:rPr>
          <w:sz w:val="24"/>
          <w:szCs w:val="24"/>
        </w:rPr>
        <w:t xml:space="preserve"> klanu lze upozornit, že </w:t>
      </w:r>
      <w:r w:rsidR="007E6A1D">
        <w:rPr>
          <w:sz w:val="24"/>
          <w:szCs w:val="24"/>
        </w:rPr>
        <w:t xml:space="preserve">mohl profitovat ze </w:t>
      </w:r>
      <w:r w:rsidRPr="000A76F0">
        <w:rPr>
          <w:sz w:val="24"/>
          <w:szCs w:val="24"/>
        </w:rPr>
        <w:t>stavební</w:t>
      </w:r>
      <w:r w:rsidR="007E6A1D">
        <w:rPr>
          <w:sz w:val="24"/>
          <w:szCs w:val="24"/>
        </w:rPr>
        <w:t>ho</w:t>
      </w:r>
      <w:r w:rsidRPr="000A76F0">
        <w:rPr>
          <w:sz w:val="24"/>
          <w:szCs w:val="24"/>
        </w:rPr>
        <w:t xml:space="preserve"> boomu v době vysokých cen ropy, </w:t>
      </w:r>
      <w:r w:rsidR="007E6A1D">
        <w:rPr>
          <w:sz w:val="24"/>
          <w:szCs w:val="24"/>
        </w:rPr>
        <w:t>neboť</w:t>
      </w:r>
      <w:r w:rsidRPr="000A76F0">
        <w:rPr>
          <w:sz w:val="24"/>
          <w:szCs w:val="24"/>
        </w:rPr>
        <w:t xml:space="preserve"> ministerstvo pro mimořádné situace dohlíželo na bezpečnostní předpisy (viz Kopeček 2016; de </w:t>
      </w:r>
      <w:proofErr w:type="spellStart"/>
      <w:r w:rsidRPr="000A76F0">
        <w:rPr>
          <w:sz w:val="24"/>
          <w:szCs w:val="24"/>
        </w:rPr>
        <w:t>Waal</w:t>
      </w:r>
      <w:proofErr w:type="spellEnd"/>
      <w:r w:rsidRPr="000A76F0">
        <w:rPr>
          <w:b/>
          <w:sz w:val="24"/>
          <w:szCs w:val="24"/>
        </w:rPr>
        <w:t xml:space="preserve"> </w:t>
      </w:r>
      <w:r w:rsidRPr="000A76F0">
        <w:rPr>
          <w:sz w:val="24"/>
          <w:szCs w:val="24"/>
        </w:rPr>
        <w:t>2016). Snížení příjmů z prodeje ropy</w:t>
      </w:r>
      <w:r w:rsidR="00865823">
        <w:rPr>
          <w:sz w:val="24"/>
          <w:szCs w:val="24"/>
        </w:rPr>
        <w:t xml:space="preserve"> se</w:t>
      </w:r>
      <w:r w:rsidRPr="000A76F0">
        <w:rPr>
          <w:sz w:val="24"/>
          <w:szCs w:val="24"/>
        </w:rPr>
        <w:t xml:space="preserve"> tak m</w:t>
      </w:r>
      <w:r w:rsidR="00865823">
        <w:rPr>
          <w:sz w:val="24"/>
          <w:szCs w:val="24"/>
        </w:rPr>
        <w:t>ohlo</w:t>
      </w:r>
      <w:r w:rsidRPr="000A76F0">
        <w:rPr>
          <w:sz w:val="24"/>
          <w:szCs w:val="24"/>
        </w:rPr>
        <w:t xml:space="preserve"> negativně odrazit </w:t>
      </w:r>
      <w:r w:rsidR="00865823">
        <w:rPr>
          <w:sz w:val="24"/>
          <w:szCs w:val="24"/>
        </w:rPr>
        <w:t>i v tomto</w:t>
      </w:r>
      <w:r w:rsidRPr="000A76F0">
        <w:rPr>
          <w:sz w:val="24"/>
          <w:szCs w:val="24"/>
        </w:rPr>
        <w:t xml:space="preserve"> odvětví, ve kterém se angažují i </w:t>
      </w:r>
      <w:proofErr w:type="spellStart"/>
      <w:r w:rsidRPr="000A76F0">
        <w:rPr>
          <w:sz w:val="24"/>
          <w:szCs w:val="24"/>
        </w:rPr>
        <w:t>Pašajevové</w:t>
      </w:r>
      <w:proofErr w:type="spellEnd"/>
      <w:r w:rsidRPr="000A76F0">
        <w:rPr>
          <w:sz w:val="24"/>
          <w:szCs w:val="24"/>
        </w:rPr>
        <w:t>.</w:t>
      </w:r>
    </w:p>
    <w:p w14:paraId="35F28C25" w14:textId="3587AAB9" w:rsidR="000A76F0" w:rsidRPr="000A76F0" w:rsidRDefault="000A76F0" w:rsidP="000A76F0">
      <w:pPr>
        <w:spacing w:before="240" w:line="240" w:lineRule="auto"/>
        <w:jc w:val="both"/>
        <w:rPr>
          <w:sz w:val="24"/>
          <w:szCs w:val="24"/>
        </w:rPr>
      </w:pPr>
      <w:r w:rsidRPr="000A76F0">
        <w:rPr>
          <w:sz w:val="24"/>
          <w:szCs w:val="24"/>
        </w:rPr>
        <w:tab/>
        <w:t xml:space="preserve">Další významnou skupinou je tzv. stará garda, </w:t>
      </w:r>
      <w:r w:rsidR="00865823">
        <w:rPr>
          <w:sz w:val="24"/>
          <w:szCs w:val="24"/>
        </w:rPr>
        <w:t>tj.</w:t>
      </w:r>
      <w:r w:rsidRPr="000A76F0">
        <w:rPr>
          <w:sz w:val="24"/>
          <w:szCs w:val="24"/>
        </w:rPr>
        <w:t xml:space="preserve"> elita, která získala své pozice v době vlády předešlého prezidenta </w:t>
      </w:r>
      <w:proofErr w:type="spellStart"/>
      <w:r w:rsidRPr="000A76F0">
        <w:rPr>
          <w:sz w:val="24"/>
          <w:szCs w:val="24"/>
        </w:rPr>
        <w:t>Hejdara</w:t>
      </w:r>
      <w:proofErr w:type="spellEnd"/>
      <w:r w:rsidRPr="000A76F0">
        <w:rPr>
          <w:sz w:val="24"/>
          <w:szCs w:val="24"/>
        </w:rPr>
        <w:t xml:space="preserve"> </w:t>
      </w:r>
      <w:proofErr w:type="spellStart"/>
      <w:r w:rsidRPr="000A76F0">
        <w:rPr>
          <w:sz w:val="24"/>
          <w:szCs w:val="24"/>
        </w:rPr>
        <w:t>Alieva</w:t>
      </w:r>
      <w:proofErr w:type="spellEnd"/>
      <w:r w:rsidRPr="000A76F0">
        <w:rPr>
          <w:sz w:val="24"/>
          <w:szCs w:val="24"/>
        </w:rPr>
        <w:t>. Vliv této skupiny ale poklesl, když</w:t>
      </w:r>
      <w:r w:rsidR="00865823">
        <w:rPr>
          <w:sz w:val="24"/>
          <w:szCs w:val="24"/>
        </w:rPr>
        <w:t xml:space="preserve"> byl</w:t>
      </w:r>
      <w:r w:rsidRPr="000A76F0">
        <w:rPr>
          <w:sz w:val="24"/>
          <w:szCs w:val="24"/>
        </w:rPr>
        <w:t xml:space="preserve"> </w:t>
      </w:r>
      <w:r w:rsidR="00865823" w:rsidRPr="000A76F0">
        <w:rPr>
          <w:sz w:val="24"/>
          <w:szCs w:val="24"/>
        </w:rPr>
        <w:t xml:space="preserve">v říjnu 2019 odvolán </w:t>
      </w:r>
      <w:r w:rsidRPr="000A76F0">
        <w:rPr>
          <w:sz w:val="24"/>
          <w:szCs w:val="24"/>
        </w:rPr>
        <w:t xml:space="preserve">její hlavní představitel, šéf prezidentské administrativy </w:t>
      </w:r>
      <w:proofErr w:type="spellStart"/>
      <w:r w:rsidRPr="000A76F0">
        <w:rPr>
          <w:sz w:val="24"/>
          <w:szCs w:val="24"/>
        </w:rPr>
        <w:t>Ramiz</w:t>
      </w:r>
      <w:proofErr w:type="spellEnd"/>
      <w:r w:rsidRPr="000A76F0">
        <w:rPr>
          <w:sz w:val="24"/>
          <w:szCs w:val="24"/>
        </w:rPr>
        <w:t xml:space="preserve"> </w:t>
      </w:r>
      <w:proofErr w:type="spellStart"/>
      <w:r w:rsidRPr="000A76F0">
        <w:rPr>
          <w:sz w:val="24"/>
          <w:szCs w:val="24"/>
        </w:rPr>
        <w:t>Mehdijev</w:t>
      </w:r>
      <w:proofErr w:type="spellEnd"/>
      <w:r w:rsidR="00865823">
        <w:rPr>
          <w:sz w:val="24"/>
          <w:szCs w:val="24"/>
        </w:rPr>
        <w:t>.</w:t>
      </w:r>
      <w:r w:rsidR="007E6A1D">
        <w:rPr>
          <w:rStyle w:val="Znakapoznpodarou"/>
          <w:sz w:val="24"/>
          <w:szCs w:val="24"/>
        </w:rPr>
        <w:footnoteReference w:id="22"/>
      </w:r>
      <w:r w:rsidR="00865823">
        <w:rPr>
          <w:sz w:val="24"/>
          <w:szCs w:val="24"/>
        </w:rPr>
        <w:t xml:space="preserve"> To</w:t>
      </w:r>
      <w:r w:rsidRPr="000A76F0">
        <w:rPr>
          <w:sz w:val="24"/>
          <w:szCs w:val="24"/>
        </w:rPr>
        <w:t xml:space="preserve"> opět posiluje viceprezidentku </w:t>
      </w:r>
      <w:proofErr w:type="spellStart"/>
      <w:r w:rsidRPr="000A76F0">
        <w:rPr>
          <w:sz w:val="24"/>
          <w:szCs w:val="24"/>
        </w:rPr>
        <w:t>Mehriban</w:t>
      </w:r>
      <w:proofErr w:type="spellEnd"/>
      <w:r w:rsidRPr="000A76F0">
        <w:rPr>
          <w:sz w:val="24"/>
          <w:szCs w:val="24"/>
        </w:rPr>
        <w:t xml:space="preserve"> a její klan </w:t>
      </w:r>
      <w:proofErr w:type="spellStart"/>
      <w:r w:rsidRPr="000A76F0">
        <w:rPr>
          <w:sz w:val="24"/>
          <w:szCs w:val="24"/>
        </w:rPr>
        <w:t>Pašajevových</w:t>
      </w:r>
      <w:proofErr w:type="spellEnd"/>
      <w:r w:rsidRPr="000A76F0">
        <w:rPr>
          <w:sz w:val="24"/>
          <w:szCs w:val="24"/>
        </w:rPr>
        <w:t xml:space="preserve">. V lednu následujícího roku byl odvolán i hlavní ideolog režimu Ali </w:t>
      </w:r>
      <w:proofErr w:type="spellStart"/>
      <w:r w:rsidRPr="000A76F0">
        <w:rPr>
          <w:sz w:val="24"/>
          <w:szCs w:val="24"/>
        </w:rPr>
        <w:t>Hasanov</w:t>
      </w:r>
      <w:proofErr w:type="spellEnd"/>
      <w:r w:rsidRPr="000A76F0">
        <w:rPr>
          <w:sz w:val="24"/>
          <w:szCs w:val="24"/>
        </w:rPr>
        <w:t>, prezidentův asistent pro veřejné a politické otázky (</w:t>
      </w:r>
      <w:proofErr w:type="spellStart"/>
      <w:r w:rsidRPr="000A76F0">
        <w:rPr>
          <w:rStyle w:val="author"/>
          <w:sz w:val="24"/>
          <w:szCs w:val="24"/>
        </w:rPr>
        <w:t>Safarova</w:t>
      </w:r>
      <w:proofErr w:type="spellEnd"/>
      <w:r w:rsidRPr="000A76F0">
        <w:rPr>
          <w:rStyle w:val="author"/>
          <w:sz w:val="24"/>
          <w:szCs w:val="24"/>
        </w:rPr>
        <w:t xml:space="preserve"> 2020)</w:t>
      </w:r>
      <w:r w:rsidRPr="000A76F0">
        <w:rPr>
          <w:sz w:val="24"/>
          <w:szCs w:val="24"/>
        </w:rPr>
        <w:t>. V polovině roku 2020 došlo</w:t>
      </w:r>
      <w:r w:rsidR="00865823">
        <w:rPr>
          <w:sz w:val="24"/>
          <w:szCs w:val="24"/>
        </w:rPr>
        <w:t xml:space="preserve"> proti</w:t>
      </w:r>
      <w:r w:rsidR="00865823" w:rsidRPr="000A76F0">
        <w:rPr>
          <w:sz w:val="24"/>
          <w:szCs w:val="24"/>
        </w:rPr>
        <w:t xml:space="preserve"> </w:t>
      </w:r>
      <w:proofErr w:type="spellStart"/>
      <w:r w:rsidR="00865823" w:rsidRPr="000A76F0">
        <w:rPr>
          <w:sz w:val="24"/>
          <w:szCs w:val="24"/>
        </w:rPr>
        <w:t>Mehdijev</w:t>
      </w:r>
      <w:r w:rsidR="00865823">
        <w:rPr>
          <w:sz w:val="24"/>
          <w:szCs w:val="24"/>
        </w:rPr>
        <w:t>ovi</w:t>
      </w:r>
      <w:proofErr w:type="spellEnd"/>
      <w:r w:rsidRPr="000A76F0">
        <w:rPr>
          <w:sz w:val="24"/>
          <w:szCs w:val="24"/>
        </w:rPr>
        <w:t xml:space="preserve"> i k silné očerňovací kampani</w:t>
      </w:r>
      <w:r w:rsidR="00865823">
        <w:rPr>
          <w:sz w:val="24"/>
          <w:szCs w:val="24"/>
        </w:rPr>
        <w:t>. Za</w:t>
      </w:r>
      <w:r w:rsidRPr="000A76F0">
        <w:rPr>
          <w:sz w:val="24"/>
          <w:szCs w:val="24"/>
        </w:rPr>
        <w:t xml:space="preserve"> </w:t>
      </w:r>
      <w:r w:rsidR="00865823">
        <w:rPr>
          <w:sz w:val="24"/>
          <w:szCs w:val="24"/>
        </w:rPr>
        <w:t>ní</w:t>
      </w:r>
      <w:r w:rsidRPr="000A76F0">
        <w:rPr>
          <w:sz w:val="24"/>
          <w:szCs w:val="24"/>
        </w:rPr>
        <w:t xml:space="preserve"> nejspíše stojí lidé, kteří chtějí, aby se </w:t>
      </w:r>
      <w:proofErr w:type="spellStart"/>
      <w:r w:rsidRPr="000A76F0">
        <w:rPr>
          <w:sz w:val="24"/>
          <w:szCs w:val="24"/>
        </w:rPr>
        <w:t>Mehriban</w:t>
      </w:r>
      <w:proofErr w:type="spellEnd"/>
      <w:r w:rsidRPr="000A76F0">
        <w:rPr>
          <w:sz w:val="24"/>
          <w:szCs w:val="24"/>
        </w:rPr>
        <w:t xml:space="preserve"> stala v budoucnu hlavou státu. Stará garda měla navíc těsné vazby na ruskou mocenskou elitu. Odstranění </w:t>
      </w:r>
      <w:proofErr w:type="spellStart"/>
      <w:r w:rsidRPr="000A76F0">
        <w:rPr>
          <w:sz w:val="24"/>
          <w:szCs w:val="24"/>
        </w:rPr>
        <w:t>Mehdijeva</w:t>
      </w:r>
      <w:proofErr w:type="spellEnd"/>
      <w:r w:rsidRPr="000A76F0">
        <w:rPr>
          <w:sz w:val="24"/>
          <w:szCs w:val="24"/>
        </w:rPr>
        <w:t xml:space="preserve"> a </w:t>
      </w:r>
      <w:proofErr w:type="spellStart"/>
      <w:r w:rsidRPr="000A76F0">
        <w:rPr>
          <w:sz w:val="24"/>
          <w:szCs w:val="24"/>
        </w:rPr>
        <w:t>Hasanova</w:t>
      </w:r>
      <w:proofErr w:type="spellEnd"/>
      <w:r w:rsidRPr="000A76F0">
        <w:rPr>
          <w:sz w:val="24"/>
          <w:szCs w:val="24"/>
        </w:rPr>
        <w:t xml:space="preserve"> z vedoucí pozice tak koncentruje vztahy s Ruskem bezprostředně v rukou </w:t>
      </w:r>
      <w:proofErr w:type="spellStart"/>
      <w:r w:rsidRPr="000A76F0">
        <w:rPr>
          <w:sz w:val="24"/>
          <w:szCs w:val="24"/>
        </w:rPr>
        <w:t>Alijeva</w:t>
      </w:r>
      <w:proofErr w:type="spellEnd"/>
      <w:r w:rsidR="00865823">
        <w:rPr>
          <w:sz w:val="24"/>
          <w:szCs w:val="24"/>
        </w:rPr>
        <w:t xml:space="preserve"> – </w:t>
      </w:r>
      <w:proofErr w:type="spellStart"/>
      <w:r w:rsidRPr="000A76F0">
        <w:rPr>
          <w:sz w:val="24"/>
          <w:szCs w:val="24"/>
        </w:rPr>
        <w:t>Mehriban</w:t>
      </w:r>
      <w:proofErr w:type="spellEnd"/>
      <w:r w:rsidRPr="000A76F0">
        <w:rPr>
          <w:sz w:val="24"/>
          <w:szCs w:val="24"/>
        </w:rPr>
        <w:t xml:space="preserve">. Vojenská operace v Náhorním Karabachu začala necelý rok poté, co byl odvolán </w:t>
      </w:r>
      <w:proofErr w:type="spellStart"/>
      <w:r w:rsidRPr="000A76F0">
        <w:rPr>
          <w:sz w:val="24"/>
          <w:szCs w:val="24"/>
        </w:rPr>
        <w:t>Mehdijev</w:t>
      </w:r>
      <w:proofErr w:type="spellEnd"/>
      <w:r w:rsidRPr="000A76F0">
        <w:rPr>
          <w:sz w:val="24"/>
          <w:szCs w:val="24"/>
        </w:rPr>
        <w:t>, jenž byl v září provládními médii obviněn z toho, že zastupuje „ruskou pátou kolonu“ v zemi.</w:t>
      </w:r>
    </w:p>
    <w:p w14:paraId="34F72F26" w14:textId="10E7D433" w:rsidR="000A76F0" w:rsidRPr="000A76F0" w:rsidRDefault="000A76F0" w:rsidP="000A76F0">
      <w:pPr>
        <w:spacing w:before="240" w:line="240" w:lineRule="auto"/>
        <w:jc w:val="both"/>
        <w:rPr>
          <w:sz w:val="24"/>
          <w:szCs w:val="24"/>
        </w:rPr>
      </w:pPr>
      <w:r w:rsidRPr="000A76F0">
        <w:rPr>
          <w:sz w:val="24"/>
          <w:szCs w:val="24"/>
        </w:rPr>
        <w:tab/>
        <w:t>Snížení příjmů z prodeje ropy představuje hrozbu i pro sociální stabilitu, neboť se znatelně dotkne zaměstnanců státní správy a v dalších odvětví, jejichž platy závisí na státním rozpočtu. Může se to dotknout až 14 % obyvatelstva, z toho je 67 % občanů ve věku 25 až 34 let s vyšším vzděláním (</w:t>
      </w:r>
      <w:proofErr w:type="spellStart"/>
      <w:r w:rsidRPr="000A76F0">
        <w:rPr>
          <w:sz w:val="24"/>
          <w:szCs w:val="24"/>
        </w:rPr>
        <w:t>Guliyev</w:t>
      </w:r>
      <w:proofErr w:type="spellEnd"/>
      <w:r w:rsidRPr="000A76F0">
        <w:rPr>
          <w:sz w:val="24"/>
          <w:szCs w:val="24"/>
        </w:rPr>
        <w:t xml:space="preserve"> 2014). Jedná se tudíž o potenciální protestní skupinu. </w:t>
      </w:r>
      <w:r w:rsidR="00865823">
        <w:rPr>
          <w:sz w:val="24"/>
          <w:szCs w:val="24"/>
        </w:rPr>
        <w:t>N</w:t>
      </w:r>
      <w:r w:rsidR="00865823" w:rsidRPr="000A76F0">
        <w:rPr>
          <w:sz w:val="24"/>
          <w:szCs w:val="24"/>
        </w:rPr>
        <w:t>ěkolik velký</w:t>
      </w:r>
      <w:r w:rsidR="007E6A1D">
        <w:rPr>
          <w:sz w:val="24"/>
          <w:szCs w:val="24"/>
        </w:rPr>
        <w:t>ch</w:t>
      </w:r>
      <w:r w:rsidR="00865823" w:rsidRPr="000A76F0">
        <w:rPr>
          <w:sz w:val="24"/>
          <w:szCs w:val="24"/>
        </w:rPr>
        <w:t xml:space="preserve"> protestů proti zvyšování cen </w:t>
      </w:r>
      <w:r w:rsidR="00865823">
        <w:rPr>
          <w:sz w:val="24"/>
          <w:szCs w:val="24"/>
        </w:rPr>
        <w:t>se uskutečnilo p</w:t>
      </w:r>
      <w:r w:rsidRPr="000A76F0">
        <w:rPr>
          <w:sz w:val="24"/>
          <w:szCs w:val="24"/>
        </w:rPr>
        <w:t xml:space="preserve">o propadu </w:t>
      </w:r>
      <w:r w:rsidR="000875F4">
        <w:rPr>
          <w:sz w:val="24"/>
          <w:szCs w:val="24"/>
        </w:rPr>
        <w:t>na ropných trzích</w:t>
      </w:r>
      <w:r w:rsidRPr="000A76F0">
        <w:rPr>
          <w:sz w:val="24"/>
          <w:szCs w:val="24"/>
        </w:rPr>
        <w:t xml:space="preserve"> v letech 2015</w:t>
      </w:r>
      <w:r w:rsidR="007E6A1D">
        <w:rPr>
          <w:sz w:val="24"/>
          <w:szCs w:val="24"/>
        </w:rPr>
        <w:t>–</w:t>
      </w:r>
      <w:r w:rsidRPr="000A76F0">
        <w:rPr>
          <w:sz w:val="24"/>
          <w:szCs w:val="24"/>
        </w:rPr>
        <w:t>2016. Došlo i k utužení režimu a zesílení politických represí (</w:t>
      </w:r>
      <w:proofErr w:type="spellStart"/>
      <w:r w:rsidRPr="000A76F0">
        <w:rPr>
          <w:sz w:val="24"/>
          <w:szCs w:val="24"/>
        </w:rPr>
        <w:t>Gogia</w:t>
      </w:r>
      <w:proofErr w:type="spellEnd"/>
      <w:r w:rsidRPr="000A76F0">
        <w:rPr>
          <w:sz w:val="24"/>
          <w:szCs w:val="24"/>
        </w:rPr>
        <w:t xml:space="preserve"> 2020). Podobně tomu je i v roce 2020, kdy prezident </w:t>
      </w:r>
      <w:proofErr w:type="spellStart"/>
      <w:r w:rsidRPr="000A76F0">
        <w:rPr>
          <w:sz w:val="24"/>
          <w:szCs w:val="24"/>
        </w:rPr>
        <w:t>Alijev</w:t>
      </w:r>
      <w:proofErr w:type="spellEnd"/>
      <w:r w:rsidRPr="000A76F0">
        <w:rPr>
          <w:sz w:val="24"/>
          <w:szCs w:val="24"/>
        </w:rPr>
        <w:t xml:space="preserve"> přímo obvinil neparlamentní opozici z toho, že je „pát</w:t>
      </w:r>
      <w:r w:rsidR="00865823">
        <w:rPr>
          <w:sz w:val="24"/>
          <w:szCs w:val="24"/>
        </w:rPr>
        <w:t>ou</w:t>
      </w:r>
      <w:r w:rsidRPr="000A76F0">
        <w:rPr>
          <w:sz w:val="24"/>
          <w:szCs w:val="24"/>
        </w:rPr>
        <w:t xml:space="preserve"> kolon</w:t>
      </w:r>
      <w:r w:rsidR="00865823">
        <w:rPr>
          <w:sz w:val="24"/>
          <w:szCs w:val="24"/>
        </w:rPr>
        <w:t>ou</w:t>
      </w:r>
      <w:r w:rsidRPr="000A76F0">
        <w:rPr>
          <w:sz w:val="24"/>
          <w:szCs w:val="24"/>
        </w:rPr>
        <w:t>“ (</w:t>
      </w:r>
      <w:proofErr w:type="spellStart"/>
      <w:r w:rsidRPr="000A76F0">
        <w:rPr>
          <w:sz w:val="24"/>
          <w:szCs w:val="24"/>
        </w:rPr>
        <w:t>Alijev</w:t>
      </w:r>
      <w:proofErr w:type="spellEnd"/>
      <w:r w:rsidRPr="000A76F0">
        <w:rPr>
          <w:sz w:val="24"/>
          <w:szCs w:val="24"/>
        </w:rPr>
        <w:t xml:space="preserve"> 2020), která chce destabilizovat situaci v čase pandemie COVID-19, a někteří opoziční politici byli i zatčeni (</w:t>
      </w:r>
      <w:r w:rsidRPr="000A76F0">
        <w:rPr>
          <w:rStyle w:val="author"/>
          <w:sz w:val="24"/>
          <w:szCs w:val="24"/>
        </w:rPr>
        <w:t xml:space="preserve">Eurasianet.org 2020; </w:t>
      </w:r>
      <w:proofErr w:type="spellStart"/>
      <w:r w:rsidRPr="000A76F0">
        <w:rPr>
          <w:sz w:val="24"/>
          <w:szCs w:val="24"/>
        </w:rPr>
        <w:t>Kucera</w:t>
      </w:r>
      <w:proofErr w:type="spellEnd"/>
      <w:r w:rsidRPr="000A76F0">
        <w:rPr>
          <w:sz w:val="24"/>
          <w:szCs w:val="24"/>
        </w:rPr>
        <w:t xml:space="preserve"> 2020</w:t>
      </w:r>
      <w:r w:rsidRPr="000A76F0">
        <w:rPr>
          <w:rStyle w:val="author"/>
          <w:sz w:val="24"/>
          <w:szCs w:val="24"/>
        </w:rPr>
        <w:t>)</w:t>
      </w:r>
      <w:r w:rsidRPr="000A76F0">
        <w:rPr>
          <w:sz w:val="24"/>
          <w:szCs w:val="24"/>
        </w:rPr>
        <w:t xml:space="preserve">. Přitom sama opozice (v </w:t>
      </w:r>
      <w:r w:rsidRPr="000A76F0">
        <w:rPr>
          <w:sz w:val="24"/>
          <w:szCs w:val="24"/>
        </w:rPr>
        <w:lastRenderedPageBreak/>
        <w:t>první řadě Strana národní fronty či Strana naděje) v případě konfliktu o Náhorní Karabach vystupuje z ještě radikálnějších pozic než vláda.</w:t>
      </w:r>
    </w:p>
    <w:p w14:paraId="09D89821" w14:textId="65BE1DB6" w:rsidR="000A76F0" w:rsidRDefault="000A76F0" w:rsidP="000A76F0">
      <w:pPr>
        <w:spacing w:before="240" w:line="240" w:lineRule="auto"/>
        <w:jc w:val="both"/>
        <w:rPr>
          <w:sz w:val="24"/>
          <w:szCs w:val="24"/>
        </w:rPr>
      </w:pPr>
      <w:r w:rsidRPr="000A76F0">
        <w:rPr>
          <w:sz w:val="24"/>
          <w:szCs w:val="24"/>
        </w:rPr>
        <w:tab/>
        <w:t xml:space="preserve">Vítězství ve válce proti Arménii konsolidovalo pozice </w:t>
      </w:r>
      <w:proofErr w:type="spellStart"/>
      <w:r w:rsidRPr="000A76F0">
        <w:rPr>
          <w:sz w:val="24"/>
          <w:szCs w:val="24"/>
        </w:rPr>
        <w:t>Alijeva</w:t>
      </w:r>
      <w:proofErr w:type="spellEnd"/>
      <w:r w:rsidRPr="000A76F0">
        <w:rPr>
          <w:sz w:val="24"/>
          <w:szCs w:val="24"/>
        </w:rPr>
        <w:t xml:space="preserve"> jak mezi elitou, tak i u obyvatelstva. Po dobu příštích několika let se vytvořil „karabašský konsensus“, díky kterému loajalita elity i obyvatelstva bude zaručena i v případě snížení příjmů z exportu surovin i životní úrovně. Je proto v zájmu </w:t>
      </w:r>
      <w:proofErr w:type="spellStart"/>
      <w:r w:rsidRPr="000A76F0">
        <w:rPr>
          <w:sz w:val="24"/>
          <w:szCs w:val="24"/>
        </w:rPr>
        <w:t>Alijeva</w:t>
      </w:r>
      <w:proofErr w:type="spellEnd"/>
      <w:r w:rsidRPr="000A76F0">
        <w:rPr>
          <w:sz w:val="24"/>
          <w:szCs w:val="24"/>
        </w:rPr>
        <w:t xml:space="preserve">, ale i </w:t>
      </w:r>
      <w:proofErr w:type="spellStart"/>
      <w:r w:rsidRPr="000A76F0">
        <w:rPr>
          <w:sz w:val="24"/>
          <w:szCs w:val="24"/>
        </w:rPr>
        <w:t>Mehriban</w:t>
      </w:r>
      <w:proofErr w:type="spellEnd"/>
      <w:r w:rsidR="00573F60">
        <w:rPr>
          <w:sz w:val="24"/>
          <w:szCs w:val="24"/>
        </w:rPr>
        <w:t>,</w:t>
      </w:r>
      <w:r w:rsidRPr="000A76F0">
        <w:rPr>
          <w:sz w:val="24"/>
          <w:szCs w:val="24"/>
        </w:rPr>
        <w:t xml:space="preserve"> využít toto období pro provedení nutných reforem </w:t>
      </w:r>
      <w:r w:rsidR="00AD6252">
        <w:rPr>
          <w:sz w:val="24"/>
          <w:szCs w:val="24"/>
        </w:rPr>
        <w:t>ekonomiky</w:t>
      </w:r>
      <w:r w:rsidRPr="000A76F0">
        <w:rPr>
          <w:sz w:val="24"/>
          <w:szCs w:val="24"/>
        </w:rPr>
        <w:t>. Na druhou stranu vláda se může naopak rozhodnout využít značnou část finančních prostředků pro vojenské účely pro případ konečného řešení karabašského konfliktu po roce 2025, kdy skoční mandát ruských mírových sil. V případě, že po tomto roce nedojde k obnově suverenity</w:t>
      </w:r>
      <w:r w:rsidR="00573F60">
        <w:rPr>
          <w:sz w:val="24"/>
          <w:szCs w:val="24"/>
        </w:rPr>
        <w:t xml:space="preserve"> Á</w:t>
      </w:r>
      <w:r w:rsidR="00573F60" w:rsidRPr="000A76F0">
        <w:rPr>
          <w:sz w:val="24"/>
          <w:szCs w:val="24"/>
        </w:rPr>
        <w:t>zerbájdžán</w:t>
      </w:r>
      <w:r w:rsidR="00573F60">
        <w:rPr>
          <w:sz w:val="24"/>
          <w:szCs w:val="24"/>
        </w:rPr>
        <w:t>u</w:t>
      </w:r>
      <w:r w:rsidRPr="000A76F0">
        <w:rPr>
          <w:sz w:val="24"/>
          <w:szCs w:val="24"/>
        </w:rPr>
        <w:t xml:space="preserve"> nad celým Náhorním Karabachem, „karabašský konsens</w:t>
      </w:r>
      <w:r w:rsidR="00573F60">
        <w:rPr>
          <w:sz w:val="24"/>
          <w:szCs w:val="24"/>
        </w:rPr>
        <w:t>us</w:t>
      </w:r>
      <w:r w:rsidRPr="000A76F0">
        <w:rPr>
          <w:sz w:val="24"/>
          <w:szCs w:val="24"/>
        </w:rPr>
        <w:t>“ bude výrazně otřesen.</w:t>
      </w:r>
    </w:p>
    <w:p w14:paraId="5550DCDD" w14:textId="77777777" w:rsidR="000A76F0" w:rsidRPr="000B64F0" w:rsidRDefault="000A76F0" w:rsidP="00DA5BF3">
      <w:pPr>
        <w:spacing w:after="100" w:afterAutospacing="1" w:line="240" w:lineRule="auto"/>
        <w:jc w:val="both"/>
        <w:rPr>
          <w:i/>
          <w:sz w:val="24"/>
          <w:szCs w:val="24"/>
        </w:rPr>
      </w:pPr>
      <w:r w:rsidRPr="000B64F0">
        <w:rPr>
          <w:i/>
          <w:sz w:val="24"/>
          <w:szCs w:val="24"/>
        </w:rPr>
        <w:t>Zahraniční politika: Ankara prolomila status quo</w:t>
      </w:r>
    </w:p>
    <w:p w14:paraId="1A35F0F1" w14:textId="1B72A11B" w:rsidR="000A76F0" w:rsidRPr="000A76F0" w:rsidRDefault="00933DF3" w:rsidP="000875F4">
      <w:pPr>
        <w:spacing w:before="240" w:line="240" w:lineRule="auto"/>
        <w:jc w:val="both"/>
        <w:rPr>
          <w:sz w:val="24"/>
          <w:szCs w:val="24"/>
        </w:rPr>
      </w:pPr>
      <w:r w:rsidRPr="000875F4">
        <w:rPr>
          <w:rFonts w:cstheme="minorHAnsi"/>
          <w:iCs/>
          <w:sz w:val="24"/>
          <w:szCs w:val="24"/>
        </w:rPr>
        <w:t>Ázerbájdžán</w:t>
      </w:r>
      <w:r w:rsidR="00573F60" w:rsidRPr="000A76F0">
        <w:rPr>
          <w:sz w:val="24"/>
          <w:szCs w:val="24"/>
        </w:rPr>
        <w:t xml:space="preserve"> </w:t>
      </w:r>
      <w:r w:rsidR="00573F60">
        <w:rPr>
          <w:sz w:val="24"/>
          <w:szCs w:val="24"/>
        </w:rPr>
        <w:t>se p</w:t>
      </w:r>
      <w:r w:rsidR="000A76F0" w:rsidRPr="000A76F0">
        <w:rPr>
          <w:sz w:val="24"/>
          <w:szCs w:val="24"/>
        </w:rPr>
        <w:t>o dlouhou dobu se snažil mít lepší vztahy s </w:t>
      </w:r>
      <w:r w:rsidR="000A3F0A">
        <w:rPr>
          <w:sz w:val="24"/>
          <w:szCs w:val="24"/>
        </w:rPr>
        <w:t>Ruskem</w:t>
      </w:r>
      <w:r w:rsidR="000A76F0" w:rsidRPr="000A76F0">
        <w:rPr>
          <w:sz w:val="24"/>
          <w:szCs w:val="24"/>
        </w:rPr>
        <w:t>, než má formální spojenec</w:t>
      </w:r>
      <w:r w:rsidR="000875F4">
        <w:rPr>
          <w:sz w:val="24"/>
          <w:szCs w:val="24"/>
        </w:rPr>
        <w:t xml:space="preserve"> Ruska</w:t>
      </w:r>
      <w:r w:rsidR="000A76F0" w:rsidRPr="000A76F0">
        <w:rPr>
          <w:sz w:val="24"/>
          <w:szCs w:val="24"/>
        </w:rPr>
        <w:t xml:space="preserve"> </w:t>
      </w:r>
      <w:r w:rsidR="005A3F38">
        <w:rPr>
          <w:sz w:val="24"/>
          <w:szCs w:val="24"/>
        </w:rPr>
        <w:t>Arménie</w:t>
      </w:r>
      <w:r w:rsidR="000A76F0" w:rsidRPr="000A76F0">
        <w:rPr>
          <w:sz w:val="24"/>
          <w:szCs w:val="24"/>
        </w:rPr>
        <w:t xml:space="preserve">. Cílem </w:t>
      </w:r>
      <w:r w:rsidRPr="000875F4">
        <w:rPr>
          <w:rFonts w:cstheme="minorHAnsi"/>
          <w:iCs/>
          <w:sz w:val="24"/>
          <w:szCs w:val="24"/>
        </w:rPr>
        <w:t>Ázerbájdžánu</w:t>
      </w:r>
      <w:r w:rsidR="000A76F0" w:rsidRPr="000A76F0">
        <w:rPr>
          <w:sz w:val="24"/>
          <w:szCs w:val="24"/>
        </w:rPr>
        <w:t xml:space="preserve"> bylo zajistit, aby v případě války Rusko vojensky nezasáhlo na straně </w:t>
      </w:r>
      <w:r>
        <w:rPr>
          <w:sz w:val="24"/>
          <w:szCs w:val="24"/>
        </w:rPr>
        <w:t>Arménie</w:t>
      </w:r>
      <w:r w:rsidRPr="000A76F0">
        <w:rPr>
          <w:sz w:val="24"/>
          <w:szCs w:val="24"/>
        </w:rPr>
        <w:t xml:space="preserve"> </w:t>
      </w:r>
      <w:r w:rsidR="000A76F0" w:rsidRPr="000A76F0">
        <w:rPr>
          <w:sz w:val="24"/>
          <w:szCs w:val="24"/>
        </w:rPr>
        <w:t xml:space="preserve">a neuznané republiky. Revoluce v Arménii v roce 2018 této politice prospěla, neboť k nové vládě Nikola </w:t>
      </w:r>
      <w:proofErr w:type="spellStart"/>
      <w:r w:rsidR="000A76F0" w:rsidRPr="000A76F0">
        <w:rPr>
          <w:sz w:val="24"/>
          <w:szCs w:val="24"/>
        </w:rPr>
        <w:t>Pašinjnana</w:t>
      </w:r>
      <w:proofErr w:type="spellEnd"/>
      <w:r w:rsidR="000A76F0" w:rsidRPr="000A76F0">
        <w:rPr>
          <w:sz w:val="24"/>
          <w:szCs w:val="24"/>
        </w:rPr>
        <w:t xml:space="preserve"> se </w:t>
      </w:r>
      <w:r w:rsidR="000A3F0A">
        <w:rPr>
          <w:sz w:val="24"/>
          <w:szCs w:val="24"/>
        </w:rPr>
        <w:t>Rusko</w:t>
      </w:r>
      <w:r w:rsidR="000A3F0A" w:rsidRPr="000A76F0">
        <w:rPr>
          <w:sz w:val="24"/>
          <w:szCs w:val="24"/>
        </w:rPr>
        <w:t xml:space="preserve"> </w:t>
      </w:r>
      <w:r w:rsidR="000A76F0" w:rsidRPr="000A76F0">
        <w:rPr>
          <w:sz w:val="24"/>
          <w:szCs w:val="24"/>
        </w:rPr>
        <w:t>stavěl</w:t>
      </w:r>
      <w:r w:rsidR="000A3F0A">
        <w:rPr>
          <w:sz w:val="24"/>
          <w:szCs w:val="24"/>
        </w:rPr>
        <w:t>o</w:t>
      </w:r>
      <w:r w:rsidR="000A76F0" w:rsidRPr="000A76F0">
        <w:rPr>
          <w:sz w:val="24"/>
          <w:szCs w:val="24"/>
        </w:rPr>
        <w:t xml:space="preserve"> s nedůvěrou.</w:t>
      </w:r>
    </w:p>
    <w:p w14:paraId="2268FB2F" w14:textId="4C063945" w:rsidR="000A76F0" w:rsidRPr="000A76F0" w:rsidRDefault="000A76F0" w:rsidP="000A76F0">
      <w:pPr>
        <w:spacing w:before="240" w:line="240" w:lineRule="auto"/>
        <w:ind w:firstLine="708"/>
        <w:jc w:val="both"/>
        <w:rPr>
          <w:sz w:val="24"/>
          <w:szCs w:val="24"/>
        </w:rPr>
      </w:pPr>
      <w:r w:rsidRPr="000A76F0">
        <w:rPr>
          <w:sz w:val="24"/>
          <w:szCs w:val="24"/>
        </w:rPr>
        <w:t xml:space="preserve">Přestože </w:t>
      </w:r>
      <w:r w:rsidR="009B1408">
        <w:rPr>
          <w:sz w:val="24"/>
          <w:szCs w:val="24"/>
        </w:rPr>
        <w:t>byly</w:t>
      </w:r>
      <w:r w:rsidRPr="000A76F0">
        <w:rPr>
          <w:sz w:val="24"/>
          <w:szCs w:val="24"/>
        </w:rPr>
        <w:t xml:space="preserve"> v arménské expertní komunitě</w:t>
      </w:r>
      <w:r w:rsidR="009B1408">
        <w:rPr>
          <w:sz w:val="24"/>
          <w:szCs w:val="24"/>
        </w:rPr>
        <w:t xml:space="preserve"> (</w:t>
      </w:r>
      <w:r w:rsidRPr="000A76F0">
        <w:rPr>
          <w:sz w:val="24"/>
          <w:szCs w:val="24"/>
        </w:rPr>
        <w:t>obzvláště té proevropské</w:t>
      </w:r>
      <w:r w:rsidR="009B1408">
        <w:rPr>
          <w:sz w:val="24"/>
          <w:szCs w:val="24"/>
        </w:rPr>
        <w:t>)</w:t>
      </w:r>
      <w:r w:rsidRPr="000A76F0">
        <w:rPr>
          <w:sz w:val="24"/>
          <w:szCs w:val="24"/>
        </w:rPr>
        <w:t>, a nejspíše i v novém vedení země ob</w:t>
      </w:r>
      <w:r w:rsidR="009B1408">
        <w:rPr>
          <w:sz w:val="24"/>
          <w:szCs w:val="24"/>
        </w:rPr>
        <w:t>avy</w:t>
      </w:r>
      <w:r w:rsidRPr="000A76F0">
        <w:rPr>
          <w:sz w:val="24"/>
          <w:szCs w:val="24"/>
        </w:rPr>
        <w:t>, že Rusko v případě války na arménské straně</w:t>
      </w:r>
      <w:r w:rsidR="009B1408" w:rsidRPr="009B1408">
        <w:rPr>
          <w:sz w:val="24"/>
          <w:szCs w:val="24"/>
        </w:rPr>
        <w:t xml:space="preserve"> </w:t>
      </w:r>
      <w:r w:rsidR="009B1408">
        <w:rPr>
          <w:sz w:val="24"/>
          <w:szCs w:val="24"/>
        </w:rPr>
        <w:t xml:space="preserve">přímo </w:t>
      </w:r>
      <w:r w:rsidR="009B1408" w:rsidRPr="000A76F0">
        <w:rPr>
          <w:sz w:val="24"/>
          <w:szCs w:val="24"/>
        </w:rPr>
        <w:t>nezasáhne</w:t>
      </w:r>
      <w:r w:rsidRPr="000A76F0">
        <w:rPr>
          <w:sz w:val="24"/>
          <w:szCs w:val="24"/>
        </w:rPr>
        <w:t xml:space="preserve">, Jerevan učinil málo či vůbec nic, aby </w:t>
      </w:r>
      <w:r w:rsidR="009B1408">
        <w:rPr>
          <w:sz w:val="24"/>
          <w:szCs w:val="24"/>
        </w:rPr>
        <w:t>tyto obavy byly rozptýleny</w:t>
      </w:r>
      <w:r w:rsidRPr="000A76F0">
        <w:rPr>
          <w:sz w:val="24"/>
          <w:szCs w:val="24"/>
        </w:rPr>
        <w:t xml:space="preserve">. Před poslední válkou rostlo napětí, došlo </w:t>
      </w:r>
      <w:r w:rsidR="000875F4">
        <w:rPr>
          <w:sz w:val="24"/>
          <w:szCs w:val="24"/>
        </w:rPr>
        <w:t>též</w:t>
      </w:r>
      <w:r w:rsidRPr="000A76F0">
        <w:rPr>
          <w:sz w:val="24"/>
          <w:szCs w:val="24"/>
        </w:rPr>
        <w:t xml:space="preserve"> k několika vojenským eskalacím i mimo linii dotyku. </w:t>
      </w:r>
      <w:r w:rsidR="00C23054" w:rsidRPr="000875F4">
        <w:rPr>
          <w:rFonts w:cstheme="minorHAnsi"/>
          <w:iCs/>
          <w:sz w:val="24"/>
          <w:szCs w:val="24"/>
        </w:rPr>
        <w:t>Ázerbájdžán</w:t>
      </w:r>
      <w:r w:rsidRPr="000A76F0">
        <w:rPr>
          <w:sz w:val="24"/>
          <w:szCs w:val="24"/>
        </w:rPr>
        <w:t xml:space="preserve"> se snažil demonstrovat </w:t>
      </w:r>
      <w:r w:rsidR="009B1408">
        <w:rPr>
          <w:sz w:val="24"/>
          <w:szCs w:val="24"/>
        </w:rPr>
        <w:t>M</w:t>
      </w:r>
      <w:r w:rsidRPr="000A76F0">
        <w:rPr>
          <w:sz w:val="24"/>
          <w:szCs w:val="24"/>
        </w:rPr>
        <w:t>inské skupině</w:t>
      </w:r>
      <w:r w:rsidR="007E33B8">
        <w:rPr>
          <w:sz w:val="24"/>
          <w:szCs w:val="24"/>
        </w:rPr>
        <w:t xml:space="preserve"> OBSE</w:t>
      </w:r>
      <w:r w:rsidRPr="000A76F0">
        <w:rPr>
          <w:sz w:val="24"/>
          <w:szCs w:val="24"/>
        </w:rPr>
        <w:t>, že konflikt není zmrazený</w:t>
      </w:r>
      <w:r w:rsidR="00573F60">
        <w:rPr>
          <w:sz w:val="24"/>
          <w:szCs w:val="24"/>
        </w:rPr>
        <w:t>,</w:t>
      </w:r>
      <w:r w:rsidRPr="000A76F0">
        <w:rPr>
          <w:sz w:val="24"/>
          <w:szCs w:val="24"/>
        </w:rPr>
        <w:t xml:space="preserve"> a Jerevanu, že se rovnováha sil změnila ve prospěch Ázerbájdžánu. V červenci 2020</w:t>
      </w:r>
      <w:r w:rsidR="00573F60">
        <w:rPr>
          <w:sz w:val="24"/>
          <w:szCs w:val="24"/>
        </w:rPr>
        <w:t xml:space="preserve"> prezident</w:t>
      </w:r>
      <w:r w:rsidRPr="000A76F0">
        <w:rPr>
          <w:sz w:val="24"/>
          <w:szCs w:val="24"/>
        </w:rPr>
        <w:t xml:space="preserve"> </w:t>
      </w:r>
      <w:proofErr w:type="spellStart"/>
      <w:r w:rsidRPr="000A76F0">
        <w:rPr>
          <w:sz w:val="24"/>
          <w:szCs w:val="24"/>
        </w:rPr>
        <w:t>Alijev</w:t>
      </w:r>
      <w:proofErr w:type="spellEnd"/>
      <w:r w:rsidRPr="000A76F0">
        <w:rPr>
          <w:sz w:val="24"/>
          <w:szCs w:val="24"/>
        </w:rPr>
        <w:t xml:space="preserve"> nezvykle tvrdě obvinil mezinárodní prostředníky z nedostatku aktivity. Na tomto pozadí začalo </w:t>
      </w:r>
      <w:r w:rsidR="00C23054" w:rsidRPr="000875F4">
        <w:rPr>
          <w:rFonts w:cstheme="minorHAnsi"/>
          <w:iCs/>
          <w:sz w:val="24"/>
          <w:szCs w:val="24"/>
        </w:rPr>
        <w:t>Ázerbájdžán</w:t>
      </w:r>
      <w:r w:rsidRPr="000A76F0">
        <w:rPr>
          <w:sz w:val="24"/>
          <w:szCs w:val="24"/>
        </w:rPr>
        <w:t xml:space="preserve"> v teritoriálním sporu</w:t>
      </w:r>
      <w:r w:rsidR="009D5143">
        <w:rPr>
          <w:sz w:val="24"/>
          <w:szCs w:val="24"/>
        </w:rPr>
        <w:t xml:space="preserve"> </w:t>
      </w:r>
      <w:r w:rsidR="009D5143" w:rsidRPr="000A76F0">
        <w:rPr>
          <w:sz w:val="24"/>
          <w:szCs w:val="24"/>
        </w:rPr>
        <w:t>aktivně podpor</w:t>
      </w:r>
      <w:r w:rsidR="009D5143">
        <w:rPr>
          <w:sz w:val="24"/>
          <w:szCs w:val="24"/>
        </w:rPr>
        <w:t>ovat</w:t>
      </w:r>
      <w:r w:rsidR="00573F60">
        <w:rPr>
          <w:sz w:val="24"/>
          <w:szCs w:val="24"/>
        </w:rPr>
        <w:t xml:space="preserve"> </w:t>
      </w:r>
      <w:r w:rsidR="00573F60" w:rsidRPr="000A76F0">
        <w:rPr>
          <w:sz w:val="24"/>
          <w:szCs w:val="24"/>
        </w:rPr>
        <w:t>Turecko</w:t>
      </w:r>
      <w:r w:rsidRPr="000A76F0">
        <w:rPr>
          <w:sz w:val="24"/>
          <w:szCs w:val="24"/>
        </w:rPr>
        <w:t xml:space="preserve">. Tvrdý postoj Turecka dodal ázerbájdžánskému vedení odvahu </w:t>
      </w:r>
      <w:r w:rsidR="009D5143">
        <w:rPr>
          <w:sz w:val="24"/>
          <w:szCs w:val="24"/>
        </w:rPr>
        <w:t>k</w:t>
      </w:r>
      <w:r w:rsidRPr="000A76F0">
        <w:rPr>
          <w:sz w:val="24"/>
          <w:szCs w:val="24"/>
        </w:rPr>
        <w:t xml:space="preserve"> tvrd</w:t>
      </w:r>
      <w:r w:rsidR="009D5143">
        <w:rPr>
          <w:sz w:val="24"/>
          <w:szCs w:val="24"/>
        </w:rPr>
        <w:t>é</w:t>
      </w:r>
      <w:r w:rsidRPr="000A76F0">
        <w:rPr>
          <w:sz w:val="24"/>
          <w:szCs w:val="24"/>
        </w:rPr>
        <w:t xml:space="preserve"> kriti</w:t>
      </w:r>
      <w:r w:rsidR="009D5143">
        <w:rPr>
          <w:sz w:val="24"/>
          <w:szCs w:val="24"/>
        </w:rPr>
        <w:t>ce</w:t>
      </w:r>
      <w:r w:rsidRPr="000A76F0">
        <w:rPr>
          <w:sz w:val="24"/>
          <w:szCs w:val="24"/>
        </w:rPr>
        <w:t xml:space="preserve"> </w:t>
      </w:r>
      <w:r w:rsidR="000A3F0A">
        <w:rPr>
          <w:sz w:val="24"/>
          <w:szCs w:val="24"/>
        </w:rPr>
        <w:t>Ruska</w:t>
      </w:r>
      <w:r w:rsidR="000A3F0A" w:rsidRPr="000A76F0">
        <w:rPr>
          <w:sz w:val="24"/>
          <w:szCs w:val="24"/>
        </w:rPr>
        <w:t xml:space="preserve"> </w:t>
      </w:r>
      <w:r w:rsidRPr="000A76F0">
        <w:rPr>
          <w:sz w:val="24"/>
          <w:szCs w:val="24"/>
        </w:rPr>
        <w:t>za vojenské dodávky Arménii během krátkých bojů mezi arménskými a ázerbájdžánskými silami v</w:t>
      </w:r>
      <w:r w:rsidR="009D5143">
        <w:rPr>
          <w:sz w:val="24"/>
          <w:szCs w:val="24"/>
        </w:rPr>
        <w:t> </w:t>
      </w:r>
      <w:r w:rsidRPr="000A76F0">
        <w:rPr>
          <w:sz w:val="24"/>
          <w:szCs w:val="24"/>
        </w:rPr>
        <w:t>červenci</w:t>
      </w:r>
      <w:r w:rsidR="009D5143">
        <w:rPr>
          <w:sz w:val="24"/>
          <w:szCs w:val="24"/>
        </w:rPr>
        <w:t xml:space="preserve"> 2020</w:t>
      </w:r>
      <w:r w:rsidRPr="000A76F0">
        <w:rPr>
          <w:sz w:val="24"/>
          <w:szCs w:val="24"/>
        </w:rPr>
        <w:t xml:space="preserve">. V Ázerbájdžánu nejspíše očekávali, že kritika Ruska a sbližování s Ankarou přiměje </w:t>
      </w:r>
      <w:r w:rsidR="000A3F0A">
        <w:rPr>
          <w:sz w:val="24"/>
          <w:szCs w:val="24"/>
        </w:rPr>
        <w:t>Rusko</w:t>
      </w:r>
      <w:r w:rsidRPr="000A76F0">
        <w:rPr>
          <w:sz w:val="24"/>
          <w:szCs w:val="24"/>
        </w:rPr>
        <w:t xml:space="preserve"> k ústupkům. </w:t>
      </w:r>
    </w:p>
    <w:p w14:paraId="2DCD42E6" w14:textId="2E1E414A" w:rsidR="000A76F0" w:rsidRPr="000A76F0" w:rsidRDefault="000A76F0" w:rsidP="000875F4">
      <w:pPr>
        <w:spacing w:before="240" w:line="240" w:lineRule="auto"/>
        <w:ind w:firstLine="708"/>
        <w:jc w:val="both"/>
        <w:rPr>
          <w:sz w:val="24"/>
          <w:szCs w:val="24"/>
        </w:rPr>
      </w:pPr>
      <w:r w:rsidRPr="000A76F0">
        <w:rPr>
          <w:sz w:val="24"/>
          <w:szCs w:val="24"/>
        </w:rPr>
        <w:t>Pokud před nedávnou dobou logika vyjednávání spočívala ve formulaci „území výměnou za status“ (myšleno 5+2 okres</w:t>
      </w:r>
      <w:r w:rsidR="00D1231F">
        <w:rPr>
          <w:sz w:val="24"/>
          <w:szCs w:val="24"/>
        </w:rPr>
        <w:t>y</w:t>
      </w:r>
      <w:r w:rsidRPr="000A76F0">
        <w:rPr>
          <w:sz w:val="24"/>
          <w:szCs w:val="24"/>
        </w:rPr>
        <w:t xml:space="preserve">), </w:t>
      </w:r>
      <w:r w:rsidR="00C23054" w:rsidRPr="000875F4">
        <w:rPr>
          <w:rFonts w:cstheme="minorHAnsi"/>
          <w:iCs/>
          <w:sz w:val="24"/>
          <w:szCs w:val="24"/>
        </w:rPr>
        <w:t>Ázerbájdžán</w:t>
      </w:r>
      <w:r w:rsidRPr="000A76F0">
        <w:rPr>
          <w:sz w:val="24"/>
          <w:szCs w:val="24"/>
        </w:rPr>
        <w:t xml:space="preserve"> v posledních letech </w:t>
      </w:r>
      <w:r w:rsidR="00573F60">
        <w:rPr>
          <w:sz w:val="24"/>
          <w:szCs w:val="24"/>
        </w:rPr>
        <w:t>usiloval o</w:t>
      </w:r>
      <w:r w:rsidRPr="000A76F0">
        <w:rPr>
          <w:sz w:val="24"/>
          <w:szCs w:val="24"/>
        </w:rPr>
        <w:t xml:space="preserve"> změn</w:t>
      </w:r>
      <w:r w:rsidR="00573F60">
        <w:rPr>
          <w:sz w:val="24"/>
          <w:szCs w:val="24"/>
        </w:rPr>
        <w:t>u</w:t>
      </w:r>
      <w:r w:rsidRPr="000A76F0">
        <w:rPr>
          <w:sz w:val="24"/>
          <w:szCs w:val="24"/>
        </w:rPr>
        <w:t xml:space="preserve"> formát</w:t>
      </w:r>
      <w:r w:rsidR="00573F60">
        <w:rPr>
          <w:sz w:val="24"/>
          <w:szCs w:val="24"/>
        </w:rPr>
        <w:t>u</w:t>
      </w:r>
      <w:r w:rsidRPr="000A76F0">
        <w:rPr>
          <w:sz w:val="24"/>
          <w:szCs w:val="24"/>
        </w:rPr>
        <w:t xml:space="preserve"> na logiku „území výměnou za mír“. Jinými slovy se </w:t>
      </w:r>
      <w:r w:rsidR="00823704" w:rsidRPr="000875F4">
        <w:rPr>
          <w:rFonts w:cstheme="minorHAnsi"/>
          <w:iCs/>
          <w:sz w:val="24"/>
          <w:szCs w:val="24"/>
        </w:rPr>
        <w:t>Ázerbájdžán</w:t>
      </w:r>
      <w:r w:rsidRPr="000A76F0">
        <w:rPr>
          <w:sz w:val="24"/>
          <w:szCs w:val="24"/>
        </w:rPr>
        <w:t xml:space="preserve"> snažil demonstrovat umírněnost již jako samotný ústupek, aniž by </w:t>
      </w:r>
      <w:r w:rsidR="009530A4">
        <w:rPr>
          <w:sz w:val="24"/>
          <w:szCs w:val="24"/>
        </w:rPr>
        <w:t xml:space="preserve">ovšem </w:t>
      </w:r>
      <w:r w:rsidR="009D5143">
        <w:rPr>
          <w:sz w:val="24"/>
          <w:szCs w:val="24"/>
        </w:rPr>
        <w:t xml:space="preserve">připouštělo </w:t>
      </w:r>
      <w:r w:rsidRPr="000A76F0">
        <w:rPr>
          <w:sz w:val="24"/>
          <w:szCs w:val="24"/>
        </w:rPr>
        <w:t>ústupky ohledně statusu Náhorního Karabachu. S postrevolučním vedením Arménie nový přístup výsledky</w:t>
      </w:r>
      <w:r w:rsidR="009D5143">
        <w:rPr>
          <w:sz w:val="24"/>
          <w:szCs w:val="24"/>
        </w:rPr>
        <w:t xml:space="preserve"> </w:t>
      </w:r>
      <w:r w:rsidR="009D5143" w:rsidRPr="000A76F0">
        <w:rPr>
          <w:sz w:val="24"/>
          <w:szCs w:val="24"/>
        </w:rPr>
        <w:t>nepřinesl</w:t>
      </w:r>
      <w:r w:rsidR="009D5143">
        <w:rPr>
          <w:sz w:val="24"/>
          <w:szCs w:val="24"/>
        </w:rPr>
        <w:t>.</w:t>
      </w:r>
      <w:r w:rsidRPr="000A76F0">
        <w:rPr>
          <w:sz w:val="24"/>
          <w:szCs w:val="24"/>
        </w:rPr>
        <w:t xml:space="preserve"> </w:t>
      </w:r>
      <w:r w:rsidR="009D5143">
        <w:rPr>
          <w:sz w:val="24"/>
          <w:szCs w:val="24"/>
        </w:rPr>
        <w:t>V</w:t>
      </w:r>
      <w:r w:rsidRPr="000A76F0">
        <w:rPr>
          <w:sz w:val="24"/>
          <w:szCs w:val="24"/>
        </w:rPr>
        <w:t>ojenské řešení konfliktu se stalo logickým vyvrcholením této politiky.</w:t>
      </w:r>
      <w:r w:rsidR="007E0159">
        <w:rPr>
          <w:sz w:val="24"/>
          <w:szCs w:val="24"/>
        </w:rPr>
        <w:t xml:space="preserve"> </w:t>
      </w:r>
      <w:r w:rsidRPr="000A76F0">
        <w:rPr>
          <w:sz w:val="24"/>
          <w:szCs w:val="24"/>
        </w:rPr>
        <w:t xml:space="preserve">Těsná aliance s Tureckem prokázala, že pouze s Ankarou je Baku schopno prosazovat své národní zájmy. Vzhledem k tomu, že podle společného prohlášení z 10. listopadu, které ukončilo konflikt, </w:t>
      </w:r>
      <w:r w:rsidR="009D5143" w:rsidRPr="000A76F0">
        <w:rPr>
          <w:sz w:val="24"/>
          <w:szCs w:val="24"/>
        </w:rPr>
        <w:t xml:space="preserve">je </w:t>
      </w:r>
      <w:r w:rsidRPr="000A76F0">
        <w:rPr>
          <w:sz w:val="24"/>
          <w:szCs w:val="24"/>
        </w:rPr>
        <w:t xml:space="preserve">přítomnost ruských mírových sil omezena na pět let s možností prodloužení, </w:t>
      </w:r>
      <w:r w:rsidR="00823704" w:rsidRPr="000875F4">
        <w:rPr>
          <w:rFonts w:cstheme="minorHAnsi"/>
          <w:iCs/>
          <w:sz w:val="24"/>
          <w:szCs w:val="24"/>
        </w:rPr>
        <w:t>Ázerbájdžán</w:t>
      </w:r>
      <w:r w:rsidRPr="000A76F0">
        <w:rPr>
          <w:sz w:val="24"/>
          <w:szCs w:val="24"/>
        </w:rPr>
        <w:t xml:space="preserve"> nejspíše nadále upevní alianci s </w:t>
      </w:r>
      <w:r w:rsidR="00823704">
        <w:rPr>
          <w:sz w:val="24"/>
          <w:szCs w:val="24"/>
        </w:rPr>
        <w:t>Tureckem</w:t>
      </w:r>
      <w:r w:rsidR="00823704" w:rsidRPr="000A76F0">
        <w:rPr>
          <w:sz w:val="24"/>
          <w:szCs w:val="24"/>
        </w:rPr>
        <w:t xml:space="preserve"> </w:t>
      </w:r>
      <w:r w:rsidRPr="000A76F0">
        <w:rPr>
          <w:sz w:val="24"/>
          <w:szCs w:val="24"/>
        </w:rPr>
        <w:t xml:space="preserve">s perspektivou konečného vojenského řešení karabašského konfliktu. Tato závislost na </w:t>
      </w:r>
      <w:r w:rsidR="001B1FB4">
        <w:rPr>
          <w:sz w:val="24"/>
          <w:szCs w:val="24"/>
        </w:rPr>
        <w:t>Turecku</w:t>
      </w:r>
      <w:r w:rsidR="001B1FB4" w:rsidRPr="000A76F0">
        <w:rPr>
          <w:sz w:val="24"/>
          <w:szCs w:val="24"/>
        </w:rPr>
        <w:t xml:space="preserve"> </w:t>
      </w:r>
      <w:r w:rsidRPr="000A76F0">
        <w:rPr>
          <w:sz w:val="24"/>
          <w:szCs w:val="24"/>
        </w:rPr>
        <w:t xml:space="preserve">bude růst obzvláště v případě klesajících příjmů z prodeje ropy. Turecko spolu s Velkou Británií patří mezi největší zdroje přímých zahraničních investic Ázerbájdžánu (Baku </w:t>
      </w:r>
      <w:proofErr w:type="spellStart"/>
      <w:r w:rsidRPr="000A76F0">
        <w:rPr>
          <w:sz w:val="24"/>
          <w:szCs w:val="24"/>
        </w:rPr>
        <w:t>Research</w:t>
      </w:r>
      <w:proofErr w:type="spellEnd"/>
      <w:r w:rsidRPr="000A76F0">
        <w:rPr>
          <w:sz w:val="24"/>
          <w:szCs w:val="24"/>
        </w:rPr>
        <w:t xml:space="preserve"> Institute 2020) a po Itálii je největším trhem pro ázerbájdžánské zboží (v první řadě ropu a plyn). Turecko je i po Rusku druhým největším </w:t>
      </w:r>
      <w:r w:rsidRPr="000A76F0">
        <w:rPr>
          <w:sz w:val="24"/>
          <w:szCs w:val="24"/>
        </w:rPr>
        <w:lastRenderedPageBreak/>
        <w:t>import</w:t>
      </w:r>
      <w:r w:rsidR="00C23340">
        <w:rPr>
          <w:sz w:val="24"/>
          <w:szCs w:val="24"/>
        </w:rPr>
        <w:t>ním partnerem</w:t>
      </w:r>
      <w:r w:rsidRPr="000A76F0">
        <w:rPr>
          <w:sz w:val="24"/>
          <w:szCs w:val="24"/>
        </w:rPr>
        <w:t xml:space="preserve"> (OEC 2020). Turecká podpora </w:t>
      </w:r>
      <w:r w:rsidR="00C23054" w:rsidRPr="000875F4">
        <w:rPr>
          <w:rFonts w:cstheme="minorHAnsi"/>
          <w:iCs/>
          <w:sz w:val="24"/>
          <w:szCs w:val="24"/>
        </w:rPr>
        <w:t>Ázerbájdžánu</w:t>
      </w:r>
      <w:r w:rsidRPr="000A76F0">
        <w:rPr>
          <w:sz w:val="24"/>
          <w:szCs w:val="24"/>
        </w:rPr>
        <w:t xml:space="preserve"> v konfliktu o Náhorní Karabach může proto Ankaře</w:t>
      </w:r>
      <w:r w:rsidR="009D5143">
        <w:rPr>
          <w:sz w:val="24"/>
          <w:szCs w:val="24"/>
        </w:rPr>
        <w:t xml:space="preserve"> </w:t>
      </w:r>
      <w:r w:rsidR="009D5143" w:rsidRPr="000A76F0">
        <w:rPr>
          <w:sz w:val="24"/>
          <w:szCs w:val="24"/>
        </w:rPr>
        <w:t>zajistit</w:t>
      </w:r>
      <w:r w:rsidRPr="000A76F0">
        <w:rPr>
          <w:sz w:val="24"/>
          <w:szCs w:val="24"/>
        </w:rPr>
        <w:t xml:space="preserve"> privilegovaný přístup k ázerbájdžánským energetickým zdrojům, v první řadě zemní</w:t>
      </w:r>
      <w:r w:rsidR="009D5143">
        <w:rPr>
          <w:sz w:val="24"/>
          <w:szCs w:val="24"/>
        </w:rPr>
        <w:t>mu</w:t>
      </w:r>
      <w:r w:rsidRPr="000A76F0">
        <w:rPr>
          <w:sz w:val="24"/>
          <w:szCs w:val="24"/>
        </w:rPr>
        <w:t xml:space="preserve"> plynu z nových nalezišť.</w:t>
      </w:r>
    </w:p>
    <w:p w14:paraId="368C48EC" w14:textId="61EFDE00" w:rsidR="000A76F0" w:rsidRPr="000875F4" w:rsidRDefault="000A76F0" w:rsidP="000A76F0">
      <w:pPr>
        <w:spacing w:before="240" w:line="240" w:lineRule="auto"/>
        <w:jc w:val="both"/>
        <w:rPr>
          <w:sz w:val="24"/>
          <w:szCs w:val="24"/>
        </w:rPr>
      </w:pPr>
      <w:r w:rsidRPr="000A76F0">
        <w:rPr>
          <w:sz w:val="24"/>
          <w:szCs w:val="24"/>
        </w:rPr>
        <w:tab/>
        <w:t xml:space="preserve">Naopak v důsledku konfliktu znatelně </w:t>
      </w:r>
      <w:r w:rsidR="00933DF3">
        <w:rPr>
          <w:sz w:val="24"/>
          <w:szCs w:val="24"/>
        </w:rPr>
        <w:t>po</w:t>
      </w:r>
      <w:r w:rsidRPr="000A76F0">
        <w:rPr>
          <w:sz w:val="24"/>
          <w:szCs w:val="24"/>
        </w:rPr>
        <w:t>klesla role západních zemí v Ázerbájdžánu a opět se zostřily problémy v rámci NATO, zejména mezi Francií a Tureckem. V budoucnu lze očekávat, že vliv Turecka v</w:t>
      </w:r>
      <w:r w:rsidR="009D5143">
        <w:rPr>
          <w:sz w:val="24"/>
          <w:szCs w:val="24"/>
        </w:rPr>
        <w:t> </w:t>
      </w:r>
      <w:r w:rsidRPr="000A76F0">
        <w:rPr>
          <w:sz w:val="24"/>
          <w:szCs w:val="24"/>
        </w:rPr>
        <w:t>Ázerbájdžánu</w:t>
      </w:r>
      <w:r w:rsidR="009D5143">
        <w:rPr>
          <w:sz w:val="24"/>
          <w:szCs w:val="24"/>
        </w:rPr>
        <w:t xml:space="preserve"> se</w:t>
      </w:r>
      <w:r w:rsidRPr="000A76F0">
        <w:rPr>
          <w:sz w:val="24"/>
          <w:szCs w:val="24"/>
        </w:rPr>
        <w:t xml:space="preserve"> bude snažit </w:t>
      </w:r>
      <w:r w:rsidR="009D5143">
        <w:rPr>
          <w:sz w:val="24"/>
          <w:szCs w:val="24"/>
        </w:rPr>
        <w:t>omezit</w:t>
      </w:r>
      <w:r w:rsidRPr="000A76F0">
        <w:rPr>
          <w:sz w:val="24"/>
          <w:szCs w:val="24"/>
        </w:rPr>
        <w:t xml:space="preserve"> Rusko</w:t>
      </w:r>
      <w:r w:rsidR="009D5143">
        <w:rPr>
          <w:sz w:val="24"/>
          <w:szCs w:val="24"/>
        </w:rPr>
        <w:t>. Rusko</w:t>
      </w:r>
      <w:r w:rsidRPr="000A76F0">
        <w:rPr>
          <w:sz w:val="24"/>
          <w:szCs w:val="24"/>
        </w:rPr>
        <w:t xml:space="preserve"> svým zásahem</w:t>
      </w:r>
      <w:r w:rsidR="009D5143">
        <w:rPr>
          <w:sz w:val="24"/>
          <w:szCs w:val="24"/>
        </w:rPr>
        <w:t>,</w:t>
      </w:r>
      <w:r w:rsidRPr="000A76F0">
        <w:rPr>
          <w:sz w:val="24"/>
          <w:szCs w:val="24"/>
        </w:rPr>
        <w:t xml:space="preserve"> po počátečním vyčkávání</w:t>
      </w:r>
      <w:r w:rsidR="009D5143">
        <w:rPr>
          <w:sz w:val="24"/>
          <w:szCs w:val="24"/>
        </w:rPr>
        <w:t>,</w:t>
      </w:r>
      <w:r w:rsidRPr="000A76F0">
        <w:rPr>
          <w:sz w:val="24"/>
          <w:szCs w:val="24"/>
        </w:rPr>
        <w:t xml:space="preserve"> ukončilo ozbrojený konflikt, snížilo vliv Západu a přebralo Turecku iniciativu, tím že ho odsunulo od řešení konfliktu. </w:t>
      </w:r>
      <w:r w:rsidR="009D5143" w:rsidRPr="000875F4">
        <w:rPr>
          <w:sz w:val="24"/>
          <w:szCs w:val="24"/>
        </w:rPr>
        <w:t>Jerevan bude vynucovat p</w:t>
      </w:r>
      <w:r w:rsidRPr="000875F4">
        <w:rPr>
          <w:sz w:val="24"/>
          <w:szCs w:val="24"/>
        </w:rPr>
        <w:t>řítomnost ruských mírových sil</w:t>
      </w:r>
      <w:r w:rsidR="009D5143" w:rsidRPr="000875F4">
        <w:rPr>
          <w:sz w:val="24"/>
          <w:szCs w:val="24"/>
        </w:rPr>
        <w:t xml:space="preserve">. Stejně tak </w:t>
      </w:r>
      <w:r w:rsidR="00C23054" w:rsidRPr="000875F4">
        <w:rPr>
          <w:rFonts w:cstheme="minorHAnsi"/>
          <w:iCs/>
          <w:sz w:val="24"/>
          <w:szCs w:val="24"/>
        </w:rPr>
        <w:t>Ázerbájdžán</w:t>
      </w:r>
      <w:r w:rsidRPr="000875F4">
        <w:rPr>
          <w:sz w:val="24"/>
          <w:szCs w:val="24"/>
        </w:rPr>
        <w:t xml:space="preserve"> bude hledat v</w:t>
      </w:r>
      <w:r w:rsidR="009D5143" w:rsidRPr="000875F4">
        <w:rPr>
          <w:sz w:val="24"/>
          <w:szCs w:val="24"/>
        </w:rPr>
        <w:t> </w:t>
      </w:r>
      <w:r w:rsidR="000A3F0A" w:rsidRPr="000875F4">
        <w:rPr>
          <w:sz w:val="24"/>
          <w:szCs w:val="24"/>
        </w:rPr>
        <w:t xml:space="preserve">Rusku </w:t>
      </w:r>
      <w:r w:rsidR="009D5143" w:rsidRPr="000875F4">
        <w:rPr>
          <w:sz w:val="24"/>
          <w:szCs w:val="24"/>
        </w:rPr>
        <w:t>podporu</w:t>
      </w:r>
      <w:r w:rsidRPr="000875F4">
        <w:rPr>
          <w:sz w:val="24"/>
          <w:szCs w:val="24"/>
        </w:rPr>
        <w:t>. K</w:t>
      </w:r>
      <w:r w:rsidR="006E56BF" w:rsidRPr="000875F4">
        <w:rPr>
          <w:sz w:val="24"/>
          <w:szCs w:val="24"/>
        </w:rPr>
        <w:t xml:space="preserve"> blížícímu se </w:t>
      </w:r>
      <w:r w:rsidRPr="000875F4">
        <w:rPr>
          <w:sz w:val="24"/>
          <w:szCs w:val="24"/>
        </w:rPr>
        <w:t xml:space="preserve">roku 2025 ale znatelně poroste hrozba eskalace. </w:t>
      </w:r>
    </w:p>
    <w:p w14:paraId="3ED657A2" w14:textId="0697CC1E" w:rsidR="000A76F0" w:rsidRPr="000A76F0" w:rsidRDefault="000A76F0" w:rsidP="000A76F0">
      <w:pPr>
        <w:spacing w:before="240" w:line="240" w:lineRule="auto"/>
        <w:ind w:firstLine="708"/>
        <w:jc w:val="both"/>
        <w:rPr>
          <w:sz w:val="24"/>
          <w:szCs w:val="24"/>
        </w:rPr>
      </w:pPr>
      <w:r w:rsidRPr="000875F4">
        <w:rPr>
          <w:sz w:val="24"/>
          <w:szCs w:val="24"/>
        </w:rPr>
        <w:t>Další problém představuje</w:t>
      </w:r>
      <w:r w:rsidR="009D5143" w:rsidRPr="000875F4">
        <w:rPr>
          <w:sz w:val="24"/>
          <w:szCs w:val="24"/>
        </w:rPr>
        <w:t xml:space="preserve"> v převážně šíitském Ázerbájdžánu</w:t>
      </w:r>
      <w:r w:rsidRPr="000875F4">
        <w:rPr>
          <w:sz w:val="24"/>
          <w:szCs w:val="24"/>
        </w:rPr>
        <w:t xml:space="preserve"> i přítomnost ozbrojenců a </w:t>
      </w:r>
      <w:proofErr w:type="spellStart"/>
      <w:r w:rsidRPr="000875F4">
        <w:rPr>
          <w:sz w:val="24"/>
          <w:szCs w:val="24"/>
        </w:rPr>
        <w:t>džihádistů</w:t>
      </w:r>
      <w:proofErr w:type="spellEnd"/>
      <w:r w:rsidRPr="000875F4">
        <w:rPr>
          <w:sz w:val="24"/>
          <w:szCs w:val="24"/>
        </w:rPr>
        <w:t xml:space="preserve"> ze Sýrie, </w:t>
      </w:r>
      <w:r w:rsidR="001C1649" w:rsidRPr="000875F4">
        <w:rPr>
          <w:sz w:val="24"/>
          <w:szCs w:val="24"/>
        </w:rPr>
        <w:t xml:space="preserve">která byla </w:t>
      </w:r>
      <w:r w:rsidR="00D76C13" w:rsidRPr="000875F4">
        <w:rPr>
          <w:sz w:val="24"/>
          <w:szCs w:val="24"/>
        </w:rPr>
        <w:t xml:space="preserve">logisticky </w:t>
      </w:r>
      <w:r w:rsidR="001C1649" w:rsidRPr="000875F4">
        <w:rPr>
          <w:sz w:val="24"/>
          <w:szCs w:val="24"/>
        </w:rPr>
        <w:t xml:space="preserve">v roce 2020 </w:t>
      </w:r>
      <w:r w:rsidR="00A05669" w:rsidRPr="000875F4">
        <w:rPr>
          <w:sz w:val="24"/>
          <w:szCs w:val="24"/>
        </w:rPr>
        <w:t>zajištěn</w:t>
      </w:r>
      <w:r w:rsidR="00A05669">
        <w:rPr>
          <w:sz w:val="24"/>
          <w:szCs w:val="24"/>
        </w:rPr>
        <w:t>a</w:t>
      </w:r>
      <w:r w:rsidR="00A05669" w:rsidRPr="000875F4">
        <w:rPr>
          <w:sz w:val="24"/>
          <w:szCs w:val="24"/>
        </w:rPr>
        <w:t xml:space="preserve"> </w:t>
      </w:r>
      <w:r w:rsidRPr="000875F4">
        <w:rPr>
          <w:sz w:val="24"/>
          <w:szCs w:val="24"/>
        </w:rPr>
        <w:t>Tureck</w:t>
      </w:r>
      <w:r w:rsidR="00D76C13" w:rsidRPr="000875F4">
        <w:rPr>
          <w:sz w:val="24"/>
          <w:szCs w:val="24"/>
        </w:rPr>
        <w:t>em</w:t>
      </w:r>
      <w:r w:rsidRPr="000875F4">
        <w:rPr>
          <w:sz w:val="24"/>
          <w:szCs w:val="24"/>
        </w:rPr>
        <w:t xml:space="preserve"> pro účast v bojových operacích</w:t>
      </w:r>
      <w:r w:rsidR="001C1649" w:rsidRPr="000875F4">
        <w:rPr>
          <w:sz w:val="24"/>
          <w:szCs w:val="24"/>
        </w:rPr>
        <w:t xml:space="preserve"> při válce v Náhorním Karabachu</w:t>
      </w:r>
      <w:r w:rsidRPr="000875F4">
        <w:rPr>
          <w:sz w:val="24"/>
          <w:szCs w:val="24"/>
        </w:rPr>
        <w:t>. Roste hrozba teroristických útoků jak na jižním, tak i na severním Kavkaze.</w:t>
      </w:r>
    </w:p>
    <w:p w14:paraId="0EF9B451" w14:textId="77777777" w:rsidR="00D37FF8" w:rsidRDefault="00D37FF8" w:rsidP="00D37FF8">
      <w:pPr>
        <w:spacing w:after="120" w:line="240" w:lineRule="auto"/>
        <w:jc w:val="both"/>
        <w:rPr>
          <w:rFonts w:ascii="Cambria" w:hAnsi="Cambria" w:cstheme="minorHAnsi"/>
          <w:b/>
          <w:bCs/>
          <w:sz w:val="24"/>
          <w:szCs w:val="24"/>
        </w:rPr>
      </w:pPr>
    </w:p>
    <w:p w14:paraId="4FDF53F0" w14:textId="77777777" w:rsidR="00D37FF8" w:rsidRDefault="00D37FF8">
      <w:pPr>
        <w:rPr>
          <w:rFonts w:ascii="Cambria" w:hAnsi="Cambria" w:cstheme="minorHAnsi"/>
          <w:b/>
          <w:bCs/>
          <w:sz w:val="24"/>
          <w:szCs w:val="24"/>
        </w:rPr>
      </w:pPr>
      <w:r>
        <w:rPr>
          <w:rFonts w:ascii="Cambria" w:hAnsi="Cambria" w:cstheme="minorHAnsi"/>
          <w:b/>
          <w:bCs/>
          <w:sz w:val="24"/>
          <w:szCs w:val="24"/>
        </w:rPr>
        <w:br w:type="page"/>
      </w:r>
    </w:p>
    <w:p w14:paraId="1C87471E" w14:textId="7A5676C6" w:rsidR="00D37FF8" w:rsidRDefault="00D37FF8" w:rsidP="00DA5BF3">
      <w:pPr>
        <w:pStyle w:val="Odstavecseseznamem"/>
        <w:numPr>
          <w:ilvl w:val="0"/>
          <w:numId w:val="10"/>
        </w:numPr>
        <w:autoSpaceDE w:val="0"/>
        <w:autoSpaceDN w:val="0"/>
        <w:adjustRightInd w:val="0"/>
        <w:spacing w:after="100" w:afterAutospacing="1" w:line="240" w:lineRule="auto"/>
        <w:ind w:left="0" w:firstLine="0"/>
        <w:jc w:val="both"/>
        <w:rPr>
          <w:rStyle w:val="Nadpis2Char"/>
        </w:rPr>
      </w:pPr>
      <w:bookmarkStart w:id="51" w:name="_Toc61259192"/>
      <w:bookmarkStart w:id="52" w:name="_Toc61261170"/>
      <w:bookmarkStart w:id="53" w:name="_Toc61261292"/>
      <w:bookmarkStart w:id="54" w:name="_Toc61262042"/>
      <w:bookmarkStart w:id="55" w:name="_Toc61262166"/>
      <w:r w:rsidRPr="00103A2E">
        <w:rPr>
          <w:rStyle w:val="Nadpis2Char"/>
        </w:rPr>
        <w:lastRenderedPageBreak/>
        <w:t>Dopady a příležitosti pro ČR</w:t>
      </w:r>
      <w:bookmarkEnd w:id="51"/>
      <w:bookmarkEnd w:id="52"/>
      <w:bookmarkEnd w:id="53"/>
      <w:bookmarkEnd w:id="54"/>
      <w:bookmarkEnd w:id="55"/>
    </w:p>
    <w:p w14:paraId="0CC00C83" w14:textId="56E198D6" w:rsidR="00D37FF8" w:rsidRDefault="00D37FF8" w:rsidP="00AA07AF">
      <w:pPr>
        <w:spacing w:after="100" w:afterAutospacing="1" w:line="240" w:lineRule="auto"/>
        <w:jc w:val="both"/>
        <w:rPr>
          <w:rFonts w:ascii="Cambria" w:hAnsi="Cambria" w:cstheme="minorHAnsi"/>
          <w:sz w:val="24"/>
          <w:szCs w:val="24"/>
        </w:rPr>
      </w:pPr>
      <w:r w:rsidRPr="00EF2749">
        <w:rPr>
          <w:rFonts w:ascii="Cambria" w:hAnsi="Cambria" w:cstheme="minorHAnsi"/>
          <w:sz w:val="24"/>
          <w:szCs w:val="24"/>
        </w:rPr>
        <w:t xml:space="preserve">Zatímco nízké ceny ropy </w:t>
      </w:r>
      <w:r w:rsidRPr="000875F4">
        <w:rPr>
          <w:rFonts w:ascii="Cambria" w:hAnsi="Cambria" w:cstheme="minorHAnsi"/>
          <w:sz w:val="24"/>
          <w:szCs w:val="24"/>
        </w:rPr>
        <w:t>obecně vytvářejí tlak na rozpočty exportních zemí, importní</w:t>
      </w:r>
      <w:r w:rsidR="00940953" w:rsidRPr="000875F4">
        <w:rPr>
          <w:rFonts w:ascii="Cambria" w:hAnsi="Cambria" w:cstheme="minorHAnsi"/>
          <w:sz w:val="24"/>
          <w:szCs w:val="24"/>
        </w:rPr>
        <w:t xml:space="preserve"> státy</w:t>
      </w:r>
      <w:r w:rsidRPr="000875F4">
        <w:rPr>
          <w:rFonts w:ascii="Cambria" w:hAnsi="Cambria" w:cstheme="minorHAnsi"/>
          <w:sz w:val="24"/>
          <w:szCs w:val="24"/>
        </w:rPr>
        <w:t xml:space="preserve"> profitují</w:t>
      </w:r>
      <w:r w:rsidR="00940953" w:rsidRPr="000875F4">
        <w:rPr>
          <w:rFonts w:ascii="Cambria" w:hAnsi="Cambria" w:cstheme="minorHAnsi"/>
          <w:sz w:val="24"/>
          <w:szCs w:val="24"/>
        </w:rPr>
        <w:t xml:space="preserve">. Pokles </w:t>
      </w:r>
      <w:r w:rsidR="00314EB7" w:rsidRPr="000875F4">
        <w:rPr>
          <w:rFonts w:ascii="Cambria" w:hAnsi="Cambria" w:cstheme="minorHAnsi"/>
          <w:sz w:val="24"/>
          <w:szCs w:val="24"/>
        </w:rPr>
        <w:t>cen ropy</w:t>
      </w:r>
      <w:r w:rsidR="00C62DE1" w:rsidRPr="000875F4">
        <w:rPr>
          <w:rFonts w:ascii="Cambria" w:hAnsi="Cambria" w:cstheme="minorHAnsi"/>
          <w:sz w:val="24"/>
          <w:szCs w:val="24"/>
        </w:rPr>
        <w:t xml:space="preserve"> </w:t>
      </w:r>
      <w:r w:rsidR="00940953" w:rsidRPr="000875F4">
        <w:rPr>
          <w:rFonts w:ascii="Cambria" w:hAnsi="Cambria" w:cstheme="minorHAnsi"/>
          <w:sz w:val="24"/>
          <w:szCs w:val="24"/>
        </w:rPr>
        <w:t xml:space="preserve">se </w:t>
      </w:r>
      <w:r w:rsidR="00C62DE1" w:rsidRPr="000875F4">
        <w:rPr>
          <w:rFonts w:ascii="Cambria" w:hAnsi="Cambria" w:cstheme="minorHAnsi"/>
          <w:sz w:val="24"/>
          <w:szCs w:val="24"/>
        </w:rPr>
        <w:t xml:space="preserve">může </w:t>
      </w:r>
      <w:r w:rsidR="00940953" w:rsidRPr="000875F4">
        <w:rPr>
          <w:rFonts w:ascii="Cambria" w:hAnsi="Cambria" w:cstheme="minorHAnsi"/>
          <w:sz w:val="24"/>
          <w:szCs w:val="24"/>
        </w:rPr>
        <w:t>odráž</w:t>
      </w:r>
      <w:r w:rsidR="00C62DE1" w:rsidRPr="000875F4">
        <w:rPr>
          <w:rFonts w:ascii="Cambria" w:hAnsi="Cambria" w:cstheme="minorHAnsi"/>
          <w:sz w:val="24"/>
          <w:szCs w:val="24"/>
        </w:rPr>
        <w:t>et</w:t>
      </w:r>
      <w:r w:rsidR="00940953" w:rsidRPr="000875F4">
        <w:rPr>
          <w:rFonts w:ascii="Cambria" w:hAnsi="Cambria" w:cstheme="minorHAnsi"/>
          <w:sz w:val="24"/>
          <w:szCs w:val="24"/>
        </w:rPr>
        <w:t xml:space="preserve"> </w:t>
      </w:r>
      <w:r w:rsidR="00C62DE1" w:rsidRPr="000875F4">
        <w:rPr>
          <w:rFonts w:ascii="Cambria" w:hAnsi="Cambria" w:cstheme="minorHAnsi"/>
          <w:sz w:val="24"/>
          <w:szCs w:val="24"/>
        </w:rPr>
        <w:t xml:space="preserve">ve snížení cen pohonných hmot </w:t>
      </w:r>
      <w:r w:rsidR="00972BED" w:rsidRPr="000875F4">
        <w:rPr>
          <w:rFonts w:ascii="Cambria" w:hAnsi="Cambria" w:cstheme="minorHAnsi"/>
          <w:sz w:val="24"/>
          <w:szCs w:val="24"/>
        </w:rPr>
        <w:t>(PHM)</w:t>
      </w:r>
      <w:r w:rsidR="0010769A">
        <w:rPr>
          <w:rFonts w:ascii="Cambria" w:hAnsi="Cambria" w:cstheme="minorHAnsi"/>
          <w:sz w:val="24"/>
          <w:szCs w:val="24"/>
        </w:rPr>
        <w:t>,</w:t>
      </w:r>
      <w:r w:rsidR="00972BED" w:rsidRPr="000875F4">
        <w:rPr>
          <w:rFonts w:ascii="Cambria" w:hAnsi="Cambria" w:cstheme="minorHAnsi"/>
          <w:sz w:val="24"/>
          <w:szCs w:val="24"/>
        </w:rPr>
        <w:t xml:space="preserve"> </w:t>
      </w:r>
      <w:r w:rsidR="00C62DE1" w:rsidRPr="000875F4">
        <w:rPr>
          <w:rFonts w:ascii="Cambria" w:hAnsi="Cambria" w:cstheme="minorHAnsi"/>
          <w:sz w:val="24"/>
          <w:szCs w:val="24"/>
        </w:rPr>
        <w:t xml:space="preserve">a tím </w:t>
      </w:r>
      <w:r w:rsidRPr="000875F4">
        <w:rPr>
          <w:rFonts w:ascii="Cambria" w:hAnsi="Cambria" w:cstheme="minorHAnsi"/>
          <w:sz w:val="24"/>
          <w:szCs w:val="24"/>
        </w:rPr>
        <w:t>v</w:t>
      </w:r>
      <w:r w:rsidR="00940953" w:rsidRPr="000875F4">
        <w:rPr>
          <w:rFonts w:ascii="Cambria" w:hAnsi="Cambria" w:cstheme="minorHAnsi"/>
          <w:sz w:val="24"/>
          <w:szCs w:val="24"/>
        </w:rPr>
        <w:t>e</w:t>
      </w:r>
      <w:r w:rsidRPr="000875F4">
        <w:rPr>
          <w:rFonts w:ascii="Cambria" w:hAnsi="Cambria" w:cstheme="minorHAnsi"/>
          <w:sz w:val="24"/>
          <w:szCs w:val="24"/>
        </w:rPr>
        <w:t> snížení dopravních nákladů, které vstupují do produkce prakticky ve všech sektorech</w:t>
      </w:r>
      <w:r w:rsidR="00C62DE1" w:rsidRPr="000875F4">
        <w:rPr>
          <w:rFonts w:ascii="Cambria" w:hAnsi="Cambria" w:cstheme="minorHAnsi"/>
          <w:sz w:val="24"/>
          <w:szCs w:val="24"/>
        </w:rPr>
        <w:t xml:space="preserve"> ekonomiky</w:t>
      </w:r>
      <w:r w:rsidRPr="000875F4">
        <w:rPr>
          <w:rFonts w:ascii="Cambria" w:hAnsi="Cambria" w:cstheme="minorHAnsi"/>
          <w:sz w:val="24"/>
          <w:szCs w:val="24"/>
        </w:rPr>
        <w:t>. I když se pokles ceny ropy na světových trzích dílčím způsobem promítl v poklesu maloobchodních cen PHM n</w:t>
      </w:r>
      <w:r w:rsidRPr="00EF2749">
        <w:rPr>
          <w:rFonts w:ascii="Cambria" w:hAnsi="Cambria" w:cstheme="minorHAnsi"/>
          <w:sz w:val="24"/>
          <w:szCs w:val="24"/>
        </w:rPr>
        <w:t>a českém trhu</w:t>
      </w:r>
      <w:r w:rsidR="00940953">
        <w:rPr>
          <w:rStyle w:val="Znakapoznpodarou"/>
          <w:rFonts w:ascii="Cambria" w:hAnsi="Cambria" w:cstheme="minorHAnsi"/>
          <w:sz w:val="24"/>
          <w:szCs w:val="24"/>
        </w:rPr>
        <w:footnoteReference w:id="23"/>
      </w:r>
      <w:r w:rsidRPr="00EF2749">
        <w:rPr>
          <w:rFonts w:ascii="Cambria" w:hAnsi="Cambria" w:cstheme="minorHAnsi"/>
          <w:sz w:val="24"/>
          <w:szCs w:val="24"/>
        </w:rPr>
        <w:t>, mocnějším hybatelem událostí byla omezená ekonomická aktivita v průběhu první vlny epidemie. Navzdory historicky nízkým cenám PHM došlo v 1. pololetí 2020 ke snížení jejich spotřeby o 9 %, což koresponduje s propadem HDP (</w:t>
      </w:r>
      <w:r w:rsidRPr="002D32AE">
        <w:rPr>
          <w:rFonts w:ascii="Cambria" w:hAnsi="Cambria" w:cstheme="minorHAnsi"/>
          <w:sz w:val="24"/>
          <w:szCs w:val="24"/>
        </w:rPr>
        <w:t>ČAPPO</w:t>
      </w:r>
      <w:r>
        <w:rPr>
          <w:rFonts w:ascii="Cambria" w:hAnsi="Cambria" w:cstheme="minorHAnsi"/>
          <w:sz w:val="24"/>
          <w:szCs w:val="24"/>
        </w:rPr>
        <w:t xml:space="preserve"> 2020</w:t>
      </w:r>
      <w:r w:rsidRPr="00EF2749">
        <w:rPr>
          <w:rFonts w:ascii="Cambria" w:hAnsi="Cambria" w:cstheme="minorHAnsi"/>
          <w:sz w:val="24"/>
          <w:szCs w:val="24"/>
        </w:rPr>
        <w:t>). Dá se tedy očekávat, že pol</w:t>
      </w:r>
      <w:r>
        <w:rPr>
          <w:rFonts w:ascii="Cambria" w:hAnsi="Cambria" w:cstheme="minorHAnsi"/>
          <w:sz w:val="24"/>
          <w:szCs w:val="24"/>
        </w:rPr>
        <w:t>i</w:t>
      </w:r>
      <w:r w:rsidRPr="00EF2749">
        <w:rPr>
          <w:rFonts w:ascii="Cambria" w:hAnsi="Cambria" w:cstheme="minorHAnsi"/>
          <w:sz w:val="24"/>
          <w:szCs w:val="24"/>
        </w:rPr>
        <w:t>tická rozhodnutí v ČR budou v následujících měsících či letech ovlivněn</w:t>
      </w:r>
      <w:r w:rsidR="000875F4">
        <w:rPr>
          <w:rFonts w:ascii="Cambria" w:hAnsi="Cambria" w:cstheme="minorHAnsi"/>
          <w:sz w:val="24"/>
          <w:szCs w:val="24"/>
        </w:rPr>
        <w:t>a</w:t>
      </w:r>
      <w:r w:rsidRPr="00EF2749">
        <w:rPr>
          <w:rFonts w:ascii="Cambria" w:hAnsi="Cambria" w:cstheme="minorHAnsi"/>
          <w:sz w:val="24"/>
          <w:szCs w:val="24"/>
        </w:rPr>
        <w:t xml:space="preserve"> spíše možnými dalšími poptávkovými šoky</w:t>
      </w:r>
      <w:r>
        <w:rPr>
          <w:rFonts w:ascii="Cambria" w:hAnsi="Cambria" w:cstheme="minorHAnsi"/>
          <w:sz w:val="24"/>
          <w:szCs w:val="24"/>
        </w:rPr>
        <w:t xml:space="preserve"> (např.</w:t>
      </w:r>
      <w:r w:rsidRPr="00EF2749">
        <w:rPr>
          <w:rFonts w:ascii="Cambria" w:hAnsi="Cambria" w:cstheme="minorHAnsi"/>
          <w:sz w:val="24"/>
          <w:szCs w:val="24"/>
        </w:rPr>
        <w:t xml:space="preserve"> </w:t>
      </w:r>
      <w:r>
        <w:rPr>
          <w:rFonts w:ascii="Cambria" w:hAnsi="Cambria" w:cstheme="minorHAnsi"/>
          <w:sz w:val="24"/>
          <w:szCs w:val="24"/>
        </w:rPr>
        <w:t>d</w:t>
      </w:r>
      <w:r w:rsidRPr="00EF2749">
        <w:rPr>
          <w:rFonts w:ascii="Cambria" w:hAnsi="Cambria" w:cstheme="minorHAnsi"/>
          <w:sz w:val="24"/>
          <w:szCs w:val="24"/>
        </w:rPr>
        <w:t>alšími vlnami pandemie</w:t>
      </w:r>
      <w:r>
        <w:rPr>
          <w:rFonts w:ascii="Cambria" w:hAnsi="Cambria" w:cstheme="minorHAnsi"/>
          <w:sz w:val="24"/>
          <w:szCs w:val="24"/>
        </w:rPr>
        <w:t>)</w:t>
      </w:r>
      <w:r w:rsidRPr="00EF2749">
        <w:rPr>
          <w:rFonts w:ascii="Cambria" w:hAnsi="Cambria" w:cstheme="minorHAnsi"/>
          <w:sz w:val="24"/>
          <w:szCs w:val="24"/>
        </w:rPr>
        <w:t xml:space="preserve">. </w:t>
      </w:r>
      <w:r>
        <w:rPr>
          <w:rFonts w:ascii="Cambria" w:hAnsi="Cambria" w:cstheme="minorHAnsi"/>
          <w:sz w:val="24"/>
          <w:szCs w:val="24"/>
        </w:rPr>
        <w:t>Navíc</w:t>
      </w:r>
      <w:r w:rsidRPr="00EF2749">
        <w:rPr>
          <w:rFonts w:ascii="Cambria" w:hAnsi="Cambria" w:cstheme="minorHAnsi"/>
          <w:sz w:val="24"/>
          <w:szCs w:val="24"/>
        </w:rPr>
        <w:t xml:space="preserve">, </w:t>
      </w:r>
      <w:r>
        <w:rPr>
          <w:rFonts w:ascii="Cambria" w:hAnsi="Cambria" w:cstheme="minorHAnsi"/>
          <w:sz w:val="24"/>
          <w:szCs w:val="24"/>
        </w:rPr>
        <w:t>propad</w:t>
      </w:r>
      <w:r w:rsidRPr="00EF2749">
        <w:rPr>
          <w:rFonts w:ascii="Cambria" w:hAnsi="Cambria" w:cstheme="minorHAnsi"/>
          <w:sz w:val="24"/>
          <w:szCs w:val="24"/>
        </w:rPr>
        <w:t xml:space="preserve"> poptávky po ropě a ropných produktech </w:t>
      </w:r>
      <w:r>
        <w:rPr>
          <w:rFonts w:ascii="Cambria" w:hAnsi="Cambria" w:cstheme="minorHAnsi"/>
          <w:sz w:val="24"/>
          <w:szCs w:val="24"/>
        </w:rPr>
        <w:t>by měl</w:t>
      </w:r>
      <w:r w:rsidR="000875F4">
        <w:rPr>
          <w:rFonts w:ascii="Cambria" w:hAnsi="Cambria" w:cstheme="minorHAnsi"/>
          <w:sz w:val="24"/>
          <w:szCs w:val="24"/>
        </w:rPr>
        <w:t xml:space="preserve"> být</w:t>
      </w:r>
      <w:r w:rsidRPr="00EF2749">
        <w:rPr>
          <w:rFonts w:ascii="Cambria" w:hAnsi="Cambria" w:cstheme="minorHAnsi"/>
          <w:sz w:val="24"/>
          <w:szCs w:val="24"/>
        </w:rPr>
        <w:t xml:space="preserve"> (pravděpodobně a dočasně) </w:t>
      </w:r>
      <w:r>
        <w:rPr>
          <w:rFonts w:ascii="Cambria" w:hAnsi="Cambria" w:cstheme="minorHAnsi"/>
          <w:sz w:val="24"/>
          <w:szCs w:val="24"/>
        </w:rPr>
        <w:t>stimulován</w:t>
      </w:r>
      <w:r w:rsidRPr="00EF2749">
        <w:rPr>
          <w:rFonts w:ascii="Cambria" w:hAnsi="Cambria" w:cstheme="minorHAnsi"/>
          <w:sz w:val="24"/>
          <w:szCs w:val="24"/>
        </w:rPr>
        <w:t xml:space="preserve"> od 1. 1. 2021 snížením sazby spotřební daně z</w:t>
      </w:r>
      <w:r>
        <w:rPr>
          <w:rFonts w:ascii="Cambria" w:hAnsi="Cambria" w:cstheme="minorHAnsi"/>
          <w:sz w:val="24"/>
          <w:szCs w:val="24"/>
        </w:rPr>
        <w:t> motorové nafty o jednu korunu.</w:t>
      </w:r>
    </w:p>
    <w:p w14:paraId="3EACC36C" w14:textId="27C33FA3" w:rsidR="00D37FF8" w:rsidRPr="00EF2749" w:rsidRDefault="00D37FF8" w:rsidP="00AA07AF">
      <w:pPr>
        <w:spacing w:after="100" w:afterAutospacing="1" w:line="240" w:lineRule="auto"/>
        <w:ind w:firstLine="708"/>
        <w:jc w:val="both"/>
        <w:rPr>
          <w:rFonts w:ascii="Cambria" w:hAnsi="Cambria" w:cstheme="minorHAnsi"/>
          <w:sz w:val="24"/>
          <w:szCs w:val="24"/>
        </w:rPr>
      </w:pPr>
      <w:r>
        <w:rPr>
          <w:rFonts w:ascii="Cambria" w:hAnsi="Cambria" w:cstheme="minorHAnsi"/>
          <w:sz w:val="24"/>
          <w:szCs w:val="24"/>
        </w:rPr>
        <w:t>D</w:t>
      </w:r>
      <w:r w:rsidRPr="00EF2749">
        <w:rPr>
          <w:rFonts w:ascii="Cambria" w:hAnsi="Cambria" w:cstheme="minorHAnsi"/>
          <w:sz w:val="24"/>
          <w:szCs w:val="24"/>
        </w:rPr>
        <w:t xml:space="preserve">le Světové </w:t>
      </w:r>
      <w:r>
        <w:rPr>
          <w:rFonts w:ascii="Cambria" w:hAnsi="Cambria" w:cstheme="minorHAnsi"/>
          <w:sz w:val="24"/>
          <w:szCs w:val="24"/>
        </w:rPr>
        <w:t>b</w:t>
      </w:r>
      <w:r w:rsidRPr="00EF2749">
        <w:rPr>
          <w:rFonts w:ascii="Cambria" w:hAnsi="Cambria" w:cstheme="minorHAnsi"/>
          <w:sz w:val="24"/>
          <w:szCs w:val="24"/>
        </w:rPr>
        <w:t xml:space="preserve">anky či společnosti </w:t>
      </w:r>
      <w:proofErr w:type="spellStart"/>
      <w:r w:rsidRPr="00EF2749">
        <w:rPr>
          <w:rFonts w:ascii="Cambria" w:hAnsi="Cambria" w:cstheme="minorHAnsi"/>
          <w:sz w:val="24"/>
          <w:szCs w:val="24"/>
        </w:rPr>
        <w:t>Deloitte</w:t>
      </w:r>
      <w:proofErr w:type="spellEnd"/>
      <w:r w:rsidRPr="00EF2749">
        <w:rPr>
          <w:rFonts w:ascii="Cambria" w:hAnsi="Cambria" w:cstheme="minorHAnsi"/>
          <w:sz w:val="24"/>
          <w:szCs w:val="24"/>
        </w:rPr>
        <w:t xml:space="preserve"> je prudký pokles cen ropy v jarních měsících roku 2020 </w:t>
      </w:r>
      <w:r>
        <w:rPr>
          <w:rFonts w:ascii="Cambria" w:hAnsi="Cambria" w:cstheme="minorHAnsi"/>
          <w:sz w:val="24"/>
          <w:szCs w:val="24"/>
        </w:rPr>
        <w:t xml:space="preserve">spíše </w:t>
      </w:r>
      <w:r w:rsidRPr="00EF2749">
        <w:rPr>
          <w:rFonts w:ascii="Cambria" w:hAnsi="Cambria" w:cstheme="minorHAnsi"/>
          <w:sz w:val="24"/>
          <w:szCs w:val="24"/>
        </w:rPr>
        <w:t xml:space="preserve">krátkodobým výkyvem. Obě instituce očekávají, že se ceny ropy na světových trzích budou v následujících letech vracet k normálu (viz graf </w:t>
      </w:r>
      <w:r w:rsidR="00940953">
        <w:rPr>
          <w:rFonts w:ascii="Cambria" w:hAnsi="Cambria" w:cstheme="minorHAnsi"/>
          <w:sz w:val="24"/>
          <w:szCs w:val="24"/>
        </w:rPr>
        <w:t>3</w:t>
      </w:r>
      <w:r w:rsidRPr="00EF2749">
        <w:rPr>
          <w:rFonts w:ascii="Cambria" w:hAnsi="Cambria" w:cstheme="minorHAnsi"/>
          <w:sz w:val="24"/>
          <w:szCs w:val="24"/>
        </w:rPr>
        <w:t xml:space="preserve">). </w:t>
      </w:r>
    </w:p>
    <w:p w14:paraId="04D1EB2B" w14:textId="77777777" w:rsidR="00D37FF8" w:rsidRDefault="00D37FF8" w:rsidP="00AA07AF">
      <w:pPr>
        <w:pStyle w:val="Titulek"/>
        <w:keepNext/>
        <w:spacing w:after="100" w:afterAutospacing="1"/>
        <w:jc w:val="both"/>
        <w:rPr>
          <w:rFonts w:ascii="Cambria" w:hAnsi="Cambria"/>
          <w:sz w:val="24"/>
          <w:szCs w:val="24"/>
        </w:rPr>
      </w:pPr>
    </w:p>
    <w:p w14:paraId="04377770" w14:textId="6FF8FAE0" w:rsidR="00D37FF8" w:rsidRPr="000875F4" w:rsidRDefault="00D37FF8" w:rsidP="00AA07AF">
      <w:pPr>
        <w:pStyle w:val="Titulek"/>
        <w:keepNext/>
        <w:spacing w:after="100" w:afterAutospacing="1"/>
        <w:jc w:val="center"/>
        <w:rPr>
          <w:i w:val="0"/>
          <w:iCs w:val="0"/>
          <w:sz w:val="24"/>
          <w:szCs w:val="24"/>
        </w:rPr>
      </w:pPr>
      <w:r w:rsidRPr="000875F4">
        <w:rPr>
          <w:i w:val="0"/>
          <w:iCs w:val="0"/>
          <w:sz w:val="24"/>
          <w:szCs w:val="24"/>
        </w:rPr>
        <w:t xml:space="preserve">Graf </w:t>
      </w:r>
      <w:r w:rsidR="00940953" w:rsidRPr="000875F4">
        <w:rPr>
          <w:i w:val="0"/>
          <w:iCs w:val="0"/>
          <w:sz w:val="24"/>
          <w:szCs w:val="24"/>
        </w:rPr>
        <w:t>3</w:t>
      </w:r>
      <w:r w:rsidRPr="000875F4">
        <w:rPr>
          <w:i w:val="0"/>
          <w:iCs w:val="0"/>
          <w:sz w:val="24"/>
          <w:szCs w:val="24"/>
        </w:rPr>
        <w:t>: Výhled cen surové ropy (</w:t>
      </w:r>
      <w:proofErr w:type="spellStart"/>
      <w:r w:rsidRPr="000875F4">
        <w:rPr>
          <w:i w:val="0"/>
          <w:iCs w:val="0"/>
          <w:sz w:val="24"/>
          <w:szCs w:val="24"/>
        </w:rPr>
        <w:t>World</w:t>
      </w:r>
      <w:proofErr w:type="spellEnd"/>
      <w:r w:rsidRPr="000875F4">
        <w:rPr>
          <w:i w:val="0"/>
          <w:iCs w:val="0"/>
          <w:sz w:val="24"/>
          <w:szCs w:val="24"/>
        </w:rPr>
        <w:t xml:space="preserve"> Bank a </w:t>
      </w:r>
      <w:proofErr w:type="spellStart"/>
      <w:r w:rsidRPr="000875F4">
        <w:rPr>
          <w:i w:val="0"/>
          <w:iCs w:val="0"/>
          <w:sz w:val="24"/>
          <w:szCs w:val="24"/>
        </w:rPr>
        <w:t>Deloitte</w:t>
      </w:r>
      <w:proofErr w:type="spellEnd"/>
      <w:r w:rsidRPr="000875F4">
        <w:rPr>
          <w:i w:val="0"/>
          <w:iCs w:val="0"/>
          <w:sz w:val="24"/>
          <w:szCs w:val="24"/>
        </w:rPr>
        <w:t>)</w:t>
      </w:r>
    </w:p>
    <w:p w14:paraId="5EEDBA9C" w14:textId="77777777" w:rsidR="00D37FF8" w:rsidRDefault="00D37FF8" w:rsidP="00AA07AF">
      <w:pPr>
        <w:spacing w:after="100" w:afterAutospacing="1" w:line="240" w:lineRule="auto"/>
        <w:jc w:val="center"/>
        <w:rPr>
          <w:rFonts w:ascii="Cambria" w:hAnsi="Cambria" w:cstheme="minorHAnsi"/>
          <w:sz w:val="24"/>
          <w:szCs w:val="24"/>
        </w:rPr>
      </w:pPr>
      <w:r w:rsidRPr="00EF2749">
        <w:rPr>
          <w:rFonts w:ascii="Cambria" w:hAnsi="Cambria"/>
          <w:noProof/>
          <w:sz w:val="24"/>
          <w:szCs w:val="24"/>
        </w:rPr>
        <w:drawing>
          <wp:inline distT="0" distB="0" distL="0" distR="0" wp14:anchorId="48354A84" wp14:editId="3F788C69">
            <wp:extent cx="4186238" cy="2405063"/>
            <wp:effectExtent l="0" t="0" r="5080" b="14605"/>
            <wp:docPr id="8" name="Graf 8">
              <a:extLst xmlns:a="http://schemas.openxmlformats.org/drawingml/2006/main">
                <a:ext uri="{FF2B5EF4-FFF2-40B4-BE49-F238E27FC236}">
                  <a16:creationId xmlns:a16="http://schemas.microsoft.com/office/drawing/2014/main" id="{883199E2-0BD1-4BA3-B751-46C88B417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1CD1FB" w14:textId="1445C47E" w:rsidR="00D37FF8" w:rsidRPr="000875F4" w:rsidRDefault="00D37FF8" w:rsidP="00AA07AF">
      <w:pPr>
        <w:spacing w:after="100" w:afterAutospacing="1" w:line="240" w:lineRule="auto"/>
        <w:jc w:val="center"/>
        <w:rPr>
          <w:rFonts w:ascii="Cambria" w:hAnsi="Cambria" w:cstheme="minorHAnsi"/>
          <w:sz w:val="24"/>
          <w:szCs w:val="24"/>
        </w:rPr>
      </w:pPr>
      <w:r w:rsidRPr="000875F4">
        <w:rPr>
          <w:rFonts w:ascii="Cambria" w:hAnsi="Cambria" w:cstheme="minorHAnsi"/>
          <w:sz w:val="18"/>
          <w:szCs w:val="18"/>
        </w:rPr>
        <w:t xml:space="preserve">Zdroj: </w:t>
      </w:r>
      <w:proofErr w:type="spellStart"/>
      <w:r w:rsidRPr="000875F4">
        <w:rPr>
          <w:rFonts w:ascii="Cambria" w:hAnsi="Cambria" w:cstheme="minorHAnsi"/>
          <w:sz w:val="18"/>
          <w:szCs w:val="18"/>
        </w:rPr>
        <w:t>World</w:t>
      </w:r>
      <w:proofErr w:type="spellEnd"/>
      <w:r w:rsidRPr="000875F4">
        <w:rPr>
          <w:rFonts w:ascii="Cambria" w:hAnsi="Cambria" w:cstheme="minorHAnsi"/>
          <w:sz w:val="18"/>
          <w:szCs w:val="18"/>
        </w:rPr>
        <w:t xml:space="preserve"> Bank, 2020c; </w:t>
      </w:r>
      <w:proofErr w:type="spellStart"/>
      <w:r w:rsidRPr="000875F4">
        <w:rPr>
          <w:rFonts w:ascii="Cambria" w:hAnsi="Cambria" w:cstheme="minorHAnsi"/>
          <w:sz w:val="18"/>
          <w:szCs w:val="18"/>
        </w:rPr>
        <w:t>Deloitte</w:t>
      </w:r>
      <w:proofErr w:type="spellEnd"/>
      <w:r w:rsidRPr="000875F4">
        <w:rPr>
          <w:rFonts w:ascii="Cambria" w:hAnsi="Cambria" w:cstheme="minorHAnsi"/>
          <w:sz w:val="18"/>
          <w:szCs w:val="18"/>
        </w:rPr>
        <w:t>, 2020</w:t>
      </w:r>
      <w:r w:rsidR="000875F4">
        <w:rPr>
          <w:rFonts w:ascii="Cambria" w:hAnsi="Cambria" w:cstheme="minorHAnsi"/>
          <w:sz w:val="18"/>
          <w:szCs w:val="18"/>
        </w:rPr>
        <w:t>.</w:t>
      </w:r>
    </w:p>
    <w:p w14:paraId="289561A2" w14:textId="191A3EC7" w:rsidR="00F96A4D" w:rsidRPr="00E004A5" w:rsidRDefault="00F96A4D" w:rsidP="00F96A4D">
      <w:pPr>
        <w:autoSpaceDE w:val="0"/>
        <w:autoSpaceDN w:val="0"/>
        <w:adjustRightInd w:val="0"/>
        <w:spacing w:after="100" w:afterAutospacing="1" w:line="240" w:lineRule="auto"/>
        <w:ind w:firstLine="567"/>
        <w:jc w:val="both"/>
        <w:rPr>
          <w:rFonts w:ascii="Cambria" w:hAnsi="Cambria"/>
          <w:sz w:val="24"/>
          <w:szCs w:val="24"/>
        </w:rPr>
      </w:pPr>
      <w:r w:rsidRPr="00E004A5">
        <w:rPr>
          <w:rFonts w:ascii="Cambria" w:hAnsi="Cambria"/>
          <w:sz w:val="24"/>
          <w:szCs w:val="24"/>
        </w:rPr>
        <w:t xml:space="preserve">Česká republika je vysoce závislá na dovozech surové ropy a zemního plynu, zejména z Ruska a Ázerbájdžánu, a proto je důležité zhodnotit souvislosti těchto ropných cenových šoků pro její ekonomiku. Obecně na země dovážející ropu nemá pokles cen ropy jednoznačný dopad. Na jednu stranu tento pokles snižuje ceny energií, což se projevuje snížením výrobních a </w:t>
      </w:r>
      <w:r w:rsidRPr="00E004A5">
        <w:rPr>
          <w:rFonts w:ascii="Cambria" w:hAnsi="Cambria"/>
          <w:sz w:val="24"/>
          <w:szCs w:val="24"/>
        </w:rPr>
        <w:lastRenderedPageBreak/>
        <w:t>dopravních nákladů, na druhé straně dochází v jeho důsledku ke snížení střednědobých inflačních očekávání v těchto zemích. Nejzřejmější jsou tyto dopady pro růst ekonomiky a pro její inflaci. Tyto dva indikátory jsou ovlivňovány různými kanály: přímo se projevují v cenách, vývozech a dovozech, nepřímo se pak projevují v obchodní a investiční nejistotě a v monetárních a fiskálních odpovědích na ně.</w:t>
      </w:r>
    </w:p>
    <w:p w14:paraId="75484D00" w14:textId="4BC33CCF" w:rsidR="00F96A4D" w:rsidRPr="00E004A5" w:rsidRDefault="00F96A4D" w:rsidP="00F96A4D">
      <w:pPr>
        <w:autoSpaceDE w:val="0"/>
        <w:autoSpaceDN w:val="0"/>
        <w:adjustRightInd w:val="0"/>
        <w:spacing w:after="100" w:afterAutospacing="1" w:line="240" w:lineRule="auto"/>
        <w:ind w:firstLine="567"/>
        <w:jc w:val="both"/>
        <w:rPr>
          <w:rFonts w:ascii="Cambria" w:hAnsi="Cambria"/>
          <w:sz w:val="24"/>
          <w:szCs w:val="24"/>
        </w:rPr>
      </w:pPr>
      <w:r w:rsidRPr="00E004A5">
        <w:rPr>
          <w:rFonts w:ascii="Cambria" w:hAnsi="Cambria"/>
          <w:sz w:val="24"/>
          <w:szCs w:val="24"/>
        </w:rPr>
        <w:t>HDP České republiky se ve třetím čtvrtletí 2020 oproti stejnému období předchozího roku snížilo o 5,8 %</w:t>
      </w:r>
      <w:r w:rsidR="005D3A71">
        <w:rPr>
          <w:rFonts w:ascii="Cambria" w:hAnsi="Cambria"/>
          <w:sz w:val="24"/>
          <w:szCs w:val="24"/>
        </w:rPr>
        <w:t>.</w:t>
      </w:r>
      <w:r w:rsidR="005D3A71">
        <w:rPr>
          <w:rStyle w:val="Znakapoznpodarou"/>
          <w:rFonts w:ascii="Cambria" w:hAnsi="Cambria"/>
          <w:sz w:val="24"/>
          <w:szCs w:val="24"/>
        </w:rPr>
        <w:footnoteReference w:id="24"/>
      </w:r>
      <w:r w:rsidR="001A19FC">
        <w:rPr>
          <w:rFonts w:ascii="Cambria" w:hAnsi="Cambria"/>
          <w:sz w:val="24"/>
          <w:szCs w:val="24"/>
        </w:rPr>
        <w:t xml:space="preserve"> </w:t>
      </w:r>
      <w:r w:rsidRPr="00E004A5">
        <w:rPr>
          <w:rFonts w:ascii="Cambria" w:hAnsi="Cambria"/>
          <w:sz w:val="24"/>
          <w:szCs w:val="24"/>
        </w:rPr>
        <w:t>Mezi čtvrtletně ve třetím čtvrtletí oproti druhému vzrostlo toto HDP o 6,9 %, což následovalo po propadu 8,7 % v předchozím mezi čtvrtletním srovnání, jak se ekonomika zotavovala z </w:t>
      </w:r>
      <w:proofErr w:type="spellStart"/>
      <w:r w:rsidRPr="00E004A5">
        <w:rPr>
          <w:rFonts w:ascii="Cambria" w:hAnsi="Cambria"/>
          <w:sz w:val="24"/>
          <w:szCs w:val="24"/>
        </w:rPr>
        <w:t>koronavirové</w:t>
      </w:r>
      <w:proofErr w:type="spellEnd"/>
      <w:r w:rsidRPr="00E004A5">
        <w:rPr>
          <w:rFonts w:ascii="Cambria" w:hAnsi="Cambria"/>
          <w:sz w:val="24"/>
          <w:szCs w:val="24"/>
        </w:rPr>
        <w:t xml:space="preserve"> krize. Výdaje domácností vzrostly o 5 %, vývoz poskočil o 26,2 % a dovoz o 16,3 %. Naopak tvorba hrubého fixního kapitálu (investice) klesla o 5 % a vládní výdaje klesly o 0,6 % (Český statistický úřad, 2020). </w:t>
      </w:r>
    </w:p>
    <w:p w14:paraId="477A1479" w14:textId="3C9AD1A1" w:rsidR="00632ACF" w:rsidRPr="00E004A5" w:rsidRDefault="00F96A4D" w:rsidP="00E004A5">
      <w:pPr>
        <w:pStyle w:val="Odstavecseseznamem"/>
        <w:autoSpaceDE w:val="0"/>
        <w:autoSpaceDN w:val="0"/>
        <w:adjustRightInd w:val="0"/>
        <w:spacing w:after="100" w:afterAutospacing="1" w:line="240" w:lineRule="auto"/>
        <w:ind w:left="0" w:firstLine="567"/>
        <w:jc w:val="both"/>
        <w:rPr>
          <w:rFonts w:ascii="Cambria" w:hAnsi="Cambria"/>
          <w:sz w:val="24"/>
          <w:szCs w:val="24"/>
          <w:shd w:val="clear" w:color="auto" w:fill="FFFFFF"/>
        </w:rPr>
      </w:pPr>
      <w:r w:rsidRPr="00E004A5">
        <w:rPr>
          <w:rFonts w:ascii="Cambria" w:hAnsi="Cambria"/>
          <w:sz w:val="24"/>
          <w:szCs w:val="24"/>
          <w:shd w:val="clear" w:color="auto" w:fill="FFFFFF"/>
        </w:rPr>
        <w:t>Míra inflace v České republice poklesla v říjnu 2020 na pětiměsíční minimum 2,9 % oproti předchozímu měsíci</w:t>
      </w:r>
      <w:r w:rsidR="00971F24">
        <w:rPr>
          <w:rFonts w:ascii="Cambria" w:hAnsi="Cambria"/>
          <w:sz w:val="24"/>
          <w:szCs w:val="24"/>
          <w:shd w:val="clear" w:color="auto" w:fill="FFFFFF"/>
        </w:rPr>
        <w:t>,</w:t>
      </w:r>
      <w:r w:rsidR="001A19FC">
        <w:rPr>
          <w:rStyle w:val="Znakapoznpodarou"/>
          <w:rFonts w:ascii="Cambria" w:hAnsi="Cambria"/>
          <w:sz w:val="24"/>
          <w:szCs w:val="24"/>
          <w:shd w:val="clear" w:color="auto" w:fill="FFFFFF"/>
        </w:rPr>
        <w:footnoteReference w:id="25"/>
      </w:r>
      <w:r w:rsidRPr="00E004A5">
        <w:rPr>
          <w:rFonts w:ascii="Cambria" w:hAnsi="Cambria"/>
          <w:sz w:val="24"/>
          <w:szCs w:val="24"/>
          <w:shd w:val="clear" w:color="auto" w:fill="FFFFFF"/>
        </w:rPr>
        <w:t xml:space="preserve"> a to z 3,2 % v předchozím měsíci a pod tržní míru 3 %. Mírně rostly ceny potravin a nealkoholických nápojů (v říjnu 1,9 % oproti 3,2 %), oblečení a obuvi (3,7 % oproti 4,2 %), bydlení a služby (1,4 % oproti 1,6 %), nábytek (2,3 % oproti 3,2 %) a restaurace a hotely (4,3 % oproti 4,5 %) (Český statistický úřad, 2020)</w:t>
      </w:r>
      <w:r w:rsidR="00E004A5">
        <w:rPr>
          <w:rFonts w:ascii="Cambria" w:hAnsi="Cambria"/>
          <w:sz w:val="24"/>
          <w:szCs w:val="24"/>
          <w:shd w:val="clear" w:color="auto" w:fill="FFFFFF"/>
        </w:rPr>
        <w:t>.</w:t>
      </w:r>
    </w:p>
    <w:p w14:paraId="272AF5CE" w14:textId="07A88EA1" w:rsidR="00F96A4D" w:rsidRPr="00DA5BF3" w:rsidRDefault="00F96A4D" w:rsidP="00DA5BF3">
      <w:pPr>
        <w:pStyle w:val="Odstavecseseznamem"/>
        <w:autoSpaceDE w:val="0"/>
        <w:autoSpaceDN w:val="0"/>
        <w:adjustRightInd w:val="0"/>
        <w:spacing w:after="100" w:afterAutospacing="1" w:line="240" w:lineRule="auto"/>
        <w:ind w:left="0" w:firstLine="567"/>
        <w:jc w:val="both"/>
        <w:rPr>
          <w:rFonts w:ascii="Cambria" w:hAnsi="Cambria"/>
          <w:szCs w:val="24"/>
          <w:shd w:val="clear" w:color="auto" w:fill="FFFFFF"/>
        </w:rPr>
      </w:pPr>
      <w:bookmarkStart w:id="57" w:name="_Toc61259193"/>
      <w:bookmarkStart w:id="58" w:name="_Toc61261171"/>
      <w:bookmarkStart w:id="59" w:name="_Toc61261293"/>
      <w:bookmarkStart w:id="60" w:name="_Toc61262043"/>
      <w:bookmarkStart w:id="61" w:name="_Toc61262167"/>
      <w:r w:rsidRPr="00DA5BF3">
        <w:rPr>
          <w:rFonts w:ascii="Cambria" w:hAnsi="Cambria"/>
          <w:sz w:val="24"/>
          <w:szCs w:val="24"/>
          <w:shd w:val="clear" w:color="auto" w:fill="FFFFFF"/>
        </w:rPr>
        <w:t>Tyto ceny jsou současně silně ovlivněny měnovým kurzem</w:t>
      </w:r>
      <w:r w:rsidR="00971F24" w:rsidRPr="00DA5BF3">
        <w:rPr>
          <w:rFonts w:ascii="Cambria" w:hAnsi="Cambria"/>
          <w:sz w:val="24"/>
          <w:szCs w:val="24"/>
          <w:shd w:val="clear" w:color="auto" w:fill="FFFFFF"/>
        </w:rPr>
        <w:t>.</w:t>
      </w:r>
      <w:r w:rsidR="00971F24" w:rsidRPr="00DA5BF3">
        <w:footnoteReference w:id="26"/>
      </w:r>
      <w:r w:rsidRPr="00DA5BF3">
        <w:rPr>
          <w:rFonts w:ascii="Cambria" w:hAnsi="Cambria"/>
          <w:sz w:val="24"/>
          <w:szCs w:val="24"/>
          <w:shd w:val="clear" w:color="auto" w:fill="FFFFFF"/>
        </w:rPr>
        <w:t xml:space="preserve"> Růst spotřebitelských cen v české ekonomice ovlivnilo též oslabení české koruny, jak lze vidět v rychlém růstu cen obchodovatelného zboží. Ten je podstatně vyšší než u cen neobchodovatelného zboží. Oslabování měn je společnou charakteristikou zemí střední Evropy, včetně České republiky.</w:t>
      </w:r>
      <w:bookmarkEnd w:id="57"/>
      <w:bookmarkEnd w:id="58"/>
      <w:bookmarkEnd w:id="59"/>
      <w:bookmarkEnd w:id="60"/>
      <w:bookmarkEnd w:id="61"/>
    </w:p>
    <w:p w14:paraId="1EE70C25" w14:textId="54727799" w:rsidR="00F96A4D" w:rsidRPr="00661F79" w:rsidRDefault="00F96A4D" w:rsidP="00D3139D">
      <w:pPr>
        <w:spacing w:after="100" w:afterAutospacing="1" w:line="240" w:lineRule="auto"/>
        <w:ind w:firstLine="720"/>
        <w:jc w:val="both"/>
        <w:rPr>
          <w:rFonts w:ascii="Cambria" w:hAnsi="Cambria"/>
          <w:sz w:val="24"/>
          <w:szCs w:val="24"/>
          <w:shd w:val="clear" w:color="auto" w:fill="FFFFFF"/>
        </w:rPr>
      </w:pPr>
      <w:r w:rsidRPr="00661F79">
        <w:rPr>
          <w:rFonts w:ascii="Cambria" w:hAnsi="Cambria"/>
          <w:sz w:val="24"/>
          <w:szCs w:val="24"/>
          <w:shd w:val="clear" w:color="auto" w:fill="FFFFFF"/>
        </w:rPr>
        <w:t>Výsledky VAR modelu ukazují,</w:t>
      </w:r>
      <w:r w:rsidR="00D47BBE">
        <w:rPr>
          <w:rStyle w:val="Znakapoznpodarou"/>
          <w:rFonts w:ascii="Cambria" w:hAnsi="Cambria"/>
          <w:sz w:val="24"/>
          <w:szCs w:val="24"/>
          <w:shd w:val="clear" w:color="auto" w:fill="FFFFFF"/>
        </w:rPr>
        <w:footnoteReference w:id="27"/>
      </w:r>
      <w:r w:rsidRPr="00661F79">
        <w:rPr>
          <w:rFonts w:ascii="Cambria" w:hAnsi="Cambria"/>
          <w:sz w:val="24"/>
          <w:szCs w:val="24"/>
          <w:shd w:val="clear" w:color="auto" w:fill="FFFFFF"/>
        </w:rPr>
        <w:t xml:space="preserve"> že HDP roste, pokud roste cena ropy do 6. období </w:t>
      </w:r>
      <w:r w:rsidR="006172BF" w:rsidRPr="00661F79">
        <w:rPr>
          <w:rFonts w:ascii="Cambria" w:hAnsi="Cambria"/>
          <w:sz w:val="24"/>
          <w:szCs w:val="24"/>
          <w:shd w:val="clear" w:color="auto" w:fill="FFFFFF"/>
        </w:rPr>
        <w:t xml:space="preserve">(6. </w:t>
      </w:r>
      <w:r w:rsidR="00661F79" w:rsidRPr="00661F79">
        <w:rPr>
          <w:rFonts w:ascii="Cambria" w:hAnsi="Cambria"/>
          <w:sz w:val="24"/>
          <w:szCs w:val="24"/>
          <w:shd w:val="clear" w:color="auto" w:fill="FFFFFF"/>
        </w:rPr>
        <w:t>měsíce</w:t>
      </w:r>
      <w:r w:rsidR="00554669">
        <w:rPr>
          <w:rFonts w:ascii="Cambria" w:hAnsi="Cambria"/>
          <w:sz w:val="24"/>
          <w:szCs w:val="24"/>
          <w:shd w:val="clear" w:color="auto" w:fill="FFFFFF"/>
        </w:rPr>
        <w:t xml:space="preserve"> v</w:t>
      </w:r>
      <w:r w:rsidR="00C73167">
        <w:rPr>
          <w:rFonts w:ascii="Cambria" w:hAnsi="Cambria"/>
          <w:sz w:val="24"/>
          <w:szCs w:val="24"/>
          <w:shd w:val="clear" w:color="auto" w:fill="FFFFFF"/>
        </w:rPr>
        <w:t> </w:t>
      </w:r>
      <w:r w:rsidR="00554669">
        <w:rPr>
          <w:rFonts w:ascii="Cambria" w:hAnsi="Cambria"/>
          <w:sz w:val="24"/>
          <w:szCs w:val="24"/>
          <w:shd w:val="clear" w:color="auto" w:fill="FFFFFF"/>
        </w:rPr>
        <w:t>pořadí</w:t>
      </w:r>
      <w:r w:rsidR="00C73167">
        <w:rPr>
          <w:rFonts w:ascii="Cambria" w:hAnsi="Cambria"/>
          <w:sz w:val="24"/>
          <w:szCs w:val="24"/>
          <w:shd w:val="clear" w:color="auto" w:fill="FFFFFF"/>
        </w:rPr>
        <w:t xml:space="preserve"> od impulsu</w:t>
      </w:r>
      <w:r w:rsidR="00661F79" w:rsidRPr="00661F79">
        <w:rPr>
          <w:rFonts w:ascii="Cambria" w:hAnsi="Cambria"/>
          <w:sz w:val="24"/>
          <w:szCs w:val="24"/>
          <w:shd w:val="clear" w:color="auto" w:fill="FFFFFF"/>
        </w:rPr>
        <w:t>) (</w:t>
      </w:r>
      <w:r w:rsidRPr="00661F79">
        <w:rPr>
          <w:rFonts w:ascii="Cambria" w:hAnsi="Cambria"/>
          <w:sz w:val="24"/>
          <w:szCs w:val="24"/>
          <w:shd w:val="clear" w:color="auto" w:fill="FFFFFF"/>
        </w:rPr>
        <w:t xml:space="preserve">detailněji viz metodologie v příloze). Vliv jednotkového šoku na cenu ropy snižuje HDP ve všech následujících čtvrtletích až do 20. </w:t>
      </w:r>
      <w:r w:rsidR="00554669">
        <w:rPr>
          <w:rFonts w:ascii="Cambria" w:hAnsi="Cambria"/>
          <w:sz w:val="24"/>
          <w:szCs w:val="24"/>
          <w:shd w:val="clear" w:color="auto" w:fill="FFFFFF"/>
        </w:rPr>
        <w:t>měsíce</w:t>
      </w:r>
      <w:r w:rsidR="0039653F">
        <w:rPr>
          <w:rFonts w:ascii="Cambria" w:hAnsi="Cambria"/>
          <w:sz w:val="24"/>
          <w:szCs w:val="24"/>
          <w:shd w:val="clear" w:color="auto" w:fill="FFFFFF"/>
        </w:rPr>
        <w:t xml:space="preserve"> v</w:t>
      </w:r>
      <w:r w:rsidR="00C73167">
        <w:rPr>
          <w:rFonts w:ascii="Cambria" w:hAnsi="Cambria"/>
          <w:sz w:val="24"/>
          <w:szCs w:val="24"/>
          <w:shd w:val="clear" w:color="auto" w:fill="FFFFFF"/>
        </w:rPr>
        <w:t> </w:t>
      </w:r>
      <w:r w:rsidR="0039653F">
        <w:rPr>
          <w:rFonts w:ascii="Cambria" w:hAnsi="Cambria"/>
          <w:sz w:val="24"/>
          <w:szCs w:val="24"/>
          <w:shd w:val="clear" w:color="auto" w:fill="FFFFFF"/>
        </w:rPr>
        <w:t>pořadí</w:t>
      </w:r>
      <w:r w:rsidR="00C73167">
        <w:rPr>
          <w:rFonts w:ascii="Cambria" w:hAnsi="Cambria"/>
          <w:sz w:val="24"/>
          <w:szCs w:val="24"/>
          <w:shd w:val="clear" w:color="auto" w:fill="FFFFFF"/>
        </w:rPr>
        <w:t xml:space="preserve"> od impulsu</w:t>
      </w:r>
      <w:r w:rsidR="00C03639">
        <w:rPr>
          <w:rFonts w:ascii="Cambria" w:hAnsi="Cambria"/>
          <w:sz w:val="24"/>
          <w:szCs w:val="24"/>
          <w:shd w:val="clear" w:color="auto" w:fill="FFFFFF"/>
        </w:rPr>
        <w:t>.</w:t>
      </w:r>
      <w:r w:rsidR="00C03639">
        <w:rPr>
          <w:rStyle w:val="Znakapoznpodarou"/>
          <w:rFonts w:ascii="Cambria" w:hAnsi="Cambria"/>
          <w:sz w:val="24"/>
          <w:szCs w:val="24"/>
          <w:shd w:val="clear" w:color="auto" w:fill="FFFFFF"/>
        </w:rPr>
        <w:footnoteReference w:id="28"/>
      </w:r>
      <w:r w:rsidR="00554669" w:rsidRPr="00661F79">
        <w:rPr>
          <w:rFonts w:ascii="Cambria" w:hAnsi="Cambria"/>
          <w:sz w:val="24"/>
          <w:szCs w:val="24"/>
          <w:shd w:val="clear" w:color="auto" w:fill="FFFFFF"/>
        </w:rPr>
        <w:t xml:space="preserve"> </w:t>
      </w:r>
      <w:r w:rsidRPr="00661F79">
        <w:rPr>
          <w:rFonts w:ascii="Cambria" w:hAnsi="Cambria"/>
          <w:sz w:val="24"/>
          <w:szCs w:val="24"/>
          <w:shd w:val="clear" w:color="auto" w:fill="FFFFFF"/>
        </w:rPr>
        <w:t xml:space="preserve">Znamená to, že pokud se objeví negativní ropný šok, očekává se růst HDP České republiky. Avšak interval spolehlivosti zahrnuje též nulu ve všech obdobích, což implikuje, že </w:t>
      </w:r>
      <w:bookmarkStart w:id="62" w:name="_Hlk61075345"/>
      <w:r w:rsidRPr="00661F79">
        <w:rPr>
          <w:rFonts w:ascii="Cambria" w:hAnsi="Cambria"/>
          <w:sz w:val="24"/>
          <w:szCs w:val="24"/>
          <w:shd w:val="clear" w:color="auto" w:fill="FFFFFF"/>
        </w:rPr>
        <w:t>jednotkový šok v ceně ropy by se v HDP vůbec nemusel projevit</w:t>
      </w:r>
      <w:bookmarkEnd w:id="62"/>
      <w:r w:rsidRPr="00661F79">
        <w:rPr>
          <w:rFonts w:ascii="Cambria" w:hAnsi="Cambria"/>
          <w:sz w:val="24"/>
          <w:szCs w:val="24"/>
          <w:shd w:val="clear" w:color="auto" w:fill="FFFFFF"/>
        </w:rPr>
        <w:t>. Funkce impulsní odezvy indexu spotřebitelských cen</w:t>
      </w:r>
      <w:r w:rsidR="00C73167">
        <w:rPr>
          <w:rFonts w:ascii="Cambria" w:hAnsi="Cambria"/>
          <w:sz w:val="24"/>
          <w:szCs w:val="24"/>
          <w:shd w:val="clear" w:color="auto" w:fill="FFFFFF"/>
        </w:rPr>
        <w:t xml:space="preserve"> ukazuje</w:t>
      </w:r>
      <w:r w:rsidRPr="00661F79">
        <w:rPr>
          <w:rFonts w:ascii="Cambria" w:hAnsi="Cambria"/>
          <w:sz w:val="24"/>
          <w:szCs w:val="24"/>
          <w:shd w:val="clear" w:color="auto" w:fill="FFFFFF"/>
        </w:rPr>
        <w:t>, že jednotkový šok v cenách ropy zvyšuje index spotřebitelských cen od 1. do 9. období</w:t>
      </w:r>
      <w:r w:rsidR="006172BF" w:rsidRPr="00661F79">
        <w:rPr>
          <w:rFonts w:ascii="Cambria" w:hAnsi="Cambria"/>
          <w:sz w:val="24"/>
          <w:szCs w:val="24"/>
          <w:shd w:val="clear" w:color="auto" w:fill="FFFFFF"/>
        </w:rPr>
        <w:t xml:space="preserve"> (od 1. do 9. měsíce</w:t>
      </w:r>
      <w:r w:rsidR="00C73167">
        <w:rPr>
          <w:rFonts w:ascii="Cambria" w:hAnsi="Cambria"/>
          <w:sz w:val="24"/>
          <w:szCs w:val="24"/>
          <w:shd w:val="clear" w:color="auto" w:fill="FFFFFF"/>
        </w:rPr>
        <w:t xml:space="preserve"> v pořadí od impulsu</w:t>
      </w:r>
      <w:r w:rsidR="006172BF" w:rsidRPr="00661F79">
        <w:rPr>
          <w:rFonts w:ascii="Cambria" w:hAnsi="Cambria"/>
          <w:sz w:val="24"/>
          <w:szCs w:val="24"/>
          <w:shd w:val="clear" w:color="auto" w:fill="FFFFFF"/>
        </w:rPr>
        <w:t>)</w:t>
      </w:r>
      <w:r w:rsidRPr="00661F79">
        <w:rPr>
          <w:rFonts w:ascii="Cambria" w:hAnsi="Cambria"/>
          <w:sz w:val="24"/>
          <w:szCs w:val="24"/>
          <w:shd w:val="clear" w:color="auto" w:fill="FFFFFF"/>
        </w:rPr>
        <w:t>.</w:t>
      </w:r>
      <w:r w:rsidR="00C91CA0">
        <w:rPr>
          <w:rStyle w:val="Znakapoznpodarou"/>
          <w:rFonts w:ascii="Cambria" w:hAnsi="Cambria"/>
          <w:sz w:val="24"/>
          <w:szCs w:val="24"/>
          <w:shd w:val="clear" w:color="auto" w:fill="FFFFFF"/>
        </w:rPr>
        <w:footnoteReference w:id="29"/>
      </w:r>
      <w:r w:rsidRPr="00661F79">
        <w:rPr>
          <w:rFonts w:ascii="Cambria" w:hAnsi="Cambria"/>
          <w:sz w:val="24"/>
          <w:szCs w:val="24"/>
          <w:shd w:val="clear" w:color="auto" w:fill="FFFFFF"/>
        </w:rPr>
        <w:t xml:space="preserve"> Znamená to, že pokud dojde k šoku v ceně ropy, klesá index spotřebitelských cen České republiky a tento efekt trvá po deset období</w:t>
      </w:r>
      <w:r w:rsidR="00C73167">
        <w:rPr>
          <w:rFonts w:ascii="Cambria" w:hAnsi="Cambria"/>
          <w:sz w:val="24"/>
          <w:szCs w:val="24"/>
          <w:shd w:val="clear" w:color="auto" w:fill="FFFFFF"/>
        </w:rPr>
        <w:t xml:space="preserve"> (měsíců v pořadí od impulsu)</w:t>
      </w:r>
      <w:r w:rsidRPr="00661F79">
        <w:rPr>
          <w:rFonts w:ascii="Cambria" w:hAnsi="Cambria"/>
          <w:sz w:val="24"/>
          <w:szCs w:val="24"/>
          <w:shd w:val="clear" w:color="auto" w:fill="FFFFFF"/>
        </w:rPr>
        <w:t xml:space="preserve">. Poté se očekává růst tohoto indexu a následně jeho pokles. Interval spolehlivosti je pro první čtyři období </w:t>
      </w:r>
      <w:r w:rsidR="006172BF" w:rsidRPr="00661F79">
        <w:rPr>
          <w:rFonts w:ascii="Cambria" w:hAnsi="Cambria"/>
          <w:sz w:val="24"/>
          <w:szCs w:val="24"/>
          <w:shd w:val="clear" w:color="auto" w:fill="FFFFFF"/>
        </w:rPr>
        <w:t xml:space="preserve">(měsíce) </w:t>
      </w:r>
      <w:r w:rsidRPr="00661F79">
        <w:rPr>
          <w:rFonts w:ascii="Cambria" w:hAnsi="Cambria"/>
          <w:sz w:val="24"/>
          <w:szCs w:val="24"/>
          <w:shd w:val="clear" w:color="auto" w:fill="FFFFFF"/>
        </w:rPr>
        <w:t xml:space="preserve">nad nulou, což znamená, že jednotkový negativní šok v ceně ropy způsobí, že index spotřebitelských cen poklesne s 95% pravděpodobností. Avšak od 4. období </w:t>
      </w:r>
      <w:r w:rsidR="006172BF" w:rsidRPr="00661F79">
        <w:rPr>
          <w:rFonts w:ascii="Cambria" w:hAnsi="Cambria"/>
          <w:sz w:val="24"/>
          <w:szCs w:val="24"/>
          <w:shd w:val="clear" w:color="auto" w:fill="FFFFFF"/>
        </w:rPr>
        <w:t>(od 4. měsíce</w:t>
      </w:r>
      <w:r w:rsidR="00C73167">
        <w:rPr>
          <w:rFonts w:ascii="Cambria" w:hAnsi="Cambria"/>
          <w:sz w:val="24"/>
          <w:szCs w:val="24"/>
          <w:shd w:val="clear" w:color="auto" w:fill="FFFFFF"/>
        </w:rPr>
        <w:t xml:space="preserve"> v pořadí od impulsu</w:t>
      </w:r>
      <w:r w:rsidR="006172BF" w:rsidRPr="00661F79">
        <w:rPr>
          <w:rFonts w:ascii="Cambria" w:hAnsi="Cambria"/>
          <w:sz w:val="24"/>
          <w:szCs w:val="24"/>
          <w:shd w:val="clear" w:color="auto" w:fill="FFFFFF"/>
        </w:rPr>
        <w:t xml:space="preserve">) </w:t>
      </w:r>
      <w:r w:rsidRPr="00661F79">
        <w:rPr>
          <w:rFonts w:ascii="Cambria" w:hAnsi="Cambria"/>
          <w:sz w:val="24"/>
          <w:szCs w:val="24"/>
          <w:shd w:val="clear" w:color="auto" w:fill="FFFFFF"/>
        </w:rPr>
        <w:t xml:space="preserve">již interval </w:t>
      </w:r>
      <w:r w:rsidRPr="00661F79">
        <w:rPr>
          <w:rFonts w:ascii="Cambria" w:hAnsi="Cambria"/>
          <w:sz w:val="24"/>
          <w:szCs w:val="24"/>
          <w:shd w:val="clear" w:color="auto" w:fill="FFFFFF"/>
        </w:rPr>
        <w:lastRenderedPageBreak/>
        <w:t>spolehlivosti zahrnuje rovněž nulu (a tedy jednotkový šok v ceně ropy by se v indexu spotřebitelských cen vůbec nemusel projevit).</w:t>
      </w:r>
    </w:p>
    <w:p w14:paraId="6F3F08BF" w14:textId="61A49B90" w:rsidR="00D37FF8" w:rsidRPr="00EF2749" w:rsidRDefault="005A3F38" w:rsidP="00AA07AF">
      <w:pPr>
        <w:spacing w:after="100" w:afterAutospacing="1" w:line="240" w:lineRule="auto"/>
        <w:ind w:firstLine="708"/>
        <w:jc w:val="both"/>
        <w:rPr>
          <w:rFonts w:ascii="Cambria" w:hAnsi="Cambria" w:cstheme="minorHAnsi"/>
          <w:sz w:val="24"/>
          <w:szCs w:val="24"/>
        </w:rPr>
      </w:pPr>
      <w:r>
        <w:rPr>
          <w:sz w:val="24"/>
          <w:szCs w:val="24"/>
        </w:rPr>
        <w:t>Politické d</w:t>
      </w:r>
      <w:r w:rsidR="00D37FF8">
        <w:rPr>
          <w:sz w:val="24"/>
          <w:szCs w:val="24"/>
        </w:rPr>
        <w:t xml:space="preserve">opady ropného cenového šoku </w:t>
      </w:r>
      <w:r w:rsidR="00125D14">
        <w:rPr>
          <w:sz w:val="24"/>
          <w:szCs w:val="24"/>
        </w:rPr>
        <w:t xml:space="preserve">na ČR </w:t>
      </w:r>
      <w:r w:rsidR="00D37FF8">
        <w:rPr>
          <w:sz w:val="24"/>
          <w:szCs w:val="24"/>
        </w:rPr>
        <w:t>můžeme sledovat v krátkodobém i delším časovém horizontu.</w:t>
      </w:r>
      <w:r w:rsidR="00D37FF8" w:rsidRPr="00EC5002">
        <w:rPr>
          <w:sz w:val="24"/>
          <w:szCs w:val="24"/>
        </w:rPr>
        <w:t xml:space="preserve"> V krátkodobém horizontu by mohla být situace využita jako příležitosti ke zvýšení energetické bezpečnosti.</w:t>
      </w:r>
      <w:r w:rsidR="00D37FF8">
        <w:rPr>
          <w:sz w:val="24"/>
          <w:szCs w:val="24"/>
        </w:rPr>
        <w:t xml:space="preserve"> </w:t>
      </w:r>
      <w:r w:rsidR="00D37FF8" w:rsidRPr="001A085D">
        <w:rPr>
          <w:rFonts w:ascii="Cambria" w:hAnsi="Cambria" w:cstheme="minorHAnsi"/>
          <w:sz w:val="24"/>
          <w:szCs w:val="24"/>
        </w:rPr>
        <w:t>Nízké ceny ropy mohou podpořit tuzemské zpracování ropy a výrobu rafinérských produktů</w:t>
      </w:r>
      <w:r w:rsidR="00940953">
        <w:rPr>
          <w:rFonts w:ascii="Cambria" w:hAnsi="Cambria" w:cstheme="minorHAnsi"/>
          <w:sz w:val="24"/>
          <w:szCs w:val="24"/>
        </w:rPr>
        <w:t>,</w:t>
      </w:r>
      <w:r w:rsidR="00D37FF8" w:rsidRPr="001A085D">
        <w:rPr>
          <w:rFonts w:ascii="Cambria" w:hAnsi="Cambria" w:cstheme="minorHAnsi"/>
          <w:sz w:val="24"/>
          <w:szCs w:val="24"/>
        </w:rPr>
        <w:t xml:space="preserve"> snížit tak podíl dovozů do ČR a zároveň vytvořit podmínky pro rozvoj exportu.</w:t>
      </w:r>
      <w:r w:rsidR="00D37FF8">
        <w:rPr>
          <w:rFonts w:ascii="Cambria" w:hAnsi="Cambria" w:cstheme="minorHAnsi"/>
          <w:sz w:val="24"/>
          <w:szCs w:val="24"/>
        </w:rPr>
        <w:t xml:space="preserve"> Dále n</w:t>
      </w:r>
      <w:r w:rsidR="00D37FF8" w:rsidRPr="00EF2749">
        <w:rPr>
          <w:rFonts w:ascii="Cambria" w:hAnsi="Cambria" w:cstheme="minorHAnsi"/>
          <w:sz w:val="24"/>
          <w:szCs w:val="24"/>
        </w:rPr>
        <w:t>ízké ceny ropy poskytují ideální příležitost nejen pro doplnění nouzových zásob ropy a ropných produktů na požadovaných 90 dní</w:t>
      </w:r>
      <w:r w:rsidR="00940953">
        <w:rPr>
          <w:rStyle w:val="Znakapoznpodarou"/>
          <w:rFonts w:ascii="Cambria" w:hAnsi="Cambria" w:cstheme="minorHAnsi"/>
          <w:sz w:val="24"/>
          <w:szCs w:val="24"/>
        </w:rPr>
        <w:footnoteReference w:id="30"/>
      </w:r>
      <w:r w:rsidR="00D37FF8" w:rsidRPr="00EF2749">
        <w:rPr>
          <w:rFonts w:ascii="Cambria" w:hAnsi="Cambria" w:cstheme="minorHAnsi"/>
          <w:sz w:val="24"/>
          <w:szCs w:val="24"/>
        </w:rPr>
        <w:t>, ale i k zvyšování úrovně těchto zásob až na 120 dnů čistých dovozů</w:t>
      </w:r>
      <w:r w:rsidR="00D37FF8">
        <w:rPr>
          <w:rFonts w:ascii="Cambria" w:hAnsi="Cambria" w:cstheme="minorHAnsi"/>
          <w:sz w:val="24"/>
          <w:szCs w:val="24"/>
        </w:rPr>
        <w:t xml:space="preserve"> (jako jeden z cílů</w:t>
      </w:r>
      <w:r w:rsidR="00F01115" w:rsidRPr="000875F4">
        <w:rPr>
          <w:rFonts w:ascii="Cambria" w:hAnsi="Cambria" w:cstheme="minorHAnsi"/>
          <w:sz w:val="24"/>
          <w:szCs w:val="24"/>
        </w:rPr>
        <w:t xml:space="preserve"> Aktualizované státní energetick</w:t>
      </w:r>
      <w:r w:rsidR="00F01115">
        <w:rPr>
          <w:rFonts w:ascii="Cambria" w:hAnsi="Cambria" w:cstheme="minorHAnsi"/>
          <w:iCs/>
          <w:sz w:val="24"/>
          <w:szCs w:val="24"/>
        </w:rPr>
        <w:t>é</w:t>
      </w:r>
      <w:r w:rsidR="00F01115" w:rsidRPr="000875F4">
        <w:rPr>
          <w:rFonts w:ascii="Cambria" w:hAnsi="Cambria" w:cstheme="minorHAnsi"/>
          <w:sz w:val="24"/>
          <w:szCs w:val="24"/>
        </w:rPr>
        <w:t xml:space="preserve"> koncepce</w:t>
      </w:r>
      <w:r w:rsidR="000875F4">
        <w:rPr>
          <w:rFonts w:ascii="Cambria" w:hAnsi="Cambria" w:cstheme="minorHAnsi"/>
          <w:sz w:val="24"/>
          <w:szCs w:val="24"/>
        </w:rPr>
        <w:t xml:space="preserve">, </w:t>
      </w:r>
      <w:r w:rsidR="00F01115" w:rsidRPr="000875F4">
        <w:rPr>
          <w:rFonts w:ascii="Cambria" w:hAnsi="Cambria" w:cstheme="minorHAnsi"/>
          <w:sz w:val="24"/>
          <w:szCs w:val="24"/>
        </w:rPr>
        <w:t>ASEK</w:t>
      </w:r>
      <w:r w:rsidR="00D37FF8">
        <w:rPr>
          <w:rFonts w:ascii="Cambria" w:hAnsi="Cambria" w:cstheme="minorHAnsi"/>
          <w:sz w:val="24"/>
          <w:szCs w:val="24"/>
        </w:rPr>
        <w:t>)</w:t>
      </w:r>
      <w:r w:rsidR="00D37FF8" w:rsidRPr="00EF2749">
        <w:rPr>
          <w:rFonts w:ascii="Cambria" w:hAnsi="Cambria" w:cstheme="minorHAnsi"/>
          <w:sz w:val="24"/>
          <w:szCs w:val="24"/>
        </w:rPr>
        <w:t>. S ohledem na délku výběrového řízení a očekávan</w:t>
      </w:r>
      <w:r w:rsidR="00D37FF8">
        <w:rPr>
          <w:rFonts w:ascii="Cambria" w:hAnsi="Cambria" w:cstheme="minorHAnsi"/>
          <w:sz w:val="24"/>
          <w:szCs w:val="24"/>
        </w:rPr>
        <w:t>ým</w:t>
      </w:r>
      <w:r w:rsidR="00D37FF8" w:rsidRPr="00EF2749">
        <w:rPr>
          <w:rFonts w:ascii="Cambria" w:hAnsi="Cambria" w:cstheme="minorHAnsi"/>
          <w:sz w:val="24"/>
          <w:szCs w:val="24"/>
        </w:rPr>
        <w:t xml:space="preserve"> </w:t>
      </w:r>
      <w:r w:rsidR="00D37FF8">
        <w:rPr>
          <w:rFonts w:ascii="Cambria" w:hAnsi="Cambria" w:cstheme="minorHAnsi"/>
          <w:sz w:val="24"/>
          <w:szCs w:val="24"/>
        </w:rPr>
        <w:t xml:space="preserve">pozvolným </w:t>
      </w:r>
      <w:r w:rsidR="00D37FF8" w:rsidRPr="00EF2749">
        <w:rPr>
          <w:rFonts w:ascii="Cambria" w:hAnsi="Cambria" w:cstheme="minorHAnsi"/>
          <w:sz w:val="24"/>
          <w:szCs w:val="24"/>
        </w:rPr>
        <w:t>růst</w:t>
      </w:r>
      <w:r w:rsidR="00D37FF8">
        <w:rPr>
          <w:rFonts w:ascii="Cambria" w:hAnsi="Cambria" w:cstheme="minorHAnsi"/>
          <w:sz w:val="24"/>
          <w:szCs w:val="24"/>
        </w:rPr>
        <w:t>em</w:t>
      </w:r>
      <w:r w:rsidR="00D37FF8" w:rsidRPr="00EF2749">
        <w:rPr>
          <w:rFonts w:ascii="Cambria" w:hAnsi="Cambria" w:cstheme="minorHAnsi"/>
          <w:sz w:val="24"/>
          <w:szCs w:val="24"/>
        </w:rPr>
        <w:t xml:space="preserve"> cen</w:t>
      </w:r>
      <w:r w:rsidR="00D37FF8">
        <w:rPr>
          <w:rFonts w:ascii="Cambria" w:hAnsi="Cambria" w:cstheme="minorHAnsi"/>
          <w:sz w:val="24"/>
          <w:szCs w:val="24"/>
        </w:rPr>
        <w:t xml:space="preserve"> ropy v budoucnu</w:t>
      </w:r>
      <w:r w:rsidR="00D37FF8" w:rsidRPr="00EF2749">
        <w:rPr>
          <w:rFonts w:ascii="Cambria" w:hAnsi="Cambria" w:cstheme="minorHAnsi"/>
          <w:sz w:val="24"/>
          <w:szCs w:val="24"/>
        </w:rPr>
        <w:t xml:space="preserve"> je potřeba co nejrychlejšího rozhodnutí Vlády ČR.</w:t>
      </w:r>
    </w:p>
    <w:p w14:paraId="603F70F6" w14:textId="14883687" w:rsidR="00D37FF8" w:rsidRDefault="00D37FF8" w:rsidP="00AA07AF">
      <w:pPr>
        <w:spacing w:after="100" w:afterAutospacing="1" w:line="240" w:lineRule="auto"/>
        <w:ind w:firstLine="708"/>
        <w:jc w:val="both"/>
        <w:rPr>
          <w:rFonts w:ascii="Cambria" w:hAnsi="Cambria" w:cstheme="minorHAnsi"/>
          <w:sz w:val="24"/>
          <w:szCs w:val="24"/>
        </w:rPr>
      </w:pPr>
      <w:r>
        <w:rPr>
          <w:sz w:val="24"/>
          <w:szCs w:val="24"/>
        </w:rPr>
        <w:t xml:space="preserve">Co se týče střednědobého a dlouhodobého horizontu, je nutné respektovat skutečnost, že </w:t>
      </w:r>
      <w:r>
        <w:rPr>
          <w:rFonts w:ascii="Cambria" w:hAnsi="Cambria" w:cstheme="minorHAnsi"/>
          <w:sz w:val="24"/>
          <w:szCs w:val="24"/>
        </w:rPr>
        <w:t>r</w:t>
      </w:r>
      <w:r w:rsidRPr="009E4745">
        <w:rPr>
          <w:rFonts w:ascii="Cambria" w:hAnsi="Cambria" w:cstheme="minorHAnsi"/>
          <w:sz w:val="24"/>
          <w:szCs w:val="24"/>
        </w:rPr>
        <w:t>opa a ropné produkty jsou a budou i nadále významným zdrojem energie. I přes rostoucí podíl alternativních zdrojů v </w:t>
      </w:r>
      <w:r w:rsidRPr="000875F4">
        <w:rPr>
          <w:rFonts w:ascii="Cambria" w:hAnsi="Cambria" w:cstheme="minorHAnsi"/>
          <w:sz w:val="24"/>
          <w:szCs w:val="24"/>
        </w:rPr>
        <w:t>dopravě (OZE a zemní</w:t>
      </w:r>
      <w:r w:rsidRPr="009E4745">
        <w:rPr>
          <w:rFonts w:ascii="Cambria" w:hAnsi="Cambria" w:cstheme="minorHAnsi"/>
          <w:sz w:val="24"/>
          <w:szCs w:val="24"/>
        </w:rPr>
        <w:t xml:space="preserve"> plyn), </w:t>
      </w:r>
      <w:r w:rsidRPr="009E4745">
        <w:rPr>
          <w:rFonts w:ascii="Cambria" w:hAnsi="Cambria" w:cs="Times New Roman"/>
          <w:sz w:val="24"/>
          <w:szCs w:val="24"/>
        </w:rPr>
        <w:t xml:space="preserve">Vnitrostátní plán České republiky v oblasti energetiky a klimatu </w:t>
      </w:r>
      <w:r w:rsidR="001833B4">
        <w:rPr>
          <w:rFonts w:ascii="Cambria" w:hAnsi="Cambria" w:cs="Times New Roman"/>
          <w:sz w:val="24"/>
          <w:szCs w:val="24"/>
        </w:rPr>
        <w:t xml:space="preserve">přijatý v roce 2020 </w:t>
      </w:r>
      <w:r w:rsidRPr="009E4745">
        <w:rPr>
          <w:rFonts w:ascii="Cambria" w:hAnsi="Cambria" w:cstheme="minorHAnsi"/>
          <w:sz w:val="24"/>
          <w:szCs w:val="24"/>
        </w:rPr>
        <w:t>očekává do roku 2030 téměř neměnnou spotřebu (celkem asi 370 PJ) na úrovni přibližně 20 % primárních energetických zdrojů. V dopravě je projektována taktéž téměř konzistentní spotřeba do roku 2030, a to kolem 250 PJ.</w:t>
      </w:r>
      <w:r>
        <w:rPr>
          <w:rFonts w:ascii="Cambria" w:hAnsi="Cambria" w:cstheme="minorHAnsi"/>
          <w:sz w:val="24"/>
          <w:szCs w:val="24"/>
        </w:rPr>
        <w:t xml:space="preserve"> </w:t>
      </w:r>
      <w:r w:rsidRPr="009E4745">
        <w:rPr>
          <w:rFonts w:ascii="Cambria" w:hAnsi="Cambria" w:cstheme="minorHAnsi"/>
          <w:sz w:val="24"/>
          <w:szCs w:val="24"/>
        </w:rPr>
        <w:t xml:space="preserve">Pokud by se nenaplnily scénáře predikující v následujících letech návrat k normálu (viz </w:t>
      </w:r>
      <w:r w:rsidR="00940953">
        <w:rPr>
          <w:rFonts w:ascii="Cambria" w:hAnsi="Cambria" w:cstheme="minorHAnsi"/>
          <w:sz w:val="24"/>
          <w:szCs w:val="24"/>
        </w:rPr>
        <w:t>g</w:t>
      </w:r>
      <w:r w:rsidRPr="009E4745">
        <w:rPr>
          <w:rFonts w:ascii="Cambria" w:hAnsi="Cambria" w:cstheme="minorHAnsi"/>
          <w:sz w:val="24"/>
          <w:szCs w:val="24"/>
        </w:rPr>
        <w:t xml:space="preserve">raf </w:t>
      </w:r>
      <w:r w:rsidR="00940953">
        <w:rPr>
          <w:rFonts w:ascii="Cambria" w:hAnsi="Cambria" w:cstheme="minorHAnsi"/>
          <w:sz w:val="24"/>
          <w:szCs w:val="24"/>
        </w:rPr>
        <w:t>3</w:t>
      </w:r>
      <w:r w:rsidRPr="009E4745">
        <w:rPr>
          <w:rFonts w:ascii="Cambria" w:hAnsi="Cambria" w:cstheme="minorHAnsi"/>
          <w:sz w:val="24"/>
          <w:szCs w:val="24"/>
        </w:rPr>
        <w:t>), nízké ceny ropy by mohly negativně dopadat na chování</w:t>
      </w:r>
      <w:r w:rsidR="000875F4">
        <w:rPr>
          <w:rFonts w:ascii="Cambria" w:hAnsi="Cambria" w:cstheme="minorHAnsi"/>
          <w:sz w:val="24"/>
          <w:szCs w:val="24"/>
        </w:rPr>
        <w:t xml:space="preserve"> </w:t>
      </w:r>
      <w:r w:rsidR="000875F4" w:rsidRPr="009E4745">
        <w:rPr>
          <w:rFonts w:ascii="Cambria" w:hAnsi="Cambria" w:cstheme="minorHAnsi"/>
          <w:sz w:val="24"/>
          <w:szCs w:val="24"/>
        </w:rPr>
        <w:t>spotřebitel</w:t>
      </w:r>
      <w:r w:rsidR="000875F4">
        <w:rPr>
          <w:rFonts w:ascii="Cambria" w:hAnsi="Cambria" w:cstheme="minorHAnsi"/>
          <w:sz w:val="24"/>
          <w:szCs w:val="24"/>
        </w:rPr>
        <w:t>ů</w:t>
      </w:r>
      <w:r w:rsidRPr="009E4745">
        <w:rPr>
          <w:rFonts w:ascii="Cambria" w:hAnsi="Cambria" w:cstheme="minorHAnsi"/>
          <w:sz w:val="24"/>
          <w:szCs w:val="24"/>
        </w:rPr>
        <w:t xml:space="preserve"> a zkomplikovat tak plnění národních dekarbonizačních cílů v dopravě, tedy v jednom ze sektorů mimo </w:t>
      </w:r>
      <w:r w:rsidR="001833B4" w:rsidRPr="000875F4">
        <w:rPr>
          <w:rFonts w:ascii="Cambria" w:hAnsi="Cambria" w:cstheme="minorHAnsi"/>
          <w:sz w:val="24"/>
          <w:szCs w:val="24"/>
        </w:rPr>
        <w:t xml:space="preserve">systém emisního obchodování </w:t>
      </w:r>
      <w:proofErr w:type="spellStart"/>
      <w:r w:rsidR="001833B4" w:rsidRPr="000875F4">
        <w:rPr>
          <w:rFonts w:ascii="Cambria" w:hAnsi="Cambria" w:cstheme="minorHAnsi"/>
          <w:sz w:val="24"/>
          <w:szCs w:val="24"/>
        </w:rPr>
        <w:t>European</w:t>
      </w:r>
      <w:proofErr w:type="spellEnd"/>
      <w:r w:rsidR="001833B4" w:rsidRPr="000875F4">
        <w:rPr>
          <w:rFonts w:ascii="Cambria" w:hAnsi="Cambria" w:cstheme="minorHAnsi"/>
          <w:sz w:val="24"/>
          <w:szCs w:val="24"/>
        </w:rPr>
        <w:t xml:space="preserve"> Union </w:t>
      </w:r>
      <w:proofErr w:type="spellStart"/>
      <w:r w:rsidR="001833B4" w:rsidRPr="000875F4">
        <w:rPr>
          <w:rFonts w:ascii="Cambria" w:hAnsi="Cambria" w:cstheme="minorHAnsi"/>
          <w:sz w:val="24"/>
          <w:szCs w:val="24"/>
        </w:rPr>
        <w:t>Emission</w:t>
      </w:r>
      <w:proofErr w:type="spellEnd"/>
      <w:r w:rsidR="001833B4" w:rsidRPr="000875F4">
        <w:rPr>
          <w:rFonts w:ascii="Cambria" w:hAnsi="Cambria" w:cstheme="minorHAnsi"/>
          <w:sz w:val="24"/>
          <w:szCs w:val="24"/>
        </w:rPr>
        <w:t xml:space="preserve"> </w:t>
      </w:r>
      <w:proofErr w:type="spellStart"/>
      <w:r w:rsidR="001833B4" w:rsidRPr="000875F4">
        <w:rPr>
          <w:rFonts w:ascii="Cambria" w:hAnsi="Cambria" w:cstheme="minorHAnsi"/>
          <w:sz w:val="24"/>
          <w:szCs w:val="24"/>
        </w:rPr>
        <w:t>Trading</w:t>
      </w:r>
      <w:proofErr w:type="spellEnd"/>
      <w:r w:rsidR="001833B4" w:rsidRPr="000875F4">
        <w:rPr>
          <w:rFonts w:ascii="Cambria" w:hAnsi="Cambria" w:cstheme="minorHAnsi"/>
          <w:sz w:val="24"/>
          <w:szCs w:val="24"/>
        </w:rPr>
        <w:t xml:space="preserve"> </w:t>
      </w:r>
      <w:proofErr w:type="spellStart"/>
      <w:r w:rsidR="001833B4" w:rsidRPr="000875F4">
        <w:rPr>
          <w:rFonts w:ascii="Cambria" w:hAnsi="Cambria" w:cstheme="minorHAnsi"/>
          <w:sz w:val="24"/>
          <w:szCs w:val="24"/>
        </w:rPr>
        <w:t>Scheme</w:t>
      </w:r>
      <w:proofErr w:type="spellEnd"/>
      <w:r w:rsidR="001833B4" w:rsidRPr="000875F4" w:rsidDel="001833B4">
        <w:rPr>
          <w:rFonts w:ascii="Cambria" w:hAnsi="Cambria" w:cstheme="minorHAnsi"/>
          <w:sz w:val="24"/>
          <w:szCs w:val="24"/>
        </w:rPr>
        <w:t xml:space="preserve"> </w:t>
      </w:r>
      <w:r w:rsidR="001833B4" w:rsidRPr="000875F4">
        <w:rPr>
          <w:rFonts w:ascii="Cambria" w:hAnsi="Cambria" w:cstheme="minorHAnsi"/>
          <w:sz w:val="24"/>
          <w:szCs w:val="24"/>
        </w:rPr>
        <w:t>(EU ETS</w:t>
      </w:r>
      <w:r w:rsidR="000875F4">
        <w:rPr>
          <w:rFonts w:ascii="Cambria" w:hAnsi="Cambria" w:cstheme="minorHAnsi"/>
          <w:sz w:val="24"/>
          <w:szCs w:val="24"/>
        </w:rPr>
        <w:t>)</w:t>
      </w:r>
      <w:r w:rsidRPr="009E4745">
        <w:rPr>
          <w:rFonts w:ascii="Cambria" w:hAnsi="Cambria" w:cstheme="minorHAnsi"/>
          <w:sz w:val="24"/>
          <w:szCs w:val="24"/>
        </w:rPr>
        <w:t>.</w:t>
      </w:r>
      <w:r w:rsidR="000875F4">
        <w:rPr>
          <w:rStyle w:val="Znakapoznpodarou"/>
          <w:rFonts w:ascii="Cambria" w:hAnsi="Cambria" w:cstheme="minorHAnsi"/>
          <w:sz w:val="24"/>
          <w:szCs w:val="24"/>
        </w:rPr>
        <w:footnoteReference w:id="31"/>
      </w:r>
      <w:r w:rsidRPr="009E4745">
        <w:rPr>
          <w:rFonts w:ascii="Cambria" w:hAnsi="Cambria" w:cstheme="minorHAnsi"/>
          <w:sz w:val="24"/>
          <w:szCs w:val="24"/>
        </w:rPr>
        <w:t xml:space="preserve"> Tyto dopady by pak musel</w:t>
      </w:r>
      <w:r w:rsidR="002526CF">
        <w:rPr>
          <w:rFonts w:ascii="Cambria" w:hAnsi="Cambria" w:cstheme="minorHAnsi"/>
          <w:sz w:val="24"/>
          <w:szCs w:val="24"/>
        </w:rPr>
        <w:t>y</w:t>
      </w:r>
      <w:r w:rsidRPr="009E4745">
        <w:rPr>
          <w:rFonts w:ascii="Cambria" w:hAnsi="Cambria" w:cstheme="minorHAnsi"/>
          <w:sz w:val="24"/>
          <w:szCs w:val="24"/>
        </w:rPr>
        <w:t xml:space="preserve"> být reflektovány </w:t>
      </w:r>
      <w:r>
        <w:rPr>
          <w:rFonts w:ascii="Cambria" w:hAnsi="Cambria" w:cstheme="minorHAnsi"/>
          <w:sz w:val="24"/>
          <w:szCs w:val="24"/>
        </w:rPr>
        <w:t xml:space="preserve">v </w:t>
      </w:r>
      <w:r w:rsidRPr="009E4745">
        <w:rPr>
          <w:rFonts w:ascii="Cambria" w:hAnsi="Cambria" w:cstheme="minorHAnsi"/>
          <w:sz w:val="24"/>
          <w:szCs w:val="24"/>
        </w:rPr>
        <w:t>národních strategiích, legislativních a regulatorních opatřeních či fiskálních nástrojích ovlivňující úroveň konečné spotřeby energie.</w:t>
      </w:r>
    </w:p>
    <w:p w14:paraId="7CDD64A8" w14:textId="4A838B9D" w:rsidR="00D37FF8" w:rsidRPr="00683648" w:rsidRDefault="00D37FF8" w:rsidP="00683648">
      <w:pPr>
        <w:spacing w:after="100" w:afterAutospacing="1" w:line="240" w:lineRule="auto"/>
        <w:ind w:firstLine="708"/>
        <w:jc w:val="both"/>
        <w:rPr>
          <w:rFonts w:ascii="Cambria" w:hAnsi="Cambria" w:cstheme="minorHAnsi"/>
          <w:sz w:val="24"/>
          <w:szCs w:val="24"/>
          <w:highlight w:val="yellow"/>
        </w:rPr>
      </w:pPr>
      <w:r>
        <w:rPr>
          <w:sz w:val="24"/>
          <w:szCs w:val="24"/>
        </w:rPr>
        <w:t>Lze rovněž identifikovat dopad na vnější vztahy, přičemž pozornost se soustředí na bilaterální vztahy ČR s Ázerbájdžánem a Ruskem a následně rovněž vliv členství ČR v EU na v</w:t>
      </w:r>
      <w:r w:rsidR="00AA07AF">
        <w:rPr>
          <w:sz w:val="24"/>
          <w:szCs w:val="24"/>
        </w:rPr>
        <w:t>z</w:t>
      </w:r>
      <w:r>
        <w:rPr>
          <w:sz w:val="24"/>
          <w:szCs w:val="24"/>
        </w:rPr>
        <w:t xml:space="preserve">tahy s těmito zeměmi. </w:t>
      </w:r>
      <w:r w:rsidRPr="009E4745">
        <w:rPr>
          <w:rFonts w:ascii="Cambria" w:hAnsi="Cambria" w:cstheme="minorHAnsi"/>
          <w:sz w:val="24"/>
          <w:szCs w:val="24"/>
        </w:rPr>
        <w:t xml:space="preserve">Propad cen ropy může </w:t>
      </w:r>
      <w:r w:rsidR="00AA07AF">
        <w:rPr>
          <w:rFonts w:ascii="Cambria" w:hAnsi="Cambria" w:cstheme="minorHAnsi"/>
          <w:sz w:val="24"/>
          <w:szCs w:val="24"/>
        </w:rPr>
        <w:t>ovlivnit</w:t>
      </w:r>
      <w:r w:rsidRPr="009E4745">
        <w:rPr>
          <w:rFonts w:ascii="Cambria" w:hAnsi="Cambria" w:cstheme="minorHAnsi"/>
          <w:sz w:val="24"/>
          <w:szCs w:val="24"/>
        </w:rPr>
        <w:t xml:space="preserve"> především</w:t>
      </w:r>
      <w:r w:rsidR="002526CF">
        <w:rPr>
          <w:rFonts w:ascii="Cambria" w:hAnsi="Cambria" w:cstheme="minorHAnsi"/>
          <w:sz w:val="24"/>
          <w:szCs w:val="24"/>
        </w:rPr>
        <w:t xml:space="preserve"> </w:t>
      </w:r>
      <w:r w:rsidRPr="009E4745">
        <w:rPr>
          <w:rFonts w:ascii="Cambria" w:hAnsi="Cambria" w:cstheme="minorHAnsi"/>
          <w:sz w:val="24"/>
          <w:szCs w:val="24"/>
        </w:rPr>
        <w:t xml:space="preserve">obchodní </w:t>
      </w:r>
      <w:r w:rsidRPr="00683648">
        <w:rPr>
          <w:rFonts w:ascii="Cambria" w:hAnsi="Cambria" w:cstheme="minorHAnsi"/>
          <w:sz w:val="24"/>
          <w:szCs w:val="24"/>
        </w:rPr>
        <w:t xml:space="preserve">vztahy. </w:t>
      </w:r>
      <w:r w:rsidR="00683648" w:rsidRPr="00683648">
        <w:rPr>
          <w:rFonts w:ascii="Cambria" w:hAnsi="Cambria" w:cstheme="minorHAnsi"/>
          <w:sz w:val="24"/>
          <w:szCs w:val="24"/>
        </w:rPr>
        <w:t>Obchodní bilance ČR s Ázerbájdžánem i RF je pasivní,</w:t>
      </w:r>
      <w:r w:rsidR="00683648" w:rsidRPr="00683648">
        <w:rPr>
          <w:rStyle w:val="Znakapoznpodarou"/>
          <w:rFonts w:ascii="Cambria" w:hAnsi="Cambria" w:cstheme="minorHAnsi"/>
          <w:sz w:val="24"/>
          <w:szCs w:val="24"/>
        </w:rPr>
        <w:footnoteReference w:id="32"/>
      </w:r>
      <w:r w:rsidR="00683648" w:rsidRPr="00683648">
        <w:rPr>
          <w:rFonts w:ascii="Cambria" w:hAnsi="Cambria" w:cstheme="minorHAnsi"/>
          <w:sz w:val="24"/>
          <w:szCs w:val="24"/>
        </w:rPr>
        <w:t xml:space="preserve"> přičemž ropa a ropné produkty jsou samozřejmě hlavním importním artiklem.</w:t>
      </w:r>
      <w:r w:rsidR="00683648" w:rsidRPr="00683648">
        <w:rPr>
          <w:rStyle w:val="Znakapoznpodarou"/>
          <w:rFonts w:ascii="Cambria" w:hAnsi="Cambria" w:cstheme="minorHAnsi"/>
          <w:sz w:val="24"/>
          <w:szCs w:val="24"/>
        </w:rPr>
        <w:footnoteReference w:id="33"/>
      </w:r>
      <w:r w:rsidR="00683648" w:rsidRPr="00683648">
        <w:rPr>
          <w:rFonts w:ascii="Cambria" w:hAnsi="Cambria" w:cstheme="minorHAnsi"/>
          <w:sz w:val="24"/>
          <w:szCs w:val="24"/>
        </w:rPr>
        <w:t xml:space="preserve"> </w:t>
      </w:r>
      <w:r w:rsidRPr="00683648">
        <w:rPr>
          <w:rFonts w:ascii="Cambria" w:hAnsi="Cambria" w:cstheme="minorHAnsi"/>
          <w:sz w:val="24"/>
          <w:szCs w:val="24"/>
        </w:rPr>
        <w:t xml:space="preserve"> Nízká cena ropy by na straně jedné mohla snížit záporné saldo česko-ázerbájdžánského/ruského obchodu. Na straně druhé by pokles v příjm</w:t>
      </w:r>
      <w:r w:rsidRPr="009E4745">
        <w:rPr>
          <w:rFonts w:ascii="Cambria" w:hAnsi="Cambria" w:cstheme="minorHAnsi"/>
          <w:sz w:val="24"/>
          <w:szCs w:val="24"/>
        </w:rPr>
        <w:t xml:space="preserve">ech mohl ohrozit investice, např. do velkých infrastrukturních projektů v Ázerbájdžánu, které jsou financovány z „ropných“ </w:t>
      </w:r>
      <w:r w:rsidR="00EF0F36" w:rsidRPr="009E4745">
        <w:rPr>
          <w:rFonts w:ascii="Cambria" w:hAnsi="Cambria" w:cstheme="minorHAnsi"/>
          <w:sz w:val="24"/>
          <w:szCs w:val="24"/>
        </w:rPr>
        <w:t>peně</w:t>
      </w:r>
      <w:r w:rsidR="00EF0F36">
        <w:rPr>
          <w:rFonts w:ascii="Cambria" w:hAnsi="Cambria" w:cstheme="minorHAnsi"/>
          <w:sz w:val="24"/>
          <w:szCs w:val="24"/>
        </w:rPr>
        <w:t>z</w:t>
      </w:r>
      <w:r w:rsidR="00EF0F36" w:rsidRPr="009E4745">
        <w:rPr>
          <w:rFonts w:ascii="Cambria" w:hAnsi="Cambria" w:cstheme="minorHAnsi"/>
          <w:sz w:val="24"/>
          <w:szCs w:val="24"/>
        </w:rPr>
        <w:t xml:space="preserve"> </w:t>
      </w:r>
      <w:r w:rsidRPr="009E4745">
        <w:rPr>
          <w:rFonts w:ascii="Cambria" w:hAnsi="Cambria" w:cstheme="minorHAnsi"/>
          <w:sz w:val="24"/>
          <w:szCs w:val="24"/>
        </w:rPr>
        <w:t>(silniční a železniční sítě, rafinérie, přístav a překladiště v </w:t>
      </w:r>
      <w:proofErr w:type="spellStart"/>
      <w:r w:rsidRPr="009E4745">
        <w:rPr>
          <w:rFonts w:ascii="Cambria" w:hAnsi="Cambria" w:cstheme="minorHAnsi"/>
          <w:sz w:val="24"/>
          <w:szCs w:val="24"/>
        </w:rPr>
        <w:t>Alatu</w:t>
      </w:r>
      <w:proofErr w:type="spellEnd"/>
      <w:r w:rsidRPr="009E4745">
        <w:rPr>
          <w:rFonts w:ascii="Cambria" w:hAnsi="Cambria" w:cstheme="minorHAnsi"/>
          <w:sz w:val="24"/>
          <w:szCs w:val="24"/>
        </w:rPr>
        <w:t xml:space="preserve"> či rozvoj metra v Baku)</w:t>
      </w:r>
      <w:r w:rsidR="002526CF">
        <w:rPr>
          <w:rFonts w:ascii="Cambria" w:hAnsi="Cambria" w:cstheme="minorHAnsi"/>
          <w:sz w:val="24"/>
          <w:szCs w:val="24"/>
        </w:rPr>
        <w:t>,</w:t>
      </w:r>
      <w:r w:rsidRPr="009E4745">
        <w:rPr>
          <w:rFonts w:ascii="Cambria" w:hAnsi="Cambria" w:cstheme="minorHAnsi"/>
          <w:sz w:val="24"/>
          <w:szCs w:val="24"/>
        </w:rPr>
        <w:t xml:space="preserve"> a tudíž i české firmy a jejich dodávky.</w:t>
      </w:r>
    </w:p>
    <w:p w14:paraId="546B7252" w14:textId="50D7CAB7" w:rsidR="00D37FF8" w:rsidRDefault="00D37FF8" w:rsidP="00AA07AF">
      <w:pPr>
        <w:spacing w:after="100" w:afterAutospacing="1" w:line="240" w:lineRule="auto"/>
        <w:ind w:firstLine="708"/>
        <w:jc w:val="both"/>
        <w:rPr>
          <w:rFonts w:ascii="Cambria" w:hAnsi="Cambria" w:cstheme="minorHAnsi"/>
          <w:sz w:val="24"/>
          <w:szCs w:val="24"/>
        </w:rPr>
      </w:pPr>
      <w:r w:rsidRPr="009E4745">
        <w:rPr>
          <w:rFonts w:ascii="Cambria" w:hAnsi="Cambria" w:cstheme="minorHAnsi"/>
          <w:sz w:val="24"/>
          <w:szCs w:val="24"/>
        </w:rPr>
        <w:t xml:space="preserve">Politické a ekonomické vztahy EU a Ázerbájdžánu jsou definovány v Dohodě o </w:t>
      </w:r>
      <w:r>
        <w:rPr>
          <w:rFonts w:ascii="Cambria" w:hAnsi="Cambria" w:cstheme="minorHAnsi"/>
          <w:sz w:val="24"/>
          <w:szCs w:val="24"/>
        </w:rPr>
        <w:t>p</w:t>
      </w:r>
      <w:r w:rsidRPr="009E4745">
        <w:rPr>
          <w:rFonts w:ascii="Cambria" w:hAnsi="Cambria" w:cstheme="minorHAnsi"/>
          <w:sz w:val="24"/>
          <w:szCs w:val="24"/>
        </w:rPr>
        <w:t xml:space="preserve">artnerství a </w:t>
      </w:r>
      <w:r>
        <w:rPr>
          <w:rFonts w:ascii="Cambria" w:hAnsi="Cambria" w:cstheme="minorHAnsi"/>
          <w:sz w:val="24"/>
          <w:szCs w:val="24"/>
        </w:rPr>
        <w:t>s</w:t>
      </w:r>
      <w:r w:rsidRPr="009E4745">
        <w:rPr>
          <w:rFonts w:ascii="Cambria" w:hAnsi="Cambria" w:cstheme="minorHAnsi"/>
          <w:sz w:val="24"/>
          <w:szCs w:val="24"/>
        </w:rPr>
        <w:t>polupráci</w:t>
      </w:r>
      <w:r w:rsidR="00AA07AF">
        <w:rPr>
          <w:rFonts w:ascii="Cambria" w:hAnsi="Cambria" w:cstheme="minorHAnsi"/>
          <w:sz w:val="24"/>
          <w:szCs w:val="24"/>
        </w:rPr>
        <w:t>.</w:t>
      </w:r>
      <w:r w:rsidRPr="009E4745">
        <w:rPr>
          <w:rFonts w:ascii="Cambria" w:hAnsi="Cambria" w:cstheme="minorHAnsi"/>
          <w:sz w:val="24"/>
          <w:szCs w:val="24"/>
        </w:rPr>
        <w:t xml:space="preserve"> </w:t>
      </w:r>
      <w:r w:rsidR="00AA07AF">
        <w:rPr>
          <w:rFonts w:ascii="Cambria" w:hAnsi="Cambria" w:cstheme="minorHAnsi"/>
          <w:sz w:val="24"/>
          <w:szCs w:val="24"/>
        </w:rPr>
        <w:t>S</w:t>
      </w:r>
      <w:r w:rsidRPr="009E4745">
        <w:rPr>
          <w:rFonts w:ascii="Cambria" w:hAnsi="Cambria" w:cstheme="minorHAnsi"/>
          <w:sz w:val="24"/>
          <w:szCs w:val="24"/>
        </w:rPr>
        <w:t>polupráce samotná pak probíhá na půdorysu Evropské politiky sousedství. Nedá se očekávat, že krátkodobé výkyvy v cenách ropy budou</w:t>
      </w:r>
      <w:r w:rsidR="0064737A">
        <w:rPr>
          <w:rFonts w:ascii="Cambria" w:hAnsi="Cambria" w:cstheme="minorHAnsi"/>
          <w:sz w:val="24"/>
          <w:szCs w:val="24"/>
        </w:rPr>
        <w:t xml:space="preserve"> tyto </w:t>
      </w:r>
      <w:r w:rsidR="0064737A" w:rsidRPr="009E4745">
        <w:rPr>
          <w:rFonts w:ascii="Cambria" w:hAnsi="Cambria" w:cstheme="minorHAnsi"/>
          <w:sz w:val="24"/>
          <w:szCs w:val="24"/>
        </w:rPr>
        <w:t>vzájemné vztahy</w:t>
      </w:r>
      <w:r w:rsidRPr="009E4745">
        <w:rPr>
          <w:rFonts w:ascii="Cambria" w:hAnsi="Cambria" w:cstheme="minorHAnsi"/>
          <w:sz w:val="24"/>
          <w:szCs w:val="24"/>
        </w:rPr>
        <w:t xml:space="preserve"> </w:t>
      </w:r>
      <w:r w:rsidRPr="009E4745">
        <w:rPr>
          <w:rFonts w:ascii="Cambria" w:hAnsi="Cambria" w:cstheme="minorHAnsi"/>
          <w:sz w:val="24"/>
          <w:szCs w:val="24"/>
        </w:rPr>
        <w:lastRenderedPageBreak/>
        <w:t>sam</w:t>
      </w:r>
      <w:r w:rsidR="002526CF">
        <w:rPr>
          <w:rFonts w:ascii="Cambria" w:hAnsi="Cambria" w:cstheme="minorHAnsi"/>
          <w:sz w:val="24"/>
          <w:szCs w:val="24"/>
        </w:rPr>
        <w:t>y</w:t>
      </w:r>
      <w:r w:rsidRPr="009E4745">
        <w:rPr>
          <w:rFonts w:ascii="Cambria" w:hAnsi="Cambria" w:cstheme="minorHAnsi"/>
          <w:sz w:val="24"/>
          <w:szCs w:val="24"/>
        </w:rPr>
        <w:t xml:space="preserve"> o sobě ovlivňovat. Mnohem silnější dopad bude mít bezesporu rostoucí důraz na udržitelnost </w:t>
      </w:r>
      <w:r>
        <w:rPr>
          <w:rFonts w:ascii="Cambria" w:hAnsi="Cambria" w:cstheme="minorHAnsi"/>
          <w:sz w:val="24"/>
          <w:szCs w:val="24"/>
        </w:rPr>
        <w:t xml:space="preserve">a cíle dekarbonizace </w:t>
      </w:r>
      <w:r w:rsidRPr="009E4745">
        <w:rPr>
          <w:rFonts w:ascii="Cambria" w:hAnsi="Cambria" w:cstheme="minorHAnsi"/>
          <w:sz w:val="24"/>
          <w:szCs w:val="24"/>
        </w:rPr>
        <w:t>ze strany EU. Nicméně, klesajících příjmy z ropy právě v kombinaci s evropskou dekarbonizační politikou mohou urychlit snížení investic v ropném sektoru, a to jak na straně Ázerbájdžánu (nižší příjmy)</w:t>
      </w:r>
      <w:r w:rsidR="005F0D3F">
        <w:rPr>
          <w:rFonts w:ascii="Cambria" w:hAnsi="Cambria" w:cstheme="minorHAnsi"/>
          <w:sz w:val="24"/>
          <w:szCs w:val="24"/>
        </w:rPr>
        <w:t>,</w:t>
      </w:r>
      <w:r w:rsidRPr="009E4745">
        <w:rPr>
          <w:rFonts w:ascii="Cambria" w:hAnsi="Cambria" w:cstheme="minorHAnsi"/>
          <w:sz w:val="24"/>
          <w:szCs w:val="24"/>
        </w:rPr>
        <w:t xml:space="preserve"> tak EU, která je momentálně klíčovým investorem. Vzhledem k </w:t>
      </w:r>
      <w:proofErr w:type="spellStart"/>
      <w:r w:rsidRPr="009E4745">
        <w:rPr>
          <w:rFonts w:ascii="Cambria" w:hAnsi="Cambria" w:cstheme="minorHAnsi"/>
          <w:sz w:val="24"/>
          <w:szCs w:val="24"/>
        </w:rPr>
        <w:t>prioritizaci</w:t>
      </w:r>
      <w:proofErr w:type="spellEnd"/>
      <w:r w:rsidRPr="009E4745">
        <w:rPr>
          <w:rFonts w:ascii="Cambria" w:hAnsi="Cambria" w:cstheme="minorHAnsi"/>
          <w:sz w:val="24"/>
          <w:szCs w:val="24"/>
        </w:rPr>
        <w:t xml:space="preserve"> rozvoje ázerbajdžánské ekonomiky v souladu s jejími národními klimatickými příspěvky (</w:t>
      </w:r>
      <w:r w:rsidRPr="009E4745">
        <w:rPr>
          <w:rFonts w:ascii="Cambria" w:hAnsi="Cambria"/>
          <w:sz w:val="24"/>
          <w:szCs w:val="24"/>
          <w:shd w:val="clear" w:color="auto" w:fill="FFFFFF"/>
          <w:lang w:val="en-US"/>
        </w:rPr>
        <w:t>EU</w:t>
      </w:r>
      <w:r w:rsidR="00AA07AF">
        <w:rPr>
          <w:rFonts w:ascii="Cambria" w:hAnsi="Cambria"/>
          <w:sz w:val="24"/>
          <w:szCs w:val="24"/>
          <w:shd w:val="clear" w:color="auto" w:fill="FFFFFF"/>
          <w:lang w:val="en-US"/>
        </w:rPr>
        <w:t xml:space="preserve"> – </w:t>
      </w:r>
      <w:r w:rsidRPr="009E4745">
        <w:rPr>
          <w:rFonts w:ascii="Cambria" w:hAnsi="Cambria"/>
          <w:sz w:val="24"/>
          <w:szCs w:val="24"/>
          <w:shd w:val="clear" w:color="auto" w:fill="FFFFFF"/>
          <w:lang w:val="en-US"/>
        </w:rPr>
        <w:t>Azerbaijan Partnership Priorities 2018)</w:t>
      </w:r>
      <w:r w:rsidRPr="009E4745">
        <w:rPr>
          <w:rFonts w:ascii="Cambria" w:hAnsi="Cambria" w:cstheme="minorHAnsi"/>
          <w:sz w:val="24"/>
          <w:szCs w:val="24"/>
        </w:rPr>
        <w:t xml:space="preserve"> se dá očekávat reorientace EU politik a investic do této oblasti.</w:t>
      </w:r>
    </w:p>
    <w:p w14:paraId="390DA635" w14:textId="3A73D00A" w:rsidR="00D37FF8" w:rsidRDefault="00D37FF8" w:rsidP="00AA07AF">
      <w:pPr>
        <w:spacing w:after="100" w:afterAutospacing="1" w:line="240" w:lineRule="auto"/>
        <w:ind w:firstLine="708"/>
        <w:jc w:val="both"/>
        <w:rPr>
          <w:rFonts w:ascii="Cambria" w:hAnsi="Cambria" w:cstheme="minorHAnsi"/>
          <w:sz w:val="24"/>
          <w:szCs w:val="24"/>
        </w:rPr>
      </w:pPr>
      <w:r w:rsidRPr="009E4745">
        <w:rPr>
          <w:rFonts w:ascii="Cambria" w:hAnsi="Cambria" w:cstheme="minorHAnsi"/>
          <w:sz w:val="24"/>
          <w:szCs w:val="24"/>
        </w:rPr>
        <w:t>Navzdory vysoké obchodní provázanosti EU a R</w:t>
      </w:r>
      <w:r w:rsidR="00AA07AF">
        <w:rPr>
          <w:rFonts w:ascii="Cambria" w:hAnsi="Cambria" w:cstheme="minorHAnsi"/>
          <w:sz w:val="24"/>
          <w:szCs w:val="24"/>
        </w:rPr>
        <w:t>uské federace</w:t>
      </w:r>
      <w:r w:rsidRPr="009E4745">
        <w:rPr>
          <w:rFonts w:ascii="Cambria" w:hAnsi="Cambria" w:cstheme="minorHAnsi"/>
          <w:sz w:val="24"/>
          <w:szCs w:val="24"/>
        </w:rPr>
        <w:t xml:space="preserve"> a závislosti ruské ekonomiky na ceně plynu a ropy</w:t>
      </w:r>
      <w:r w:rsidR="005F0D3F">
        <w:rPr>
          <w:rFonts w:ascii="Cambria" w:hAnsi="Cambria" w:cstheme="minorHAnsi"/>
          <w:sz w:val="24"/>
          <w:szCs w:val="24"/>
        </w:rPr>
        <w:t xml:space="preserve"> </w:t>
      </w:r>
      <w:r w:rsidRPr="009E4745">
        <w:rPr>
          <w:rFonts w:ascii="Cambria" w:hAnsi="Cambria" w:cstheme="minorHAnsi"/>
          <w:sz w:val="24"/>
          <w:szCs w:val="24"/>
        </w:rPr>
        <w:t>se nedá očekávat, že by propad cen ropy vedl ke změně v hlavních prvcích partnerství (Dohoda o partnerství a spolupráci EU</w:t>
      </w:r>
      <w:r w:rsidR="00AA07AF">
        <w:rPr>
          <w:rFonts w:ascii="Cambria" w:hAnsi="Cambria" w:cstheme="minorHAnsi"/>
          <w:sz w:val="24"/>
          <w:szCs w:val="24"/>
        </w:rPr>
        <w:t xml:space="preserve"> </w:t>
      </w:r>
      <w:r w:rsidR="0064737A">
        <w:rPr>
          <w:rFonts w:ascii="Cambria" w:hAnsi="Cambria" w:cstheme="minorHAnsi"/>
          <w:sz w:val="24"/>
          <w:szCs w:val="24"/>
        </w:rPr>
        <w:t>–</w:t>
      </w:r>
      <w:r w:rsidR="00AA07AF">
        <w:rPr>
          <w:rFonts w:ascii="Cambria" w:hAnsi="Cambria" w:cstheme="minorHAnsi"/>
          <w:sz w:val="24"/>
          <w:szCs w:val="24"/>
        </w:rPr>
        <w:t xml:space="preserve"> </w:t>
      </w:r>
      <w:r w:rsidRPr="009E4745">
        <w:rPr>
          <w:rFonts w:ascii="Cambria" w:hAnsi="Cambria" w:cstheme="minorHAnsi"/>
          <w:sz w:val="24"/>
          <w:szCs w:val="24"/>
        </w:rPr>
        <w:t>Rusko 2020). Na vzájemné vztahy bud</w:t>
      </w:r>
      <w:r>
        <w:rPr>
          <w:rFonts w:ascii="Cambria" w:hAnsi="Cambria" w:cstheme="minorHAnsi"/>
          <w:sz w:val="24"/>
          <w:szCs w:val="24"/>
        </w:rPr>
        <w:t>e</w:t>
      </w:r>
      <w:r w:rsidRPr="009E4745">
        <w:rPr>
          <w:rFonts w:ascii="Cambria" w:hAnsi="Cambria" w:cstheme="minorHAnsi"/>
          <w:sz w:val="24"/>
          <w:szCs w:val="24"/>
        </w:rPr>
        <w:t xml:space="preserve"> mít v příští dekádách vliv </w:t>
      </w:r>
      <w:r>
        <w:rPr>
          <w:rFonts w:ascii="Cambria" w:hAnsi="Cambria" w:cstheme="minorHAnsi"/>
          <w:sz w:val="24"/>
          <w:szCs w:val="24"/>
        </w:rPr>
        <w:t xml:space="preserve">rovněž </w:t>
      </w:r>
      <w:r w:rsidRPr="009E4745">
        <w:rPr>
          <w:rFonts w:ascii="Cambria" w:hAnsi="Cambria" w:cstheme="minorHAnsi"/>
          <w:sz w:val="24"/>
          <w:szCs w:val="24"/>
        </w:rPr>
        <w:t xml:space="preserve">geopolitika (tak jako v případě anexe Krymu) a evropská klimatická transformace a k tomu přijímané regulatorní nástroje (např. rostoucí cena povolenky, </w:t>
      </w:r>
      <w:r w:rsidR="004031C6">
        <w:rPr>
          <w:rFonts w:ascii="Cambria" w:hAnsi="Cambria" w:cstheme="minorHAnsi"/>
          <w:sz w:val="24"/>
          <w:szCs w:val="24"/>
        </w:rPr>
        <w:t>uhlíkové clo</w:t>
      </w:r>
      <w:r w:rsidRPr="009E4745">
        <w:rPr>
          <w:rFonts w:ascii="Cambria" w:hAnsi="Cambria" w:cstheme="minorHAnsi"/>
          <w:sz w:val="24"/>
          <w:szCs w:val="24"/>
        </w:rPr>
        <w:t>).</w:t>
      </w:r>
    </w:p>
    <w:p w14:paraId="5BAE00BD" w14:textId="77777777" w:rsidR="00D37FF8" w:rsidRPr="001C34E7" w:rsidRDefault="00D37FF8" w:rsidP="00AA07AF">
      <w:pPr>
        <w:spacing w:after="100" w:afterAutospacing="1" w:line="240" w:lineRule="auto"/>
        <w:ind w:firstLine="708"/>
        <w:jc w:val="both"/>
        <w:rPr>
          <w:rFonts w:ascii="Cambria" w:hAnsi="Cambria" w:cstheme="minorHAnsi"/>
          <w:sz w:val="24"/>
          <w:szCs w:val="24"/>
        </w:rPr>
      </w:pPr>
      <w:r w:rsidRPr="001C34E7">
        <w:rPr>
          <w:rFonts w:ascii="Cambria" w:hAnsi="Cambria" w:cstheme="minorHAnsi"/>
          <w:sz w:val="24"/>
          <w:szCs w:val="24"/>
        </w:rPr>
        <w:t xml:space="preserve">Vývoj v oblasti trhu s ropou a jejím využití s sebou pro ČR přináší </w:t>
      </w:r>
      <w:r>
        <w:rPr>
          <w:rFonts w:ascii="Cambria" w:hAnsi="Cambria" w:cstheme="minorHAnsi"/>
          <w:sz w:val="24"/>
          <w:szCs w:val="24"/>
        </w:rPr>
        <w:t xml:space="preserve">tedy </w:t>
      </w:r>
      <w:r w:rsidRPr="001C34E7">
        <w:rPr>
          <w:rFonts w:ascii="Cambria" w:hAnsi="Cambria" w:cstheme="minorHAnsi"/>
          <w:sz w:val="24"/>
          <w:szCs w:val="24"/>
        </w:rPr>
        <w:t>některé výzvy a příležitosti:</w:t>
      </w:r>
    </w:p>
    <w:p w14:paraId="3D5F496C" w14:textId="77777777" w:rsidR="00D37FF8" w:rsidRPr="001519CA" w:rsidRDefault="00D37FF8" w:rsidP="00AA07AF">
      <w:pPr>
        <w:pStyle w:val="Odstavecseseznamem"/>
        <w:numPr>
          <w:ilvl w:val="0"/>
          <w:numId w:val="9"/>
        </w:numPr>
        <w:spacing w:before="240" w:after="100" w:afterAutospacing="1" w:line="240" w:lineRule="auto"/>
        <w:jc w:val="both"/>
        <w:rPr>
          <w:rFonts w:asciiTheme="majorHAnsi" w:hAnsiTheme="majorHAnsi"/>
          <w:sz w:val="24"/>
          <w:szCs w:val="24"/>
        </w:rPr>
      </w:pPr>
      <w:r w:rsidRPr="001519CA">
        <w:rPr>
          <w:rFonts w:asciiTheme="majorHAnsi" w:hAnsiTheme="majorHAnsi"/>
          <w:sz w:val="24"/>
          <w:szCs w:val="24"/>
        </w:rPr>
        <w:t>Nízké ceny mohou ovlivnit spotřebitelské chování, které by se v budoucnu mohlo stát rizikem pro plnění národních dekarbonizačních cílů v dopravě, tedy v jednom ze sektorů mimo EU ETS.</w:t>
      </w:r>
    </w:p>
    <w:p w14:paraId="0B908A41" w14:textId="77777777" w:rsidR="00D37FF8" w:rsidRPr="001519CA" w:rsidRDefault="00D37FF8" w:rsidP="00AA07AF">
      <w:pPr>
        <w:pStyle w:val="Odstavecseseznamem"/>
        <w:numPr>
          <w:ilvl w:val="0"/>
          <w:numId w:val="9"/>
        </w:numPr>
        <w:spacing w:before="240" w:after="100" w:afterAutospacing="1" w:line="240" w:lineRule="auto"/>
        <w:jc w:val="both"/>
        <w:rPr>
          <w:rFonts w:asciiTheme="majorHAnsi" w:hAnsiTheme="majorHAnsi"/>
          <w:sz w:val="24"/>
          <w:szCs w:val="24"/>
        </w:rPr>
      </w:pPr>
      <w:r w:rsidRPr="001519CA">
        <w:rPr>
          <w:rFonts w:asciiTheme="majorHAnsi" w:hAnsiTheme="majorHAnsi"/>
          <w:sz w:val="24"/>
          <w:szCs w:val="24"/>
        </w:rPr>
        <w:t>Pokles v příjmech exportních zemí by mohl ohrozit investice, např. do velkých infrastrukturních projektů v Ázerbájdžánu (např. rozvoj silniční a železniční sítě, rafinérie, přístav a překladiště v </w:t>
      </w:r>
      <w:proofErr w:type="spellStart"/>
      <w:r w:rsidRPr="001519CA">
        <w:rPr>
          <w:rFonts w:asciiTheme="majorHAnsi" w:hAnsiTheme="majorHAnsi"/>
          <w:sz w:val="24"/>
          <w:szCs w:val="24"/>
        </w:rPr>
        <w:t>Alatu</w:t>
      </w:r>
      <w:proofErr w:type="spellEnd"/>
      <w:r w:rsidRPr="001519CA">
        <w:rPr>
          <w:rFonts w:asciiTheme="majorHAnsi" w:hAnsiTheme="majorHAnsi"/>
          <w:sz w:val="24"/>
          <w:szCs w:val="24"/>
        </w:rPr>
        <w:t xml:space="preserve"> či rozvoj metra v Baku) a být rizikem pro české firmy a jejich dodávky.</w:t>
      </w:r>
    </w:p>
    <w:p w14:paraId="4314A72C" w14:textId="0800CFB3" w:rsidR="00D37FF8" w:rsidRPr="00D667BB" w:rsidRDefault="00D37FF8" w:rsidP="00AA07AF">
      <w:pPr>
        <w:pStyle w:val="Odstavecseseznamem"/>
        <w:numPr>
          <w:ilvl w:val="0"/>
          <w:numId w:val="9"/>
        </w:numPr>
        <w:spacing w:before="240" w:after="100" w:afterAutospacing="1" w:line="240" w:lineRule="auto"/>
        <w:jc w:val="both"/>
        <w:rPr>
          <w:rFonts w:asciiTheme="majorHAnsi" w:hAnsiTheme="majorHAnsi"/>
          <w:sz w:val="24"/>
          <w:szCs w:val="24"/>
        </w:rPr>
      </w:pPr>
      <w:r w:rsidRPr="001519CA">
        <w:rPr>
          <w:rFonts w:asciiTheme="majorHAnsi" w:hAnsiTheme="majorHAnsi"/>
          <w:sz w:val="24"/>
          <w:szCs w:val="24"/>
        </w:rPr>
        <w:t>Nedá se očekávat, že krátkodobý výkyv v cenách ropy ovlivní vzájemné vztahy</w:t>
      </w:r>
      <w:r w:rsidR="002526CF">
        <w:rPr>
          <w:rFonts w:asciiTheme="majorHAnsi" w:hAnsiTheme="majorHAnsi"/>
          <w:sz w:val="24"/>
          <w:szCs w:val="24"/>
        </w:rPr>
        <w:t>,</w:t>
      </w:r>
      <w:r w:rsidRPr="001519CA">
        <w:rPr>
          <w:rFonts w:asciiTheme="majorHAnsi" w:hAnsiTheme="majorHAnsi"/>
          <w:sz w:val="24"/>
          <w:szCs w:val="24"/>
        </w:rPr>
        <w:t xml:space="preserve"> ať už na úrovni ČR či EU27. </w:t>
      </w:r>
      <w:r w:rsidR="002526CF">
        <w:rPr>
          <w:rFonts w:asciiTheme="majorHAnsi" w:hAnsiTheme="majorHAnsi"/>
          <w:sz w:val="24"/>
          <w:szCs w:val="24"/>
        </w:rPr>
        <w:t>Z</w:t>
      </w:r>
      <w:r w:rsidR="002526CF" w:rsidRPr="001519CA">
        <w:rPr>
          <w:rFonts w:asciiTheme="majorHAnsi" w:hAnsiTheme="majorHAnsi"/>
          <w:sz w:val="24"/>
          <w:szCs w:val="24"/>
        </w:rPr>
        <w:t>ásadní vliv</w:t>
      </w:r>
      <w:r w:rsidRPr="001519CA">
        <w:rPr>
          <w:rFonts w:asciiTheme="majorHAnsi" w:hAnsiTheme="majorHAnsi"/>
          <w:sz w:val="24"/>
          <w:szCs w:val="24"/>
        </w:rPr>
        <w:t xml:space="preserve"> bude mít</w:t>
      </w:r>
      <w:r w:rsidR="002526CF">
        <w:rPr>
          <w:rFonts w:asciiTheme="majorHAnsi" w:hAnsiTheme="majorHAnsi"/>
          <w:sz w:val="24"/>
          <w:szCs w:val="24"/>
        </w:rPr>
        <w:t xml:space="preserve"> především</w:t>
      </w:r>
      <w:r w:rsidRPr="001519CA">
        <w:rPr>
          <w:rFonts w:asciiTheme="majorHAnsi" w:hAnsiTheme="majorHAnsi"/>
          <w:sz w:val="24"/>
          <w:szCs w:val="24"/>
        </w:rPr>
        <w:t xml:space="preserve"> evropská dekarbonizační politika a přijímané regulatorní nástroje, jako např. </w:t>
      </w:r>
      <w:r w:rsidRPr="00D667BB">
        <w:rPr>
          <w:rFonts w:asciiTheme="majorHAnsi" w:hAnsiTheme="majorHAnsi"/>
          <w:sz w:val="24"/>
          <w:szCs w:val="24"/>
        </w:rPr>
        <w:t xml:space="preserve">rostoucí cena emisní povolenky, </w:t>
      </w:r>
      <w:r w:rsidR="004031C6">
        <w:rPr>
          <w:rFonts w:asciiTheme="majorHAnsi" w:hAnsiTheme="majorHAnsi"/>
          <w:sz w:val="24"/>
          <w:szCs w:val="24"/>
        </w:rPr>
        <w:t>uhlíkové clo</w:t>
      </w:r>
      <w:r w:rsidRPr="00D667BB">
        <w:rPr>
          <w:rFonts w:asciiTheme="majorHAnsi" w:hAnsiTheme="majorHAnsi"/>
          <w:sz w:val="24"/>
          <w:szCs w:val="24"/>
        </w:rPr>
        <w:t xml:space="preserve">, nová „udržitelná“ pravidla </w:t>
      </w:r>
      <w:r w:rsidR="00F965A5" w:rsidRPr="00D42620">
        <w:rPr>
          <w:rFonts w:asciiTheme="majorHAnsi" w:hAnsiTheme="majorHAnsi"/>
          <w:sz w:val="24"/>
          <w:szCs w:val="24"/>
        </w:rPr>
        <w:t xml:space="preserve">pro </w:t>
      </w:r>
      <w:r w:rsidR="00D667BB" w:rsidRPr="00AA07AF">
        <w:rPr>
          <w:rFonts w:asciiTheme="majorHAnsi" w:hAnsiTheme="majorHAnsi"/>
          <w:sz w:val="24"/>
          <w:szCs w:val="24"/>
        </w:rPr>
        <w:t>transevropské energetické sítě</w:t>
      </w:r>
      <w:r w:rsidR="00D667BB" w:rsidRPr="00D667BB">
        <w:rPr>
          <w:rFonts w:asciiTheme="majorHAnsi" w:hAnsiTheme="majorHAnsi"/>
          <w:sz w:val="24"/>
          <w:szCs w:val="24"/>
        </w:rPr>
        <w:t xml:space="preserve"> (</w:t>
      </w:r>
      <w:proofErr w:type="spellStart"/>
      <w:r w:rsidR="00F965A5" w:rsidRPr="00AA07AF">
        <w:rPr>
          <w:rFonts w:asciiTheme="majorHAnsi" w:hAnsiTheme="majorHAnsi"/>
          <w:sz w:val="24"/>
          <w:szCs w:val="24"/>
        </w:rPr>
        <w:t>The</w:t>
      </w:r>
      <w:proofErr w:type="spellEnd"/>
      <w:r w:rsidR="00F965A5" w:rsidRPr="00AA07AF">
        <w:rPr>
          <w:rFonts w:asciiTheme="majorHAnsi" w:hAnsiTheme="majorHAnsi"/>
          <w:sz w:val="24"/>
          <w:szCs w:val="24"/>
        </w:rPr>
        <w:t xml:space="preserve"> Trans-</w:t>
      </w:r>
      <w:proofErr w:type="spellStart"/>
      <w:r w:rsidR="00F965A5" w:rsidRPr="00AA07AF">
        <w:rPr>
          <w:rFonts w:asciiTheme="majorHAnsi" w:hAnsiTheme="majorHAnsi"/>
          <w:sz w:val="24"/>
          <w:szCs w:val="24"/>
        </w:rPr>
        <w:t>European</w:t>
      </w:r>
      <w:proofErr w:type="spellEnd"/>
      <w:r w:rsidR="00F965A5" w:rsidRPr="00AA07AF">
        <w:rPr>
          <w:rFonts w:asciiTheme="majorHAnsi" w:hAnsiTheme="majorHAnsi"/>
          <w:sz w:val="24"/>
          <w:szCs w:val="24"/>
        </w:rPr>
        <w:t xml:space="preserve"> </w:t>
      </w:r>
      <w:proofErr w:type="spellStart"/>
      <w:r w:rsidR="00F965A5" w:rsidRPr="00AA07AF">
        <w:rPr>
          <w:rFonts w:asciiTheme="majorHAnsi" w:hAnsiTheme="majorHAnsi"/>
          <w:sz w:val="24"/>
          <w:szCs w:val="24"/>
        </w:rPr>
        <w:t>Networks</w:t>
      </w:r>
      <w:proofErr w:type="spellEnd"/>
      <w:r w:rsidR="00F965A5" w:rsidRPr="00AA07AF">
        <w:rPr>
          <w:rFonts w:asciiTheme="majorHAnsi" w:hAnsiTheme="majorHAnsi"/>
          <w:sz w:val="24"/>
          <w:szCs w:val="24"/>
        </w:rPr>
        <w:t xml:space="preserve"> </w:t>
      </w:r>
      <w:proofErr w:type="spellStart"/>
      <w:r w:rsidR="00F965A5" w:rsidRPr="00AA07AF">
        <w:rPr>
          <w:rFonts w:asciiTheme="majorHAnsi" w:hAnsiTheme="majorHAnsi"/>
          <w:sz w:val="24"/>
          <w:szCs w:val="24"/>
        </w:rPr>
        <w:t>for</w:t>
      </w:r>
      <w:proofErr w:type="spellEnd"/>
      <w:r w:rsidR="00F965A5" w:rsidRPr="00AA07AF">
        <w:rPr>
          <w:rFonts w:asciiTheme="majorHAnsi" w:hAnsiTheme="majorHAnsi"/>
          <w:sz w:val="24"/>
          <w:szCs w:val="24"/>
        </w:rPr>
        <w:t xml:space="preserve"> </w:t>
      </w:r>
      <w:proofErr w:type="spellStart"/>
      <w:r w:rsidR="00F965A5" w:rsidRPr="00AA07AF">
        <w:rPr>
          <w:rFonts w:asciiTheme="majorHAnsi" w:hAnsiTheme="majorHAnsi"/>
          <w:sz w:val="24"/>
          <w:szCs w:val="24"/>
        </w:rPr>
        <w:t>Energy</w:t>
      </w:r>
      <w:proofErr w:type="spellEnd"/>
      <w:r w:rsidR="00D667BB" w:rsidRPr="00D667BB">
        <w:rPr>
          <w:rFonts w:asciiTheme="majorHAnsi" w:hAnsiTheme="majorHAnsi"/>
          <w:sz w:val="24"/>
          <w:szCs w:val="24"/>
        </w:rPr>
        <w:t>,</w:t>
      </w:r>
      <w:r w:rsidR="00F965A5" w:rsidRPr="00AA07AF">
        <w:rPr>
          <w:rFonts w:asciiTheme="majorHAnsi" w:hAnsiTheme="majorHAnsi"/>
          <w:sz w:val="24"/>
          <w:szCs w:val="24"/>
        </w:rPr>
        <w:t xml:space="preserve"> </w:t>
      </w:r>
      <w:r w:rsidRPr="00AA07AF">
        <w:rPr>
          <w:rFonts w:asciiTheme="majorHAnsi" w:hAnsiTheme="majorHAnsi"/>
          <w:sz w:val="24"/>
          <w:szCs w:val="24"/>
        </w:rPr>
        <w:t>TEN-E</w:t>
      </w:r>
      <w:r w:rsidR="00F965A5" w:rsidRPr="00D667BB">
        <w:rPr>
          <w:rFonts w:asciiTheme="majorHAnsi" w:hAnsiTheme="majorHAnsi"/>
          <w:sz w:val="24"/>
          <w:szCs w:val="24"/>
        </w:rPr>
        <w:t>)</w:t>
      </w:r>
      <w:r w:rsidRPr="00D667BB">
        <w:rPr>
          <w:rFonts w:asciiTheme="majorHAnsi" w:hAnsiTheme="majorHAnsi"/>
          <w:sz w:val="24"/>
          <w:szCs w:val="24"/>
        </w:rPr>
        <w:t xml:space="preserve"> či tzv. projektů vzájemného zájmu</w:t>
      </w:r>
      <w:r w:rsidRPr="00AA07AF">
        <w:rPr>
          <w:rFonts w:asciiTheme="majorHAnsi" w:hAnsiTheme="majorHAnsi"/>
          <w:sz w:val="24"/>
          <w:szCs w:val="24"/>
        </w:rPr>
        <w:t>.</w:t>
      </w:r>
    </w:p>
    <w:p w14:paraId="0A5E085F" w14:textId="27820552" w:rsidR="00D37FF8" w:rsidRPr="001519CA" w:rsidRDefault="00D37FF8" w:rsidP="00AA07AF">
      <w:pPr>
        <w:pStyle w:val="Odstavecseseznamem"/>
        <w:numPr>
          <w:ilvl w:val="0"/>
          <w:numId w:val="9"/>
        </w:numPr>
        <w:spacing w:before="240" w:after="100" w:afterAutospacing="1" w:line="240" w:lineRule="auto"/>
        <w:jc w:val="both"/>
        <w:rPr>
          <w:rFonts w:asciiTheme="majorHAnsi" w:hAnsiTheme="majorHAnsi"/>
          <w:sz w:val="24"/>
          <w:szCs w:val="24"/>
        </w:rPr>
      </w:pPr>
      <w:r w:rsidRPr="001519CA">
        <w:rPr>
          <w:rFonts w:asciiTheme="majorHAnsi" w:hAnsiTheme="majorHAnsi"/>
          <w:sz w:val="24"/>
          <w:szCs w:val="24"/>
        </w:rPr>
        <w:t xml:space="preserve">Nízká cena ropy naopak poskytuje ideální příležitost pro doplnění nouzových zásob ropy a ropných produktů na požadovaných 90 dní, s výhledem zvyšování úrovně těchto zásob až na 120 dnů čistých dovozů, tudíž k splnění jednoho z hlavních cílů </w:t>
      </w:r>
      <w:r w:rsidR="00671FE3" w:rsidRPr="00AA07AF">
        <w:rPr>
          <w:rFonts w:asciiTheme="majorHAnsi" w:hAnsiTheme="majorHAnsi"/>
          <w:sz w:val="24"/>
          <w:szCs w:val="24"/>
        </w:rPr>
        <w:t>Aktualizované státní energetická koncepce (</w:t>
      </w:r>
      <w:r w:rsidRPr="00AA07AF">
        <w:rPr>
          <w:rFonts w:asciiTheme="majorHAnsi" w:hAnsiTheme="majorHAnsi"/>
          <w:sz w:val="24"/>
          <w:szCs w:val="24"/>
        </w:rPr>
        <w:t>ASEK</w:t>
      </w:r>
      <w:r w:rsidR="00671FE3" w:rsidRPr="00AA07AF">
        <w:rPr>
          <w:rFonts w:asciiTheme="majorHAnsi" w:hAnsiTheme="majorHAnsi"/>
          <w:sz w:val="24"/>
          <w:szCs w:val="24"/>
        </w:rPr>
        <w:t>)</w:t>
      </w:r>
      <w:r w:rsidRPr="001519CA">
        <w:rPr>
          <w:rFonts w:asciiTheme="majorHAnsi" w:hAnsiTheme="majorHAnsi"/>
          <w:sz w:val="24"/>
          <w:szCs w:val="24"/>
        </w:rPr>
        <w:t xml:space="preserve"> v oblasti přepravy a zpracování ropy.</w:t>
      </w:r>
    </w:p>
    <w:p w14:paraId="449D2B69" w14:textId="77777777" w:rsidR="002526CF" w:rsidRDefault="002526CF" w:rsidP="00AA07AF">
      <w:pPr>
        <w:spacing w:after="100" w:afterAutospacing="1" w:line="240" w:lineRule="auto"/>
        <w:rPr>
          <w:rFonts w:cstheme="minorHAnsi"/>
          <w:b/>
          <w:bCs/>
          <w:sz w:val="24"/>
          <w:szCs w:val="24"/>
        </w:rPr>
      </w:pPr>
      <w:r>
        <w:rPr>
          <w:rFonts w:cstheme="minorHAnsi"/>
          <w:b/>
          <w:bCs/>
          <w:sz w:val="24"/>
          <w:szCs w:val="24"/>
        </w:rPr>
        <w:br w:type="page"/>
      </w:r>
    </w:p>
    <w:p w14:paraId="5473DFA1" w14:textId="3B4C1569" w:rsidR="00D37FF8" w:rsidRDefault="00D37FF8" w:rsidP="00DA5BF3">
      <w:pPr>
        <w:pStyle w:val="Nadpis2"/>
        <w:spacing w:before="0" w:after="100" w:afterAutospacing="1"/>
      </w:pPr>
      <w:bookmarkStart w:id="63" w:name="_Toc61259194"/>
      <w:bookmarkStart w:id="64" w:name="_Toc61261172"/>
      <w:bookmarkStart w:id="65" w:name="_Toc61261294"/>
      <w:bookmarkStart w:id="66" w:name="_Toc61262044"/>
      <w:bookmarkStart w:id="67" w:name="_Toc61262168"/>
      <w:r w:rsidRPr="00DF2B3C">
        <w:lastRenderedPageBreak/>
        <w:t xml:space="preserve">Závěr a doporučení </w:t>
      </w:r>
      <w:r w:rsidRPr="008B0D95">
        <w:t>pro ČR</w:t>
      </w:r>
      <w:bookmarkEnd w:id="63"/>
      <w:bookmarkEnd w:id="64"/>
      <w:bookmarkEnd w:id="65"/>
      <w:bookmarkEnd w:id="66"/>
      <w:bookmarkEnd w:id="67"/>
    </w:p>
    <w:p w14:paraId="2C09D86F" w14:textId="48C7879F" w:rsidR="00AB4A46" w:rsidRPr="0012130D" w:rsidRDefault="002D75BD" w:rsidP="0012130D">
      <w:pPr>
        <w:spacing w:after="100" w:afterAutospacing="1" w:line="240" w:lineRule="auto"/>
        <w:jc w:val="both"/>
        <w:rPr>
          <w:rFonts w:cstheme="minorHAnsi"/>
          <w:sz w:val="24"/>
          <w:szCs w:val="24"/>
        </w:rPr>
      </w:pPr>
      <w:r w:rsidRPr="0012130D">
        <w:rPr>
          <w:rFonts w:cstheme="minorHAnsi"/>
          <w:sz w:val="24"/>
          <w:szCs w:val="24"/>
        </w:rPr>
        <w:t xml:space="preserve">Přestože jsou závěry studie limitovány krátkým časovým odstupem od cenového šoku v roce 2020, s nímž vznikla, jakož i jejím rozsahem, lze </w:t>
      </w:r>
      <w:r w:rsidR="00A63A5B" w:rsidRPr="0012130D">
        <w:rPr>
          <w:rFonts w:cstheme="minorHAnsi"/>
          <w:sz w:val="24"/>
          <w:szCs w:val="24"/>
        </w:rPr>
        <w:t xml:space="preserve">identifikovat signifikantní dopady na jak producentské státy, tak i na ČR jako čistého importéra. </w:t>
      </w:r>
      <w:r w:rsidR="00AB4A46" w:rsidRPr="0012130D">
        <w:rPr>
          <w:rFonts w:cstheme="minorHAnsi"/>
          <w:sz w:val="24"/>
          <w:szCs w:val="24"/>
        </w:rPr>
        <w:t>Vlastní cenový šok se projevil spíše v krátkodobém časovém horizontu a bez kombinace s dalšími faktory by patrně v průběhu roku 2021 odezněl. Ve střednědobé a delší časové perspektivě jsou však jeho</w:t>
      </w:r>
      <w:r w:rsidR="00A63A5B" w:rsidRPr="0012130D">
        <w:rPr>
          <w:rFonts w:cstheme="minorHAnsi"/>
          <w:sz w:val="24"/>
          <w:szCs w:val="24"/>
        </w:rPr>
        <w:t xml:space="preserve"> dopady dále prohloubeny kontextem, </w:t>
      </w:r>
      <w:r w:rsidR="00AA07AF" w:rsidRPr="0012130D">
        <w:rPr>
          <w:rFonts w:cstheme="minorHAnsi"/>
          <w:sz w:val="24"/>
          <w:szCs w:val="24"/>
        </w:rPr>
        <w:t>v</w:t>
      </w:r>
      <w:r w:rsidR="00A63A5B" w:rsidRPr="0012130D">
        <w:rPr>
          <w:rFonts w:cstheme="minorHAnsi"/>
          <w:sz w:val="24"/>
          <w:szCs w:val="24"/>
        </w:rPr>
        <w:t> němž k</w:t>
      </w:r>
      <w:r w:rsidR="00AB4A46" w:rsidRPr="0012130D">
        <w:rPr>
          <w:rFonts w:cstheme="minorHAnsi"/>
          <w:sz w:val="24"/>
          <w:szCs w:val="24"/>
        </w:rPr>
        <w:t> </w:t>
      </w:r>
      <w:r w:rsidR="00AA07AF" w:rsidRPr="0012130D">
        <w:rPr>
          <w:rFonts w:cstheme="minorHAnsi"/>
          <w:sz w:val="24"/>
          <w:szCs w:val="24"/>
        </w:rPr>
        <w:t>šoku</w:t>
      </w:r>
      <w:r w:rsidR="00A63A5B" w:rsidRPr="0012130D">
        <w:rPr>
          <w:rFonts w:cstheme="minorHAnsi"/>
          <w:sz w:val="24"/>
          <w:szCs w:val="24"/>
        </w:rPr>
        <w:t xml:space="preserve"> došlo. </w:t>
      </w:r>
      <w:r w:rsidR="00AB4A46" w:rsidRPr="0012130D">
        <w:rPr>
          <w:rFonts w:cstheme="minorHAnsi"/>
          <w:sz w:val="24"/>
          <w:szCs w:val="24"/>
        </w:rPr>
        <w:t>I důsledky</w:t>
      </w:r>
      <w:r w:rsidR="00A63A5B" w:rsidRPr="0012130D">
        <w:rPr>
          <w:rFonts w:cstheme="minorHAnsi"/>
          <w:sz w:val="24"/>
          <w:szCs w:val="24"/>
        </w:rPr>
        <w:t xml:space="preserve"> pandemi</w:t>
      </w:r>
      <w:r w:rsidR="00AB4A46" w:rsidRPr="0012130D">
        <w:rPr>
          <w:rFonts w:cstheme="minorHAnsi"/>
          <w:sz w:val="24"/>
          <w:szCs w:val="24"/>
        </w:rPr>
        <w:t>e</w:t>
      </w:r>
      <w:r w:rsidR="00A63A5B" w:rsidRPr="0012130D">
        <w:rPr>
          <w:rFonts w:cstheme="minorHAnsi"/>
          <w:sz w:val="24"/>
          <w:szCs w:val="24"/>
        </w:rPr>
        <w:t xml:space="preserve"> COVID-19,</w:t>
      </w:r>
      <w:r w:rsidR="00AB4A46" w:rsidRPr="0012130D">
        <w:rPr>
          <w:rFonts w:cstheme="minorHAnsi"/>
          <w:sz w:val="24"/>
          <w:szCs w:val="24"/>
        </w:rPr>
        <w:t xml:space="preserve"> coby akutního</w:t>
      </w:r>
      <w:r w:rsidR="00A63A5B" w:rsidRPr="0012130D">
        <w:rPr>
          <w:rFonts w:cstheme="minorHAnsi"/>
          <w:sz w:val="24"/>
          <w:szCs w:val="24"/>
        </w:rPr>
        <w:t xml:space="preserve"> problém</w:t>
      </w:r>
      <w:r w:rsidR="00AB4A46" w:rsidRPr="0012130D">
        <w:rPr>
          <w:rFonts w:cstheme="minorHAnsi"/>
          <w:sz w:val="24"/>
          <w:szCs w:val="24"/>
        </w:rPr>
        <w:t>u</w:t>
      </w:r>
      <w:r w:rsidR="00A63A5B" w:rsidRPr="0012130D">
        <w:rPr>
          <w:rFonts w:cstheme="minorHAnsi"/>
          <w:sz w:val="24"/>
          <w:szCs w:val="24"/>
        </w:rPr>
        <w:t>, který nastoupil paralelně s cenovým šokem v jarních měsících roku 2020</w:t>
      </w:r>
      <w:r w:rsidR="00AB4A46" w:rsidRPr="0012130D">
        <w:rPr>
          <w:rFonts w:cstheme="minorHAnsi"/>
          <w:sz w:val="24"/>
          <w:szCs w:val="24"/>
        </w:rPr>
        <w:t>, by v případě jejího překonání v roce 2021 mohly ve střednědobém horizontu odeznít</w:t>
      </w:r>
      <w:r w:rsidR="00A63A5B" w:rsidRPr="0012130D">
        <w:rPr>
          <w:rFonts w:cstheme="minorHAnsi"/>
          <w:sz w:val="24"/>
          <w:szCs w:val="24"/>
        </w:rPr>
        <w:t xml:space="preserve">. </w:t>
      </w:r>
      <w:r w:rsidR="00AB4A46" w:rsidRPr="0012130D">
        <w:rPr>
          <w:rFonts w:cstheme="minorHAnsi"/>
          <w:sz w:val="24"/>
          <w:szCs w:val="24"/>
        </w:rPr>
        <w:t>Efekt cenového šoku však bude pravděpodobně prodloužen v důsledku prolínání s</w:t>
      </w:r>
      <w:r w:rsidR="00A63A5B" w:rsidRPr="0012130D">
        <w:rPr>
          <w:rFonts w:cstheme="minorHAnsi"/>
          <w:sz w:val="24"/>
          <w:szCs w:val="24"/>
        </w:rPr>
        <w:t xml:space="preserve"> dlouhodobější</w:t>
      </w:r>
      <w:r w:rsidR="00AB4A46" w:rsidRPr="0012130D">
        <w:rPr>
          <w:rFonts w:cstheme="minorHAnsi"/>
          <w:sz w:val="24"/>
          <w:szCs w:val="24"/>
        </w:rPr>
        <w:t>mi</w:t>
      </w:r>
      <w:r w:rsidR="00A63A5B" w:rsidRPr="0012130D">
        <w:rPr>
          <w:rFonts w:cstheme="minorHAnsi"/>
          <w:sz w:val="24"/>
          <w:szCs w:val="24"/>
        </w:rPr>
        <w:t xml:space="preserve"> trend</w:t>
      </w:r>
      <w:r w:rsidR="00E17B60" w:rsidRPr="0012130D">
        <w:rPr>
          <w:rFonts w:cstheme="minorHAnsi"/>
          <w:sz w:val="24"/>
          <w:szCs w:val="24"/>
        </w:rPr>
        <w:t>y</w:t>
      </w:r>
      <w:r w:rsidR="00A63A5B" w:rsidRPr="0012130D">
        <w:rPr>
          <w:rFonts w:cstheme="minorHAnsi"/>
          <w:sz w:val="24"/>
          <w:szCs w:val="24"/>
        </w:rPr>
        <w:t xml:space="preserve"> </w:t>
      </w:r>
      <w:r w:rsidR="00481034" w:rsidRPr="0012130D">
        <w:rPr>
          <w:rFonts w:cstheme="minorHAnsi"/>
          <w:sz w:val="24"/>
          <w:szCs w:val="24"/>
        </w:rPr>
        <w:t xml:space="preserve">v energetickém sektoru i mimo jeho rámec. </w:t>
      </w:r>
    </w:p>
    <w:p w14:paraId="62AA1D6F" w14:textId="25402D7B" w:rsidR="00D43230" w:rsidRPr="0012130D" w:rsidRDefault="00481034" w:rsidP="0012130D">
      <w:pPr>
        <w:spacing w:after="100" w:afterAutospacing="1" w:line="240" w:lineRule="auto"/>
        <w:ind w:firstLine="709"/>
        <w:jc w:val="both"/>
        <w:rPr>
          <w:rStyle w:val="tlid-translation"/>
          <w:sz w:val="24"/>
          <w:szCs w:val="24"/>
        </w:rPr>
      </w:pPr>
      <w:r w:rsidRPr="0012130D">
        <w:rPr>
          <w:rFonts w:cstheme="minorHAnsi"/>
          <w:sz w:val="24"/>
          <w:szCs w:val="24"/>
        </w:rPr>
        <w:t xml:space="preserve">V rámci energetického sektoru jde zejména </w:t>
      </w:r>
      <w:r w:rsidR="0064737A" w:rsidRPr="0012130D">
        <w:rPr>
          <w:rFonts w:cstheme="minorHAnsi"/>
          <w:sz w:val="24"/>
          <w:szCs w:val="24"/>
        </w:rPr>
        <w:t xml:space="preserve">o rostoucí důraz na udržitelnost </w:t>
      </w:r>
      <w:r w:rsidR="00AB4A46" w:rsidRPr="0012130D">
        <w:rPr>
          <w:rFonts w:cstheme="minorHAnsi"/>
          <w:sz w:val="24"/>
          <w:szCs w:val="24"/>
        </w:rPr>
        <w:t>a cíle spojené s dekarbonizací.</w:t>
      </w:r>
      <w:r w:rsidR="00D43230" w:rsidRPr="0012130D">
        <w:rPr>
          <w:rFonts w:cstheme="minorHAnsi"/>
          <w:sz w:val="24"/>
          <w:szCs w:val="24"/>
        </w:rPr>
        <w:t xml:space="preserve"> </w:t>
      </w:r>
      <w:r w:rsidR="00D43230" w:rsidRPr="0012130D">
        <w:rPr>
          <w:sz w:val="24"/>
          <w:szCs w:val="24"/>
        </w:rPr>
        <w:t xml:space="preserve">Právě očekávání, která jsou s nimi spojena, se mohou do budoucna projevovat jako jedna z výrazných příčin udržování ceny ropy na nižší úrovni. </w:t>
      </w:r>
      <w:r w:rsidR="00AB4A46" w:rsidRPr="0012130D">
        <w:rPr>
          <w:rFonts w:cstheme="minorHAnsi"/>
          <w:sz w:val="24"/>
          <w:szCs w:val="24"/>
        </w:rPr>
        <w:t xml:space="preserve"> </w:t>
      </w:r>
      <w:r w:rsidR="00E17B60" w:rsidRPr="0012130D">
        <w:rPr>
          <w:rFonts w:cstheme="minorHAnsi"/>
          <w:sz w:val="24"/>
          <w:szCs w:val="24"/>
        </w:rPr>
        <w:t xml:space="preserve">V souvislosti s dekarbonizací lze </w:t>
      </w:r>
      <w:r w:rsidR="00D43230" w:rsidRPr="0012130D">
        <w:rPr>
          <w:rFonts w:cstheme="minorHAnsi"/>
          <w:sz w:val="24"/>
          <w:szCs w:val="24"/>
        </w:rPr>
        <w:t>rovněž předpokládat</w:t>
      </w:r>
      <w:r w:rsidR="00E17B60" w:rsidRPr="0012130D">
        <w:rPr>
          <w:rFonts w:cstheme="minorHAnsi"/>
          <w:sz w:val="24"/>
          <w:szCs w:val="24"/>
        </w:rPr>
        <w:t xml:space="preserve"> nárůst významu politiky EU coby jednoho z</w:t>
      </w:r>
      <w:r w:rsidR="00D43230" w:rsidRPr="0012130D">
        <w:rPr>
          <w:rFonts w:cstheme="minorHAnsi"/>
          <w:sz w:val="24"/>
          <w:szCs w:val="24"/>
        </w:rPr>
        <w:t> </w:t>
      </w:r>
      <w:r w:rsidR="00E17B60" w:rsidRPr="0012130D">
        <w:rPr>
          <w:rFonts w:cstheme="minorHAnsi"/>
          <w:sz w:val="24"/>
          <w:szCs w:val="24"/>
        </w:rPr>
        <w:t>klíčových</w:t>
      </w:r>
      <w:r w:rsidR="00D43230" w:rsidRPr="0012130D">
        <w:rPr>
          <w:rFonts w:cstheme="minorHAnsi"/>
          <w:sz w:val="24"/>
          <w:szCs w:val="24"/>
        </w:rPr>
        <w:t xml:space="preserve"> a nejambicióznějších</w:t>
      </w:r>
      <w:r w:rsidR="00E17B60" w:rsidRPr="0012130D">
        <w:rPr>
          <w:rFonts w:cstheme="minorHAnsi"/>
          <w:sz w:val="24"/>
          <w:szCs w:val="24"/>
        </w:rPr>
        <w:t xml:space="preserve"> aktérů transformace energetického sektoru</w:t>
      </w:r>
      <w:r w:rsidR="00AA07AF" w:rsidRPr="0012130D">
        <w:rPr>
          <w:rFonts w:cstheme="minorHAnsi"/>
          <w:sz w:val="24"/>
          <w:szCs w:val="24"/>
        </w:rPr>
        <w:t xml:space="preserve">, </w:t>
      </w:r>
      <w:r w:rsidR="00AA07AF" w:rsidRPr="0012130D">
        <w:rPr>
          <w:sz w:val="24"/>
          <w:szCs w:val="24"/>
        </w:rPr>
        <w:t>významně</w:t>
      </w:r>
      <w:r w:rsidR="00AA07AF" w:rsidRPr="0012130D">
        <w:rPr>
          <w:rFonts w:cstheme="minorHAnsi"/>
          <w:sz w:val="24"/>
          <w:szCs w:val="24"/>
        </w:rPr>
        <w:t xml:space="preserve"> ovlivňujícího</w:t>
      </w:r>
      <w:r w:rsidR="00D43230" w:rsidRPr="0012130D">
        <w:rPr>
          <w:sz w:val="24"/>
          <w:szCs w:val="24"/>
        </w:rPr>
        <w:t xml:space="preserve"> energetickou transformaci prostřednictvím legislativních nástrojů. EU proto může uvážlivou politikou posilovat pozitivní efekty, které jsou v producentských státech s přechodem od fosilních paliv k obnovitelným zdrojům spjaty. Stejně tak může přispět i k</w:t>
      </w:r>
      <w:r w:rsidR="00AA07AF" w:rsidRPr="0012130D">
        <w:rPr>
          <w:sz w:val="24"/>
          <w:szCs w:val="24"/>
        </w:rPr>
        <w:t> </w:t>
      </w:r>
      <w:r w:rsidR="00D43230" w:rsidRPr="0012130D">
        <w:rPr>
          <w:sz w:val="24"/>
          <w:szCs w:val="24"/>
        </w:rPr>
        <w:t>eliminaci</w:t>
      </w:r>
      <w:r w:rsidR="00AA07AF" w:rsidRPr="0012130D">
        <w:rPr>
          <w:sz w:val="24"/>
          <w:szCs w:val="24"/>
        </w:rPr>
        <w:t xml:space="preserve"> či eskalaci</w:t>
      </w:r>
      <w:r w:rsidR="00D43230" w:rsidRPr="0012130D">
        <w:rPr>
          <w:sz w:val="24"/>
          <w:szCs w:val="24"/>
        </w:rPr>
        <w:t xml:space="preserve"> rizik spojených s tímto procesem. </w:t>
      </w:r>
    </w:p>
    <w:p w14:paraId="4C100440" w14:textId="484CC297" w:rsidR="00613B54" w:rsidRPr="0012130D" w:rsidRDefault="0064737A" w:rsidP="0012130D">
      <w:pPr>
        <w:spacing w:after="100" w:afterAutospacing="1" w:line="240" w:lineRule="auto"/>
        <w:ind w:firstLine="708"/>
        <w:jc w:val="both"/>
        <w:rPr>
          <w:sz w:val="24"/>
          <w:szCs w:val="24"/>
        </w:rPr>
      </w:pPr>
      <w:r w:rsidRPr="0012130D">
        <w:rPr>
          <w:rFonts w:cstheme="minorHAnsi"/>
          <w:sz w:val="24"/>
          <w:szCs w:val="24"/>
        </w:rPr>
        <w:t>Jak je zřejmé z empirických částí studie, m</w:t>
      </w:r>
      <w:r w:rsidR="00D74196" w:rsidRPr="0012130D">
        <w:rPr>
          <w:rFonts w:cstheme="minorHAnsi"/>
          <w:sz w:val="24"/>
          <w:szCs w:val="24"/>
        </w:rPr>
        <w:t>imo energetický sektor působí</w:t>
      </w:r>
      <w:r w:rsidR="00AB4A46" w:rsidRPr="0012130D">
        <w:rPr>
          <w:rFonts w:cstheme="minorHAnsi"/>
          <w:sz w:val="24"/>
          <w:szCs w:val="24"/>
        </w:rPr>
        <w:t xml:space="preserve"> v současné době</w:t>
      </w:r>
      <w:r w:rsidR="00D74196" w:rsidRPr="0012130D">
        <w:rPr>
          <w:rFonts w:cstheme="minorHAnsi"/>
          <w:sz w:val="24"/>
          <w:szCs w:val="24"/>
        </w:rPr>
        <w:t xml:space="preserve"> </w:t>
      </w:r>
      <w:r w:rsidR="00AB4A46" w:rsidRPr="0012130D">
        <w:rPr>
          <w:rFonts w:cstheme="minorHAnsi"/>
          <w:sz w:val="24"/>
          <w:szCs w:val="24"/>
        </w:rPr>
        <w:t>komplex</w:t>
      </w:r>
      <w:r w:rsidR="00D74196" w:rsidRPr="0012130D">
        <w:rPr>
          <w:rFonts w:cstheme="minorHAnsi"/>
          <w:sz w:val="24"/>
          <w:szCs w:val="24"/>
        </w:rPr>
        <w:t xml:space="preserve"> faktorů na vnitrostátní, regionální i širší mezinárodní úrovni. </w:t>
      </w:r>
      <w:r w:rsidR="00613B54" w:rsidRPr="0012130D">
        <w:rPr>
          <w:rFonts w:cstheme="minorHAnsi"/>
          <w:sz w:val="24"/>
          <w:szCs w:val="24"/>
        </w:rPr>
        <w:t>Přestože z ekonomického hlediska se mechanismy působení výkyvu cen ropy jeví jako obdobné, s</w:t>
      </w:r>
      <w:r w:rsidR="00D74196" w:rsidRPr="0012130D">
        <w:rPr>
          <w:rFonts w:cstheme="minorHAnsi"/>
          <w:sz w:val="24"/>
          <w:szCs w:val="24"/>
        </w:rPr>
        <w:t xml:space="preserve">pecifické kombinace těchto faktorů vysvětlují velmi odlišné </w:t>
      </w:r>
      <w:r w:rsidR="00613B54" w:rsidRPr="0012130D">
        <w:rPr>
          <w:rFonts w:cstheme="minorHAnsi"/>
          <w:sz w:val="24"/>
          <w:szCs w:val="24"/>
        </w:rPr>
        <w:t xml:space="preserve">politické i </w:t>
      </w:r>
      <w:r w:rsidR="00093784" w:rsidRPr="0012130D">
        <w:rPr>
          <w:rFonts w:cstheme="minorHAnsi"/>
          <w:sz w:val="24"/>
          <w:szCs w:val="24"/>
        </w:rPr>
        <w:t xml:space="preserve">ekonomické </w:t>
      </w:r>
      <w:r w:rsidR="00613B54" w:rsidRPr="0012130D">
        <w:rPr>
          <w:rFonts w:cstheme="minorHAnsi"/>
          <w:sz w:val="24"/>
          <w:szCs w:val="24"/>
        </w:rPr>
        <w:t xml:space="preserve">efekty ve </w:t>
      </w:r>
      <w:r w:rsidR="00D74196" w:rsidRPr="0012130D">
        <w:rPr>
          <w:rFonts w:cstheme="minorHAnsi"/>
          <w:sz w:val="24"/>
          <w:szCs w:val="24"/>
        </w:rPr>
        <w:t>sledovan</w:t>
      </w:r>
      <w:r w:rsidR="00613B54" w:rsidRPr="0012130D">
        <w:rPr>
          <w:rFonts w:cstheme="minorHAnsi"/>
          <w:sz w:val="24"/>
          <w:szCs w:val="24"/>
        </w:rPr>
        <w:t>ých</w:t>
      </w:r>
      <w:r w:rsidR="00D74196" w:rsidRPr="0012130D">
        <w:rPr>
          <w:rFonts w:cstheme="minorHAnsi"/>
          <w:sz w:val="24"/>
          <w:szCs w:val="24"/>
        </w:rPr>
        <w:t xml:space="preserve"> producentsk</w:t>
      </w:r>
      <w:r w:rsidR="00613B54" w:rsidRPr="0012130D">
        <w:rPr>
          <w:rFonts w:cstheme="minorHAnsi"/>
          <w:sz w:val="24"/>
          <w:szCs w:val="24"/>
        </w:rPr>
        <w:t>ých</w:t>
      </w:r>
      <w:r w:rsidR="00D74196" w:rsidRPr="0012130D">
        <w:rPr>
          <w:rFonts w:cstheme="minorHAnsi"/>
          <w:sz w:val="24"/>
          <w:szCs w:val="24"/>
        </w:rPr>
        <w:t xml:space="preserve"> zem</w:t>
      </w:r>
      <w:r w:rsidR="00613B54" w:rsidRPr="0012130D">
        <w:rPr>
          <w:rFonts w:cstheme="minorHAnsi"/>
          <w:sz w:val="24"/>
          <w:szCs w:val="24"/>
        </w:rPr>
        <w:t>ích</w:t>
      </w:r>
      <w:r w:rsidR="00D74196" w:rsidRPr="0012130D">
        <w:rPr>
          <w:rFonts w:cstheme="minorHAnsi"/>
          <w:sz w:val="24"/>
          <w:szCs w:val="24"/>
        </w:rPr>
        <w:t xml:space="preserve"> – zejména</w:t>
      </w:r>
      <w:r w:rsidRPr="0012130D">
        <w:rPr>
          <w:rFonts w:cstheme="minorHAnsi"/>
          <w:sz w:val="24"/>
          <w:szCs w:val="24"/>
        </w:rPr>
        <w:t xml:space="preserve"> výrazné</w:t>
      </w:r>
      <w:r w:rsidR="00D74196" w:rsidRPr="0012130D">
        <w:rPr>
          <w:rFonts w:cstheme="minorHAnsi"/>
          <w:sz w:val="24"/>
          <w:szCs w:val="24"/>
        </w:rPr>
        <w:t xml:space="preserve"> rozdíly mezi skupinou, kde převažují destabilizační vlivy (</w:t>
      </w:r>
      <w:r w:rsidR="00D74196" w:rsidRPr="0012130D">
        <w:rPr>
          <w:sz w:val="24"/>
          <w:szCs w:val="24"/>
        </w:rPr>
        <w:t>Libye, Irák, Alžírsko, Sýrie) a státy, kde se projevuje zrychlení odklonu od fosilních paliv (Katar, Omán, Saudská Arábie)</w:t>
      </w:r>
      <w:r w:rsidR="00613B54" w:rsidRPr="0012130D">
        <w:rPr>
          <w:sz w:val="24"/>
          <w:szCs w:val="24"/>
        </w:rPr>
        <w:t>. Lze je pozorovat i v pozadí</w:t>
      </w:r>
      <w:r w:rsidRPr="0012130D">
        <w:rPr>
          <w:sz w:val="24"/>
          <w:szCs w:val="24"/>
        </w:rPr>
        <w:t xml:space="preserve"> jemnější</w:t>
      </w:r>
      <w:r w:rsidR="00613B54" w:rsidRPr="0012130D">
        <w:rPr>
          <w:sz w:val="24"/>
          <w:szCs w:val="24"/>
        </w:rPr>
        <w:t>ch</w:t>
      </w:r>
      <w:r w:rsidRPr="0012130D">
        <w:rPr>
          <w:sz w:val="24"/>
          <w:szCs w:val="24"/>
        </w:rPr>
        <w:t xml:space="preserve"> politick</w:t>
      </w:r>
      <w:r w:rsidR="00613B54" w:rsidRPr="0012130D">
        <w:rPr>
          <w:sz w:val="24"/>
          <w:szCs w:val="24"/>
        </w:rPr>
        <w:t>ých</w:t>
      </w:r>
      <w:r w:rsidRPr="0012130D">
        <w:rPr>
          <w:sz w:val="24"/>
          <w:szCs w:val="24"/>
        </w:rPr>
        <w:t xml:space="preserve"> a ekonomick</w:t>
      </w:r>
      <w:r w:rsidR="00613B54" w:rsidRPr="0012130D">
        <w:rPr>
          <w:sz w:val="24"/>
          <w:szCs w:val="24"/>
        </w:rPr>
        <w:t>ých</w:t>
      </w:r>
      <w:r w:rsidRPr="0012130D">
        <w:rPr>
          <w:sz w:val="24"/>
          <w:szCs w:val="24"/>
        </w:rPr>
        <w:t xml:space="preserve"> nuanc</w:t>
      </w:r>
      <w:r w:rsidR="00613B54" w:rsidRPr="0012130D">
        <w:rPr>
          <w:sz w:val="24"/>
          <w:szCs w:val="24"/>
        </w:rPr>
        <w:t>í</w:t>
      </w:r>
      <w:r w:rsidRPr="0012130D">
        <w:rPr>
          <w:sz w:val="24"/>
          <w:szCs w:val="24"/>
        </w:rPr>
        <w:t xml:space="preserve">, jak je zřejmé z případových studií Ruska a </w:t>
      </w:r>
      <w:r w:rsidR="00AB4A46" w:rsidRPr="0012130D">
        <w:rPr>
          <w:sz w:val="24"/>
          <w:szCs w:val="24"/>
        </w:rPr>
        <w:t>Ázerbájdžánu</w:t>
      </w:r>
      <w:r w:rsidRPr="0012130D">
        <w:rPr>
          <w:sz w:val="24"/>
          <w:szCs w:val="24"/>
        </w:rPr>
        <w:t xml:space="preserve">. </w:t>
      </w:r>
    </w:p>
    <w:p w14:paraId="48F1A081" w14:textId="47E9F3FB" w:rsidR="002526CF" w:rsidRPr="0012130D" w:rsidRDefault="0064737A" w:rsidP="0012130D">
      <w:pPr>
        <w:spacing w:after="100" w:afterAutospacing="1" w:line="240" w:lineRule="auto"/>
        <w:ind w:firstLine="708"/>
        <w:jc w:val="both"/>
        <w:rPr>
          <w:rFonts w:cstheme="minorHAnsi"/>
          <w:sz w:val="24"/>
          <w:szCs w:val="24"/>
        </w:rPr>
      </w:pPr>
      <w:r w:rsidRPr="0012130D">
        <w:rPr>
          <w:sz w:val="24"/>
          <w:szCs w:val="24"/>
        </w:rPr>
        <w:t>Z uvedeného důvodu je třeba</w:t>
      </w:r>
      <w:r w:rsidR="00613B54" w:rsidRPr="0012130D">
        <w:rPr>
          <w:sz w:val="24"/>
          <w:szCs w:val="24"/>
        </w:rPr>
        <w:t xml:space="preserve"> na aktuální situaci</w:t>
      </w:r>
      <w:r w:rsidRPr="0012130D">
        <w:rPr>
          <w:sz w:val="24"/>
          <w:szCs w:val="24"/>
        </w:rPr>
        <w:t xml:space="preserve"> reagovat diferenciovaně, a to nejen ve vztahu k jednotlivým zemím, ale i v širší mezinárodněpolitické perspektivě. S ohledem na specifické potřeby ČR jsou proto závěrečná doporučení formulována separátně směrem k EU, producentům ropy v okolí EU a Rusku a </w:t>
      </w:r>
      <w:r w:rsidR="00AB4A46" w:rsidRPr="0012130D">
        <w:rPr>
          <w:sz w:val="24"/>
          <w:szCs w:val="24"/>
        </w:rPr>
        <w:t>Ázerbájdžánu</w:t>
      </w:r>
      <w:r w:rsidRPr="0012130D">
        <w:rPr>
          <w:sz w:val="24"/>
          <w:szCs w:val="24"/>
        </w:rPr>
        <w:t xml:space="preserve">, jako klíčovým dodavatelům ropy pro ČR. </w:t>
      </w:r>
    </w:p>
    <w:p w14:paraId="7C570963" w14:textId="77777777" w:rsidR="00D37FF8" w:rsidRPr="0012130D" w:rsidRDefault="00D37FF8" w:rsidP="0012130D">
      <w:pPr>
        <w:spacing w:before="240" w:after="100" w:afterAutospacing="1" w:line="240" w:lineRule="auto"/>
        <w:rPr>
          <w:b/>
          <w:i/>
          <w:iCs/>
          <w:sz w:val="24"/>
          <w:szCs w:val="24"/>
        </w:rPr>
      </w:pPr>
      <w:r w:rsidRPr="0012130D">
        <w:rPr>
          <w:b/>
          <w:i/>
          <w:iCs/>
          <w:sz w:val="24"/>
          <w:szCs w:val="24"/>
        </w:rPr>
        <w:t>Ve vztahu k EU</w:t>
      </w:r>
    </w:p>
    <w:p w14:paraId="32101C5E" w14:textId="506D57A2"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 xml:space="preserve">ČR by měla zaměřit pozornost na </w:t>
      </w:r>
      <w:r w:rsidR="00861A01" w:rsidRPr="0012130D">
        <w:rPr>
          <w:rFonts w:asciiTheme="majorHAnsi" w:hAnsiTheme="majorHAnsi"/>
          <w:sz w:val="24"/>
          <w:szCs w:val="24"/>
        </w:rPr>
        <w:t xml:space="preserve">výsledky </w:t>
      </w:r>
      <w:r w:rsidRPr="0012130D">
        <w:rPr>
          <w:rFonts w:asciiTheme="majorHAnsi" w:hAnsiTheme="majorHAnsi"/>
          <w:sz w:val="24"/>
          <w:szCs w:val="24"/>
        </w:rPr>
        <w:t>německé</w:t>
      </w:r>
      <w:r w:rsidR="00861A01" w:rsidRPr="0012130D">
        <w:rPr>
          <w:rFonts w:asciiTheme="majorHAnsi" w:hAnsiTheme="majorHAnsi"/>
          <w:sz w:val="24"/>
          <w:szCs w:val="24"/>
        </w:rPr>
        <w:t>ho</w:t>
      </w:r>
      <w:r w:rsidRPr="0012130D">
        <w:rPr>
          <w:rFonts w:asciiTheme="majorHAnsi" w:hAnsiTheme="majorHAnsi"/>
          <w:sz w:val="24"/>
          <w:szCs w:val="24"/>
        </w:rPr>
        <w:t xml:space="preserve"> předsednictví v Radě EU a </w:t>
      </w:r>
      <w:r w:rsidR="00861A01" w:rsidRPr="0012130D">
        <w:rPr>
          <w:rFonts w:asciiTheme="majorHAnsi" w:hAnsiTheme="majorHAnsi"/>
          <w:sz w:val="24"/>
          <w:szCs w:val="24"/>
        </w:rPr>
        <w:t>násled</w:t>
      </w:r>
      <w:r w:rsidR="00AA07AF" w:rsidRPr="0012130D">
        <w:rPr>
          <w:rFonts w:asciiTheme="majorHAnsi" w:hAnsiTheme="majorHAnsi"/>
          <w:sz w:val="24"/>
          <w:szCs w:val="24"/>
        </w:rPr>
        <w:t>nou</w:t>
      </w:r>
      <w:r w:rsidR="00861A01" w:rsidRPr="0012130D">
        <w:rPr>
          <w:rFonts w:asciiTheme="majorHAnsi" w:hAnsiTheme="majorHAnsi"/>
          <w:sz w:val="24"/>
          <w:szCs w:val="24"/>
        </w:rPr>
        <w:t xml:space="preserve"> </w:t>
      </w:r>
      <w:r w:rsidRPr="0012130D">
        <w:rPr>
          <w:rFonts w:asciiTheme="majorHAnsi" w:hAnsiTheme="majorHAnsi"/>
          <w:sz w:val="24"/>
          <w:szCs w:val="24"/>
        </w:rPr>
        <w:t>realizaci jeho priorit v</w:t>
      </w:r>
      <w:r w:rsidR="0012130D" w:rsidRPr="0012130D">
        <w:rPr>
          <w:rFonts w:asciiTheme="majorHAnsi" w:hAnsiTheme="majorHAnsi"/>
          <w:sz w:val="24"/>
          <w:szCs w:val="24"/>
        </w:rPr>
        <w:t> </w:t>
      </w:r>
      <w:r w:rsidRPr="0012130D">
        <w:rPr>
          <w:rFonts w:asciiTheme="majorHAnsi" w:hAnsiTheme="majorHAnsi"/>
          <w:sz w:val="24"/>
          <w:szCs w:val="24"/>
        </w:rPr>
        <w:t>energetice</w:t>
      </w:r>
      <w:r w:rsidR="0012130D" w:rsidRPr="0012130D">
        <w:rPr>
          <w:rFonts w:asciiTheme="majorHAnsi" w:hAnsiTheme="majorHAnsi"/>
          <w:sz w:val="24"/>
          <w:szCs w:val="24"/>
        </w:rPr>
        <w:t>,</w:t>
      </w:r>
      <w:r w:rsidRPr="0012130D">
        <w:rPr>
          <w:rFonts w:asciiTheme="majorHAnsi" w:hAnsiTheme="majorHAnsi"/>
          <w:sz w:val="24"/>
          <w:szCs w:val="24"/>
        </w:rPr>
        <w:t xml:space="preserve"> </w:t>
      </w:r>
      <w:r w:rsidR="00AA07AF" w:rsidRPr="0012130D">
        <w:rPr>
          <w:rFonts w:asciiTheme="majorHAnsi" w:hAnsiTheme="majorHAnsi"/>
          <w:sz w:val="24"/>
          <w:szCs w:val="24"/>
        </w:rPr>
        <w:t>včetně</w:t>
      </w:r>
      <w:r w:rsidRPr="0012130D">
        <w:rPr>
          <w:rFonts w:asciiTheme="majorHAnsi" w:hAnsiTheme="majorHAnsi"/>
          <w:sz w:val="24"/>
          <w:szCs w:val="24"/>
        </w:rPr>
        <w:t xml:space="preserve"> možn</w:t>
      </w:r>
      <w:r w:rsidR="00AA07AF" w:rsidRPr="0012130D">
        <w:rPr>
          <w:rFonts w:asciiTheme="majorHAnsi" w:hAnsiTheme="majorHAnsi"/>
          <w:sz w:val="24"/>
          <w:szCs w:val="24"/>
        </w:rPr>
        <w:t>ých</w:t>
      </w:r>
      <w:r w:rsidRPr="0012130D">
        <w:rPr>
          <w:rFonts w:asciiTheme="majorHAnsi" w:hAnsiTheme="majorHAnsi"/>
          <w:sz w:val="24"/>
          <w:szCs w:val="24"/>
        </w:rPr>
        <w:t xml:space="preserve"> dopad</w:t>
      </w:r>
      <w:r w:rsidR="00AA07AF" w:rsidRPr="0012130D">
        <w:rPr>
          <w:rFonts w:asciiTheme="majorHAnsi" w:hAnsiTheme="majorHAnsi"/>
          <w:sz w:val="24"/>
          <w:szCs w:val="24"/>
        </w:rPr>
        <w:t>ů</w:t>
      </w:r>
      <w:r w:rsidRPr="0012130D">
        <w:rPr>
          <w:rFonts w:asciiTheme="majorHAnsi" w:hAnsiTheme="majorHAnsi"/>
          <w:sz w:val="24"/>
          <w:szCs w:val="24"/>
        </w:rPr>
        <w:t xml:space="preserve"> na vnější energetické vztahy</w:t>
      </w:r>
      <w:r w:rsidR="00AA07AF" w:rsidRPr="0012130D">
        <w:rPr>
          <w:rFonts w:asciiTheme="majorHAnsi" w:hAnsiTheme="majorHAnsi"/>
          <w:sz w:val="24"/>
          <w:szCs w:val="24"/>
        </w:rPr>
        <w:t>. Jde</w:t>
      </w:r>
      <w:r w:rsidRPr="0012130D">
        <w:rPr>
          <w:rFonts w:asciiTheme="majorHAnsi" w:hAnsiTheme="majorHAnsi"/>
          <w:sz w:val="24"/>
          <w:szCs w:val="24"/>
        </w:rPr>
        <w:t xml:space="preserve"> zejména o </w:t>
      </w:r>
      <w:r w:rsidR="005C56BF" w:rsidRPr="0012130D">
        <w:rPr>
          <w:rFonts w:asciiTheme="majorHAnsi" w:hAnsiTheme="majorHAnsi"/>
          <w:sz w:val="24"/>
          <w:szCs w:val="24"/>
        </w:rPr>
        <w:t>OZE</w:t>
      </w:r>
      <w:r w:rsidRPr="0012130D">
        <w:rPr>
          <w:rFonts w:asciiTheme="majorHAnsi" w:hAnsiTheme="majorHAnsi"/>
          <w:sz w:val="24"/>
          <w:szCs w:val="24"/>
        </w:rPr>
        <w:t xml:space="preserve"> a vodík (Německo vyhlásilo podporu vodíku jako čistého a neutrálního zdroje, což hodlá prosazovat i na evropské úrovni). Konkrétní naplňování priorit může poukázat na možný vývoj energetických vztahů s hlavními dodavateli (zejména Norsk</w:t>
      </w:r>
      <w:r w:rsidR="0012130D" w:rsidRPr="0012130D">
        <w:rPr>
          <w:rFonts w:asciiTheme="majorHAnsi" w:hAnsiTheme="majorHAnsi"/>
          <w:sz w:val="24"/>
          <w:szCs w:val="24"/>
        </w:rPr>
        <w:t>em</w:t>
      </w:r>
      <w:r w:rsidRPr="0012130D">
        <w:rPr>
          <w:rFonts w:asciiTheme="majorHAnsi" w:hAnsiTheme="majorHAnsi"/>
          <w:sz w:val="24"/>
          <w:szCs w:val="24"/>
        </w:rPr>
        <w:t>, Rusk</w:t>
      </w:r>
      <w:r w:rsidR="0012130D" w:rsidRPr="0012130D">
        <w:rPr>
          <w:rFonts w:asciiTheme="majorHAnsi" w:hAnsiTheme="majorHAnsi"/>
          <w:sz w:val="24"/>
          <w:szCs w:val="24"/>
        </w:rPr>
        <w:t>em</w:t>
      </w:r>
      <w:r w:rsidRPr="0012130D">
        <w:rPr>
          <w:rFonts w:asciiTheme="majorHAnsi" w:hAnsiTheme="majorHAnsi"/>
          <w:sz w:val="24"/>
          <w:szCs w:val="24"/>
        </w:rPr>
        <w:t>, Alžírsk</w:t>
      </w:r>
      <w:r w:rsidR="0012130D" w:rsidRPr="0012130D">
        <w:rPr>
          <w:rFonts w:asciiTheme="majorHAnsi" w:hAnsiTheme="majorHAnsi"/>
          <w:sz w:val="24"/>
          <w:szCs w:val="24"/>
        </w:rPr>
        <w:t>em</w:t>
      </w:r>
      <w:r w:rsidRPr="0012130D">
        <w:rPr>
          <w:rFonts w:asciiTheme="majorHAnsi" w:hAnsiTheme="majorHAnsi"/>
          <w:sz w:val="24"/>
          <w:szCs w:val="24"/>
        </w:rPr>
        <w:t>).</w:t>
      </w:r>
    </w:p>
    <w:p w14:paraId="2F1D104D" w14:textId="0D5656EF"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lastRenderedPageBreak/>
        <w:t xml:space="preserve">ČR by měla analyzovat reakci EU na vývoj ohledně snížených nákladů na ropu/fosilní paliva, neboť tento vývoj může mít potenciálně dopad </w:t>
      </w:r>
      <w:r w:rsidR="002526CF" w:rsidRPr="0012130D">
        <w:rPr>
          <w:rFonts w:asciiTheme="majorHAnsi" w:hAnsiTheme="majorHAnsi"/>
          <w:sz w:val="24"/>
          <w:szCs w:val="24"/>
        </w:rPr>
        <w:t>v podobě</w:t>
      </w:r>
      <w:r w:rsidRPr="0012130D">
        <w:rPr>
          <w:rFonts w:asciiTheme="majorHAnsi" w:hAnsiTheme="majorHAnsi"/>
          <w:sz w:val="24"/>
          <w:szCs w:val="24"/>
        </w:rPr>
        <w:t xml:space="preserve"> snížení ochoty k plnění cílů dekarbonizace v krátkodobém období.</w:t>
      </w:r>
    </w:p>
    <w:p w14:paraId="09071EC3" w14:textId="4227CA98"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ČR by</w:t>
      </w:r>
      <w:r w:rsidR="002526CF" w:rsidRPr="0012130D">
        <w:rPr>
          <w:rFonts w:asciiTheme="majorHAnsi" w:hAnsiTheme="majorHAnsi"/>
          <w:sz w:val="24"/>
          <w:szCs w:val="24"/>
        </w:rPr>
        <w:t xml:space="preserve"> měla</w:t>
      </w:r>
      <w:r w:rsidRPr="0012130D">
        <w:rPr>
          <w:rFonts w:asciiTheme="majorHAnsi" w:hAnsiTheme="majorHAnsi"/>
          <w:sz w:val="24"/>
          <w:szCs w:val="24"/>
        </w:rPr>
        <w:t xml:space="preserve"> sledovat vývoj ohledně zvyšující se snahy EU podporovat u zemí vyvážejících ropu proces dekarbonizace a s tím související vliv</w:t>
      </w:r>
      <w:r w:rsidR="0012130D" w:rsidRPr="0012130D">
        <w:rPr>
          <w:rFonts w:asciiTheme="majorHAnsi" w:hAnsiTheme="majorHAnsi"/>
          <w:sz w:val="24"/>
          <w:szCs w:val="24"/>
        </w:rPr>
        <w:t xml:space="preserve"> EU</w:t>
      </w:r>
      <w:r w:rsidRPr="0012130D">
        <w:rPr>
          <w:rFonts w:asciiTheme="majorHAnsi" w:hAnsiTheme="majorHAnsi"/>
          <w:sz w:val="24"/>
          <w:szCs w:val="24"/>
        </w:rPr>
        <w:t xml:space="preserve"> na transformaci energetického sektoru s cíli zvýšit efektivitu a posílit roli </w:t>
      </w:r>
      <w:r w:rsidR="005C56BF" w:rsidRPr="0012130D">
        <w:rPr>
          <w:rFonts w:asciiTheme="majorHAnsi" w:hAnsiTheme="majorHAnsi"/>
          <w:sz w:val="24"/>
          <w:szCs w:val="24"/>
        </w:rPr>
        <w:t>OZE</w:t>
      </w:r>
      <w:r w:rsidRPr="0012130D">
        <w:rPr>
          <w:rFonts w:asciiTheme="majorHAnsi" w:hAnsiTheme="majorHAnsi"/>
          <w:sz w:val="24"/>
          <w:szCs w:val="24"/>
        </w:rPr>
        <w:t xml:space="preserve"> v energetickém mixu. Transformace energetického sektoru v těchto státech může přinést vytváření nových příležitostí</w:t>
      </w:r>
      <w:r w:rsidR="002526CF" w:rsidRPr="0012130D">
        <w:rPr>
          <w:rFonts w:asciiTheme="majorHAnsi" w:hAnsiTheme="majorHAnsi"/>
          <w:sz w:val="24"/>
          <w:szCs w:val="24"/>
        </w:rPr>
        <w:t xml:space="preserve"> </w:t>
      </w:r>
      <w:r w:rsidRPr="0012130D">
        <w:rPr>
          <w:rFonts w:asciiTheme="majorHAnsi" w:hAnsiTheme="majorHAnsi"/>
          <w:sz w:val="24"/>
          <w:szCs w:val="24"/>
        </w:rPr>
        <w:t>pro české investice (jednak nové energetické technologie – investice do energetického sektoru; jednak výzvy v souvislostí s diverzifikací ekonomik závislých na exportu ropy/obecně fosilních paliv – investice do neenergetického sektoru).</w:t>
      </w:r>
    </w:p>
    <w:p w14:paraId="7133C892" w14:textId="117D0E36"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 xml:space="preserve">ČR by stejně tak měla sledovat diskusi o zavedení </w:t>
      </w:r>
      <w:r w:rsidR="004031C6">
        <w:rPr>
          <w:rFonts w:asciiTheme="majorHAnsi" w:hAnsiTheme="majorHAnsi"/>
          <w:sz w:val="24"/>
          <w:szCs w:val="24"/>
        </w:rPr>
        <w:t>uhlíkového cla</w:t>
      </w:r>
      <w:r w:rsidRPr="0012130D">
        <w:rPr>
          <w:rFonts w:asciiTheme="majorHAnsi" w:hAnsiTheme="majorHAnsi"/>
          <w:sz w:val="24"/>
          <w:szCs w:val="24"/>
        </w:rPr>
        <w:t>, přičemž by měly být analyzovány dopady nejen na ČR, ale rovněž na třetí země.</w:t>
      </w:r>
    </w:p>
    <w:p w14:paraId="6AA28FE8" w14:textId="30609722" w:rsidR="00D37FF8" w:rsidRPr="0012130D" w:rsidRDefault="00D37FF8" w:rsidP="0012130D">
      <w:pPr>
        <w:spacing w:before="240" w:after="100" w:afterAutospacing="1" w:line="240" w:lineRule="auto"/>
        <w:rPr>
          <w:b/>
          <w:i/>
          <w:iCs/>
          <w:sz w:val="24"/>
          <w:szCs w:val="24"/>
        </w:rPr>
      </w:pPr>
      <w:r w:rsidRPr="0012130D">
        <w:rPr>
          <w:b/>
          <w:i/>
          <w:iCs/>
          <w:sz w:val="24"/>
          <w:szCs w:val="24"/>
        </w:rPr>
        <w:t>Ve vztahu k producentům ropy v okolí Evropy (zejména státy MENA)</w:t>
      </w:r>
    </w:p>
    <w:p w14:paraId="7977B5AF" w14:textId="77777777"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ČR by měla sledovat, nejen jaké jsou dopady výpadků z příjmů z ropy v producentských státech na jejich makroekonomickou a sociální stabilitu, ale rovněž reakci formou krátkodobých a dlouhodobých opatření na straně jednotlivých vlád (i s ohledem na diverzifikaci ekonomik a snižování významu fosilních paliv pro export, i vlastní ekonomiku).</w:t>
      </w:r>
    </w:p>
    <w:p w14:paraId="0081E4D4" w14:textId="0B9402E9"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ČR by měla v tomto identifikovat státy, které mohou reagovat na vývoj cen ropy zrychlením odklonu závislosti na fosilních palivech (Katar, Omán, Saudská Arábie), neboť představují potenciál pro investice.</w:t>
      </w:r>
    </w:p>
    <w:p w14:paraId="12343C03" w14:textId="77777777"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ČR by měla více zaměřit svoji pozornost na státy, kde lze očekávat pokračování destabilizačních tendencí (zejména Libye, Irák, Alžírsko, Sýrie), nejen v souvislosti s poklesem cen ropy, a analyzovat dopady pro region i evropský prostor (včetně případné reakce EU). ČR by v tomto ohledu měla rovněž identifikovat možnosti shody/neshody na společném postupu EU v rámci reakce na předpokládaný vývoj.</w:t>
      </w:r>
    </w:p>
    <w:p w14:paraId="78EEEBE5" w14:textId="77777777"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ČR by zároveň měla sledovat v této oblasti rostoucí vliv a politiku (jak v energetickém sektoru, tak obecně) důležitých regionálních (Turecko, Saudská Arábie, Irán) a globálních hráčů (USA, Rusko, Čína).</w:t>
      </w:r>
    </w:p>
    <w:p w14:paraId="00DCAD5D" w14:textId="0EFC00CB" w:rsidR="00D37FF8" w:rsidRPr="0012130D" w:rsidRDefault="00D37FF8" w:rsidP="0012130D">
      <w:pPr>
        <w:spacing w:before="240" w:after="100" w:afterAutospacing="1" w:line="240" w:lineRule="auto"/>
        <w:rPr>
          <w:b/>
          <w:i/>
          <w:iCs/>
          <w:sz w:val="24"/>
          <w:szCs w:val="24"/>
        </w:rPr>
      </w:pPr>
      <w:r w:rsidRPr="0012130D">
        <w:rPr>
          <w:b/>
          <w:i/>
          <w:iCs/>
          <w:sz w:val="24"/>
          <w:szCs w:val="24"/>
        </w:rPr>
        <w:t>Ve vztahu k Rusku</w:t>
      </w:r>
    </w:p>
    <w:p w14:paraId="2CF379B7" w14:textId="77777777"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ČR by měla sledovat, jak Kreml reaguje na snížení ratingu prezidenta.</w:t>
      </w:r>
    </w:p>
    <w:p w14:paraId="13912C6A" w14:textId="4212F454"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 xml:space="preserve">ČR by měla daleko více zaměřit svoji pozornost na to, jak ruské regiony upravují své rozpočty s ohledem na výpadek příjmů z ropy (těžby uhlovodíků), a na situaci s mezi-rozpočtovými transfery. Zároveň by měla ČR sledovat, jak se vyvíjejí nálady v ruských regionech, které jsou nebo mohou být nejvíce postiženy změnami </w:t>
      </w:r>
      <w:proofErr w:type="spellStart"/>
      <w:r w:rsidRPr="0012130D">
        <w:rPr>
          <w:rFonts w:asciiTheme="majorHAnsi" w:hAnsiTheme="majorHAnsi"/>
          <w:sz w:val="24"/>
          <w:szCs w:val="24"/>
        </w:rPr>
        <w:t>mezirozpočtových</w:t>
      </w:r>
      <w:proofErr w:type="spellEnd"/>
      <w:r w:rsidRPr="0012130D">
        <w:rPr>
          <w:rFonts w:asciiTheme="majorHAnsi" w:hAnsiTheme="majorHAnsi"/>
          <w:sz w:val="24"/>
          <w:szCs w:val="24"/>
        </w:rPr>
        <w:t xml:space="preserve"> transferů, a to prostřednictvím analýzy místního tisku i telegram-kanálů, které jsou v Rusku čím dál populárnější, a monitorovat ratingy hlav regionů.</w:t>
      </w:r>
    </w:p>
    <w:p w14:paraId="43618FB3" w14:textId="0A7F4DCA"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 xml:space="preserve">ČR by měla dále sledovat dopady antidumpingových opatření EU, případné zavedení </w:t>
      </w:r>
      <w:r w:rsidR="004031C6">
        <w:rPr>
          <w:rFonts w:asciiTheme="majorHAnsi" w:hAnsiTheme="majorHAnsi"/>
          <w:sz w:val="24"/>
          <w:szCs w:val="24"/>
        </w:rPr>
        <w:t xml:space="preserve">uhlíkového </w:t>
      </w:r>
      <w:r w:rsidRPr="0012130D">
        <w:rPr>
          <w:rFonts w:asciiTheme="majorHAnsi" w:hAnsiTheme="majorHAnsi"/>
          <w:sz w:val="24"/>
          <w:szCs w:val="24"/>
        </w:rPr>
        <w:t>cla na energetický sektor Ruska, a dále analyzovat, jaká opatření příjme Rusko ve svých exportních odvětvích a sledovat změny struktury energetického exportu.</w:t>
      </w:r>
    </w:p>
    <w:p w14:paraId="10D2962B" w14:textId="649D82EB"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lastRenderedPageBreak/>
        <w:t>ČR by stejně tak měla sledovat, jak se energetická transformace Německa projevuje na jeho vztazích s Ruskem (nejen energetick</w:t>
      </w:r>
      <w:r w:rsidR="002526CF" w:rsidRPr="0012130D">
        <w:rPr>
          <w:rFonts w:asciiTheme="majorHAnsi" w:hAnsiTheme="majorHAnsi"/>
          <w:sz w:val="24"/>
          <w:szCs w:val="24"/>
        </w:rPr>
        <w:t>ých</w:t>
      </w:r>
      <w:r w:rsidRPr="0012130D">
        <w:rPr>
          <w:rFonts w:asciiTheme="majorHAnsi" w:hAnsiTheme="majorHAnsi"/>
          <w:sz w:val="24"/>
          <w:szCs w:val="24"/>
        </w:rPr>
        <w:t>, ale rovněž obchodní</w:t>
      </w:r>
      <w:r w:rsidR="002526CF" w:rsidRPr="0012130D">
        <w:rPr>
          <w:rFonts w:asciiTheme="majorHAnsi" w:hAnsiTheme="majorHAnsi"/>
          <w:sz w:val="24"/>
          <w:szCs w:val="24"/>
        </w:rPr>
        <w:t>ch</w:t>
      </w:r>
      <w:r w:rsidRPr="0012130D">
        <w:rPr>
          <w:rFonts w:asciiTheme="majorHAnsi" w:hAnsiTheme="majorHAnsi"/>
          <w:sz w:val="24"/>
          <w:szCs w:val="24"/>
        </w:rPr>
        <w:t>, ekonomick</w:t>
      </w:r>
      <w:r w:rsidR="002526CF" w:rsidRPr="0012130D">
        <w:rPr>
          <w:rFonts w:asciiTheme="majorHAnsi" w:hAnsiTheme="majorHAnsi"/>
          <w:sz w:val="24"/>
          <w:szCs w:val="24"/>
        </w:rPr>
        <w:t>ých</w:t>
      </w:r>
      <w:r w:rsidRPr="0012130D">
        <w:rPr>
          <w:rFonts w:asciiTheme="majorHAnsi" w:hAnsiTheme="majorHAnsi"/>
          <w:sz w:val="24"/>
          <w:szCs w:val="24"/>
        </w:rPr>
        <w:t xml:space="preserve"> i politick</w:t>
      </w:r>
      <w:r w:rsidR="002526CF" w:rsidRPr="0012130D">
        <w:rPr>
          <w:rFonts w:asciiTheme="majorHAnsi" w:hAnsiTheme="majorHAnsi"/>
          <w:sz w:val="24"/>
          <w:szCs w:val="24"/>
        </w:rPr>
        <w:t>ých</w:t>
      </w:r>
      <w:r w:rsidRPr="0012130D">
        <w:rPr>
          <w:rFonts w:asciiTheme="majorHAnsi" w:hAnsiTheme="majorHAnsi"/>
          <w:sz w:val="24"/>
          <w:szCs w:val="24"/>
        </w:rPr>
        <w:t>).</w:t>
      </w:r>
    </w:p>
    <w:p w14:paraId="79D79A07" w14:textId="77777777" w:rsidR="00D37FF8" w:rsidRPr="0012130D" w:rsidRDefault="00D37FF8" w:rsidP="0012130D">
      <w:pPr>
        <w:spacing w:before="240" w:after="100" w:afterAutospacing="1" w:line="240" w:lineRule="auto"/>
        <w:rPr>
          <w:b/>
          <w:i/>
          <w:iCs/>
          <w:sz w:val="24"/>
          <w:szCs w:val="24"/>
        </w:rPr>
      </w:pPr>
      <w:r w:rsidRPr="0012130D">
        <w:rPr>
          <w:b/>
          <w:i/>
          <w:iCs/>
          <w:sz w:val="24"/>
          <w:szCs w:val="24"/>
        </w:rPr>
        <w:t>Ve vztahu k Ázerbájdžánu</w:t>
      </w:r>
    </w:p>
    <w:p w14:paraId="5F3CF767" w14:textId="77777777"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ČR by měla analyzovat energetické a politické vztahy Ázerbájdžánu s Tureckem a Íránem (popřípadě i s Turkmenistánem), sledovat ruskou, ale i íránskou reakci na zvýšení přítomnosti Turecka v Ázerbájdžánu a vyhodnotit dynamiku domácí energetické spotřeby.</w:t>
      </w:r>
    </w:p>
    <w:p w14:paraId="40EC03CF" w14:textId="77777777"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sz w:val="24"/>
          <w:szCs w:val="24"/>
        </w:rPr>
      </w:pPr>
      <w:r w:rsidRPr="0012130D">
        <w:rPr>
          <w:rFonts w:asciiTheme="majorHAnsi" w:hAnsiTheme="majorHAnsi"/>
          <w:sz w:val="24"/>
          <w:szCs w:val="24"/>
        </w:rPr>
        <w:t>ČR by se měla snažit zjistit, jak západní energetické společnosti mění a budou měnit své investiční aktivity v Ázerbájdžánu s ohledem na energetickou transformaci podporovanou EU.</w:t>
      </w:r>
    </w:p>
    <w:p w14:paraId="395AEA6D" w14:textId="77777777"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b/>
          <w:bCs/>
          <w:sz w:val="24"/>
          <w:szCs w:val="24"/>
        </w:rPr>
      </w:pPr>
      <w:r w:rsidRPr="0012130D">
        <w:rPr>
          <w:rFonts w:asciiTheme="majorHAnsi" w:hAnsiTheme="majorHAnsi"/>
          <w:sz w:val="24"/>
          <w:szCs w:val="24"/>
        </w:rPr>
        <w:t>Dále by ČR v tomto ohledu měla analyzovat efektivitu diverzifikace ázerbájdžánské ekonomiky a sledovat rovněž investice do neenergetického sektoru.</w:t>
      </w:r>
    </w:p>
    <w:p w14:paraId="6FE02359" w14:textId="50D7E711" w:rsidR="00D37FF8" w:rsidRPr="0012130D" w:rsidRDefault="00D37FF8" w:rsidP="0012130D">
      <w:pPr>
        <w:pStyle w:val="Odstavecseseznamem"/>
        <w:numPr>
          <w:ilvl w:val="0"/>
          <w:numId w:val="9"/>
        </w:numPr>
        <w:spacing w:before="240" w:after="100" w:afterAutospacing="1" w:line="240" w:lineRule="auto"/>
        <w:jc w:val="both"/>
        <w:rPr>
          <w:rFonts w:asciiTheme="majorHAnsi" w:hAnsiTheme="majorHAnsi"/>
          <w:b/>
          <w:bCs/>
          <w:sz w:val="24"/>
          <w:szCs w:val="24"/>
        </w:rPr>
      </w:pPr>
      <w:r w:rsidRPr="0012130D">
        <w:rPr>
          <w:rFonts w:asciiTheme="majorHAnsi" w:hAnsiTheme="majorHAnsi"/>
          <w:sz w:val="24"/>
          <w:szCs w:val="24"/>
        </w:rPr>
        <w:t xml:space="preserve">V neposlední řadě by se ČR měla pokusit monitorovat, </w:t>
      </w:r>
      <w:r w:rsidR="00A90962">
        <w:rPr>
          <w:rFonts w:asciiTheme="majorHAnsi" w:hAnsiTheme="majorHAnsi"/>
          <w:sz w:val="24"/>
          <w:szCs w:val="24"/>
        </w:rPr>
        <w:t>kter</w:t>
      </w:r>
      <w:r w:rsidR="00A90962" w:rsidRPr="0012130D">
        <w:rPr>
          <w:rFonts w:asciiTheme="majorHAnsi" w:hAnsiTheme="majorHAnsi"/>
          <w:sz w:val="24"/>
          <w:szCs w:val="24"/>
        </w:rPr>
        <w:t xml:space="preserve">é </w:t>
      </w:r>
      <w:r w:rsidRPr="0012130D">
        <w:rPr>
          <w:rFonts w:asciiTheme="majorHAnsi" w:hAnsiTheme="majorHAnsi"/>
          <w:sz w:val="24"/>
          <w:szCs w:val="24"/>
        </w:rPr>
        <w:t xml:space="preserve">společnosti a </w:t>
      </w:r>
      <w:r w:rsidR="00A90962">
        <w:rPr>
          <w:rFonts w:asciiTheme="majorHAnsi" w:hAnsiTheme="majorHAnsi"/>
          <w:sz w:val="24"/>
          <w:szCs w:val="24"/>
        </w:rPr>
        <w:t xml:space="preserve">která </w:t>
      </w:r>
      <w:r w:rsidRPr="0012130D">
        <w:rPr>
          <w:rFonts w:asciiTheme="majorHAnsi" w:hAnsiTheme="majorHAnsi"/>
          <w:sz w:val="24"/>
          <w:szCs w:val="24"/>
        </w:rPr>
        <w:t>ekonomická odvětví ovládají rozdílné klany ázerbájdžánské elity. Sledovat, jak se mění rovnováha sil mezi klany v souvislosti se snížením příjmů z exportu a snažit se varovat případné české společnosti, které investují do Ázerbájdžánu, před riziky spolupráce s partnery</w:t>
      </w:r>
      <w:r w:rsidR="00A90962" w:rsidRPr="0012130D">
        <w:rPr>
          <w:rFonts w:asciiTheme="majorHAnsi" w:hAnsiTheme="majorHAnsi"/>
          <w:sz w:val="24"/>
          <w:szCs w:val="24"/>
        </w:rPr>
        <w:t xml:space="preserve"> </w:t>
      </w:r>
      <w:r w:rsidRPr="0012130D">
        <w:rPr>
          <w:rFonts w:asciiTheme="majorHAnsi" w:hAnsiTheme="majorHAnsi"/>
          <w:sz w:val="24"/>
          <w:szCs w:val="24"/>
        </w:rPr>
        <w:t>mají</w:t>
      </w:r>
      <w:r w:rsidR="005A3F38">
        <w:rPr>
          <w:rFonts w:asciiTheme="majorHAnsi" w:hAnsiTheme="majorHAnsi"/>
          <w:sz w:val="24"/>
          <w:szCs w:val="24"/>
        </w:rPr>
        <w:t>cími</w:t>
      </w:r>
      <w:r w:rsidRPr="0012130D">
        <w:rPr>
          <w:rFonts w:asciiTheme="majorHAnsi" w:hAnsiTheme="majorHAnsi"/>
          <w:sz w:val="24"/>
          <w:szCs w:val="24"/>
        </w:rPr>
        <w:t xml:space="preserve"> blízko</w:t>
      </w:r>
      <w:r w:rsidR="005A3F38">
        <w:rPr>
          <w:rFonts w:asciiTheme="majorHAnsi" w:hAnsiTheme="majorHAnsi"/>
          <w:sz w:val="24"/>
          <w:szCs w:val="24"/>
        </w:rPr>
        <w:t xml:space="preserve"> ke</w:t>
      </w:r>
      <w:r w:rsidRPr="0012130D">
        <w:rPr>
          <w:rFonts w:asciiTheme="majorHAnsi" w:hAnsiTheme="majorHAnsi"/>
          <w:sz w:val="24"/>
          <w:szCs w:val="24"/>
        </w:rPr>
        <w:t xml:space="preserve"> klanům, jež konkurují s </w:t>
      </w:r>
      <w:proofErr w:type="spellStart"/>
      <w:r w:rsidRPr="0012130D">
        <w:rPr>
          <w:rFonts w:asciiTheme="majorHAnsi" w:hAnsiTheme="majorHAnsi"/>
          <w:sz w:val="24"/>
          <w:szCs w:val="24"/>
        </w:rPr>
        <w:t>Pašajevovými</w:t>
      </w:r>
      <w:proofErr w:type="spellEnd"/>
      <w:r w:rsidRPr="0012130D">
        <w:rPr>
          <w:rFonts w:asciiTheme="majorHAnsi" w:hAnsiTheme="majorHAnsi"/>
          <w:sz w:val="24"/>
          <w:szCs w:val="24"/>
        </w:rPr>
        <w:t>.</w:t>
      </w:r>
    </w:p>
    <w:p w14:paraId="5ECEC796" w14:textId="4AB255A8" w:rsidR="0012130D" w:rsidRPr="0012130D" w:rsidRDefault="0012130D" w:rsidP="00DA5BF3">
      <w:pPr>
        <w:spacing w:before="240" w:after="100" w:afterAutospacing="1" w:line="240" w:lineRule="auto"/>
        <w:ind w:firstLine="360"/>
        <w:jc w:val="both"/>
        <w:rPr>
          <w:sz w:val="24"/>
          <w:szCs w:val="24"/>
        </w:rPr>
      </w:pPr>
      <w:r w:rsidRPr="0012130D">
        <w:rPr>
          <w:sz w:val="24"/>
          <w:szCs w:val="24"/>
        </w:rPr>
        <w:t>Je zřejmé, že některá doporučení přesahují rámec české zahraniční politiky, resp. agendy MZV</w:t>
      </w:r>
      <w:r>
        <w:rPr>
          <w:sz w:val="24"/>
          <w:szCs w:val="24"/>
        </w:rPr>
        <w:t xml:space="preserve">, a zasahují do gesce dalších sektorů.  Při jejich realizaci je proto třeba iniciovat koordinovaný postup napříč složkami vlády, a to zejména </w:t>
      </w:r>
      <w:r w:rsidR="00195B5B">
        <w:rPr>
          <w:sz w:val="24"/>
          <w:szCs w:val="24"/>
        </w:rPr>
        <w:t xml:space="preserve">ve vztahu k EU. </w:t>
      </w:r>
    </w:p>
    <w:p w14:paraId="30B74CFE" w14:textId="05B5450C" w:rsidR="00637B24" w:rsidRPr="0012130D" w:rsidRDefault="00D37FF8" w:rsidP="0012130D">
      <w:pPr>
        <w:spacing w:after="100" w:afterAutospacing="1" w:line="240" w:lineRule="auto"/>
        <w:jc w:val="both"/>
        <w:rPr>
          <w:rFonts w:cstheme="minorHAnsi"/>
          <w:sz w:val="24"/>
          <w:szCs w:val="24"/>
          <w:u w:val="single"/>
        </w:rPr>
      </w:pPr>
      <w:r w:rsidRPr="00567A79">
        <w:rPr>
          <w:b/>
          <w:bCs/>
          <w:sz w:val="24"/>
          <w:szCs w:val="24"/>
        </w:rPr>
        <w:br w:type="page"/>
      </w:r>
      <w:r w:rsidR="00637B24" w:rsidRPr="00EB3AA6">
        <w:rPr>
          <w:b/>
          <w:bCs/>
          <w:sz w:val="24"/>
          <w:szCs w:val="24"/>
        </w:rPr>
        <w:lastRenderedPageBreak/>
        <w:t>Literatura</w:t>
      </w:r>
    </w:p>
    <w:p w14:paraId="5A7960AC" w14:textId="6B8E44FC" w:rsidR="00593C75" w:rsidRPr="001E0E83" w:rsidRDefault="00593C75" w:rsidP="001E0E83">
      <w:pPr>
        <w:spacing w:after="100" w:afterAutospacing="1" w:line="240" w:lineRule="auto"/>
        <w:ind w:left="709" w:hanging="709"/>
        <w:rPr>
          <w:rFonts w:ascii="Cambria" w:hAnsi="Cambria"/>
          <w:lang w:val="en-GB"/>
        </w:rPr>
      </w:pPr>
      <w:r w:rsidRPr="001E0E83">
        <w:rPr>
          <w:rFonts w:ascii="Cambria" w:eastAsia="Times New Roman" w:hAnsi="Cambria"/>
          <w:lang w:val="en-GB" w:eastAsia="cs-CZ"/>
        </w:rPr>
        <w:t>Al-</w:t>
      </w:r>
      <w:proofErr w:type="spellStart"/>
      <w:r w:rsidRPr="001E0E83">
        <w:rPr>
          <w:rFonts w:ascii="Cambria" w:eastAsia="Times New Roman" w:hAnsi="Cambria"/>
          <w:lang w:val="en-GB" w:eastAsia="cs-CZ"/>
        </w:rPr>
        <w:t>Saffar</w:t>
      </w:r>
      <w:proofErr w:type="spellEnd"/>
      <w:r w:rsidRPr="001E0E83">
        <w:rPr>
          <w:rFonts w:ascii="Cambria" w:eastAsia="Times New Roman" w:hAnsi="Cambria"/>
          <w:lang w:val="en-GB" w:eastAsia="cs-CZ"/>
        </w:rPr>
        <w:t xml:space="preserve">, A. – Van der </w:t>
      </w:r>
      <w:proofErr w:type="spellStart"/>
      <w:r w:rsidRPr="001E0E83">
        <w:rPr>
          <w:rFonts w:ascii="Cambria" w:eastAsia="Times New Roman" w:hAnsi="Cambria"/>
          <w:lang w:val="en-GB" w:eastAsia="cs-CZ"/>
        </w:rPr>
        <w:t>Beeuren</w:t>
      </w:r>
      <w:proofErr w:type="spellEnd"/>
      <w:r w:rsidRPr="001E0E83">
        <w:rPr>
          <w:rFonts w:ascii="Cambria" w:eastAsia="Times New Roman" w:hAnsi="Cambria"/>
          <w:lang w:val="en-GB" w:eastAsia="cs-CZ"/>
        </w:rPr>
        <w:t xml:space="preserve">, M. (2020): The case for energy transitions in major oil- and gas-producing countries, </w:t>
      </w:r>
      <w:hyperlink r:id="rId19" w:history="1">
        <w:r w:rsidRPr="001E0E83">
          <w:rPr>
            <w:rFonts w:ascii="Cambria" w:eastAsia="Times New Roman" w:hAnsi="Cambria"/>
            <w:lang w:val="en-GB" w:eastAsia="cs-CZ"/>
          </w:rPr>
          <w:t>https://www.iea.org/commentaries/the-case-for-energy-transitions-in-major-oil-and-gas-producing-countries</w:t>
        </w:r>
      </w:hyperlink>
      <w:r w:rsidRPr="001E0E83">
        <w:rPr>
          <w:rFonts w:ascii="Cambria" w:eastAsia="Times New Roman" w:hAnsi="Cambria"/>
          <w:lang w:val="en-GB" w:eastAsia="cs-CZ"/>
        </w:rPr>
        <w:t xml:space="preserve"> (</w:t>
      </w:r>
      <w:proofErr w:type="spellStart"/>
      <w:r w:rsidR="001E0E83">
        <w:rPr>
          <w:rFonts w:ascii="Cambria" w:eastAsia="Times New Roman" w:hAnsi="Cambria"/>
          <w:lang w:val="en-GB" w:eastAsia="cs-CZ"/>
        </w:rPr>
        <w:t>staženo</w:t>
      </w:r>
      <w:proofErr w:type="spellEnd"/>
      <w:r w:rsidRPr="001E0E83">
        <w:rPr>
          <w:rFonts w:ascii="Cambria" w:eastAsia="Times New Roman" w:hAnsi="Cambria"/>
          <w:lang w:val="en-GB" w:eastAsia="cs-CZ"/>
        </w:rPr>
        <w:t xml:space="preserve"> 20</w:t>
      </w:r>
      <w:r w:rsidR="001E0E83">
        <w:rPr>
          <w:rFonts w:ascii="Cambria" w:eastAsia="Times New Roman" w:hAnsi="Cambria"/>
          <w:lang w:val="en-GB" w:eastAsia="cs-CZ"/>
        </w:rPr>
        <w:t xml:space="preserve">. </w:t>
      </w:r>
      <w:proofErr w:type="spellStart"/>
      <w:r w:rsidR="001E0E83">
        <w:rPr>
          <w:rFonts w:ascii="Cambria" w:eastAsia="Times New Roman" w:hAnsi="Cambria"/>
          <w:lang w:val="en-GB" w:eastAsia="cs-CZ"/>
        </w:rPr>
        <w:t>října</w:t>
      </w:r>
      <w:proofErr w:type="spellEnd"/>
      <w:r w:rsidRPr="001E0E83">
        <w:rPr>
          <w:rFonts w:ascii="Cambria" w:eastAsia="Times New Roman" w:hAnsi="Cambria"/>
          <w:lang w:val="en-GB" w:eastAsia="cs-CZ"/>
        </w:rPr>
        <w:t xml:space="preserve"> 2020).</w:t>
      </w:r>
    </w:p>
    <w:p w14:paraId="7D7E7B4D" w14:textId="527D81C3" w:rsidR="00593C75" w:rsidRPr="001E0E83" w:rsidRDefault="00593C75" w:rsidP="001E0E83">
      <w:pPr>
        <w:spacing w:after="100" w:afterAutospacing="1" w:line="240" w:lineRule="auto"/>
        <w:ind w:left="709" w:hanging="709"/>
        <w:rPr>
          <w:rFonts w:ascii="Cambria" w:hAnsi="Cambria"/>
        </w:rPr>
      </w:pPr>
      <w:proofErr w:type="spellStart"/>
      <w:r w:rsidRPr="001E0E83">
        <w:rPr>
          <w:rFonts w:ascii="Cambria" w:hAnsi="Cambria"/>
        </w:rPr>
        <w:t>Alijev</w:t>
      </w:r>
      <w:proofErr w:type="spellEnd"/>
      <w:r w:rsidRPr="001E0E83">
        <w:rPr>
          <w:rFonts w:ascii="Cambria" w:hAnsi="Cambria"/>
        </w:rPr>
        <w:t xml:space="preserve">, </w:t>
      </w:r>
      <w:proofErr w:type="spellStart"/>
      <w:r w:rsidRPr="001E0E83">
        <w:rPr>
          <w:rFonts w:ascii="Cambria" w:hAnsi="Cambria"/>
        </w:rPr>
        <w:t>Ilham</w:t>
      </w:r>
      <w:proofErr w:type="spellEnd"/>
      <w:r w:rsidRPr="001E0E83">
        <w:rPr>
          <w:rFonts w:ascii="Cambria" w:hAnsi="Cambria"/>
        </w:rPr>
        <w:t xml:space="preserve"> (2020): </w:t>
      </w:r>
      <w:proofErr w:type="spellStart"/>
      <w:r w:rsidRPr="001E0E83">
        <w:rPr>
          <w:rFonts w:ascii="Cambria" w:hAnsi="Cambria"/>
        </w:rPr>
        <w:t>Вступительная</w:t>
      </w:r>
      <w:proofErr w:type="spellEnd"/>
      <w:r w:rsidRPr="001E0E83">
        <w:rPr>
          <w:rFonts w:ascii="Cambria" w:hAnsi="Cambria"/>
        </w:rPr>
        <w:t xml:space="preserve"> </w:t>
      </w:r>
      <w:proofErr w:type="spellStart"/>
      <w:r w:rsidRPr="001E0E83">
        <w:rPr>
          <w:rFonts w:ascii="Cambria" w:hAnsi="Cambria"/>
        </w:rPr>
        <w:t>речь</w:t>
      </w:r>
      <w:proofErr w:type="spellEnd"/>
      <w:r w:rsidRPr="001E0E83">
        <w:rPr>
          <w:rFonts w:ascii="Cambria" w:hAnsi="Cambria"/>
        </w:rPr>
        <w:t xml:space="preserve"> </w:t>
      </w:r>
      <w:proofErr w:type="spellStart"/>
      <w:r w:rsidRPr="001E0E83">
        <w:rPr>
          <w:rFonts w:ascii="Cambria" w:hAnsi="Cambria"/>
        </w:rPr>
        <w:t>Ильхама</w:t>
      </w:r>
      <w:proofErr w:type="spellEnd"/>
      <w:r w:rsidRPr="001E0E83">
        <w:rPr>
          <w:rFonts w:ascii="Cambria" w:hAnsi="Cambria"/>
        </w:rPr>
        <w:t xml:space="preserve"> </w:t>
      </w:r>
      <w:proofErr w:type="spellStart"/>
      <w:r w:rsidRPr="001E0E83">
        <w:rPr>
          <w:rFonts w:ascii="Cambria" w:hAnsi="Cambria"/>
        </w:rPr>
        <w:t>Алиева</w:t>
      </w:r>
      <w:proofErr w:type="spellEnd"/>
      <w:r w:rsidRPr="001E0E83">
        <w:rPr>
          <w:rFonts w:ascii="Cambria" w:hAnsi="Cambria"/>
        </w:rPr>
        <w:t xml:space="preserve"> </w:t>
      </w:r>
      <w:proofErr w:type="spellStart"/>
      <w:r w:rsidRPr="001E0E83">
        <w:rPr>
          <w:rFonts w:ascii="Cambria" w:hAnsi="Cambria"/>
        </w:rPr>
        <w:t>на</w:t>
      </w:r>
      <w:proofErr w:type="spellEnd"/>
      <w:r w:rsidRPr="001E0E83">
        <w:rPr>
          <w:rFonts w:ascii="Cambria" w:hAnsi="Cambria"/>
        </w:rPr>
        <w:t xml:space="preserve"> </w:t>
      </w:r>
      <w:proofErr w:type="spellStart"/>
      <w:r w:rsidRPr="001E0E83">
        <w:rPr>
          <w:rFonts w:ascii="Cambria" w:hAnsi="Cambria"/>
        </w:rPr>
        <w:t>заседание</w:t>
      </w:r>
      <w:proofErr w:type="spellEnd"/>
      <w:r w:rsidRPr="001E0E83">
        <w:rPr>
          <w:rFonts w:ascii="Cambria" w:hAnsi="Cambria"/>
        </w:rPr>
        <w:t xml:space="preserve"> </w:t>
      </w:r>
      <w:proofErr w:type="spellStart"/>
      <w:r w:rsidRPr="001E0E83">
        <w:rPr>
          <w:rFonts w:ascii="Cambria" w:hAnsi="Cambria"/>
        </w:rPr>
        <w:t>Кабинета</w:t>
      </w:r>
      <w:proofErr w:type="spellEnd"/>
      <w:r w:rsidRPr="001E0E83">
        <w:rPr>
          <w:rFonts w:ascii="Cambria" w:hAnsi="Cambria"/>
        </w:rPr>
        <w:t xml:space="preserve"> </w:t>
      </w:r>
      <w:proofErr w:type="spellStart"/>
      <w:r w:rsidRPr="001E0E83">
        <w:rPr>
          <w:rFonts w:ascii="Cambria" w:hAnsi="Cambria"/>
        </w:rPr>
        <w:t>Министров</w:t>
      </w:r>
      <w:proofErr w:type="spellEnd"/>
      <w:r w:rsidRPr="001E0E83">
        <w:rPr>
          <w:rFonts w:ascii="Cambria" w:hAnsi="Cambria"/>
        </w:rPr>
        <w:t xml:space="preserve">, </w:t>
      </w:r>
      <w:proofErr w:type="spellStart"/>
      <w:r w:rsidRPr="001E0E83">
        <w:rPr>
          <w:rFonts w:ascii="Cambria" w:hAnsi="Cambria"/>
        </w:rPr>
        <w:t>посвященное</w:t>
      </w:r>
      <w:proofErr w:type="spellEnd"/>
      <w:r w:rsidRPr="001E0E83">
        <w:rPr>
          <w:rFonts w:ascii="Cambria" w:hAnsi="Cambria"/>
        </w:rPr>
        <w:t xml:space="preserve"> </w:t>
      </w:r>
      <w:proofErr w:type="spellStart"/>
      <w:r w:rsidRPr="001E0E83">
        <w:rPr>
          <w:rFonts w:ascii="Cambria" w:hAnsi="Cambria"/>
        </w:rPr>
        <w:t>итогам</w:t>
      </w:r>
      <w:proofErr w:type="spellEnd"/>
      <w:r w:rsidRPr="001E0E83">
        <w:rPr>
          <w:rFonts w:ascii="Cambria" w:hAnsi="Cambria"/>
        </w:rPr>
        <w:t xml:space="preserve"> </w:t>
      </w:r>
      <w:proofErr w:type="spellStart"/>
      <w:r w:rsidRPr="001E0E83">
        <w:rPr>
          <w:rFonts w:ascii="Cambria" w:hAnsi="Cambria"/>
        </w:rPr>
        <w:t>социально-экономического</w:t>
      </w:r>
      <w:proofErr w:type="spellEnd"/>
      <w:r w:rsidRPr="001E0E83">
        <w:rPr>
          <w:rFonts w:ascii="Cambria" w:hAnsi="Cambria"/>
        </w:rPr>
        <w:t xml:space="preserve"> </w:t>
      </w:r>
      <w:proofErr w:type="spellStart"/>
      <w:r w:rsidRPr="001E0E83">
        <w:rPr>
          <w:rFonts w:ascii="Cambria" w:hAnsi="Cambria"/>
        </w:rPr>
        <w:t>развития</w:t>
      </w:r>
      <w:proofErr w:type="spellEnd"/>
      <w:r w:rsidRPr="001E0E83">
        <w:rPr>
          <w:rFonts w:ascii="Cambria" w:hAnsi="Cambria"/>
        </w:rPr>
        <w:t xml:space="preserve"> в </w:t>
      </w:r>
      <w:proofErr w:type="spellStart"/>
      <w:r w:rsidRPr="001E0E83">
        <w:rPr>
          <w:rFonts w:ascii="Cambria" w:hAnsi="Cambria"/>
        </w:rPr>
        <w:t>первом</w:t>
      </w:r>
      <w:proofErr w:type="spellEnd"/>
      <w:r w:rsidRPr="001E0E83">
        <w:rPr>
          <w:rFonts w:ascii="Cambria" w:hAnsi="Cambria"/>
        </w:rPr>
        <w:t xml:space="preserve"> </w:t>
      </w:r>
      <w:proofErr w:type="spellStart"/>
      <w:r w:rsidRPr="001E0E83">
        <w:rPr>
          <w:rFonts w:ascii="Cambria" w:hAnsi="Cambria"/>
        </w:rPr>
        <w:t>полугодии</w:t>
      </w:r>
      <w:proofErr w:type="spellEnd"/>
      <w:r w:rsidRPr="001E0E83">
        <w:rPr>
          <w:rFonts w:ascii="Cambria" w:hAnsi="Cambria"/>
        </w:rPr>
        <w:t xml:space="preserve"> 2020 </w:t>
      </w:r>
      <w:proofErr w:type="spellStart"/>
      <w:r w:rsidRPr="001E0E83">
        <w:rPr>
          <w:rFonts w:ascii="Cambria" w:hAnsi="Cambria"/>
        </w:rPr>
        <w:t>года</w:t>
      </w:r>
      <w:proofErr w:type="spellEnd"/>
      <w:r w:rsidRPr="001E0E83">
        <w:rPr>
          <w:rFonts w:ascii="Cambria" w:hAnsi="Cambria"/>
        </w:rPr>
        <w:t xml:space="preserve"> и </w:t>
      </w:r>
      <w:proofErr w:type="spellStart"/>
      <w:r w:rsidRPr="001E0E83">
        <w:rPr>
          <w:rFonts w:ascii="Cambria" w:hAnsi="Cambria"/>
        </w:rPr>
        <w:t>предстоящим</w:t>
      </w:r>
      <w:proofErr w:type="spellEnd"/>
      <w:r w:rsidRPr="001E0E83">
        <w:rPr>
          <w:rFonts w:ascii="Cambria" w:hAnsi="Cambria"/>
        </w:rPr>
        <w:t xml:space="preserve"> </w:t>
      </w:r>
      <w:proofErr w:type="spellStart"/>
      <w:r w:rsidRPr="001E0E83">
        <w:rPr>
          <w:rFonts w:ascii="Cambria" w:hAnsi="Cambria"/>
        </w:rPr>
        <w:t>задачам</w:t>
      </w:r>
      <w:proofErr w:type="spellEnd"/>
      <w:r w:rsidRPr="001E0E83">
        <w:rPr>
          <w:rFonts w:ascii="Cambria" w:hAnsi="Cambria"/>
        </w:rPr>
        <w:t xml:space="preserve">, </w:t>
      </w:r>
      <w:r w:rsidRPr="001E0E83">
        <w:rPr>
          <w:rFonts w:ascii="Cambria" w:hAnsi="Cambria"/>
          <w:i/>
        </w:rPr>
        <w:t>president.az</w:t>
      </w:r>
      <w:r w:rsidRPr="001E0E83">
        <w:rPr>
          <w:rFonts w:ascii="Cambria" w:hAnsi="Cambria"/>
        </w:rPr>
        <w:t xml:space="preserve">, 15.07.2020, </w:t>
      </w:r>
      <w:r w:rsidR="00B04CB8" w:rsidRPr="00B04CB8">
        <w:rPr>
          <w:rFonts w:ascii="Cambria" w:hAnsi="Cambria"/>
        </w:rPr>
        <w:t>https://ru.president.az/articles/39687</w:t>
      </w:r>
      <w:r w:rsidR="00B04CB8">
        <w:rPr>
          <w:rFonts w:ascii="Cambria" w:hAnsi="Cambria"/>
        </w:rPr>
        <w:t xml:space="preserve">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sidRPr="001E0E83">
        <w:rPr>
          <w:rFonts w:ascii="Cambria" w:eastAsia="Times New Roman" w:hAnsi="Cambria"/>
          <w:lang w:val="en-GB" w:eastAsia="cs-CZ"/>
        </w:rPr>
        <w:t xml:space="preserve"> </w:t>
      </w:r>
      <w:r w:rsidR="00B04CB8">
        <w:rPr>
          <w:rFonts w:ascii="Cambria" w:eastAsia="Times New Roman" w:hAnsi="Cambria"/>
          <w:lang w:val="en-GB" w:eastAsia="cs-CZ"/>
        </w:rPr>
        <w:t xml:space="preserve">15. </w:t>
      </w:r>
      <w:proofErr w:type="spellStart"/>
      <w:r w:rsidR="00B04CB8">
        <w:rPr>
          <w:rFonts w:ascii="Cambria" w:eastAsia="Times New Roman" w:hAnsi="Cambria"/>
          <w:lang w:val="en-GB" w:eastAsia="cs-CZ"/>
        </w:rPr>
        <w:t>listopadu</w:t>
      </w:r>
      <w:proofErr w:type="spellEnd"/>
      <w:r w:rsidR="00B04CB8" w:rsidRPr="001E0E83">
        <w:rPr>
          <w:rFonts w:ascii="Cambria" w:eastAsia="Times New Roman" w:hAnsi="Cambria"/>
          <w:lang w:val="en-GB" w:eastAsia="cs-CZ"/>
        </w:rPr>
        <w:t xml:space="preserve"> 2020)</w:t>
      </w:r>
      <w:r w:rsidRPr="001E0E83">
        <w:rPr>
          <w:rFonts w:ascii="Cambria" w:hAnsi="Cambria"/>
        </w:rPr>
        <w:t>.</w:t>
      </w:r>
    </w:p>
    <w:p w14:paraId="784D2A7C" w14:textId="3FB9367B" w:rsidR="00593C75" w:rsidRPr="001E0E83" w:rsidRDefault="00593C75" w:rsidP="001E0E83">
      <w:pPr>
        <w:spacing w:after="100" w:afterAutospacing="1" w:line="240" w:lineRule="auto"/>
        <w:ind w:left="709" w:hanging="709"/>
        <w:rPr>
          <w:rFonts w:ascii="Cambria" w:eastAsia="Times New Roman" w:hAnsi="Cambria"/>
          <w:lang w:val="en-GB" w:eastAsia="cs-CZ"/>
        </w:rPr>
      </w:pPr>
      <w:proofErr w:type="spellStart"/>
      <w:r w:rsidRPr="001E0E83">
        <w:rPr>
          <w:rFonts w:ascii="Cambria" w:eastAsia="Times New Roman" w:hAnsi="Cambria"/>
          <w:lang w:val="en-GB" w:eastAsia="cs-CZ"/>
        </w:rPr>
        <w:t>Alkhateeb</w:t>
      </w:r>
      <w:proofErr w:type="spellEnd"/>
      <w:r w:rsidRPr="001E0E83">
        <w:rPr>
          <w:rFonts w:ascii="Cambria" w:eastAsia="Times New Roman" w:hAnsi="Cambria"/>
          <w:lang w:val="en-GB" w:eastAsia="cs-CZ"/>
        </w:rPr>
        <w:t>, T. T. Y. – Mahmood, H. (2020): Oil Price and Capital Formation Nexus in GCC Countries: Asymmetry Analyses. </w:t>
      </w:r>
      <w:r w:rsidRPr="00B04CB8">
        <w:rPr>
          <w:rFonts w:ascii="Cambria" w:eastAsia="Times New Roman" w:hAnsi="Cambria"/>
          <w:i/>
          <w:iCs/>
          <w:lang w:val="en-GB" w:eastAsia="cs-CZ"/>
        </w:rPr>
        <w:t>International Journal of Energy Economics and Policy</w:t>
      </w:r>
      <w:r w:rsidRPr="001E0E83">
        <w:rPr>
          <w:rFonts w:ascii="Cambria" w:eastAsia="Times New Roman" w:hAnsi="Cambria"/>
          <w:lang w:val="en-GB" w:eastAsia="cs-CZ"/>
        </w:rPr>
        <w:t>, 10(6), 146-151.</w:t>
      </w:r>
    </w:p>
    <w:p w14:paraId="4363DE71" w14:textId="615808AC" w:rsidR="00593C75" w:rsidRPr="001E0E83" w:rsidRDefault="00593C75" w:rsidP="001E0E83">
      <w:pPr>
        <w:spacing w:after="100" w:afterAutospacing="1" w:line="240" w:lineRule="auto"/>
        <w:ind w:left="708" w:hanging="708"/>
        <w:rPr>
          <w:rFonts w:ascii="Cambria" w:hAnsi="Cambria"/>
          <w:lang w:val="en-GB"/>
        </w:rPr>
      </w:pPr>
      <w:r w:rsidRPr="001E0E83">
        <w:rPr>
          <w:rFonts w:ascii="Cambria" w:hAnsi="Cambria"/>
          <w:lang w:val="en-GB"/>
        </w:rPr>
        <w:t xml:space="preserve">Andersen, J. J. – </w:t>
      </w:r>
      <w:proofErr w:type="spellStart"/>
      <w:r w:rsidRPr="001E0E83">
        <w:rPr>
          <w:rFonts w:ascii="Cambria" w:hAnsi="Cambria"/>
          <w:lang w:val="en-GB"/>
        </w:rPr>
        <w:t>Nordvik</w:t>
      </w:r>
      <w:proofErr w:type="spellEnd"/>
      <w:r w:rsidRPr="001E0E83">
        <w:rPr>
          <w:rFonts w:ascii="Cambria" w:hAnsi="Cambria"/>
          <w:lang w:val="en-GB"/>
        </w:rPr>
        <w:t>, F. M. –</w:t>
      </w:r>
      <w:proofErr w:type="spellStart"/>
      <w:r w:rsidRPr="001E0E83">
        <w:rPr>
          <w:rFonts w:ascii="Cambria" w:hAnsi="Cambria"/>
          <w:lang w:val="en-GB"/>
        </w:rPr>
        <w:t>Tesei</w:t>
      </w:r>
      <w:proofErr w:type="spellEnd"/>
      <w:r w:rsidRPr="001E0E83">
        <w:rPr>
          <w:rFonts w:ascii="Cambria" w:hAnsi="Cambria"/>
          <w:lang w:val="en-GB"/>
        </w:rPr>
        <w:t xml:space="preserve">, A. (2017): Oil and Civil Conflict: On and Off (Shore). </w:t>
      </w:r>
      <w:proofErr w:type="spellStart"/>
      <w:r w:rsidRPr="001E0E83">
        <w:rPr>
          <w:rFonts w:ascii="Cambria" w:hAnsi="Cambria"/>
          <w:i/>
          <w:lang w:val="en-GB"/>
        </w:rPr>
        <w:t>CESifo</w:t>
      </w:r>
      <w:proofErr w:type="spellEnd"/>
      <w:r w:rsidRPr="001E0E83">
        <w:rPr>
          <w:rFonts w:ascii="Cambria" w:hAnsi="Cambria"/>
          <w:i/>
          <w:lang w:val="en-GB"/>
        </w:rPr>
        <w:t xml:space="preserve"> Working Paper Series 6346</w:t>
      </w:r>
      <w:r w:rsidRPr="001E0E83">
        <w:rPr>
          <w:rFonts w:ascii="Cambria" w:hAnsi="Cambria"/>
          <w:lang w:val="en-GB"/>
        </w:rPr>
        <w:t xml:space="preserve">, </w:t>
      </w:r>
      <w:proofErr w:type="spellStart"/>
      <w:r w:rsidRPr="001E0E83">
        <w:rPr>
          <w:rFonts w:ascii="Cambria" w:hAnsi="Cambria"/>
          <w:lang w:val="en-GB"/>
        </w:rPr>
        <w:t>CESifo</w:t>
      </w:r>
      <w:proofErr w:type="spellEnd"/>
      <w:r w:rsidRPr="001E0E83">
        <w:rPr>
          <w:rFonts w:ascii="Cambria" w:hAnsi="Cambria"/>
          <w:lang w:val="en-GB"/>
        </w:rPr>
        <w:t xml:space="preserve">, </w:t>
      </w:r>
      <w:r w:rsidR="00B04CB8" w:rsidRPr="00103A2E">
        <w:rPr>
          <w:rFonts w:ascii="Cambria" w:hAnsi="Cambria"/>
          <w:lang w:val="en-GB"/>
        </w:rPr>
        <w:t>https://www.cesifo.org/DocDL/cesifo1_wp6346.pdf</w:t>
      </w:r>
      <w:r w:rsidR="00B04CB8">
        <w:rPr>
          <w:rFonts w:ascii="Cambria" w:hAnsi="Cambria"/>
          <w:lang w:val="en-GB"/>
        </w:rPr>
        <w:t xml:space="preserve">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sidRPr="001E0E83">
        <w:rPr>
          <w:rFonts w:ascii="Cambria" w:eastAsia="Times New Roman" w:hAnsi="Cambria"/>
          <w:lang w:val="en-GB" w:eastAsia="cs-CZ"/>
        </w:rPr>
        <w:t xml:space="preserve"> 20</w:t>
      </w:r>
      <w:r w:rsidR="00B04CB8">
        <w:rPr>
          <w:rFonts w:ascii="Cambria" w:eastAsia="Times New Roman" w:hAnsi="Cambria"/>
          <w:lang w:val="en-GB" w:eastAsia="cs-CZ"/>
        </w:rPr>
        <w:t xml:space="preserve">. </w:t>
      </w:r>
      <w:proofErr w:type="spellStart"/>
      <w:r w:rsidR="00B04CB8">
        <w:rPr>
          <w:rFonts w:ascii="Cambria" w:eastAsia="Times New Roman" w:hAnsi="Cambria"/>
          <w:lang w:val="en-GB" w:eastAsia="cs-CZ"/>
        </w:rPr>
        <w:t>října</w:t>
      </w:r>
      <w:proofErr w:type="spellEnd"/>
      <w:r w:rsidR="00B04CB8" w:rsidRPr="001E0E83">
        <w:rPr>
          <w:rFonts w:ascii="Cambria" w:eastAsia="Times New Roman" w:hAnsi="Cambria"/>
          <w:lang w:val="en-GB" w:eastAsia="cs-CZ"/>
        </w:rPr>
        <w:t xml:space="preserve"> 2020)</w:t>
      </w:r>
      <w:r w:rsidRPr="001E0E83">
        <w:rPr>
          <w:rFonts w:ascii="Cambria" w:hAnsi="Cambria"/>
          <w:lang w:val="en-GB"/>
        </w:rPr>
        <w:t>.</w:t>
      </w:r>
    </w:p>
    <w:p w14:paraId="69597794" w14:textId="42147BE0" w:rsidR="00593C75" w:rsidRPr="001E0E83" w:rsidRDefault="00593C75" w:rsidP="001E0E83">
      <w:pPr>
        <w:spacing w:after="100" w:afterAutospacing="1" w:line="240" w:lineRule="auto"/>
        <w:ind w:left="284" w:hanging="284"/>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t>Anzuini</w:t>
      </w:r>
      <w:proofErr w:type="spellEnd"/>
      <w:r w:rsidRPr="001E0E83">
        <w:rPr>
          <w:rFonts w:ascii="Cambria" w:hAnsi="Cambria"/>
          <w:color w:val="000000" w:themeColor="text1"/>
          <w:shd w:val="clear" w:color="auto" w:fill="FFFFFF"/>
          <w:lang w:val="en-US"/>
        </w:rPr>
        <w:t>, A. - Pagano, P., – Pisani, M. (2015). Macroeconomic effects of precautionary demand for oil. </w:t>
      </w:r>
      <w:r w:rsidRPr="00B04CB8">
        <w:rPr>
          <w:rFonts w:ascii="Cambria" w:hAnsi="Cambria"/>
          <w:i/>
          <w:iCs/>
          <w:color w:val="000000" w:themeColor="text1"/>
          <w:shd w:val="clear" w:color="auto" w:fill="FFFFFF"/>
          <w:lang w:val="en-US"/>
        </w:rPr>
        <w:t>Journal of Applied Econometrics</w:t>
      </w:r>
      <w:r w:rsidRPr="001E0E83">
        <w:rPr>
          <w:rFonts w:ascii="Cambria" w:hAnsi="Cambria"/>
          <w:color w:val="000000" w:themeColor="text1"/>
          <w:shd w:val="clear" w:color="auto" w:fill="FFFFFF"/>
          <w:lang w:val="en-US"/>
        </w:rPr>
        <w:t>, 30(6), 968-986.</w:t>
      </w:r>
    </w:p>
    <w:p w14:paraId="284D6380" w14:textId="54E81A17" w:rsidR="00593C75" w:rsidRPr="001E0E83" w:rsidRDefault="00593C75" w:rsidP="001E0E83">
      <w:pPr>
        <w:spacing w:after="100" w:afterAutospacing="1" w:line="240" w:lineRule="auto"/>
        <w:ind w:left="709" w:hanging="709"/>
        <w:rPr>
          <w:rFonts w:ascii="Cambria" w:eastAsia="Times New Roman" w:hAnsi="Cambria"/>
          <w:lang w:val="en-GB" w:eastAsia="cs-CZ"/>
        </w:rPr>
      </w:pPr>
      <w:proofErr w:type="spellStart"/>
      <w:r w:rsidRPr="001E0E83">
        <w:rPr>
          <w:rFonts w:ascii="Cambria" w:eastAsia="Times New Roman" w:hAnsi="Cambria"/>
          <w:lang w:val="en-GB" w:eastAsia="cs-CZ"/>
        </w:rPr>
        <w:t>Arezki</w:t>
      </w:r>
      <w:proofErr w:type="spellEnd"/>
      <w:r w:rsidRPr="001E0E83">
        <w:rPr>
          <w:rFonts w:ascii="Cambria" w:eastAsia="Times New Roman" w:hAnsi="Cambria"/>
          <w:lang w:val="en-GB" w:eastAsia="cs-CZ"/>
        </w:rPr>
        <w:t xml:space="preserve">, R. – </w:t>
      </w:r>
      <w:proofErr w:type="spellStart"/>
      <w:r w:rsidRPr="001E0E83">
        <w:rPr>
          <w:rFonts w:ascii="Cambria" w:eastAsia="Times New Roman" w:hAnsi="Cambria"/>
          <w:lang w:val="en-GB" w:eastAsia="cs-CZ"/>
        </w:rPr>
        <w:t>Loungani</w:t>
      </w:r>
      <w:proofErr w:type="spellEnd"/>
      <w:r w:rsidRPr="001E0E83">
        <w:rPr>
          <w:rFonts w:ascii="Cambria" w:eastAsia="Times New Roman" w:hAnsi="Cambria"/>
          <w:lang w:val="en-GB" w:eastAsia="cs-CZ"/>
        </w:rPr>
        <w:t xml:space="preserve"> P. – van der Ploeg, R. – Venables T. (2014): Understanding International Commodity Price Fluctuations, </w:t>
      </w:r>
      <w:r w:rsidRPr="001E0E83">
        <w:rPr>
          <w:rFonts w:ascii="Cambria" w:eastAsia="Times New Roman" w:hAnsi="Cambria"/>
          <w:i/>
          <w:lang w:val="en-GB" w:eastAsia="cs-CZ"/>
        </w:rPr>
        <w:t>Journal of International Money and Finance</w:t>
      </w:r>
      <w:r w:rsidRPr="001E0E83">
        <w:rPr>
          <w:rFonts w:ascii="Cambria" w:eastAsia="Times New Roman" w:hAnsi="Cambria"/>
          <w:lang w:val="en-GB" w:eastAsia="cs-CZ"/>
        </w:rPr>
        <w:t>, 42</w:t>
      </w:r>
      <w:r w:rsidR="00B04CB8">
        <w:rPr>
          <w:rFonts w:ascii="Cambria" w:eastAsia="Times New Roman" w:hAnsi="Cambria"/>
          <w:lang w:val="en-GB" w:eastAsia="cs-CZ"/>
        </w:rPr>
        <w:t>(1)</w:t>
      </w:r>
      <w:r w:rsidRPr="001E0E83">
        <w:rPr>
          <w:rFonts w:ascii="Cambria" w:eastAsia="Times New Roman" w:hAnsi="Cambria"/>
          <w:lang w:val="en-GB" w:eastAsia="cs-CZ"/>
        </w:rPr>
        <w:t>, 1-8.</w:t>
      </w:r>
    </w:p>
    <w:p w14:paraId="3BEEED35" w14:textId="4A7AB1A3" w:rsidR="00593C75" w:rsidRPr="001E0E83" w:rsidRDefault="00593C75" w:rsidP="001E0E83">
      <w:pPr>
        <w:spacing w:after="100" w:afterAutospacing="1" w:line="240" w:lineRule="auto"/>
        <w:ind w:left="709" w:hanging="709"/>
        <w:rPr>
          <w:rFonts w:ascii="Cambria" w:eastAsia="Times New Roman" w:hAnsi="Cambria"/>
          <w:lang w:val="en-GB" w:eastAsia="cs-CZ"/>
        </w:rPr>
      </w:pPr>
      <w:proofErr w:type="spellStart"/>
      <w:r w:rsidRPr="001E0E83">
        <w:rPr>
          <w:rFonts w:ascii="Cambria" w:eastAsia="Times New Roman" w:hAnsi="Cambria"/>
          <w:lang w:val="en-GB" w:eastAsia="cs-CZ"/>
        </w:rPr>
        <w:t>Arouri</w:t>
      </w:r>
      <w:proofErr w:type="spellEnd"/>
      <w:r w:rsidRPr="001E0E83">
        <w:rPr>
          <w:rFonts w:ascii="Cambria" w:eastAsia="Times New Roman" w:hAnsi="Cambria"/>
          <w:lang w:val="en-GB" w:eastAsia="cs-CZ"/>
        </w:rPr>
        <w:t xml:space="preserve">, M.E.H. – </w:t>
      </w:r>
      <w:proofErr w:type="spellStart"/>
      <w:r w:rsidRPr="001E0E83">
        <w:rPr>
          <w:rFonts w:ascii="Cambria" w:eastAsia="Times New Roman" w:hAnsi="Cambria"/>
          <w:lang w:val="en-GB" w:eastAsia="cs-CZ"/>
        </w:rPr>
        <w:t>Jouini</w:t>
      </w:r>
      <w:proofErr w:type="spellEnd"/>
      <w:r w:rsidRPr="001E0E83">
        <w:rPr>
          <w:rFonts w:ascii="Cambria" w:eastAsia="Times New Roman" w:hAnsi="Cambria"/>
          <w:lang w:val="en-GB" w:eastAsia="cs-CZ"/>
        </w:rPr>
        <w:t xml:space="preserve">, J. – Nguyen, D.K. (2012): On the impacts of oil price fluctuations on European equity markets: Volatility </w:t>
      </w:r>
      <w:proofErr w:type="spellStart"/>
      <w:r w:rsidRPr="001E0E83">
        <w:rPr>
          <w:rFonts w:ascii="Cambria" w:eastAsia="Times New Roman" w:hAnsi="Cambria"/>
          <w:lang w:val="en-GB" w:eastAsia="cs-CZ"/>
        </w:rPr>
        <w:t>spillover</w:t>
      </w:r>
      <w:proofErr w:type="spellEnd"/>
      <w:r w:rsidRPr="001E0E83">
        <w:rPr>
          <w:rFonts w:ascii="Cambria" w:eastAsia="Times New Roman" w:hAnsi="Cambria"/>
          <w:lang w:val="en-GB" w:eastAsia="cs-CZ"/>
        </w:rPr>
        <w:t xml:space="preserve"> and hedging effectiveness. </w:t>
      </w:r>
      <w:r w:rsidRPr="001E0E83">
        <w:rPr>
          <w:rFonts w:ascii="Cambria" w:eastAsia="Times New Roman" w:hAnsi="Cambria"/>
          <w:i/>
          <w:lang w:val="en-GB" w:eastAsia="cs-CZ"/>
        </w:rPr>
        <w:t>Energy Economics</w:t>
      </w:r>
      <w:r w:rsidRPr="001E0E83">
        <w:rPr>
          <w:rFonts w:ascii="Cambria" w:eastAsia="Times New Roman" w:hAnsi="Cambria"/>
          <w:lang w:val="en-GB" w:eastAsia="cs-CZ"/>
        </w:rPr>
        <w:t>, 34</w:t>
      </w:r>
      <w:r w:rsidR="00B04CB8">
        <w:rPr>
          <w:rFonts w:ascii="Cambria" w:eastAsia="Times New Roman" w:hAnsi="Cambria"/>
          <w:lang w:val="en-GB" w:eastAsia="cs-CZ"/>
        </w:rPr>
        <w:t>(2)</w:t>
      </w:r>
      <w:r w:rsidRPr="001E0E83">
        <w:rPr>
          <w:rFonts w:ascii="Cambria" w:eastAsia="Times New Roman" w:hAnsi="Cambria"/>
          <w:lang w:val="en-GB" w:eastAsia="cs-CZ"/>
        </w:rPr>
        <w:t>, 611-617.</w:t>
      </w:r>
    </w:p>
    <w:p w14:paraId="580EDD93" w14:textId="1B73B9D4"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Aydin, U. – </w:t>
      </w:r>
      <w:proofErr w:type="spellStart"/>
      <w:r w:rsidRPr="001E0E83">
        <w:rPr>
          <w:rFonts w:ascii="Cambria" w:eastAsia="Times New Roman" w:hAnsi="Cambria"/>
          <w:lang w:val="en-GB" w:eastAsia="cs-CZ"/>
        </w:rPr>
        <w:t>Azhgaliyeva</w:t>
      </w:r>
      <w:proofErr w:type="spellEnd"/>
      <w:r w:rsidRPr="001E0E83">
        <w:rPr>
          <w:rFonts w:ascii="Cambria" w:eastAsia="Times New Roman" w:hAnsi="Cambria"/>
          <w:lang w:val="en-GB" w:eastAsia="cs-CZ"/>
        </w:rPr>
        <w:t xml:space="preserve">, D. (2019): Assessing energy security in Caspian region: The geopolitical implications to European energy strategy. </w:t>
      </w:r>
      <w:r w:rsidRPr="001E0E83">
        <w:rPr>
          <w:rFonts w:ascii="Cambria" w:eastAsia="Times New Roman" w:hAnsi="Cambria"/>
          <w:i/>
          <w:iCs/>
          <w:lang w:val="en-GB" w:eastAsia="cs-CZ"/>
        </w:rPr>
        <w:t>ADBI Working Paper Series</w:t>
      </w:r>
      <w:r w:rsidR="00F650E6">
        <w:rPr>
          <w:rFonts w:ascii="Cambria" w:eastAsia="Times New Roman" w:hAnsi="Cambria"/>
          <w:lang w:val="en-GB" w:eastAsia="cs-CZ"/>
        </w:rPr>
        <w:t xml:space="preserve">, </w:t>
      </w:r>
      <w:r w:rsidR="00F650E6" w:rsidRPr="00F650E6">
        <w:rPr>
          <w:rFonts w:ascii="Cambria" w:eastAsia="Times New Roman" w:hAnsi="Cambria"/>
          <w:lang w:val="en-GB" w:eastAsia="cs-CZ"/>
        </w:rPr>
        <w:t>https://www.adb.org/publications/assessing-energy-security-caspian-region</w:t>
      </w:r>
      <w:r w:rsidR="00F650E6">
        <w:rPr>
          <w:rFonts w:ascii="Cambria" w:eastAsia="Times New Roman" w:hAnsi="Cambria"/>
          <w:lang w:val="en-GB" w:eastAsia="cs-CZ"/>
        </w:rPr>
        <w:t xml:space="preserve"> (</w:t>
      </w:r>
      <w:proofErr w:type="spellStart"/>
      <w:r w:rsidR="00F650E6">
        <w:rPr>
          <w:rFonts w:ascii="Cambria" w:eastAsia="Times New Roman" w:hAnsi="Cambria"/>
          <w:lang w:val="en-GB" w:eastAsia="cs-CZ"/>
        </w:rPr>
        <w:t>staženo</w:t>
      </w:r>
      <w:proofErr w:type="spellEnd"/>
      <w:r w:rsidR="00F650E6">
        <w:rPr>
          <w:rFonts w:ascii="Cambria" w:eastAsia="Times New Roman" w:hAnsi="Cambria"/>
          <w:lang w:val="en-GB" w:eastAsia="cs-CZ"/>
        </w:rPr>
        <w:t xml:space="preserve"> 20. </w:t>
      </w:r>
      <w:proofErr w:type="spellStart"/>
      <w:r w:rsidR="00F650E6">
        <w:rPr>
          <w:rFonts w:ascii="Cambria" w:eastAsia="Times New Roman" w:hAnsi="Cambria"/>
          <w:lang w:val="en-GB" w:eastAsia="cs-CZ"/>
        </w:rPr>
        <w:t>října</w:t>
      </w:r>
      <w:proofErr w:type="spellEnd"/>
      <w:r w:rsidR="00F650E6">
        <w:rPr>
          <w:rFonts w:ascii="Cambria" w:eastAsia="Times New Roman" w:hAnsi="Cambria"/>
          <w:lang w:val="en-GB" w:eastAsia="cs-CZ"/>
        </w:rPr>
        <w:t xml:space="preserve"> 2020). </w:t>
      </w:r>
    </w:p>
    <w:p w14:paraId="4D5729A4" w14:textId="25FB2528" w:rsidR="00593C75" w:rsidRPr="001E0E83" w:rsidRDefault="00593C75" w:rsidP="001E0E83">
      <w:pPr>
        <w:spacing w:after="100" w:afterAutospacing="1" w:line="240" w:lineRule="auto"/>
        <w:ind w:left="284" w:hanging="284"/>
        <w:textAlignment w:val="baseline"/>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t>Baffes</w:t>
      </w:r>
      <w:proofErr w:type="spellEnd"/>
      <w:r w:rsidRPr="001E0E83">
        <w:rPr>
          <w:rFonts w:ascii="Cambria" w:hAnsi="Cambria"/>
          <w:color w:val="000000" w:themeColor="text1"/>
          <w:shd w:val="clear" w:color="auto" w:fill="FFFFFF"/>
          <w:lang w:val="en-US"/>
        </w:rPr>
        <w:t xml:space="preserve">, J. – </w:t>
      </w:r>
      <w:proofErr w:type="spellStart"/>
      <w:r w:rsidRPr="001E0E83">
        <w:rPr>
          <w:rFonts w:ascii="Cambria" w:hAnsi="Cambria"/>
          <w:color w:val="000000" w:themeColor="text1"/>
          <w:shd w:val="clear" w:color="auto" w:fill="FFFFFF"/>
          <w:lang w:val="en-US"/>
        </w:rPr>
        <w:t>Kose</w:t>
      </w:r>
      <w:proofErr w:type="spellEnd"/>
      <w:r w:rsidRPr="001E0E83">
        <w:rPr>
          <w:rFonts w:ascii="Cambria" w:hAnsi="Cambria"/>
          <w:color w:val="000000" w:themeColor="text1"/>
          <w:shd w:val="clear" w:color="auto" w:fill="FFFFFF"/>
          <w:lang w:val="en-US"/>
        </w:rPr>
        <w:t xml:space="preserve">, M. A. – </w:t>
      </w:r>
      <w:proofErr w:type="spellStart"/>
      <w:r w:rsidRPr="001E0E83">
        <w:rPr>
          <w:rFonts w:ascii="Cambria" w:hAnsi="Cambria"/>
          <w:color w:val="000000" w:themeColor="text1"/>
          <w:shd w:val="clear" w:color="auto" w:fill="FFFFFF"/>
          <w:lang w:val="en-US"/>
        </w:rPr>
        <w:t>Ohnsorge</w:t>
      </w:r>
      <w:proofErr w:type="spellEnd"/>
      <w:r w:rsidRPr="001E0E83">
        <w:rPr>
          <w:rFonts w:ascii="Cambria" w:hAnsi="Cambria"/>
          <w:color w:val="000000" w:themeColor="text1"/>
          <w:shd w:val="clear" w:color="auto" w:fill="FFFFFF"/>
          <w:lang w:val="en-US"/>
        </w:rPr>
        <w:t>, F. – Stocker, M. (2015)</w:t>
      </w:r>
      <w:r w:rsidR="00B04CB8">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xml:space="preserve"> The Great Plunge in Oil Prices: Causes, Consequences, and Policy Responses, World Bank Group.</w:t>
      </w:r>
      <w:r w:rsidRPr="001E0E83">
        <w:rPr>
          <w:rFonts w:ascii="Cambria" w:hAnsi="Cambria"/>
          <w:color w:val="000000" w:themeColor="text1"/>
          <w:lang w:val="en-US"/>
        </w:rPr>
        <w:t> </w:t>
      </w:r>
      <w:r w:rsidRPr="001E0E83">
        <w:rPr>
          <w:rFonts w:ascii="Cambria" w:hAnsi="Cambria"/>
          <w:color w:val="000000" w:themeColor="text1"/>
          <w:shd w:val="clear" w:color="auto" w:fill="FFFFFF"/>
          <w:lang w:val="en-US"/>
        </w:rPr>
        <w:t>Policy Research Note, PRN/15/01.</w:t>
      </w:r>
    </w:p>
    <w:p w14:paraId="23E55F3B" w14:textId="5FFD8A3D" w:rsidR="00593C75" w:rsidRPr="001E0E83" w:rsidRDefault="00593C75" w:rsidP="001E0E83">
      <w:pPr>
        <w:spacing w:after="100" w:afterAutospacing="1" w:line="240" w:lineRule="auto"/>
        <w:ind w:left="709" w:hanging="709"/>
        <w:rPr>
          <w:rFonts w:ascii="Cambria" w:hAnsi="Cambria"/>
        </w:rPr>
      </w:pPr>
      <w:r w:rsidRPr="001E0E83">
        <w:rPr>
          <w:rFonts w:ascii="Cambria" w:hAnsi="Cambria"/>
        </w:rPr>
        <w:t xml:space="preserve">Baku </w:t>
      </w:r>
      <w:proofErr w:type="spellStart"/>
      <w:r w:rsidRPr="001E0E83">
        <w:rPr>
          <w:rFonts w:ascii="Cambria" w:hAnsi="Cambria"/>
        </w:rPr>
        <w:t>Research</w:t>
      </w:r>
      <w:proofErr w:type="spellEnd"/>
      <w:r w:rsidRPr="001E0E83">
        <w:rPr>
          <w:rFonts w:ascii="Cambria" w:hAnsi="Cambria"/>
        </w:rPr>
        <w:t xml:space="preserve"> Institut (2020): </w:t>
      </w:r>
      <w:proofErr w:type="spellStart"/>
      <w:r w:rsidRPr="001E0E83">
        <w:rPr>
          <w:rFonts w:ascii="Cambria" w:hAnsi="Cambria"/>
        </w:rPr>
        <w:t>Foreign</w:t>
      </w:r>
      <w:proofErr w:type="spellEnd"/>
      <w:r w:rsidRPr="001E0E83">
        <w:rPr>
          <w:rFonts w:ascii="Cambria" w:hAnsi="Cambria"/>
        </w:rPr>
        <w:t xml:space="preserve"> Direct </w:t>
      </w:r>
      <w:proofErr w:type="spellStart"/>
      <w:r w:rsidRPr="001E0E83">
        <w:rPr>
          <w:rFonts w:ascii="Cambria" w:hAnsi="Cambria"/>
        </w:rPr>
        <w:t>Investments</w:t>
      </w:r>
      <w:proofErr w:type="spellEnd"/>
      <w:r w:rsidRPr="001E0E83">
        <w:rPr>
          <w:rFonts w:ascii="Cambria" w:hAnsi="Cambria"/>
        </w:rPr>
        <w:t xml:space="preserve"> </w:t>
      </w:r>
      <w:proofErr w:type="spellStart"/>
      <w:r w:rsidRPr="001E0E83">
        <w:rPr>
          <w:rFonts w:ascii="Cambria" w:hAnsi="Cambria"/>
        </w:rPr>
        <w:t>During</w:t>
      </w:r>
      <w:proofErr w:type="spellEnd"/>
      <w:r w:rsidRPr="001E0E83">
        <w:rPr>
          <w:rFonts w:ascii="Cambria" w:hAnsi="Cambria"/>
        </w:rPr>
        <w:t xml:space="preserve"> </w:t>
      </w:r>
      <w:proofErr w:type="spellStart"/>
      <w:r w:rsidRPr="001E0E83">
        <w:rPr>
          <w:rFonts w:ascii="Cambria" w:hAnsi="Cambria"/>
        </w:rPr>
        <w:t>the</w:t>
      </w:r>
      <w:proofErr w:type="spellEnd"/>
      <w:r w:rsidRPr="001E0E83">
        <w:rPr>
          <w:rFonts w:ascii="Cambria" w:hAnsi="Cambria"/>
        </w:rPr>
        <w:t xml:space="preserve"> COVID-19 </w:t>
      </w:r>
      <w:proofErr w:type="spellStart"/>
      <w:r w:rsidRPr="001E0E83">
        <w:rPr>
          <w:rFonts w:ascii="Cambria" w:hAnsi="Cambria"/>
        </w:rPr>
        <w:t>Pandemic</w:t>
      </w:r>
      <w:proofErr w:type="spellEnd"/>
      <w:r w:rsidRPr="001E0E83">
        <w:rPr>
          <w:rFonts w:ascii="Cambria" w:hAnsi="Cambria"/>
        </w:rPr>
        <w:t xml:space="preserve">, 17.09.2020, Baku </w:t>
      </w:r>
      <w:proofErr w:type="spellStart"/>
      <w:r w:rsidRPr="001E0E83">
        <w:rPr>
          <w:rFonts w:ascii="Cambria" w:hAnsi="Cambria"/>
        </w:rPr>
        <w:t>Research</w:t>
      </w:r>
      <w:proofErr w:type="spellEnd"/>
      <w:r w:rsidRPr="001E0E83">
        <w:rPr>
          <w:rFonts w:ascii="Cambria" w:hAnsi="Cambria"/>
        </w:rPr>
        <w:t xml:space="preserve"> Institute, </w:t>
      </w:r>
      <w:r w:rsidR="00B04CB8" w:rsidRPr="00B04CB8">
        <w:rPr>
          <w:rFonts w:ascii="Cambria" w:hAnsi="Cambria"/>
        </w:rPr>
        <w:t>https://bakuresearchinstitute.org/foreign-direct-investments-during-the-covid-19-pandemic/</w:t>
      </w:r>
      <w:r w:rsidR="00B04CB8">
        <w:rPr>
          <w:rFonts w:ascii="Cambria" w:hAnsi="Cambria"/>
        </w:rPr>
        <w:t xml:space="preserve">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sidRPr="001E0E83">
        <w:rPr>
          <w:rFonts w:ascii="Cambria" w:eastAsia="Times New Roman" w:hAnsi="Cambria"/>
          <w:lang w:val="en-GB" w:eastAsia="cs-CZ"/>
        </w:rPr>
        <w:t xml:space="preserve"> </w:t>
      </w:r>
      <w:r w:rsidR="00B04CB8">
        <w:rPr>
          <w:rFonts w:ascii="Cambria" w:eastAsia="Times New Roman" w:hAnsi="Cambria"/>
          <w:lang w:val="en-GB" w:eastAsia="cs-CZ"/>
        </w:rPr>
        <w:t xml:space="preserve">5. </w:t>
      </w:r>
      <w:proofErr w:type="spellStart"/>
      <w:r w:rsidR="00B04CB8">
        <w:rPr>
          <w:rFonts w:ascii="Cambria" w:eastAsia="Times New Roman" w:hAnsi="Cambria"/>
          <w:lang w:val="en-GB" w:eastAsia="cs-CZ"/>
        </w:rPr>
        <w:t>prosince</w:t>
      </w:r>
      <w:proofErr w:type="spellEnd"/>
      <w:r w:rsidR="00B04CB8" w:rsidRPr="001E0E83">
        <w:rPr>
          <w:rFonts w:ascii="Cambria" w:eastAsia="Times New Roman" w:hAnsi="Cambria"/>
          <w:lang w:val="en-GB" w:eastAsia="cs-CZ"/>
        </w:rPr>
        <w:t xml:space="preserve"> 2020)</w:t>
      </w:r>
      <w:r w:rsidRPr="001E0E83">
        <w:rPr>
          <w:rFonts w:ascii="Cambria" w:hAnsi="Cambria"/>
        </w:rPr>
        <w:t>.</w:t>
      </w:r>
    </w:p>
    <w:p w14:paraId="31832E6E" w14:textId="235A13F9"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Bank of Russia (2020): International Reserves of the Russian Federation (End of period), Bank of Russia, </w:t>
      </w:r>
      <w:hyperlink r:id="rId20" w:history="1">
        <w:r w:rsidRPr="001E0E83">
          <w:rPr>
            <w:rFonts w:ascii="Cambria" w:eastAsia="Times New Roman" w:hAnsi="Cambria"/>
            <w:lang w:val="en-GB" w:eastAsia="cs-CZ"/>
          </w:rPr>
          <w:t>https://www.cbr.ru/eng/hd_base/mrrf/mrrf_m/</w:t>
        </w:r>
      </w:hyperlink>
      <w:r w:rsidRPr="001E0E83">
        <w:rPr>
          <w:rFonts w:ascii="Cambria" w:eastAsia="Times New Roman" w:hAnsi="Cambria"/>
          <w:lang w:val="en-GB" w:eastAsia="cs-CZ"/>
        </w:rPr>
        <w:t xml:space="preserve">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sidRPr="001E0E83">
        <w:rPr>
          <w:rFonts w:ascii="Cambria" w:eastAsia="Times New Roman" w:hAnsi="Cambria"/>
          <w:lang w:val="en-GB" w:eastAsia="cs-CZ"/>
        </w:rPr>
        <w:t xml:space="preserve"> 20</w:t>
      </w:r>
      <w:r w:rsidR="00B04CB8">
        <w:rPr>
          <w:rFonts w:ascii="Cambria" w:eastAsia="Times New Roman" w:hAnsi="Cambria"/>
          <w:lang w:val="en-GB" w:eastAsia="cs-CZ"/>
        </w:rPr>
        <w:t xml:space="preserve">. </w:t>
      </w:r>
      <w:proofErr w:type="spellStart"/>
      <w:r w:rsidR="00B04CB8">
        <w:rPr>
          <w:rFonts w:ascii="Cambria" w:eastAsia="Times New Roman" w:hAnsi="Cambria"/>
          <w:lang w:val="en-GB" w:eastAsia="cs-CZ"/>
        </w:rPr>
        <w:t>října</w:t>
      </w:r>
      <w:proofErr w:type="spellEnd"/>
      <w:r w:rsidR="00B04CB8" w:rsidRPr="001E0E83">
        <w:rPr>
          <w:rFonts w:ascii="Cambria" w:eastAsia="Times New Roman" w:hAnsi="Cambria"/>
          <w:lang w:val="en-GB" w:eastAsia="cs-CZ"/>
        </w:rPr>
        <w:t xml:space="preserve"> 2020)</w:t>
      </w:r>
      <w:r w:rsidRPr="001E0E83">
        <w:rPr>
          <w:rFonts w:ascii="Cambria" w:eastAsia="Times New Roman" w:hAnsi="Cambria"/>
          <w:lang w:val="en-GB" w:eastAsia="cs-CZ"/>
        </w:rPr>
        <w:t>.</w:t>
      </w:r>
    </w:p>
    <w:p w14:paraId="1098FD31" w14:textId="594290D6" w:rsidR="00593C75" w:rsidRPr="001E0E83" w:rsidRDefault="00593C75" w:rsidP="001E0E83">
      <w:pPr>
        <w:spacing w:after="100" w:afterAutospacing="1" w:line="240" w:lineRule="auto"/>
        <w:ind w:left="709" w:hanging="709"/>
        <w:rPr>
          <w:rFonts w:ascii="Cambria" w:eastAsia="Times New Roman" w:hAnsi="Cambria"/>
          <w:lang w:val="en-GB" w:eastAsia="cs-CZ"/>
        </w:rPr>
      </w:pPr>
      <w:proofErr w:type="spellStart"/>
      <w:r w:rsidRPr="001E0E83">
        <w:rPr>
          <w:rFonts w:ascii="Cambria" w:eastAsia="Times New Roman" w:hAnsi="Cambria"/>
          <w:lang w:val="en-GB" w:eastAsia="cs-CZ"/>
        </w:rPr>
        <w:t>Baryšnikov</w:t>
      </w:r>
      <w:proofErr w:type="spellEnd"/>
      <w:r w:rsidRPr="001E0E83">
        <w:rPr>
          <w:rFonts w:ascii="Cambria" w:eastAsia="Times New Roman" w:hAnsi="Cambria"/>
          <w:lang w:val="en-GB" w:eastAsia="cs-CZ"/>
        </w:rPr>
        <w:t xml:space="preserve">, V. (2020): </w:t>
      </w:r>
      <w:proofErr w:type="spellStart"/>
      <w:r w:rsidRPr="001E0E83">
        <w:rPr>
          <w:rFonts w:ascii="Cambria" w:eastAsia="Times New Roman" w:hAnsi="Cambria"/>
          <w:lang w:val="en-GB" w:eastAsia="cs-CZ"/>
        </w:rPr>
        <w:t>Кнопка</w:t>
      </w:r>
      <w:proofErr w:type="spellEnd"/>
      <w:r w:rsidRPr="001E0E83">
        <w:rPr>
          <w:rFonts w:ascii="Cambria" w:eastAsia="Times New Roman" w:hAnsi="Cambria"/>
          <w:lang w:val="en-GB" w:eastAsia="cs-CZ"/>
        </w:rPr>
        <w:t xml:space="preserve">. </w:t>
      </w:r>
      <w:proofErr w:type="spellStart"/>
      <w:r w:rsidRPr="001E0E83">
        <w:rPr>
          <w:rFonts w:ascii="Cambria" w:eastAsia="Times New Roman" w:hAnsi="Cambria"/>
          <w:lang w:val="en-GB" w:eastAsia="cs-CZ"/>
        </w:rPr>
        <w:t>Почему</w:t>
      </w:r>
      <w:proofErr w:type="spellEnd"/>
      <w:r w:rsidRPr="001E0E83">
        <w:rPr>
          <w:rFonts w:ascii="Cambria" w:eastAsia="Times New Roman" w:hAnsi="Cambria"/>
          <w:lang w:val="en-GB" w:eastAsia="cs-CZ"/>
        </w:rPr>
        <w:t xml:space="preserve"> </w:t>
      </w:r>
      <w:proofErr w:type="spellStart"/>
      <w:r w:rsidRPr="001E0E83">
        <w:rPr>
          <w:rFonts w:ascii="Cambria" w:eastAsia="Times New Roman" w:hAnsi="Cambria"/>
          <w:lang w:val="en-GB" w:eastAsia="cs-CZ"/>
        </w:rPr>
        <w:t>протесты</w:t>
      </w:r>
      <w:proofErr w:type="spellEnd"/>
      <w:r w:rsidRPr="001E0E83">
        <w:rPr>
          <w:rFonts w:ascii="Cambria" w:eastAsia="Times New Roman" w:hAnsi="Cambria"/>
          <w:lang w:val="en-GB" w:eastAsia="cs-CZ"/>
        </w:rPr>
        <w:t xml:space="preserve"> в </w:t>
      </w:r>
      <w:proofErr w:type="spellStart"/>
      <w:r w:rsidRPr="001E0E83">
        <w:rPr>
          <w:rFonts w:ascii="Cambria" w:eastAsia="Times New Roman" w:hAnsi="Cambria"/>
          <w:lang w:val="en-GB" w:eastAsia="cs-CZ"/>
        </w:rPr>
        <w:t>России</w:t>
      </w:r>
      <w:proofErr w:type="spellEnd"/>
      <w:r w:rsidRPr="001E0E83">
        <w:rPr>
          <w:rFonts w:ascii="Cambria" w:eastAsia="Times New Roman" w:hAnsi="Cambria"/>
          <w:lang w:val="en-GB" w:eastAsia="cs-CZ"/>
        </w:rPr>
        <w:t xml:space="preserve"> </w:t>
      </w:r>
      <w:proofErr w:type="spellStart"/>
      <w:r w:rsidRPr="001E0E83">
        <w:rPr>
          <w:rFonts w:ascii="Cambria" w:eastAsia="Times New Roman" w:hAnsi="Cambria"/>
          <w:lang w:val="en-GB" w:eastAsia="cs-CZ"/>
        </w:rPr>
        <w:t>не</w:t>
      </w:r>
      <w:proofErr w:type="spellEnd"/>
      <w:r w:rsidRPr="001E0E83">
        <w:rPr>
          <w:rFonts w:ascii="Cambria" w:eastAsia="Times New Roman" w:hAnsi="Cambria"/>
          <w:lang w:val="en-GB" w:eastAsia="cs-CZ"/>
        </w:rPr>
        <w:t xml:space="preserve"> </w:t>
      </w:r>
      <w:proofErr w:type="spellStart"/>
      <w:r w:rsidRPr="001E0E83">
        <w:rPr>
          <w:rFonts w:ascii="Cambria" w:eastAsia="Times New Roman" w:hAnsi="Cambria"/>
          <w:lang w:val="en-GB" w:eastAsia="cs-CZ"/>
        </w:rPr>
        <w:t>угрожают</w:t>
      </w:r>
      <w:proofErr w:type="spellEnd"/>
      <w:r w:rsidRPr="001E0E83">
        <w:rPr>
          <w:rFonts w:ascii="Cambria" w:eastAsia="Times New Roman" w:hAnsi="Cambria"/>
          <w:lang w:val="en-GB" w:eastAsia="cs-CZ"/>
        </w:rPr>
        <w:t xml:space="preserve"> </w:t>
      </w:r>
      <w:proofErr w:type="spellStart"/>
      <w:r w:rsidRPr="001E0E83">
        <w:rPr>
          <w:rFonts w:ascii="Cambria" w:eastAsia="Times New Roman" w:hAnsi="Cambria"/>
          <w:lang w:val="en-GB" w:eastAsia="cs-CZ"/>
        </w:rPr>
        <w:t>власти</w:t>
      </w:r>
      <w:proofErr w:type="spellEnd"/>
      <w:r w:rsidRPr="001E0E83">
        <w:rPr>
          <w:rFonts w:ascii="Cambria" w:eastAsia="Times New Roman" w:hAnsi="Cambria"/>
          <w:lang w:val="en-GB" w:eastAsia="cs-CZ"/>
        </w:rPr>
        <w:t xml:space="preserve">, Radio Svoboda, 10. 10. 2020, </w:t>
      </w:r>
      <w:hyperlink r:id="rId21" w:history="1">
        <w:r w:rsidRPr="001E0E83">
          <w:rPr>
            <w:rFonts w:ascii="Cambria" w:eastAsia="Times New Roman" w:hAnsi="Cambria"/>
            <w:lang w:val="en-GB" w:eastAsia="cs-CZ"/>
          </w:rPr>
          <w:t>https://www.svoboda.org/a/30883209.html</w:t>
        </w:r>
      </w:hyperlink>
      <w:r w:rsidRPr="001E0E83">
        <w:rPr>
          <w:rFonts w:ascii="Cambria" w:eastAsia="Times New Roman" w:hAnsi="Cambria"/>
          <w:lang w:val="en-GB" w:eastAsia="cs-CZ"/>
        </w:rPr>
        <w:t xml:space="preserve">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sidRPr="001E0E83">
        <w:rPr>
          <w:rFonts w:ascii="Cambria" w:eastAsia="Times New Roman" w:hAnsi="Cambria"/>
          <w:lang w:val="en-GB" w:eastAsia="cs-CZ"/>
        </w:rPr>
        <w:t xml:space="preserve"> 20</w:t>
      </w:r>
      <w:r w:rsidR="00B04CB8">
        <w:rPr>
          <w:rFonts w:ascii="Cambria" w:eastAsia="Times New Roman" w:hAnsi="Cambria"/>
          <w:lang w:val="en-GB" w:eastAsia="cs-CZ"/>
        </w:rPr>
        <w:t xml:space="preserve">. </w:t>
      </w:r>
      <w:proofErr w:type="spellStart"/>
      <w:r w:rsidR="00B04CB8">
        <w:rPr>
          <w:rFonts w:ascii="Cambria" w:eastAsia="Times New Roman" w:hAnsi="Cambria"/>
          <w:lang w:val="en-GB" w:eastAsia="cs-CZ"/>
        </w:rPr>
        <w:t>října</w:t>
      </w:r>
      <w:proofErr w:type="spellEnd"/>
      <w:r w:rsidR="00B04CB8" w:rsidRPr="001E0E83">
        <w:rPr>
          <w:rFonts w:ascii="Cambria" w:eastAsia="Times New Roman" w:hAnsi="Cambria"/>
          <w:lang w:val="en-GB" w:eastAsia="cs-CZ"/>
        </w:rPr>
        <w:t xml:space="preserve"> 2020)</w:t>
      </w:r>
      <w:r w:rsidRPr="001E0E83">
        <w:rPr>
          <w:rFonts w:ascii="Cambria" w:eastAsia="Times New Roman" w:hAnsi="Cambria"/>
          <w:lang w:val="en-GB" w:eastAsia="cs-CZ"/>
        </w:rPr>
        <w:t>.</w:t>
      </w:r>
    </w:p>
    <w:p w14:paraId="5836025D" w14:textId="41ACC2EC"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Basher, S. A. – </w:t>
      </w:r>
      <w:proofErr w:type="spellStart"/>
      <w:r w:rsidRPr="001E0E83">
        <w:rPr>
          <w:rFonts w:ascii="Cambria" w:eastAsia="Times New Roman" w:hAnsi="Cambria"/>
          <w:lang w:val="en-GB" w:eastAsia="cs-CZ"/>
        </w:rPr>
        <w:t>Haug</w:t>
      </w:r>
      <w:proofErr w:type="spellEnd"/>
      <w:r w:rsidRPr="001E0E83">
        <w:rPr>
          <w:rFonts w:ascii="Cambria" w:eastAsia="Times New Roman" w:hAnsi="Cambria"/>
          <w:lang w:val="en-GB" w:eastAsia="cs-CZ"/>
        </w:rPr>
        <w:t xml:space="preserve">, A. A. – </w:t>
      </w:r>
      <w:proofErr w:type="spellStart"/>
      <w:r w:rsidRPr="001E0E83">
        <w:rPr>
          <w:rFonts w:ascii="Cambria" w:eastAsia="Times New Roman" w:hAnsi="Cambria"/>
          <w:lang w:val="en-GB" w:eastAsia="cs-CZ"/>
        </w:rPr>
        <w:t>Sadorsky</w:t>
      </w:r>
      <w:proofErr w:type="spellEnd"/>
      <w:r w:rsidRPr="001E0E83">
        <w:rPr>
          <w:rFonts w:ascii="Cambria" w:eastAsia="Times New Roman" w:hAnsi="Cambria"/>
          <w:lang w:val="en-GB" w:eastAsia="cs-CZ"/>
        </w:rPr>
        <w:t xml:space="preserve">, P. (2012): Oil prices, exchange rates and emerging stock markets. </w:t>
      </w:r>
      <w:r w:rsidRPr="001E0E83">
        <w:rPr>
          <w:rFonts w:ascii="Cambria" w:eastAsia="Times New Roman" w:hAnsi="Cambria"/>
          <w:i/>
          <w:lang w:val="en-GB" w:eastAsia="cs-CZ"/>
        </w:rPr>
        <w:t>Energy Economics</w:t>
      </w:r>
      <w:r w:rsidRPr="001E0E83">
        <w:rPr>
          <w:rFonts w:ascii="Cambria" w:eastAsia="Times New Roman" w:hAnsi="Cambria"/>
          <w:lang w:val="en-GB" w:eastAsia="cs-CZ"/>
        </w:rPr>
        <w:t>, 34, 227-240.</w:t>
      </w:r>
    </w:p>
    <w:p w14:paraId="2B058127" w14:textId="0FA99813"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lastRenderedPageBreak/>
        <w:t xml:space="preserve">Basher, S. A. – </w:t>
      </w:r>
      <w:proofErr w:type="spellStart"/>
      <w:r w:rsidRPr="001E0E83">
        <w:rPr>
          <w:rFonts w:ascii="Cambria" w:eastAsia="Times New Roman" w:hAnsi="Cambria"/>
          <w:lang w:val="en-GB" w:eastAsia="cs-CZ"/>
        </w:rPr>
        <w:t>Sadorsky</w:t>
      </w:r>
      <w:proofErr w:type="spellEnd"/>
      <w:r w:rsidRPr="001E0E83">
        <w:rPr>
          <w:rFonts w:ascii="Cambria" w:eastAsia="Times New Roman" w:hAnsi="Cambria"/>
          <w:lang w:val="en-GB" w:eastAsia="cs-CZ"/>
        </w:rPr>
        <w:t xml:space="preserve">, P. (2006): Oil price risk and emerging stock markets. </w:t>
      </w:r>
      <w:r w:rsidRPr="001E0E83">
        <w:rPr>
          <w:rFonts w:ascii="Cambria" w:eastAsia="Times New Roman" w:hAnsi="Cambria"/>
          <w:i/>
          <w:lang w:val="en-GB" w:eastAsia="cs-CZ"/>
        </w:rPr>
        <w:t>Global Finance Journal</w:t>
      </w:r>
      <w:r w:rsidRPr="001E0E83">
        <w:rPr>
          <w:rFonts w:ascii="Cambria" w:eastAsia="Times New Roman" w:hAnsi="Cambria"/>
          <w:lang w:val="en-GB" w:eastAsia="cs-CZ"/>
        </w:rPr>
        <w:t>, 17</w:t>
      </w:r>
      <w:r w:rsidR="00B04CB8">
        <w:rPr>
          <w:rFonts w:ascii="Cambria" w:eastAsia="Times New Roman" w:hAnsi="Cambria"/>
          <w:lang w:val="en-GB" w:eastAsia="cs-CZ"/>
        </w:rPr>
        <w:t>(2)</w:t>
      </w:r>
      <w:r w:rsidRPr="001E0E83">
        <w:rPr>
          <w:rFonts w:ascii="Cambria" w:eastAsia="Times New Roman" w:hAnsi="Cambria"/>
          <w:lang w:val="en-GB" w:eastAsia="cs-CZ"/>
        </w:rPr>
        <w:t>, 224-251.</w:t>
      </w:r>
    </w:p>
    <w:p w14:paraId="0D388711" w14:textId="3360E829" w:rsidR="00593C75" w:rsidRPr="001E0E83" w:rsidRDefault="00593C75" w:rsidP="001E0E83">
      <w:pPr>
        <w:spacing w:after="100" w:afterAutospacing="1" w:line="240" w:lineRule="auto"/>
        <w:ind w:left="708" w:hanging="708"/>
        <w:rPr>
          <w:rStyle w:val="nlmarticle-title"/>
          <w:rFonts w:ascii="Cambria" w:hAnsi="Cambria"/>
          <w:lang w:val="en-GB"/>
        </w:rPr>
      </w:pPr>
      <w:proofErr w:type="spellStart"/>
      <w:r w:rsidRPr="001E0E83">
        <w:rPr>
          <w:rStyle w:val="nlmarticle-title"/>
          <w:rFonts w:ascii="Cambria" w:hAnsi="Cambria"/>
          <w:lang w:val="en-GB"/>
        </w:rPr>
        <w:t>Bazzi</w:t>
      </w:r>
      <w:proofErr w:type="spellEnd"/>
      <w:r w:rsidRPr="001E0E83">
        <w:rPr>
          <w:rStyle w:val="nlmarticle-title"/>
          <w:rFonts w:ascii="Cambria" w:hAnsi="Cambria"/>
          <w:lang w:val="en-GB"/>
        </w:rPr>
        <w:t xml:space="preserve">, S. – C. </w:t>
      </w:r>
      <w:proofErr w:type="spellStart"/>
      <w:r w:rsidRPr="001E0E83">
        <w:rPr>
          <w:rStyle w:val="nlmarticle-title"/>
          <w:rFonts w:ascii="Cambria" w:hAnsi="Cambria"/>
          <w:lang w:val="en-GB"/>
        </w:rPr>
        <w:t>Blattman</w:t>
      </w:r>
      <w:proofErr w:type="spellEnd"/>
      <w:r w:rsidRPr="001E0E83">
        <w:rPr>
          <w:rStyle w:val="nlmarticle-title"/>
          <w:rFonts w:ascii="Cambria" w:hAnsi="Cambria"/>
          <w:lang w:val="en-GB"/>
        </w:rPr>
        <w:t xml:space="preserve"> (2014): Economic shocks and conflict: Evidence from commodity prices. </w:t>
      </w:r>
      <w:r w:rsidRPr="001E0E83">
        <w:rPr>
          <w:rStyle w:val="nlmarticle-title"/>
          <w:rFonts w:ascii="Cambria" w:hAnsi="Cambria"/>
          <w:i/>
          <w:lang w:val="en-GB"/>
        </w:rPr>
        <w:t>American Economic Journal: Macroeconomics,</w:t>
      </w:r>
      <w:r w:rsidRPr="001E0E83">
        <w:rPr>
          <w:rStyle w:val="nlmarticle-title"/>
          <w:rFonts w:ascii="Cambria" w:hAnsi="Cambria"/>
          <w:lang w:val="en-GB"/>
        </w:rPr>
        <w:t xml:space="preserve"> 6 (4), 1–38.</w:t>
      </w:r>
    </w:p>
    <w:p w14:paraId="4CA25F1B" w14:textId="77777777"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Belyi, A. V. (ed.). (2020): </w:t>
      </w:r>
      <w:r w:rsidRPr="001E0E83">
        <w:rPr>
          <w:rFonts w:ascii="Cambria" w:eastAsia="Times New Roman" w:hAnsi="Cambria"/>
          <w:i/>
          <w:lang w:val="en-GB" w:eastAsia="cs-CZ"/>
        </w:rPr>
        <w:t>Beyond Market Assumptions: Oil Price as a Global Institution</w:t>
      </w:r>
      <w:r w:rsidRPr="001E0E83">
        <w:rPr>
          <w:rFonts w:ascii="Cambria" w:eastAsia="Times New Roman" w:hAnsi="Cambria"/>
          <w:lang w:val="en-GB" w:eastAsia="cs-CZ"/>
        </w:rPr>
        <w:t>. Springer Nature.</w:t>
      </w:r>
    </w:p>
    <w:p w14:paraId="0C27770A" w14:textId="3E54FE22" w:rsidR="00593C75" w:rsidRPr="001E0E83" w:rsidRDefault="00593C75" w:rsidP="001E0E83">
      <w:pPr>
        <w:spacing w:after="100" w:afterAutospacing="1" w:line="240" w:lineRule="auto"/>
        <w:ind w:left="708" w:hanging="708"/>
        <w:rPr>
          <w:rStyle w:val="nlmarticle-title"/>
          <w:rFonts w:ascii="Cambria" w:hAnsi="Cambria"/>
          <w:lang w:val="en-GB"/>
        </w:rPr>
      </w:pPr>
      <w:r w:rsidRPr="001E0E83">
        <w:rPr>
          <w:rStyle w:val="nlmarticle-title"/>
          <w:rFonts w:ascii="Cambria" w:hAnsi="Cambria"/>
          <w:lang w:val="en-GB"/>
        </w:rPr>
        <w:t xml:space="preserve">Blair, G. </w:t>
      </w:r>
      <w:r w:rsidR="00B04CB8">
        <w:rPr>
          <w:rStyle w:val="nlmarticle-title"/>
          <w:rFonts w:ascii="Cambria" w:hAnsi="Cambria"/>
          <w:lang w:val="en-GB"/>
        </w:rPr>
        <w:t xml:space="preserve">– </w:t>
      </w:r>
      <w:r w:rsidRPr="001E0E83">
        <w:rPr>
          <w:rStyle w:val="nlmarticle-title"/>
          <w:rFonts w:ascii="Cambria" w:hAnsi="Cambria"/>
          <w:lang w:val="en-GB"/>
        </w:rPr>
        <w:t xml:space="preserve">Christensen, D. – </w:t>
      </w:r>
      <w:proofErr w:type="spellStart"/>
      <w:r w:rsidRPr="001E0E83">
        <w:rPr>
          <w:rStyle w:val="nlmarticle-title"/>
          <w:rFonts w:ascii="Cambria" w:hAnsi="Cambria"/>
          <w:lang w:val="en-GB"/>
        </w:rPr>
        <w:t>Rudkin</w:t>
      </w:r>
      <w:proofErr w:type="spellEnd"/>
      <w:r w:rsidRPr="001E0E83">
        <w:rPr>
          <w:rStyle w:val="nlmarticle-title"/>
          <w:rFonts w:ascii="Cambria" w:hAnsi="Cambria"/>
          <w:lang w:val="en-GB"/>
        </w:rPr>
        <w:t>, A. (2020): Do Commodity Price Shocks Cause Armed Conflict? A Meta-Analysis of Natural Experiments. CEGA Working Papers. No. 129.</w:t>
      </w:r>
    </w:p>
    <w:p w14:paraId="7FB1B037" w14:textId="4A956291" w:rsidR="00593C75" w:rsidRPr="001E0E83" w:rsidRDefault="00593C75" w:rsidP="001E0E83">
      <w:pPr>
        <w:spacing w:after="100" w:afterAutospacing="1" w:line="240" w:lineRule="auto"/>
        <w:ind w:left="709" w:hanging="709"/>
        <w:rPr>
          <w:rFonts w:ascii="Cambria" w:hAnsi="Cambria"/>
        </w:rPr>
      </w:pPr>
      <w:r w:rsidRPr="001E0E83">
        <w:rPr>
          <w:rFonts w:ascii="Cambria" w:hAnsi="Cambria"/>
        </w:rPr>
        <w:t>BP (</w:t>
      </w:r>
      <w:proofErr w:type="gramStart"/>
      <w:r w:rsidRPr="001E0E83">
        <w:rPr>
          <w:rFonts w:ascii="Cambria" w:hAnsi="Cambria"/>
        </w:rPr>
        <w:t>2020a</w:t>
      </w:r>
      <w:proofErr w:type="gramEnd"/>
      <w:r w:rsidRPr="001E0E83">
        <w:rPr>
          <w:rFonts w:ascii="Cambria" w:hAnsi="Cambria"/>
        </w:rPr>
        <w:t xml:space="preserve">): </w:t>
      </w:r>
      <w:proofErr w:type="spellStart"/>
      <w:r w:rsidRPr="001E0E83">
        <w:rPr>
          <w:rFonts w:ascii="Cambria" w:hAnsi="Cambria"/>
        </w:rPr>
        <w:t>bp</w:t>
      </w:r>
      <w:proofErr w:type="spellEnd"/>
      <w:r w:rsidRPr="001E0E83">
        <w:rPr>
          <w:rFonts w:ascii="Cambria" w:hAnsi="Cambria"/>
        </w:rPr>
        <w:t xml:space="preserve"> </w:t>
      </w:r>
      <w:proofErr w:type="spellStart"/>
      <w:r w:rsidRPr="001E0E83">
        <w:rPr>
          <w:rFonts w:ascii="Cambria" w:hAnsi="Cambria"/>
        </w:rPr>
        <w:t>Statistical</w:t>
      </w:r>
      <w:proofErr w:type="spellEnd"/>
      <w:r w:rsidRPr="001E0E83">
        <w:rPr>
          <w:rFonts w:ascii="Cambria" w:hAnsi="Cambria"/>
        </w:rPr>
        <w:t xml:space="preserve"> </w:t>
      </w:r>
      <w:proofErr w:type="spellStart"/>
      <w:r w:rsidRPr="001E0E83">
        <w:rPr>
          <w:rFonts w:ascii="Cambria" w:hAnsi="Cambria"/>
        </w:rPr>
        <w:t>Review</w:t>
      </w:r>
      <w:proofErr w:type="spellEnd"/>
      <w:r w:rsidRPr="001E0E83">
        <w:rPr>
          <w:rFonts w:ascii="Cambria" w:hAnsi="Cambria"/>
        </w:rPr>
        <w:t xml:space="preserve">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World</w:t>
      </w:r>
      <w:proofErr w:type="spellEnd"/>
      <w:r w:rsidRPr="001E0E83">
        <w:rPr>
          <w:rFonts w:ascii="Cambria" w:hAnsi="Cambria"/>
        </w:rPr>
        <w:t xml:space="preserve"> </w:t>
      </w:r>
      <w:proofErr w:type="spellStart"/>
      <w:r w:rsidRPr="001E0E83">
        <w:rPr>
          <w:rFonts w:ascii="Cambria" w:hAnsi="Cambria"/>
        </w:rPr>
        <w:t>Energy</w:t>
      </w:r>
      <w:proofErr w:type="spellEnd"/>
      <w:r w:rsidRPr="001E0E83">
        <w:rPr>
          <w:rFonts w:ascii="Cambria" w:hAnsi="Cambria"/>
        </w:rPr>
        <w:t xml:space="preserve"> June 2020, </w:t>
      </w:r>
      <w:r w:rsidRPr="001E0E83">
        <w:rPr>
          <w:rFonts w:ascii="Cambria" w:hAnsi="Cambria"/>
          <w:i/>
        </w:rPr>
        <w:t>BP</w:t>
      </w:r>
      <w:r w:rsidRPr="001E0E83">
        <w:rPr>
          <w:rFonts w:ascii="Cambria" w:hAnsi="Cambria"/>
        </w:rPr>
        <w:t xml:space="preserve">, </w:t>
      </w:r>
      <w:r w:rsidR="00B04CB8" w:rsidRPr="00B04CB8">
        <w:rPr>
          <w:rFonts w:ascii="Cambria" w:hAnsi="Cambria"/>
        </w:rPr>
        <w:t>http://www.bp.com/statisticalreview</w:t>
      </w:r>
      <w:r w:rsidR="00B04CB8">
        <w:rPr>
          <w:rFonts w:ascii="Cambria" w:hAnsi="Cambria"/>
        </w:rPr>
        <w:t xml:space="preserve">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Pr>
          <w:rFonts w:ascii="Cambria" w:eastAsia="Times New Roman" w:hAnsi="Cambria"/>
          <w:lang w:val="en-GB" w:eastAsia="cs-CZ"/>
        </w:rPr>
        <w:t xml:space="preserve"> 20. </w:t>
      </w:r>
      <w:proofErr w:type="spellStart"/>
      <w:r w:rsidR="00B04CB8">
        <w:rPr>
          <w:rFonts w:ascii="Cambria" w:eastAsia="Times New Roman" w:hAnsi="Cambria"/>
          <w:lang w:val="en-GB" w:eastAsia="cs-CZ"/>
        </w:rPr>
        <w:t>října</w:t>
      </w:r>
      <w:proofErr w:type="spellEnd"/>
      <w:r w:rsidR="00B04CB8" w:rsidRPr="001E0E83">
        <w:rPr>
          <w:rFonts w:ascii="Cambria" w:eastAsia="Times New Roman" w:hAnsi="Cambria"/>
          <w:lang w:val="en-GB" w:eastAsia="cs-CZ"/>
        </w:rPr>
        <w:t xml:space="preserve"> 2020</w:t>
      </w:r>
      <w:r w:rsidR="00C6088E">
        <w:rPr>
          <w:rFonts w:ascii="Cambria" w:eastAsia="Times New Roman" w:hAnsi="Cambria"/>
          <w:lang w:val="en-GB" w:eastAsia="cs-CZ"/>
        </w:rPr>
        <w:t>)</w:t>
      </w:r>
      <w:r w:rsidRPr="001E0E83">
        <w:rPr>
          <w:rFonts w:ascii="Cambria" w:hAnsi="Cambria"/>
        </w:rPr>
        <w:t xml:space="preserve">. </w:t>
      </w:r>
    </w:p>
    <w:p w14:paraId="5EC21DC6" w14:textId="758A02AB" w:rsidR="00593C75" w:rsidRDefault="00593C75" w:rsidP="001E0E83">
      <w:pPr>
        <w:spacing w:after="100" w:afterAutospacing="1" w:line="240" w:lineRule="auto"/>
        <w:ind w:left="709" w:hanging="709"/>
        <w:rPr>
          <w:rFonts w:ascii="Cambria" w:hAnsi="Cambria"/>
        </w:rPr>
      </w:pPr>
      <w:r w:rsidRPr="001E0E83">
        <w:rPr>
          <w:rFonts w:ascii="Cambria" w:hAnsi="Cambria"/>
        </w:rPr>
        <w:t>BP (</w:t>
      </w:r>
      <w:proofErr w:type="gramStart"/>
      <w:r w:rsidRPr="001E0E83">
        <w:rPr>
          <w:rFonts w:ascii="Cambria" w:hAnsi="Cambria"/>
        </w:rPr>
        <w:t>2020b</w:t>
      </w:r>
      <w:proofErr w:type="gramEnd"/>
      <w:r w:rsidRPr="001E0E83">
        <w:rPr>
          <w:rFonts w:ascii="Cambria" w:hAnsi="Cambria"/>
        </w:rPr>
        <w:t xml:space="preserve">): </w:t>
      </w:r>
      <w:proofErr w:type="spellStart"/>
      <w:r w:rsidRPr="001E0E83">
        <w:rPr>
          <w:rFonts w:ascii="Cambria" w:hAnsi="Cambria"/>
        </w:rPr>
        <w:t>bp’s</w:t>
      </w:r>
      <w:proofErr w:type="spellEnd"/>
      <w:r w:rsidRPr="001E0E83">
        <w:rPr>
          <w:rFonts w:ascii="Cambria" w:hAnsi="Cambria"/>
        </w:rPr>
        <w:t xml:space="preserve"> </w:t>
      </w:r>
      <w:proofErr w:type="spellStart"/>
      <w:r w:rsidRPr="001E0E83">
        <w:rPr>
          <w:rFonts w:ascii="Cambria" w:hAnsi="Cambria"/>
        </w:rPr>
        <w:t>newly-announced</w:t>
      </w:r>
      <w:proofErr w:type="spellEnd"/>
      <w:r w:rsidRPr="001E0E83">
        <w:rPr>
          <w:rFonts w:ascii="Cambria" w:hAnsi="Cambria"/>
        </w:rPr>
        <w:t xml:space="preserve"> </w:t>
      </w:r>
      <w:proofErr w:type="spellStart"/>
      <w:r w:rsidRPr="001E0E83">
        <w:rPr>
          <w:rFonts w:ascii="Cambria" w:hAnsi="Cambria"/>
        </w:rPr>
        <w:t>strategy</w:t>
      </w:r>
      <w:proofErr w:type="spellEnd"/>
      <w:r w:rsidRPr="001E0E83">
        <w:rPr>
          <w:rFonts w:ascii="Cambria" w:hAnsi="Cambria"/>
        </w:rPr>
        <w:t xml:space="preserve"> and </w:t>
      </w:r>
      <w:proofErr w:type="spellStart"/>
      <w:r w:rsidRPr="001E0E83">
        <w:rPr>
          <w:rFonts w:ascii="Cambria" w:hAnsi="Cambria"/>
        </w:rPr>
        <w:t>what</w:t>
      </w:r>
      <w:proofErr w:type="spellEnd"/>
      <w:r w:rsidRPr="001E0E83">
        <w:rPr>
          <w:rFonts w:ascii="Cambria" w:hAnsi="Cambria"/>
        </w:rPr>
        <w:t xml:space="preserve"> </w:t>
      </w:r>
      <w:proofErr w:type="spellStart"/>
      <w:r w:rsidRPr="001E0E83">
        <w:rPr>
          <w:rFonts w:ascii="Cambria" w:hAnsi="Cambria"/>
        </w:rPr>
        <w:t>it</w:t>
      </w:r>
      <w:proofErr w:type="spellEnd"/>
      <w:r w:rsidRPr="001E0E83">
        <w:rPr>
          <w:rFonts w:ascii="Cambria" w:hAnsi="Cambria"/>
        </w:rPr>
        <w:t xml:space="preserve"> </w:t>
      </w:r>
      <w:proofErr w:type="spellStart"/>
      <w:r w:rsidRPr="001E0E83">
        <w:rPr>
          <w:rFonts w:ascii="Cambria" w:hAnsi="Cambria"/>
        </w:rPr>
        <w:t>means</w:t>
      </w:r>
      <w:proofErr w:type="spellEnd"/>
      <w:r w:rsidRPr="001E0E83">
        <w:rPr>
          <w:rFonts w:ascii="Cambria" w:hAnsi="Cambria"/>
        </w:rPr>
        <w:t xml:space="preserve"> </w:t>
      </w:r>
      <w:proofErr w:type="spellStart"/>
      <w:r w:rsidRPr="001E0E83">
        <w:rPr>
          <w:rFonts w:ascii="Cambria" w:hAnsi="Cambria"/>
        </w:rPr>
        <w:t>for</w:t>
      </w:r>
      <w:proofErr w:type="spellEnd"/>
      <w:r w:rsidRPr="001E0E83">
        <w:rPr>
          <w:rFonts w:ascii="Cambria" w:hAnsi="Cambria"/>
        </w:rPr>
        <w:t xml:space="preserve"> </w:t>
      </w:r>
      <w:proofErr w:type="spellStart"/>
      <w:r w:rsidRPr="001E0E83">
        <w:rPr>
          <w:rFonts w:ascii="Cambria" w:hAnsi="Cambria"/>
        </w:rPr>
        <w:t>Azerbaijan</w:t>
      </w:r>
      <w:proofErr w:type="spellEnd"/>
      <w:r w:rsidRPr="001E0E83">
        <w:rPr>
          <w:rFonts w:ascii="Cambria" w:hAnsi="Cambria"/>
        </w:rPr>
        <w:t xml:space="preserve">, </w:t>
      </w:r>
      <w:r w:rsidRPr="001E0E83">
        <w:rPr>
          <w:rFonts w:ascii="Cambria" w:hAnsi="Cambria"/>
          <w:i/>
        </w:rPr>
        <w:t>BP</w:t>
      </w:r>
      <w:r w:rsidRPr="001E0E83">
        <w:rPr>
          <w:rFonts w:ascii="Cambria" w:hAnsi="Cambria"/>
        </w:rPr>
        <w:t xml:space="preserve">, 05.08.2020, </w:t>
      </w:r>
      <w:r w:rsidR="00B04CB8" w:rsidRPr="00B04CB8">
        <w:rPr>
          <w:rFonts w:ascii="Cambria" w:hAnsi="Cambria"/>
        </w:rPr>
        <w:t>https://www.bp.com/en_az/azerbaijan/home/news/interviews/bp-s-newly-announced-strategy-and-what-it-means-for-azerbaijan.html</w:t>
      </w:r>
      <w:r w:rsidR="00B04CB8">
        <w:rPr>
          <w:rFonts w:ascii="Cambria" w:hAnsi="Cambria"/>
        </w:rPr>
        <w:t xml:space="preserve">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Pr>
          <w:rFonts w:ascii="Cambria" w:eastAsia="Times New Roman" w:hAnsi="Cambria"/>
          <w:lang w:val="en-GB" w:eastAsia="cs-CZ"/>
        </w:rPr>
        <w:t xml:space="preserve"> 20. </w:t>
      </w:r>
      <w:proofErr w:type="spellStart"/>
      <w:r w:rsidR="00B04CB8">
        <w:rPr>
          <w:rFonts w:ascii="Cambria" w:eastAsia="Times New Roman" w:hAnsi="Cambria"/>
          <w:lang w:val="en-GB" w:eastAsia="cs-CZ"/>
        </w:rPr>
        <w:t>října</w:t>
      </w:r>
      <w:proofErr w:type="spellEnd"/>
      <w:r w:rsidR="00B04CB8" w:rsidRPr="001E0E83">
        <w:rPr>
          <w:rFonts w:ascii="Cambria" w:eastAsia="Times New Roman" w:hAnsi="Cambria"/>
          <w:lang w:val="en-GB" w:eastAsia="cs-CZ"/>
        </w:rPr>
        <w:t xml:space="preserve"> 2020</w:t>
      </w:r>
      <w:r w:rsidRPr="001E0E83">
        <w:rPr>
          <w:rFonts w:ascii="Cambria" w:hAnsi="Cambria"/>
        </w:rPr>
        <w:t>.</w:t>
      </w:r>
      <w:r w:rsidR="00C6088E">
        <w:rPr>
          <w:rFonts w:ascii="Cambria" w:hAnsi="Cambria"/>
        </w:rPr>
        <w:t>)</w:t>
      </w:r>
    </w:p>
    <w:p w14:paraId="1F6FDA25" w14:textId="10C2A249" w:rsidR="00B04CB8" w:rsidRPr="00B04CB8" w:rsidRDefault="00B04CB8" w:rsidP="00B04CB8">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BP (2020</w:t>
      </w:r>
      <w:r>
        <w:rPr>
          <w:rFonts w:ascii="Cambria" w:eastAsia="Times New Roman" w:hAnsi="Cambria"/>
          <w:lang w:val="en-GB" w:eastAsia="cs-CZ"/>
        </w:rPr>
        <w:t>c</w:t>
      </w:r>
      <w:r w:rsidRPr="001E0E83">
        <w:rPr>
          <w:rFonts w:ascii="Cambria" w:eastAsia="Times New Roman" w:hAnsi="Cambria"/>
          <w:lang w:val="en-GB" w:eastAsia="cs-CZ"/>
        </w:rPr>
        <w:t xml:space="preserve">): From International Oil Company to Integrated Energy Company: bp sets out strategy for decade of delivery towards net zero ambition, </w:t>
      </w:r>
      <w:hyperlink r:id="rId22" w:history="1">
        <w:r w:rsidRPr="001E0E83">
          <w:rPr>
            <w:rFonts w:ascii="Cambria" w:eastAsia="Times New Roman" w:hAnsi="Cambria"/>
            <w:lang w:val="en-GB" w:eastAsia="cs-CZ"/>
          </w:rPr>
          <w:t>https://www.bp.com/en/global/corporate/news-and-insights/press-releases/from-international-oil-company-to-integrated-energy-company-bp-sets-out-strategy-for-decade-of-delivery-towards-net-zero-ambition.html</w:t>
        </w:r>
      </w:hyperlink>
      <w:r w:rsidRPr="001E0E83">
        <w:rPr>
          <w:rFonts w:ascii="Cambria" w:eastAsia="Times New Roman" w:hAnsi="Cambria"/>
          <w:lang w:val="en-GB" w:eastAsia="cs-CZ"/>
        </w:rPr>
        <w:t xml:space="preserve"> (</w:t>
      </w:r>
      <w:proofErr w:type="spellStart"/>
      <w:r>
        <w:rPr>
          <w:rFonts w:ascii="Cambria" w:eastAsia="Times New Roman" w:hAnsi="Cambria"/>
          <w:lang w:val="en-GB" w:eastAsia="cs-CZ"/>
        </w:rPr>
        <w:t>staženo</w:t>
      </w:r>
      <w:proofErr w:type="spellEnd"/>
      <w:r>
        <w:rPr>
          <w:rFonts w:ascii="Cambria" w:eastAsia="Times New Roman" w:hAnsi="Cambria"/>
          <w:lang w:val="en-GB" w:eastAsia="cs-CZ"/>
        </w:rPr>
        <w:t xml:space="preserve"> 20. </w:t>
      </w:r>
      <w:proofErr w:type="spellStart"/>
      <w:r>
        <w:rPr>
          <w:rFonts w:ascii="Cambria" w:eastAsia="Times New Roman" w:hAnsi="Cambria"/>
          <w:lang w:val="en-GB" w:eastAsia="cs-CZ"/>
        </w:rPr>
        <w:t>října</w:t>
      </w:r>
      <w:proofErr w:type="spellEnd"/>
      <w:r w:rsidRPr="001E0E83">
        <w:rPr>
          <w:rFonts w:ascii="Cambria" w:eastAsia="Times New Roman" w:hAnsi="Cambria"/>
          <w:lang w:val="en-GB" w:eastAsia="cs-CZ"/>
        </w:rPr>
        <w:t xml:space="preserve"> 2020).</w:t>
      </w:r>
    </w:p>
    <w:p w14:paraId="57FD0F11" w14:textId="287FC2B5" w:rsidR="00593C75" w:rsidRPr="001E0E83" w:rsidRDefault="00593C75" w:rsidP="001E0E83">
      <w:pPr>
        <w:spacing w:after="100" w:afterAutospacing="1" w:line="240" w:lineRule="auto"/>
        <w:ind w:left="709" w:hanging="709"/>
        <w:textAlignment w:val="baseline"/>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Bureau of National Statistics of Kazakhstan (2020)</w:t>
      </w:r>
      <w:r w:rsidR="00DD2BF8">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xml:space="preserve"> </w:t>
      </w:r>
      <w:hyperlink r:id="rId23" w:history="1">
        <w:r w:rsidRPr="001E0E83">
          <w:rPr>
            <w:rFonts w:ascii="Cambria" w:hAnsi="Cambria"/>
            <w:color w:val="000000" w:themeColor="text1"/>
            <w:shd w:val="clear" w:color="auto" w:fill="FFFFFF"/>
            <w:lang w:val="en-US"/>
          </w:rPr>
          <w:t>Dynamics of basic socio-economic indicators</w:t>
        </w:r>
      </w:hyperlink>
      <w:r w:rsidRPr="001E0E83">
        <w:rPr>
          <w:rFonts w:ascii="Cambria" w:hAnsi="Cambria"/>
          <w:color w:val="000000" w:themeColor="text1"/>
          <w:shd w:val="clear" w:color="auto" w:fill="FFFFFF"/>
          <w:lang w:val="en-US"/>
        </w:rPr>
        <w:t xml:space="preserve">, Public database, </w:t>
      </w:r>
      <w:r w:rsidRPr="00B04CB8">
        <w:rPr>
          <w:rFonts w:ascii="Cambria" w:hAnsi="Cambria"/>
          <w:shd w:val="clear" w:color="auto" w:fill="FFFFFF"/>
          <w:lang w:val="en-US"/>
        </w:rPr>
        <w:t>https://stat.gov.kz/official/dynamic</w:t>
      </w:r>
      <w:r w:rsidRPr="001E0E83">
        <w:rPr>
          <w:rFonts w:ascii="Cambria" w:hAnsi="Cambria"/>
          <w:color w:val="000000" w:themeColor="text1"/>
          <w:shd w:val="clear" w:color="auto" w:fill="FFFFFF"/>
          <w:lang w:val="en-US"/>
        </w:rPr>
        <w:t xml:space="preserve">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sidRPr="001E0E83">
        <w:rPr>
          <w:rFonts w:ascii="Cambria" w:eastAsia="Times New Roman" w:hAnsi="Cambria"/>
          <w:lang w:val="en-GB" w:eastAsia="cs-CZ"/>
        </w:rPr>
        <w:t xml:space="preserve"> </w:t>
      </w:r>
      <w:r w:rsidR="00B04CB8">
        <w:rPr>
          <w:rFonts w:ascii="Cambria" w:eastAsia="Times New Roman" w:hAnsi="Cambria"/>
          <w:lang w:val="en-GB" w:eastAsia="cs-CZ"/>
        </w:rPr>
        <w:t xml:space="preserve">23. </w:t>
      </w:r>
      <w:proofErr w:type="spellStart"/>
      <w:r w:rsidR="00B04CB8">
        <w:rPr>
          <w:rFonts w:ascii="Cambria" w:eastAsia="Times New Roman" w:hAnsi="Cambria"/>
          <w:lang w:val="en-GB" w:eastAsia="cs-CZ"/>
        </w:rPr>
        <w:t>října</w:t>
      </w:r>
      <w:proofErr w:type="spellEnd"/>
      <w:r w:rsidR="00B04CB8" w:rsidRPr="001E0E83">
        <w:rPr>
          <w:rFonts w:ascii="Cambria" w:eastAsia="Times New Roman" w:hAnsi="Cambria"/>
          <w:lang w:val="en-GB" w:eastAsia="cs-CZ"/>
        </w:rPr>
        <w:t xml:space="preserve"> 2020)</w:t>
      </w:r>
      <w:r w:rsidRPr="001E0E83">
        <w:rPr>
          <w:rFonts w:ascii="Cambria" w:hAnsi="Cambria"/>
          <w:color w:val="000000" w:themeColor="text1"/>
          <w:shd w:val="clear" w:color="auto" w:fill="FFFFFF"/>
          <w:lang w:val="en-US"/>
        </w:rPr>
        <w:t>.</w:t>
      </w:r>
    </w:p>
    <w:p w14:paraId="2A5FC070" w14:textId="73AFDE16" w:rsidR="002D75BD" w:rsidRPr="001E0E83" w:rsidRDefault="002D75BD" w:rsidP="001E0E83">
      <w:pPr>
        <w:spacing w:after="100" w:afterAutospacing="1" w:line="240" w:lineRule="auto"/>
        <w:ind w:left="708" w:hanging="708"/>
        <w:rPr>
          <w:rFonts w:ascii="Cambria" w:eastAsia="Times New Roman" w:hAnsi="Cambria"/>
          <w:lang w:val="en-GB" w:eastAsia="cs-CZ"/>
        </w:rPr>
      </w:pPr>
      <w:r w:rsidRPr="001E0E83">
        <w:rPr>
          <w:rFonts w:ascii="Cambria" w:hAnsi="Cambria"/>
          <w:shd w:val="clear" w:color="auto" w:fill="FFFFFF"/>
          <w:lang w:val="en-US"/>
        </w:rPr>
        <w:t>Businessinfo.cz (2019a)</w:t>
      </w:r>
      <w:r w:rsidR="00DD2BF8">
        <w:rPr>
          <w:rFonts w:ascii="Cambria" w:hAnsi="Cambria"/>
          <w:shd w:val="clear" w:color="auto" w:fill="FFFFFF"/>
          <w:lang w:val="en-US"/>
        </w:rPr>
        <w:t>:</w:t>
      </w:r>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Ázerbájdžán</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Obcchodní</w:t>
      </w:r>
      <w:proofErr w:type="spellEnd"/>
      <w:r w:rsidRPr="001E0E83">
        <w:rPr>
          <w:rFonts w:ascii="Cambria" w:hAnsi="Cambria"/>
          <w:shd w:val="clear" w:color="auto" w:fill="FFFFFF"/>
          <w:lang w:val="en-US"/>
        </w:rPr>
        <w:t xml:space="preserve"> </w:t>
      </w:r>
      <w:proofErr w:type="gramStart"/>
      <w:r w:rsidRPr="001E0E83">
        <w:rPr>
          <w:rFonts w:ascii="Cambria" w:hAnsi="Cambria"/>
          <w:shd w:val="clear" w:color="auto" w:fill="FFFFFF"/>
          <w:lang w:val="en-US"/>
        </w:rPr>
        <w:t>a</w:t>
      </w:r>
      <w:proofErr w:type="gram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ekonomická</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spoupráce</w:t>
      </w:r>
      <w:proofErr w:type="spellEnd"/>
      <w:r w:rsidRPr="001E0E83">
        <w:rPr>
          <w:rFonts w:ascii="Cambria" w:hAnsi="Cambria"/>
          <w:shd w:val="clear" w:color="auto" w:fill="FFFFFF"/>
          <w:lang w:val="en-US"/>
        </w:rPr>
        <w:t xml:space="preserve"> s ČR, </w:t>
      </w:r>
      <w:r w:rsidRPr="001E0E83">
        <w:rPr>
          <w:rFonts w:ascii="Cambria" w:eastAsia="Times New Roman" w:hAnsi="Cambria"/>
          <w:lang w:val="en-GB" w:eastAsia="cs-CZ"/>
        </w:rPr>
        <w:t xml:space="preserve">https://www.businessinfo.cz/navody/azerbajdzan-obchodni-a-ekonomicka-spoluprace-s-cr/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sidRPr="001E0E83">
        <w:rPr>
          <w:rFonts w:ascii="Cambria" w:eastAsia="Times New Roman" w:hAnsi="Cambria"/>
          <w:lang w:val="en-GB" w:eastAsia="cs-CZ"/>
        </w:rPr>
        <w:t xml:space="preserve"> </w:t>
      </w:r>
      <w:r w:rsidR="00B04CB8">
        <w:rPr>
          <w:rFonts w:ascii="Cambria" w:eastAsia="Times New Roman" w:hAnsi="Cambria"/>
          <w:lang w:val="en-GB" w:eastAsia="cs-CZ"/>
        </w:rPr>
        <w:t xml:space="preserve">5. </w:t>
      </w:r>
      <w:proofErr w:type="spellStart"/>
      <w:r w:rsidR="00B04CB8">
        <w:rPr>
          <w:rFonts w:ascii="Cambria" w:eastAsia="Times New Roman" w:hAnsi="Cambria"/>
          <w:lang w:val="en-GB" w:eastAsia="cs-CZ"/>
        </w:rPr>
        <w:t>prosince</w:t>
      </w:r>
      <w:proofErr w:type="spellEnd"/>
      <w:r w:rsidR="00B04CB8" w:rsidRPr="001E0E83">
        <w:rPr>
          <w:rFonts w:ascii="Cambria" w:eastAsia="Times New Roman" w:hAnsi="Cambria"/>
          <w:lang w:val="en-GB" w:eastAsia="cs-CZ"/>
        </w:rPr>
        <w:t xml:space="preserve"> 2020)</w:t>
      </w:r>
      <w:r w:rsidRPr="001E0E83">
        <w:rPr>
          <w:rFonts w:ascii="Cambria" w:eastAsia="Times New Roman" w:hAnsi="Cambria"/>
          <w:lang w:val="en-GB" w:eastAsia="cs-CZ"/>
        </w:rPr>
        <w:t>.</w:t>
      </w:r>
    </w:p>
    <w:p w14:paraId="23846D3F" w14:textId="15F32A2E" w:rsidR="002D75BD" w:rsidRPr="001E0E83" w:rsidRDefault="002D75BD" w:rsidP="001E0E83">
      <w:pPr>
        <w:spacing w:after="100" w:afterAutospacing="1" w:line="240" w:lineRule="auto"/>
        <w:ind w:left="708" w:hanging="708"/>
        <w:rPr>
          <w:rFonts w:ascii="Cambria" w:eastAsia="Times New Roman" w:hAnsi="Cambria"/>
          <w:lang w:val="en-GB" w:eastAsia="cs-CZ"/>
        </w:rPr>
      </w:pPr>
      <w:r w:rsidRPr="001E0E83">
        <w:rPr>
          <w:rFonts w:ascii="Cambria" w:hAnsi="Cambria"/>
          <w:shd w:val="clear" w:color="auto" w:fill="FFFFFF"/>
          <w:lang w:val="en-US"/>
        </w:rPr>
        <w:t>Businessinfo.cz (2019b)</w:t>
      </w:r>
      <w:r w:rsidR="00DD2BF8">
        <w:rPr>
          <w:rFonts w:ascii="Cambria" w:hAnsi="Cambria"/>
          <w:shd w:val="clear" w:color="auto" w:fill="FFFFFF"/>
          <w:lang w:val="en-US"/>
        </w:rPr>
        <w:t>:</w:t>
      </w:r>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Rusko</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Obcchodní</w:t>
      </w:r>
      <w:proofErr w:type="spellEnd"/>
      <w:r w:rsidRPr="001E0E83">
        <w:rPr>
          <w:rFonts w:ascii="Cambria" w:hAnsi="Cambria"/>
          <w:shd w:val="clear" w:color="auto" w:fill="FFFFFF"/>
          <w:lang w:val="en-US"/>
        </w:rPr>
        <w:t xml:space="preserve"> </w:t>
      </w:r>
      <w:proofErr w:type="gramStart"/>
      <w:r w:rsidRPr="001E0E83">
        <w:rPr>
          <w:rFonts w:ascii="Cambria" w:hAnsi="Cambria"/>
          <w:shd w:val="clear" w:color="auto" w:fill="FFFFFF"/>
          <w:lang w:val="en-US"/>
        </w:rPr>
        <w:t>a</w:t>
      </w:r>
      <w:proofErr w:type="gram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ekonomická</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spoupráce</w:t>
      </w:r>
      <w:proofErr w:type="spellEnd"/>
      <w:r w:rsidRPr="001E0E83">
        <w:rPr>
          <w:rFonts w:ascii="Cambria" w:hAnsi="Cambria"/>
          <w:shd w:val="clear" w:color="auto" w:fill="FFFFFF"/>
          <w:lang w:val="en-US"/>
        </w:rPr>
        <w:t xml:space="preserve"> s ČR, </w:t>
      </w:r>
      <w:r w:rsidRPr="001E0E83">
        <w:rPr>
          <w:rFonts w:ascii="Cambria" w:eastAsia="Times New Roman" w:hAnsi="Cambria"/>
          <w:lang w:val="en-GB" w:eastAsia="cs-CZ"/>
        </w:rPr>
        <w:t xml:space="preserve">https://www.businessinfo.cz/navody/rusko-obchodni-a-ekonomicka-spoluprace-s-cr/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sidRPr="001E0E83">
        <w:rPr>
          <w:rFonts w:ascii="Cambria" w:eastAsia="Times New Roman" w:hAnsi="Cambria"/>
          <w:lang w:val="en-GB" w:eastAsia="cs-CZ"/>
        </w:rPr>
        <w:t xml:space="preserve"> </w:t>
      </w:r>
      <w:r w:rsidR="00B04CB8">
        <w:rPr>
          <w:rFonts w:ascii="Cambria" w:eastAsia="Times New Roman" w:hAnsi="Cambria"/>
          <w:lang w:val="en-GB" w:eastAsia="cs-CZ"/>
        </w:rPr>
        <w:t xml:space="preserve">5. </w:t>
      </w:r>
      <w:proofErr w:type="spellStart"/>
      <w:r w:rsidR="00B04CB8">
        <w:rPr>
          <w:rFonts w:ascii="Cambria" w:eastAsia="Times New Roman" w:hAnsi="Cambria"/>
          <w:lang w:val="en-GB" w:eastAsia="cs-CZ"/>
        </w:rPr>
        <w:t>prosince</w:t>
      </w:r>
      <w:proofErr w:type="spellEnd"/>
      <w:r w:rsidR="00B04CB8" w:rsidRPr="001E0E83">
        <w:rPr>
          <w:rFonts w:ascii="Cambria" w:eastAsia="Times New Roman" w:hAnsi="Cambria"/>
          <w:lang w:val="en-GB" w:eastAsia="cs-CZ"/>
        </w:rPr>
        <w:t xml:space="preserve"> 2020)</w:t>
      </w:r>
      <w:r w:rsidRPr="001E0E83">
        <w:rPr>
          <w:rFonts w:ascii="Cambria" w:eastAsia="Times New Roman" w:hAnsi="Cambria"/>
          <w:lang w:val="en-GB" w:eastAsia="cs-CZ"/>
        </w:rPr>
        <w:t>.</w:t>
      </w:r>
    </w:p>
    <w:p w14:paraId="2237ECB9" w14:textId="359A694C" w:rsidR="00593C75" w:rsidRPr="001E0E83" w:rsidRDefault="00593C75" w:rsidP="001E0E83">
      <w:pPr>
        <w:spacing w:after="100" w:afterAutospacing="1" w:line="240" w:lineRule="auto"/>
        <w:ind w:left="709" w:hanging="709"/>
        <w:rPr>
          <w:rFonts w:ascii="Cambria" w:hAnsi="Cambria"/>
        </w:rPr>
      </w:pPr>
      <w:proofErr w:type="spellStart"/>
      <w:r w:rsidRPr="001E0E83">
        <w:rPr>
          <w:rFonts w:ascii="Cambria" w:hAnsi="Cambria"/>
        </w:rPr>
        <w:t>Central</w:t>
      </w:r>
      <w:proofErr w:type="spellEnd"/>
      <w:r w:rsidRPr="001E0E83">
        <w:rPr>
          <w:rFonts w:ascii="Cambria" w:hAnsi="Cambria"/>
        </w:rPr>
        <w:t xml:space="preserve"> Bank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the</w:t>
      </w:r>
      <w:proofErr w:type="spellEnd"/>
      <w:r w:rsidRPr="001E0E83">
        <w:rPr>
          <w:rFonts w:ascii="Cambria" w:hAnsi="Cambria"/>
        </w:rPr>
        <w:t xml:space="preserve"> Republic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Azerbaijan</w:t>
      </w:r>
      <w:proofErr w:type="spellEnd"/>
      <w:r w:rsidRPr="001E0E83">
        <w:rPr>
          <w:rFonts w:ascii="Cambria" w:hAnsi="Cambria"/>
        </w:rPr>
        <w:t xml:space="preserve"> (2020): AZN </w:t>
      </w:r>
      <w:proofErr w:type="spellStart"/>
      <w:r w:rsidRPr="001E0E83">
        <w:rPr>
          <w:rFonts w:ascii="Cambria" w:hAnsi="Cambria"/>
        </w:rPr>
        <w:t>exchange</w:t>
      </w:r>
      <w:proofErr w:type="spellEnd"/>
      <w:r w:rsidRPr="001E0E83">
        <w:rPr>
          <w:rFonts w:ascii="Cambria" w:hAnsi="Cambria"/>
        </w:rPr>
        <w:t xml:space="preserve"> </w:t>
      </w:r>
      <w:proofErr w:type="spellStart"/>
      <w:r w:rsidRPr="001E0E83">
        <w:rPr>
          <w:rFonts w:ascii="Cambria" w:hAnsi="Cambria"/>
        </w:rPr>
        <w:t>rate</w:t>
      </w:r>
      <w:proofErr w:type="spellEnd"/>
      <w:r w:rsidRPr="001E0E83">
        <w:rPr>
          <w:rFonts w:ascii="Cambria" w:hAnsi="Cambria"/>
        </w:rPr>
        <w:t xml:space="preserve">, </w:t>
      </w:r>
      <w:proofErr w:type="spellStart"/>
      <w:r w:rsidRPr="001E0E83">
        <w:rPr>
          <w:rFonts w:ascii="Cambria" w:hAnsi="Cambria"/>
        </w:rPr>
        <w:t>Central</w:t>
      </w:r>
      <w:proofErr w:type="spellEnd"/>
      <w:r w:rsidRPr="001E0E83">
        <w:rPr>
          <w:rFonts w:ascii="Cambria" w:hAnsi="Cambria"/>
        </w:rPr>
        <w:t xml:space="preserve"> Bank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the</w:t>
      </w:r>
      <w:proofErr w:type="spellEnd"/>
      <w:r w:rsidRPr="001E0E83">
        <w:rPr>
          <w:rFonts w:ascii="Cambria" w:hAnsi="Cambria"/>
        </w:rPr>
        <w:t xml:space="preserve"> Republic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Azerbaijan</w:t>
      </w:r>
      <w:proofErr w:type="spellEnd"/>
      <w:r w:rsidRPr="001E0E83">
        <w:rPr>
          <w:rFonts w:ascii="Cambria" w:hAnsi="Cambria"/>
        </w:rPr>
        <w:t xml:space="preserve">, </w:t>
      </w:r>
      <w:r w:rsidR="00B04CB8" w:rsidRPr="00B04CB8">
        <w:rPr>
          <w:rFonts w:ascii="Cambria" w:hAnsi="Cambria"/>
        </w:rPr>
        <w:t>https://www.cbar.az/currency/rates</w:t>
      </w:r>
      <w:r w:rsidR="00B04CB8">
        <w:rPr>
          <w:rFonts w:ascii="Cambria" w:hAnsi="Cambria"/>
        </w:rPr>
        <w:t xml:space="preserve"> </w:t>
      </w:r>
      <w:r w:rsidR="00B04CB8" w:rsidRPr="001E0E83">
        <w:rPr>
          <w:rFonts w:ascii="Cambria" w:eastAsia="Times New Roman" w:hAnsi="Cambria"/>
          <w:lang w:val="en-GB" w:eastAsia="cs-CZ"/>
        </w:rPr>
        <w:t>(</w:t>
      </w:r>
      <w:proofErr w:type="spellStart"/>
      <w:r w:rsidR="00B04CB8">
        <w:rPr>
          <w:rFonts w:ascii="Cambria" w:eastAsia="Times New Roman" w:hAnsi="Cambria"/>
          <w:lang w:val="en-GB" w:eastAsia="cs-CZ"/>
        </w:rPr>
        <w:t>staženo</w:t>
      </w:r>
      <w:proofErr w:type="spellEnd"/>
      <w:r w:rsidR="00B04CB8" w:rsidRPr="001E0E83">
        <w:rPr>
          <w:rFonts w:ascii="Cambria" w:eastAsia="Times New Roman" w:hAnsi="Cambria"/>
          <w:lang w:val="en-GB" w:eastAsia="cs-CZ"/>
        </w:rPr>
        <w:t xml:space="preserve"> </w:t>
      </w:r>
      <w:r w:rsidR="00B04CB8">
        <w:rPr>
          <w:rFonts w:ascii="Cambria" w:eastAsia="Times New Roman" w:hAnsi="Cambria"/>
          <w:lang w:val="en-GB" w:eastAsia="cs-CZ"/>
        </w:rPr>
        <w:t xml:space="preserve">5. </w:t>
      </w:r>
      <w:proofErr w:type="spellStart"/>
      <w:r w:rsidR="00B04CB8">
        <w:rPr>
          <w:rFonts w:ascii="Cambria" w:eastAsia="Times New Roman" w:hAnsi="Cambria"/>
          <w:lang w:val="en-GB" w:eastAsia="cs-CZ"/>
        </w:rPr>
        <w:t>prosince</w:t>
      </w:r>
      <w:proofErr w:type="spellEnd"/>
      <w:r w:rsidR="00B04CB8" w:rsidRPr="001E0E83">
        <w:rPr>
          <w:rFonts w:ascii="Cambria" w:eastAsia="Times New Roman" w:hAnsi="Cambria"/>
          <w:lang w:val="en-GB" w:eastAsia="cs-CZ"/>
        </w:rPr>
        <w:t xml:space="preserve"> 2020)</w:t>
      </w:r>
      <w:r w:rsidRPr="001E0E83">
        <w:rPr>
          <w:rFonts w:ascii="Cambria" w:hAnsi="Cambria"/>
        </w:rPr>
        <w:t>.</w:t>
      </w:r>
    </w:p>
    <w:p w14:paraId="56813E1C" w14:textId="34F66BD3" w:rsidR="00593C75" w:rsidRPr="001E0E83" w:rsidRDefault="00593C75" w:rsidP="001E0E83">
      <w:pPr>
        <w:spacing w:after="100" w:afterAutospacing="1" w:line="240" w:lineRule="auto"/>
        <w:ind w:left="708" w:hanging="708"/>
        <w:rPr>
          <w:rFonts w:ascii="Cambria" w:eastAsia="Times New Roman" w:hAnsi="Cambria"/>
          <w:lang w:val="en-GB" w:eastAsia="cs-CZ"/>
        </w:rPr>
      </w:pPr>
      <w:r w:rsidRPr="001E0E83">
        <w:rPr>
          <w:rFonts w:ascii="Cambria" w:hAnsi="Cambria"/>
          <w:lang w:val="en-GB"/>
        </w:rPr>
        <w:t>Colgan, J. (</w:t>
      </w:r>
      <w:r w:rsidRPr="001E0E83">
        <w:rPr>
          <w:rStyle w:val="nlmyear"/>
          <w:rFonts w:ascii="Cambria" w:hAnsi="Cambria"/>
          <w:lang w:val="en-GB"/>
        </w:rPr>
        <w:t>2010</w:t>
      </w:r>
      <w:r w:rsidRPr="001E0E83">
        <w:rPr>
          <w:rFonts w:ascii="Cambria" w:hAnsi="Cambria"/>
          <w:lang w:val="en-GB"/>
        </w:rPr>
        <w:t xml:space="preserve">): </w:t>
      </w:r>
      <w:r w:rsidRPr="001E0E83">
        <w:rPr>
          <w:rStyle w:val="nlmarticle-title"/>
          <w:rFonts w:ascii="Cambria" w:hAnsi="Cambria"/>
          <w:lang w:val="en-GB"/>
        </w:rPr>
        <w:t>Oil and revolutionary governments: Fuel for international conflict</w:t>
      </w:r>
      <w:r w:rsidRPr="001E0E83">
        <w:rPr>
          <w:rFonts w:ascii="Cambria" w:hAnsi="Cambria"/>
          <w:lang w:val="en-GB"/>
        </w:rPr>
        <w:t xml:space="preserve">. </w:t>
      </w:r>
      <w:r w:rsidRPr="001E0E83">
        <w:rPr>
          <w:rFonts w:ascii="Cambria" w:hAnsi="Cambria"/>
          <w:i/>
          <w:lang w:val="en-GB"/>
        </w:rPr>
        <w:t>International Organization</w:t>
      </w:r>
      <w:r w:rsidRPr="001E0E83">
        <w:rPr>
          <w:rFonts w:ascii="Cambria" w:hAnsi="Cambria"/>
          <w:lang w:val="en-GB"/>
        </w:rPr>
        <w:t xml:space="preserve">, 64(3), </w:t>
      </w:r>
      <w:r w:rsidRPr="001E0E83">
        <w:rPr>
          <w:rStyle w:val="nlmfpage"/>
          <w:rFonts w:ascii="Cambria" w:hAnsi="Cambria"/>
          <w:lang w:val="en-GB"/>
        </w:rPr>
        <w:t>661</w:t>
      </w:r>
      <w:r w:rsidRPr="001E0E83">
        <w:rPr>
          <w:rFonts w:ascii="Cambria" w:hAnsi="Cambria"/>
          <w:lang w:val="en-GB"/>
        </w:rPr>
        <w:t>–</w:t>
      </w:r>
      <w:r w:rsidRPr="001E0E83">
        <w:rPr>
          <w:rStyle w:val="nlmlpage"/>
          <w:rFonts w:ascii="Cambria" w:hAnsi="Cambria"/>
          <w:lang w:val="en-GB"/>
        </w:rPr>
        <w:t>694</w:t>
      </w:r>
      <w:r w:rsidRPr="001E0E83">
        <w:rPr>
          <w:rFonts w:ascii="Cambria" w:hAnsi="Cambria"/>
          <w:lang w:val="en-GB"/>
        </w:rPr>
        <w:t>.</w:t>
      </w:r>
    </w:p>
    <w:p w14:paraId="3738AE42" w14:textId="485D5F70" w:rsidR="00593C75" w:rsidRPr="001E0E83" w:rsidRDefault="00593C75" w:rsidP="001E0E83">
      <w:pPr>
        <w:spacing w:after="100" w:afterAutospacing="1" w:line="240" w:lineRule="auto"/>
        <w:ind w:left="708" w:hanging="708"/>
        <w:rPr>
          <w:rFonts w:ascii="Cambria" w:eastAsia="Times New Roman" w:hAnsi="Cambria"/>
          <w:lang w:val="en-GB" w:eastAsia="cs-CZ"/>
        </w:rPr>
      </w:pPr>
      <w:r w:rsidRPr="001E0E83">
        <w:rPr>
          <w:rFonts w:ascii="Cambria" w:eastAsia="Times New Roman" w:hAnsi="Cambria"/>
          <w:lang w:val="en-GB" w:eastAsia="cs-CZ"/>
        </w:rPr>
        <w:t xml:space="preserve">Colgan, J. (2011): Oil and resource-backed aggression, </w:t>
      </w:r>
      <w:r w:rsidRPr="001E0E83">
        <w:rPr>
          <w:rFonts w:ascii="Cambria" w:eastAsia="Times New Roman" w:hAnsi="Cambria"/>
          <w:i/>
          <w:lang w:val="en-GB" w:eastAsia="cs-CZ"/>
        </w:rPr>
        <w:t>Energy Policy</w:t>
      </w:r>
      <w:r w:rsidRPr="001E0E83">
        <w:rPr>
          <w:rFonts w:ascii="Cambria" w:eastAsia="Times New Roman" w:hAnsi="Cambria"/>
          <w:lang w:val="en-GB" w:eastAsia="cs-CZ"/>
        </w:rPr>
        <w:t>, 39</w:t>
      </w:r>
      <w:r w:rsidR="00DD2BF8">
        <w:rPr>
          <w:rFonts w:ascii="Cambria" w:eastAsia="Times New Roman" w:hAnsi="Cambria"/>
          <w:lang w:val="en-GB" w:eastAsia="cs-CZ"/>
        </w:rPr>
        <w:t>(</w:t>
      </w:r>
      <w:r w:rsidRPr="001E0E83">
        <w:rPr>
          <w:rFonts w:ascii="Cambria" w:eastAsia="Times New Roman" w:hAnsi="Cambria"/>
          <w:lang w:val="en-GB" w:eastAsia="cs-CZ"/>
        </w:rPr>
        <w:t>3</w:t>
      </w:r>
      <w:r w:rsidR="00DD2BF8">
        <w:rPr>
          <w:rFonts w:ascii="Cambria" w:eastAsia="Times New Roman" w:hAnsi="Cambria"/>
          <w:lang w:val="en-GB" w:eastAsia="cs-CZ"/>
        </w:rPr>
        <w:t>)</w:t>
      </w:r>
      <w:r w:rsidRPr="001E0E83">
        <w:rPr>
          <w:rFonts w:ascii="Cambria" w:eastAsia="Times New Roman" w:hAnsi="Cambria"/>
          <w:lang w:val="en-GB" w:eastAsia="cs-CZ"/>
        </w:rPr>
        <w:t>, 1669-1676.</w:t>
      </w:r>
    </w:p>
    <w:p w14:paraId="1481FE02" w14:textId="77777777" w:rsidR="00593C75" w:rsidRPr="001E0E83" w:rsidRDefault="00593C75" w:rsidP="001E0E83">
      <w:pPr>
        <w:spacing w:after="100" w:afterAutospacing="1" w:line="240" w:lineRule="auto"/>
        <w:ind w:left="708" w:hanging="708"/>
        <w:rPr>
          <w:rFonts w:ascii="Cambria" w:hAnsi="Cambria"/>
          <w:lang w:val="en-GB"/>
        </w:rPr>
      </w:pPr>
      <w:r w:rsidRPr="001E0E83">
        <w:rPr>
          <w:rFonts w:ascii="Cambria" w:hAnsi="Cambria"/>
          <w:lang w:val="en-GB"/>
        </w:rPr>
        <w:t>Colgan, J. (</w:t>
      </w:r>
      <w:r w:rsidRPr="001E0E83">
        <w:rPr>
          <w:rStyle w:val="nlmyear"/>
          <w:rFonts w:ascii="Cambria" w:hAnsi="Cambria"/>
          <w:lang w:val="en-GB"/>
        </w:rPr>
        <w:t>2013</w:t>
      </w:r>
      <w:r w:rsidRPr="001E0E83">
        <w:rPr>
          <w:rFonts w:ascii="Cambria" w:hAnsi="Cambria"/>
          <w:lang w:val="en-GB"/>
        </w:rPr>
        <w:t xml:space="preserve">): </w:t>
      </w:r>
      <w:r w:rsidRPr="001E0E83">
        <w:rPr>
          <w:rFonts w:ascii="Cambria" w:hAnsi="Cambria"/>
          <w:i/>
          <w:lang w:val="en-GB"/>
        </w:rPr>
        <w:t>Petro-Aggression: When Oil Causes War</w:t>
      </w:r>
      <w:r w:rsidRPr="001E0E83">
        <w:rPr>
          <w:rFonts w:ascii="Cambria" w:hAnsi="Cambria"/>
          <w:lang w:val="en-GB"/>
        </w:rPr>
        <w:t xml:space="preserve">. </w:t>
      </w:r>
      <w:r w:rsidRPr="001E0E83">
        <w:rPr>
          <w:rStyle w:val="nlmpublisher-loc"/>
          <w:rFonts w:ascii="Cambria" w:hAnsi="Cambria"/>
          <w:lang w:val="en-GB"/>
        </w:rPr>
        <w:t>New York</w:t>
      </w:r>
      <w:r w:rsidRPr="001E0E83">
        <w:rPr>
          <w:rFonts w:ascii="Cambria" w:hAnsi="Cambria"/>
          <w:lang w:val="en-GB"/>
        </w:rPr>
        <w:t xml:space="preserve">: </w:t>
      </w:r>
      <w:r w:rsidRPr="001E0E83">
        <w:rPr>
          <w:rStyle w:val="nlmpublisher-name"/>
          <w:rFonts w:ascii="Cambria" w:hAnsi="Cambria"/>
          <w:lang w:val="en-GB"/>
        </w:rPr>
        <w:t>Cambridge University Press</w:t>
      </w:r>
      <w:r w:rsidRPr="001E0E83">
        <w:rPr>
          <w:rFonts w:ascii="Cambria" w:hAnsi="Cambria"/>
          <w:lang w:val="en-GB"/>
        </w:rPr>
        <w:t>.</w:t>
      </w:r>
    </w:p>
    <w:p w14:paraId="59FA5902" w14:textId="15F27D6E"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Connolly, R. – Hanson, P. – Bradshaw, M. (2020): It’s déjà vu all over again: COVID-19, the global energy market, and the Russian economy. </w:t>
      </w:r>
      <w:r w:rsidRPr="001E0E83">
        <w:rPr>
          <w:rFonts w:ascii="Cambria" w:eastAsia="Times New Roman" w:hAnsi="Cambria"/>
          <w:i/>
          <w:iCs/>
          <w:lang w:val="en-GB" w:eastAsia="cs-CZ"/>
        </w:rPr>
        <w:t>Eurasian Geography and Economics,</w:t>
      </w:r>
      <w:r w:rsidR="00DD2BF8">
        <w:rPr>
          <w:rFonts w:ascii="Cambria" w:eastAsia="Times New Roman" w:hAnsi="Cambria"/>
          <w:lang w:val="en-GB" w:eastAsia="cs-CZ"/>
        </w:rPr>
        <w:t xml:space="preserve"> online first,</w:t>
      </w:r>
      <w:r w:rsidRPr="001E0E83">
        <w:rPr>
          <w:rFonts w:ascii="Cambria" w:eastAsia="Times New Roman" w:hAnsi="Cambria"/>
          <w:lang w:val="en-GB" w:eastAsia="cs-CZ"/>
        </w:rPr>
        <w:t xml:space="preserve"> 1-21.</w:t>
      </w:r>
    </w:p>
    <w:p w14:paraId="74358A19" w14:textId="77777777" w:rsidR="00593C75" w:rsidRPr="001E0E83" w:rsidRDefault="00593C75" w:rsidP="001E0E83">
      <w:pPr>
        <w:spacing w:after="100" w:afterAutospacing="1" w:line="240" w:lineRule="auto"/>
        <w:ind w:left="708" w:hanging="708"/>
        <w:rPr>
          <w:rFonts w:ascii="Cambria" w:eastAsia="Times New Roman" w:hAnsi="Cambria"/>
          <w:lang w:val="en-GB" w:eastAsia="cs-CZ"/>
        </w:rPr>
      </w:pPr>
      <w:r w:rsidRPr="001E0E83">
        <w:rPr>
          <w:rFonts w:ascii="Cambria" w:eastAsia="Times New Roman" w:hAnsi="Cambria"/>
          <w:lang w:val="en-GB" w:eastAsia="cs-CZ"/>
        </w:rPr>
        <w:lastRenderedPageBreak/>
        <w:t xml:space="preserve">Connolly, R. (2018): </w:t>
      </w:r>
      <w:r w:rsidRPr="001E0E83">
        <w:rPr>
          <w:rFonts w:ascii="Cambria" w:eastAsia="Times New Roman" w:hAnsi="Cambria"/>
          <w:i/>
          <w:iCs/>
          <w:lang w:val="en-GB" w:eastAsia="cs-CZ"/>
        </w:rPr>
        <w:t>Russia's response to sanctions: how western economic statecraft is reshaping political economy in Russia</w:t>
      </w:r>
      <w:r w:rsidRPr="001E0E83">
        <w:rPr>
          <w:rFonts w:ascii="Cambria" w:eastAsia="Times New Roman" w:hAnsi="Cambria"/>
          <w:lang w:val="en-GB" w:eastAsia="cs-CZ"/>
        </w:rPr>
        <w:t>. Cambridge University Press.</w:t>
      </w:r>
    </w:p>
    <w:p w14:paraId="5B62E043" w14:textId="2D6153DD" w:rsidR="002411F0" w:rsidRPr="001E0E83" w:rsidRDefault="002411F0" w:rsidP="001E0E83">
      <w:pPr>
        <w:spacing w:after="100" w:afterAutospacing="1" w:line="240" w:lineRule="auto"/>
        <w:ind w:left="708" w:hanging="708"/>
        <w:rPr>
          <w:rFonts w:ascii="Cambria" w:eastAsia="Times New Roman" w:hAnsi="Cambria"/>
          <w:lang w:val="en-GB" w:eastAsia="cs-CZ"/>
        </w:rPr>
      </w:pPr>
      <w:r w:rsidRPr="001E0E83">
        <w:rPr>
          <w:rFonts w:ascii="Cambria" w:hAnsi="Cambria"/>
          <w:shd w:val="clear" w:color="auto" w:fill="FFFFFF"/>
          <w:lang w:val="en-US"/>
        </w:rPr>
        <w:t>ČAPPO (2020)</w:t>
      </w:r>
      <w:r w:rsidR="00DD2BF8">
        <w:rPr>
          <w:rFonts w:ascii="Cambria" w:hAnsi="Cambria"/>
          <w:shd w:val="clear" w:color="auto" w:fill="FFFFFF"/>
          <w:lang w:val="en-US"/>
        </w:rPr>
        <w:t>:</w:t>
      </w:r>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Vývoj</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spotřeby</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pohonných</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hmot</w:t>
      </w:r>
      <w:proofErr w:type="spellEnd"/>
      <w:r w:rsidRPr="001E0E83">
        <w:rPr>
          <w:rFonts w:ascii="Cambria" w:hAnsi="Cambria"/>
          <w:shd w:val="clear" w:color="auto" w:fill="FFFFFF"/>
          <w:lang w:val="en-US"/>
        </w:rPr>
        <w:t xml:space="preserve"> v ČR za 1. </w:t>
      </w:r>
      <w:proofErr w:type="spellStart"/>
      <w:r w:rsidR="00DD2BF8">
        <w:rPr>
          <w:rFonts w:ascii="Cambria" w:hAnsi="Cambria"/>
          <w:shd w:val="clear" w:color="auto" w:fill="FFFFFF"/>
          <w:lang w:val="en-US"/>
        </w:rPr>
        <w:t>p</w:t>
      </w:r>
      <w:r w:rsidRPr="001E0E83">
        <w:rPr>
          <w:rFonts w:ascii="Cambria" w:hAnsi="Cambria"/>
          <w:shd w:val="clear" w:color="auto" w:fill="FFFFFF"/>
          <w:lang w:val="en-US"/>
        </w:rPr>
        <w:t>ololetí</w:t>
      </w:r>
      <w:proofErr w:type="spellEnd"/>
      <w:r w:rsidRPr="001E0E83">
        <w:rPr>
          <w:rFonts w:ascii="Cambria" w:hAnsi="Cambria"/>
          <w:shd w:val="clear" w:color="auto" w:fill="FFFFFF"/>
          <w:lang w:val="en-US"/>
        </w:rPr>
        <w:t xml:space="preserve"> 2020, </w:t>
      </w:r>
      <w:r w:rsidRPr="001E0E83">
        <w:rPr>
          <w:rFonts w:ascii="Cambria" w:eastAsia="Times New Roman" w:hAnsi="Cambria"/>
          <w:lang w:val="en-GB" w:eastAsia="cs-CZ"/>
        </w:rPr>
        <w:t>https://www.cappo.cz/info/vyvoj-spotreby-pohonnych-hmot-v-cr-za-1-pololeti-2020 (</w:t>
      </w:r>
      <w:proofErr w:type="spellStart"/>
      <w:r w:rsidR="00DD2BF8">
        <w:rPr>
          <w:rFonts w:ascii="Cambria" w:eastAsia="Times New Roman" w:hAnsi="Cambria"/>
          <w:lang w:val="en-GB" w:eastAsia="cs-CZ"/>
        </w:rPr>
        <w:t>staženo</w:t>
      </w:r>
      <w:proofErr w:type="spellEnd"/>
      <w:r w:rsidR="00DD2BF8">
        <w:rPr>
          <w:rFonts w:ascii="Cambria" w:eastAsia="Times New Roman" w:hAnsi="Cambria"/>
          <w:lang w:val="en-GB" w:eastAsia="cs-CZ"/>
        </w:rPr>
        <w:t xml:space="preserve"> 5. </w:t>
      </w:r>
      <w:proofErr w:type="spellStart"/>
      <w:r w:rsidR="00DD2BF8">
        <w:rPr>
          <w:rFonts w:ascii="Cambria" w:eastAsia="Times New Roman" w:hAnsi="Cambria"/>
          <w:lang w:val="en-GB" w:eastAsia="cs-CZ"/>
        </w:rPr>
        <w:t>prosince</w:t>
      </w:r>
      <w:proofErr w:type="spellEnd"/>
      <w:r w:rsidRPr="001E0E83">
        <w:rPr>
          <w:rFonts w:ascii="Cambria" w:eastAsia="Times New Roman" w:hAnsi="Cambria"/>
          <w:lang w:val="en-GB" w:eastAsia="cs-CZ"/>
        </w:rPr>
        <w:t xml:space="preserve"> 2020).</w:t>
      </w:r>
    </w:p>
    <w:p w14:paraId="7B424706" w14:textId="5CA0CAA4" w:rsidR="002411F0" w:rsidRPr="001E0E83" w:rsidRDefault="002411F0" w:rsidP="001E0E83">
      <w:pPr>
        <w:spacing w:after="100" w:afterAutospacing="1" w:line="240" w:lineRule="auto"/>
        <w:ind w:left="708" w:hanging="708"/>
        <w:rPr>
          <w:rFonts w:ascii="Cambria" w:eastAsia="Times New Roman" w:hAnsi="Cambria"/>
          <w:lang w:val="en-GB" w:eastAsia="cs-CZ"/>
        </w:rPr>
      </w:pPr>
      <w:r w:rsidRPr="001E0E83">
        <w:rPr>
          <w:rFonts w:ascii="Cambria" w:hAnsi="Cambria"/>
          <w:shd w:val="clear" w:color="auto" w:fill="FFFFFF"/>
          <w:lang w:val="en-US"/>
        </w:rPr>
        <w:t>ČSÚ (2020)</w:t>
      </w:r>
      <w:r w:rsidR="00DD2BF8">
        <w:rPr>
          <w:rFonts w:ascii="Cambria" w:hAnsi="Cambria"/>
          <w:shd w:val="clear" w:color="auto" w:fill="FFFFFF"/>
          <w:lang w:val="en-US"/>
        </w:rPr>
        <w:t>:</w:t>
      </w:r>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Průměrné</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ceny</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pohonných</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hmot</w:t>
      </w:r>
      <w:proofErr w:type="spellEnd"/>
      <w:r w:rsidRPr="001E0E83">
        <w:rPr>
          <w:rFonts w:ascii="Cambria" w:hAnsi="Cambria"/>
          <w:shd w:val="clear" w:color="auto" w:fill="FFFFFF"/>
          <w:lang w:val="en-US"/>
        </w:rPr>
        <w:t xml:space="preserve"> v ČR, </w:t>
      </w:r>
      <w:r w:rsidRPr="001E0E83">
        <w:rPr>
          <w:rFonts w:ascii="Cambria" w:eastAsia="Times New Roman" w:hAnsi="Cambria"/>
          <w:lang w:val="en-GB" w:eastAsia="cs-CZ"/>
        </w:rPr>
        <w:t>https://www.czso.cz/csu/xm/prumerne-ceny-pohonnych-hmot-v-crx (</w:t>
      </w:r>
      <w:proofErr w:type="spellStart"/>
      <w:r w:rsidR="00DD2BF8">
        <w:rPr>
          <w:rFonts w:ascii="Cambria" w:eastAsia="Times New Roman" w:hAnsi="Cambria"/>
          <w:lang w:val="en-GB" w:eastAsia="cs-CZ"/>
        </w:rPr>
        <w:t>staženo</w:t>
      </w:r>
      <w:proofErr w:type="spellEnd"/>
      <w:r w:rsidR="00DD2BF8">
        <w:rPr>
          <w:rFonts w:ascii="Cambria" w:eastAsia="Times New Roman" w:hAnsi="Cambria"/>
          <w:lang w:val="en-GB" w:eastAsia="cs-CZ"/>
        </w:rPr>
        <w:t xml:space="preserve"> 5. </w:t>
      </w:r>
      <w:proofErr w:type="spellStart"/>
      <w:r w:rsidR="00DD2BF8">
        <w:rPr>
          <w:rFonts w:ascii="Cambria" w:eastAsia="Times New Roman" w:hAnsi="Cambria"/>
          <w:lang w:val="en-GB" w:eastAsia="cs-CZ"/>
        </w:rPr>
        <w:t>prosince</w:t>
      </w:r>
      <w:proofErr w:type="spellEnd"/>
      <w:r w:rsidRPr="001E0E83">
        <w:rPr>
          <w:rFonts w:ascii="Cambria" w:eastAsia="Times New Roman" w:hAnsi="Cambria"/>
          <w:lang w:val="en-GB" w:eastAsia="cs-CZ"/>
        </w:rPr>
        <w:t xml:space="preserve"> 2020).</w:t>
      </w:r>
    </w:p>
    <w:p w14:paraId="44FFE242" w14:textId="48DA861B" w:rsidR="00593C75" w:rsidRPr="001E0E83" w:rsidRDefault="00593C75" w:rsidP="001E0E83">
      <w:pPr>
        <w:spacing w:after="100" w:afterAutospacing="1" w:line="240" w:lineRule="auto"/>
        <w:ind w:left="709" w:hanging="709"/>
        <w:rPr>
          <w:rStyle w:val="author"/>
          <w:rFonts w:ascii="Cambria" w:hAnsi="Cambria"/>
        </w:rPr>
      </w:pPr>
      <w:r w:rsidRPr="001E0E83">
        <w:rPr>
          <w:rFonts w:ascii="Cambria" w:hAnsi="Cambria"/>
        </w:rPr>
        <w:t xml:space="preserve">de </w:t>
      </w:r>
      <w:proofErr w:type="spellStart"/>
      <w:r w:rsidRPr="001E0E83">
        <w:rPr>
          <w:rFonts w:ascii="Cambria" w:hAnsi="Cambria"/>
        </w:rPr>
        <w:t>Waal</w:t>
      </w:r>
      <w:proofErr w:type="spellEnd"/>
      <w:r w:rsidRPr="001E0E83">
        <w:rPr>
          <w:rFonts w:ascii="Cambria" w:hAnsi="Cambria"/>
        </w:rPr>
        <w:t xml:space="preserve">, Thomas (2016): </w:t>
      </w:r>
      <w:proofErr w:type="spellStart"/>
      <w:r w:rsidRPr="001E0E83">
        <w:rPr>
          <w:rFonts w:ascii="Cambria" w:hAnsi="Cambria"/>
        </w:rPr>
        <w:t>Azerbaijan</w:t>
      </w:r>
      <w:proofErr w:type="spellEnd"/>
      <w:r w:rsidRPr="001E0E83">
        <w:rPr>
          <w:rFonts w:ascii="Cambria" w:hAnsi="Cambria"/>
        </w:rPr>
        <w:t xml:space="preserve"> </w:t>
      </w:r>
      <w:proofErr w:type="spellStart"/>
      <w:r w:rsidRPr="001E0E83">
        <w:rPr>
          <w:rFonts w:ascii="Cambria" w:hAnsi="Cambria"/>
        </w:rPr>
        <w:t>at</w:t>
      </w:r>
      <w:proofErr w:type="spellEnd"/>
      <w:r w:rsidRPr="001E0E83">
        <w:rPr>
          <w:rFonts w:ascii="Cambria" w:hAnsi="Cambria"/>
        </w:rPr>
        <w:t xml:space="preserve"> </w:t>
      </w:r>
      <w:proofErr w:type="spellStart"/>
      <w:r w:rsidRPr="001E0E83">
        <w:rPr>
          <w:rFonts w:ascii="Cambria" w:hAnsi="Cambria"/>
        </w:rPr>
        <w:t>Twenty-Five</w:t>
      </w:r>
      <w:proofErr w:type="spellEnd"/>
      <w:r w:rsidRPr="001E0E83">
        <w:rPr>
          <w:rFonts w:ascii="Cambria" w:hAnsi="Cambria"/>
        </w:rPr>
        <w:t xml:space="preserve">: A New Era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Change</w:t>
      </w:r>
      <w:proofErr w:type="spellEnd"/>
      <w:r w:rsidRPr="001E0E83">
        <w:rPr>
          <w:rFonts w:ascii="Cambria" w:hAnsi="Cambria"/>
        </w:rPr>
        <w:t xml:space="preserve"> and Turbulence, </w:t>
      </w:r>
      <w:r w:rsidRPr="001E0E83">
        <w:rPr>
          <w:rFonts w:ascii="Cambria" w:hAnsi="Cambria"/>
          <w:i/>
        </w:rPr>
        <w:t xml:space="preserve">Carnegie </w:t>
      </w:r>
      <w:proofErr w:type="spellStart"/>
      <w:r w:rsidRPr="001E0E83">
        <w:rPr>
          <w:rFonts w:ascii="Cambria" w:hAnsi="Cambria"/>
          <w:i/>
        </w:rPr>
        <w:t>Europe</w:t>
      </w:r>
      <w:proofErr w:type="spellEnd"/>
      <w:r w:rsidRPr="001E0E83">
        <w:rPr>
          <w:rFonts w:ascii="Cambria" w:hAnsi="Cambria"/>
        </w:rPr>
        <w:t xml:space="preserve">, 23.09.2020, </w:t>
      </w:r>
      <w:r w:rsidR="00DD2BF8" w:rsidRPr="00DD2BF8">
        <w:rPr>
          <w:rFonts w:ascii="Cambria" w:hAnsi="Cambria"/>
        </w:rPr>
        <w:t>https://carnegieeurope.eu/2016/09/23/azerbaijan-at-twenty-five-new-era-of-change-and-turbulence-pub-64671</w:t>
      </w:r>
      <w:r w:rsidR="00DD2BF8">
        <w:rPr>
          <w:rFonts w:ascii="Cambria" w:hAnsi="Cambria"/>
        </w:rPr>
        <w:t xml:space="preserve"> (staženo 20. října 2020)</w:t>
      </w:r>
      <w:r w:rsidRPr="001E0E83">
        <w:rPr>
          <w:rFonts w:ascii="Cambria" w:hAnsi="Cambria"/>
        </w:rPr>
        <w:t>.</w:t>
      </w:r>
    </w:p>
    <w:p w14:paraId="785348C2" w14:textId="00F36DD9" w:rsidR="002D75BD" w:rsidRPr="001E0E83" w:rsidRDefault="002D75BD" w:rsidP="001E0E83">
      <w:pPr>
        <w:spacing w:after="100" w:afterAutospacing="1" w:line="240" w:lineRule="auto"/>
        <w:ind w:left="708" w:hanging="708"/>
        <w:rPr>
          <w:rFonts w:ascii="Cambria" w:eastAsia="Times New Roman" w:hAnsi="Cambria"/>
          <w:lang w:val="en-GB" w:eastAsia="cs-CZ"/>
        </w:rPr>
      </w:pPr>
      <w:r w:rsidRPr="001E0E83">
        <w:rPr>
          <w:rFonts w:ascii="Cambria" w:hAnsi="Cambria"/>
          <w:shd w:val="clear" w:color="auto" w:fill="FFFFFF"/>
          <w:lang w:val="en-US"/>
        </w:rPr>
        <w:t>Deloitte (2020)</w:t>
      </w:r>
      <w:r w:rsidR="00DD2BF8">
        <w:rPr>
          <w:rFonts w:ascii="Cambria" w:hAnsi="Cambria"/>
          <w:shd w:val="clear" w:color="auto" w:fill="FFFFFF"/>
          <w:lang w:val="en-US"/>
        </w:rPr>
        <w:t>:</w:t>
      </w:r>
      <w:r w:rsidRPr="001E0E83">
        <w:rPr>
          <w:rFonts w:ascii="Cambria" w:hAnsi="Cambria"/>
          <w:shd w:val="clear" w:color="auto" w:fill="FFFFFF"/>
          <w:lang w:val="en-US"/>
        </w:rPr>
        <w:t xml:space="preserve"> Price forecast Oil, gas &amp; chemicals, </w:t>
      </w:r>
      <w:r w:rsidRPr="001E0E83">
        <w:rPr>
          <w:rFonts w:ascii="Cambria" w:eastAsia="Times New Roman" w:hAnsi="Cambria"/>
          <w:lang w:val="en-GB" w:eastAsia="cs-CZ"/>
        </w:rPr>
        <w:t>https://www2.deloitte.com/content/dam/Deloitte/ca/Documents/REA/ca-en-e&amp;r-oil-gas-price-forecast-q1-2020-aoda.pdf (</w:t>
      </w:r>
      <w:proofErr w:type="spellStart"/>
      <w:r w:rsidR="00DD2BF8">
        <w:rPr>
          <w:rFonts w:ascii="Cambria" w:eastAsia="Times New Roman" w:hAnsi="Cambria"/>
          <w:lang w:val="en-GB" w:eastAsia="cs-CZ"/>
        </w:rPr>
        <w:t>staženo</w:t>
      </w:r>
      <w:proofErr w:type="spellEnd"/>
      <w:r w:rsidR="00DD2BF8">
        <w:rPr>
          <w:rFonts w:ascii="Cambria" w:eastAsia="Times New Roman" w:hAnsi="Cambria"/>
          <w:lang w:val="en-GB" w:eastAsia="cs-CZ"/>
        </w:rPr>
        <w:t xml:space="preserve"> 5. </w:t>
      </w:r>
      <w:proofErr w:type="spellStart"/>
      <w:r w:rsidR="00DD2BF8">
        <w:rPr>
          <w:rFonts w:ascii="Cambria" w:eastAsia="Times New Roman" w:hAnsi="Cambria"/>
          <w:lang w:val="en-GB" w:eastAsia="cs-CZ"/>
        </w:rPr>
        <w:t>prosince</w:t>
      </w:r>
      <w:proofErr w:type="spellEnd"/>
      <w:r w:rsidRPr="001E0E83">
        <w:rPr>
          <w:rFonts w:ascii="Cambria" w:eastAsia="Times New Roman" w:hAnsi="Cambria"/>
          <w:lang w:val="en-GB" w:eastAsia="cs-CZ"/>
        </w:rPr>
        <w:t xml:space="preserve"> 2020).</w:t>
      </w:r>
    </w:p>
    <w:p w14:paraId="2E1B27B9" w14:textId="33C41E6B" w:rsidR="002D75BD" w:rsidRPr="001E0E83" w:rsidRDefault="002D75BD"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Denzin, N. K. (2012): Triangulation 2.0. </w:t>
      </w:r>
      <w:r w:rsidRPr="001E0E83">
        <w:rPr>
          <w:rFonts w:ascii="Cambria" w:eastAsia="Times New Roman" w:hAnsi="Cambria"/>
          <w:i/>
          <w:lang w:val="en-GB" w:eastAsia="cs-CZ"/>
        </w:rPr>
        <w:t>Journal of mixed methods research</w:t>
      </w:r>
      <w:r w:rsidRPr="001E0E83">
        <w:rPr>
          <w:rFonts w:ascii="Cambria" w:eastAsia="Times New Roman" w:hAnsi="Cambria"/>
          <w:lang w:val="en-GB" w:eastAsia="cs-CZ"/>
        </w:rPr>
        <w:t>, 6(2), 80-88.</w:t>
      </w:r>
    </w:p>
    <w:p w14:paraId="62CFB7C0" w14:textId="4C6382D6" w:rsidR="002D75BD" w:rsidRPr="001E0E83" w:rsidRDefault="002D75BD" w:rsidP="001E0E83">
      <w:pPr>
        <w:spacing w:after="100" w:afterAutospacing="1" w:line="240" w:lineRule="auto"/>
        <w:ind w:left="708" w:hanging="708"/>
        <w:rPr>
          <w:rFonts w:ascii="Cambria" w:eastAsia="Times New Roman" w:hAnsi="Cambria"/>
          <w:lang w:val="en-GB" w:eastAsia="cs-CZ"/>
        </w:rPr>
      </w:pPr>
      <w:r w:rsidRPr="001E0E83">
        <w:rPr>
          <w:rFonts w:ascii="Cambria" w:hAnsi="Cambria" w:cstheme="minorHAnsi"/>
        </w:rPr>
        <w:t>Dohoda o partnerství a spolupráci EU</w:t>
      </w:r>
      <w:r w:rsidR="00DD2BF8">
        <w:rPr>
          <w:rFonts w:ascii="Cambria" w:hAnsi="Cambria" w:cstheme="minorHAnsi"/>
        </w:rPr>
        <w:t xml:space="preserve"> – </w:t>
      </w:r>
      <w:r w:rsidRPr="001E0E83">
        <w:rPr>
          <w:rFonts w:ascii="Cambria" w:hAnsi="Cambria" w:cstheme="minorHAnsi"/>
        </w:rPr>
        <w:t>Rusko</w:t>
      </w:r>
      <w:r w:rsidRPr="001E0E83">
        <w:rPr>
          <w:rFonts w:ascii="Cambria" w:hAnsi="Cambria"/>
          <w:shd w:val="clear" w:color="auto" w:fill="FFFFFF"/>
          <w:lang w:val="en-US"/>
        </w:rPr>
        <w:t xml:space="preserve"> (2020)</w:t>
      </w:r>
      <w:r w:rsidR="00DD2BF8">
        <w:rPr>
          <w:rFonts w:ascii="Cambria" w:hAnsi="Cambria"/>
          <w:shd w:val="clear" w:color="auto" w:fill="FFFFFF"/>
          <w:lang w:val="en-US"/>
        </w:rPr>
        <w:t>:</w:t>
      </w:r>
      <w:r w:rsidRPr="001E0E83">
        <w:rPr>
          <w:rFonts w:ascii="Cambria" w:hAnsi="Cambria"/>
          <w:shd w:val="clear" w:color="auto" w:fill="FFFFFF"/>
          <w:lang w:val="en-US"/>
        </w:rPr>
        <w:t xml:space="preserve"> </w:t>
      </w:r>
      <w:r w:rsidRPr="001E0E83">
        <w:rPr>
          <w:rFonts w:ascii="Cambria" w:hAnsi="Cambria" w:cstheme="minorHAnsi"/>
        </w:rPr>
        <w:t>Dohoda o partnerství a spolupráci mezi EU, jejími členskými státy a Ruskou federací</w:t>
      </w:r>
      <w:r w:rsidRPr="001E0E83">
        <w:rPr>
          <w:rFonts w:ascii="Cambria" w:hAnsi="Cambria"/>
          <w:shd w:val="clear" w:color="auto" w:fill="FFFFFF"/>
          <w:lang w:val="en-US"/>
        </w:rPr>
        <w:t xml:space="preserve">, </w:t>
      </w:r>
      <w:r w:rsidRPr="001E0E83">
        <w:rPr>
          <w:rFonts w:ascii="Cambria" w:eastAsia="Times New Roman" w:hAnsi="Cambria"/>
          <w:lang w:val="en-GB" w:eastAsia="cs-CZ"/>
        </w:rPr>
        <w:t xml:space="preserve">https://eur-lex.europa.eu/legal-content/CS/TXT/?uri=LEGISSUM%3A28010102_2 </w:t>
      </w:r>
      <w:r w:rsidR="00DD2BF8" w:rsidRPr="001E0E83">
        <w:rPr>
          <w:rFonts w:ascii="Cambria" w:eastAsia="Times New Roman" w:hAnsi="Cambria"/>
          <w:lang w:val="en-GB" w:eastAsia="cs-CZ"/>
        </w:rPr>
        <w:t>(</w:t>
      </w:r>
      <w:proofErr w:type="spellStart"/>
      <w:r w:rsidR="00DD2BF8">
        <w:rPr>
          <w:rFonts w:ascii="Cambria" w:eastAsia="Times New Roman" w:hAnsi="Cambria"/>
          <w:lang w:val="en-GB" w:eastAsia="cs-CZ"/>
        </w:rPr>
        <w:t>staženo</w:t>
      </w:r>
      <w:proofErr w:type="spellEnd"/>
      <w:r w:rsidR="00DD2BF8">
        <w:rPr>
          <w:rFonts w:ascii="Cambria" w:eastAsia="Times New Roman" w:hAnsi="Cambria"/>
          <w:lang w:val="en-GB" w:eastAsia="cs-CZ"/>
        </w:rPr>
        <w:t xml:space="preserve"> 5. </w:t>
      </w:r>
      <w:proofErr w:type="spellStart"/>
      <w:r w:rsidR="00DD2BF8">
        <w:rPr>
          <w:rFonts w:ascii="Cambria" w:eastAsia="Times New Roman" w:hAnsi="Cambria"/>
          <w:lang w:val="en-GB" w:eastAsia="cs-CZ"/>
        </w:rPr>
        <w:t>prosince</w:t>
      </w:r>
      <w:proofErr w:type="spellEnd"/>
      <w:r w:rsidR="00DD2BF8" w:rsidRPr="001E0E83">
        <w:rPr>
          <w:rFonts w:ascii="Cambria" w:eastAsia="Times New Roman" w:hAnsi="Cambria"/>
          <w:lang w:val="en-GB" w:eastAsia="cs-CZ"/>
        </w:rPr>
        <w:t xml:space="preserve"> 2020)</w:t>
      </w:r>
      <w:r w:rsidRPr="001E0E83">
        <w:rPr>
          <w:rFonts w:ascii="Cambria" w:eastAsia="Times New Roman" w:hAnsi="Cambria"/>
          <w:lang w:val="en-GB" w:eastAsia="cs-CZ"/>
        </w:rPr>
        <w:t>.</w:t>
      </w:r>
    </w:p>
    <w:p w14:paraId="0819B4C6" w14:textId="5FCF6898" w:rsidR="00593C75" w:rsidRPr="001E0E83" w:rsidRDefault="00593C75" w:rsidP="001E0E83">
      <w:pPr>
        <w:spacing w:after="100" w:afterAutospacing="1" w:line="240" w:lineRule="auto"/>
        <w:ind w:left="709" w:hanging="709"/>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EK (2018): A Clean Planet for all, A European long-term strategic vision for a prosperous, modern, competitive and climate neutral economy, </w:t>
      </w:r>
      <w:hyperlink r:id="rId24" w:history="1">
        <w:r w:rsidRPr="001E0E83">
          <w:rPr>
            <w:rFonts w:ascii="Cambria" w:hAnsi="Cambria"/>
            <w:color w:val="000000" w:themeColor="text1"/>
            <w:shd w:val="clear" w:color="auto" w:fill="FFFFFF"/>
            <w:lang w:val="en-US"/>
          </w:rPr>
          <w:t>https://ec.europa.eu/clima/sites/clima/files/docs/pages/com_2018_733_analysis_in_support_en_0.pdf</w:t>
        </w:r>
      </w:hyperlink>
      <w:r w:rsidRPr="001E0E83">
        <w:rPr>
          <w:rFonts w:ascii="Cambria" w:hAnsi="Cambria"/>
          <w:color w:val="000000" w:themeColor="text1"/>
          <w:shd w:val="clear" w:color="auto" w:fill="FFFFFF"/>
          <w:lang w:val="en-US"/>
        </w:rPr>
        <w:t xml:space="preserve"> </w:t>
      </w:r>
      <w:r w:rsidR="00DD2BF8" w:rsidRPr="001E0E83">
        <w:rPr>
          <w:rFonts w:ascii="Cambria" w:eastAsia="Times New Roman" w:hAnsi="Cambria"/>
          <w:lang w:val="en-GB" w:eastAsia="cs-CZ"/>
        </w:rPr>
        <w:t>(</w:t>
      </w:r>
      <w:proofErr w:type="spellStart"/>
      <w:r w:rsidR="00DD2BF8">
        <w:rPr>
          <w:rFonts w:ascii="Cambria" w:eastAsia="Times New Roman" w:hAnsi="Cambria"/>
          <w:lang w:val="en-GB" w:eastAsia="cs-CZ"/>
        </w:rPr>
        <w:t>staženo</w:t>
      </w:r>
      <w:proofErr w:type="spellEnd"/>
      <w:r w:rsidR="00DD2BF8">
        <w:rPr>
          <w:rFonts w:ascii="Cambria" w:eastAsia="Times New Roman" w:hAnsi="Cambria"/>
          <w:lang w:val="en-GB" w:eastAsia="cs-CZ"/>
        </w:rPr>
        <w:t xml:space="preserve"> 19. </w:t>
      </w:r>
      <w:proofErr w:type="spellStart"/>
      <w:r w:rsidR="00DD2BF8">
        <w:rPr>
          <w:rFonts w:ascii="Cambria" w:eastAsia="Times New Roman" w:hAnsi="Cambria"/>
          <w:lang w:val="en-GB" w:eastAsia="cs-CZ"/>
        </w:rPr>
        <w:t>října</w:t>
      </w:r>
      <w:proofErr w:type="spellEnd"/>
      <w:r w:rsidR="00DD2BF8" w:rsidRPr="001E0E83">
        <w:rPr>
          <w:rFonts w:ascii="Cambria" w:eastAsia="Times New Roman" w:hAnsi="Cambria"/>
          <w:lang w:val="en-GB" w:eastAsia="cs-CZ"/>
        </w:rPr>
        <w:t xml:space="preserve"> 2020)</w:t>
      </w:r>
      <w:r w:rsidRPr="001E0E83">
        <w:rPr>
          <w:rFonts w:ascii="Cambria" w:hAnsi="Cambria"/>
          <w:color w:val="000000" w:themeColor="text1"/>
          <w:shd w:val="clear" w:color="auto" w:fill="FFFFFF"/>
          <w:lang w:val="en-US"/>
        </w:rPr>
        <w:t>.</w:t>
      </w:r>
    </w:p>
    <w:p w14:paraId="5D38BCA9" w14:textId="3BABA5FC" w:rsidR="00593C75" w:rsidRPr="001E0E83" w:rsidRDefault="00593C75" w:rsidP="001E0E83">
      <w:pPr>
        <w:spacing w:after="100" w:afterAutospacing="1" w:line="240" w:lineRule="auto"/>
        <w:ind w:left="709" w:hanging="709"/>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EK (2020a): </w:t>
      </w:r>
      <w:proofErr w:type="spellStart"/>
      <w:r w:rsidRPr="001E0E83">
        <w:rPr>
          <w:rFonts w:ascii="Cambria" w:hAnsi="Cambria"/>
          <w:color w:val="000000" w:themeColor="text1"/>
          <w:shd w:val="clear" w:color="auto" w:fill="FFFFFF"/>
          <w:lang w:val="en-US"/>
        </w:rPr>
        <w:t>Financování</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evropského</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plánu</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na</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podporu</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oživení</w:t>
      </w:r>
      <w:proofErr w:type="spellEnd"/>
      <w:r w:rsidRPr="001E0E83">
        <w:rPr>
          <w:rFonts w:ascii="Cambria" w:hAnsi="Cambria"/>
          <w:color w:val="000000" w:themeColor="text1"/>
          <w:shd w:val="clear" w:color="auto" w:fill="FFFFFF"/>
          <w:lang w:val="en-US"/>
        </w:rPr>
        <w:t xml:space="preserve">, </w:t>
      </w:r>
      <w:r w:rsidR="00DD2BF8" w:rsidRPr="00DD2BF8">
        <w:rPr>
          <w:rFonts w:ascii="Cambria" w:hAnsi="Cambria"/>
          <w:color w:val="000000" w:themeColor="text1"/>
          <w:shd w:val="clear" w:color="auto" w:fill="FFFFFF"/>
          <w:lang w:val="en-US"/>
        </w:rPr>
        <w:t>https://ec.europa.eu/info/sites/info/files/about_the_european_commission/eu_budget/2020.2139_cs_04.pdf</w:t>
      </w:r>
      <w:r w:rsidR="00DD2BF8">
        <w:rPr>
          <w:rFonts w:ascii="Cambria" w:hAnsi="Cambria"/>
          <w:color w:val="000000" w:themeColor="text1"/>
          <w:shd w:val="clear" w:color="auto" w:fill="FFFFFF"/>
          <w:lang w:val="en-US"/>
        </w:rPr>
        <w:t xml:space="preserve"> </w:t>
      </w:r>
      <w:r w:rsidR="00DD2BF8" w:rsidRPr="001E0E83">
        <w:rPr>
          <w:rFonts w:ascii="Cambria" w:eastAsia="Times New Roman" w:hAnsi="Cambria"/>
          <w:lang w:val="en-GB" w:eastAsia="cs-CZ"/>
        </w:rPr>
        <w:t>(</w:t>
      </w:r>
      <w:proofErr w:type="spellStart"/>
      <w:r w:rsidR="00DD2BF8">
        <w:rPr>
          <w:rFonts w:ascii="Cambria" w:eastAsia="Times New Roman" w:hAnsi="Cambria"/>
          <w:lang w:val="en-GB" w:eastAsia="cs-CZ"/>
        </w:rPr>
        <w:t>staženo</w:t>
      </w:r>
      <w:proofErr w:type="spellEnd"/>
      <w:r w:rsidR="00DD2BF8">
        <w:rPr>
          <w:rFonts w:ascii="Cambria" w:eastAsia="Times New Roman" w:hAnsi="Cambria"/>
          <w:lang w:val="en-GB" w:eastAsia="cs-CZ"/>
        </w:rPr>
        <w:t xml:space="preserve"> 19. </w:t>
      </w:r>
      <w:proofErr w:type="spellStart"/>
      <w:r w:rsidR="00DD2BF8">
        <w:rPr>
          <w:rFonts w:ascii="Cambria" w:eastAsia="Times New Roman" w:hAnsi="Cambria"/>
          <w:lang w:val="en-GB" w:eastAsia="cs-CZ"/>
        </w:rPr>
        <w:t>října</w:t>
      </w:r>
      <w:proofErr w:type="spellEnd"/>
      <w:r w:rsidR="00DD2BF8" w:rsidRPr="001E0E83">
        <w:rPr>
          <w:rFonts w:ascii="Cambria" w:eastAsia="Times New Roman" w:hAnsi="Cambria"/>
          <w:lang w:val="en-GB" w:eastAsia="cs-CZ"/>
        </w:rPr>
        <w:t xml:space="preserve"> 2020)</w:t>
      </w:r>
      <w:r w:rsidR="00DD2BF8">
        <w:rPr>
          <w:rFonts w:ascii="Cambria" w:eastAsia="Times New Roman" w:hAnsi="Cambria"/>
          <w:lang w:val="en-GB" w:eastAsia="cs-CZ"/>
        </w:rPr>
        <w:t>.</w:t>
      </w:r>
    </w:p>
    <w:p w14:paraId="64AA8A17" w14:textId="29A7E893"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EK (2020b): COMMISSION STAFF WORKING DOCUMENT on significant distortions in the economy of the Russian Federation for the purposes of trade </w:t>
      </w:r>
      <w:proofErr w:type="spellStart"/>
      <w:r w:rsidRPr="001E0E83">
        <w:rPr>
          <w:rFonts w:ascii="Cambria" w:hAnsi="Cambria"/>
          <w:color w:val="000000" w:themeColor="text1"/>
          <w:shd w:val="clear" w:color="auto" w:fill="FFFFFF"/>
          <w:lang w:val="en-US"/>
        </w:rPr>
        <w:t>defence</w:t>
      </w:r>
      <w:proofErr w:type="spellEnd"/>
      <w:r w:rsidRPr="001E0E83">
        <w:rPr>
          <w:rFonts w:ascii="Cambria" w:hAnsi="Cambria"/>
          <w:color w:val="000000" w:themeColor="text1"/>
          <w:shd w:val="clear" w:color="auto" w:fill="FFFFFF"/>
          <w:lang w:val="en-US"/>
        </w:rPr>
        <w:t xml:space="preserve"> investigations, European Commission, SWD(2020) 242 final, </w:t>
      </w:r>
      <w:hyperlink r:id="rId25" w:history="1">
        <w:r w:rsidRPr="001E0E83">
          <w:rPr>
            <w:rFonts w:ascii="Cambria" w:hAnsi="Cambria"/>
            <w:color w:val="000000" w:themeColor="text1"/>
            <w:shd w:val="clear" w:color="auto" w:fill="FFFFFF"/>
            <w:lang w:val="en-US"/>
          </w:rPr>
          <w:t>https://trade.ec.europa.eu/doclib/docs/2020/october/tradoc_158997.pdf</w:t>
        </w:r>
      </w:hyperlink>
      <w:r w:rsidRPr="001E0E83">
        <w:rPr>
          <w:rFonts w:ascii="Cambria" w:hAnsi="Cambria"/>
          <w:color w:val="000000" w:themeColor="text1"/>
          <w:shd w:val="clear" w:color="auto" w:fill="FFFFFF"/>
          <w:lang w:val="en-US"/>
        </w:rPr>
        <w:t xml:space="preserve"> </w:t>
      </w:r>
      <w:r w:rsidR="00DD2BF8" w:rsidRPr="001E0E83">
        <w:rPr>
          <w:rFonts w:ascii="Cambria" w:eastAsia="Times New Roman" w:hAnsi="Cambria"/>
          <w:lang w:val="en-GB" w:eastAsia="cs-CZ"/>
        </w:rPr>
        <w:t>(</w:t>
      </w:r>
      <w:proofErr w:type="spellStart"/>
      <w:r w:rsidR="00DD2BF8">
        <w:rPr>
          <w:rFonts w:ascii="Cambria" w:eastAsia="Times New Roman" w:hAnsi="Cambria"/>
          <w:lang w:val="en-GB" w:eastAsia="cs-CZ"/>
        </w:rPr>
        <w:t>staženo</w:t>
      </w:r>
      <w:proofErr w:type="spellEnd"/>
      <w:r w:rsidR="00DD2BF8">
        <w:rPr>
          <w:rFonts w:ascii="Cambria" w:eastAsia="Times New Roman" w:hAnsi="Cambria"/>
          <w:lang w:val="en-GB" w:eastAsia="cs-CZ"/>
        </w:rPr>
        <w:t xml:space="preserve"> 19. </w:t>
      </w:r>
      <w:proofErr w:type="spellStart"/>
      <w:r w:rsidR="00DD2BF8">
        <w:rPr>
          <w:rFonts w:ascii="Cambria" w:eastAsia="Times New Roman" w:hAnsi="Cambria"/>
          <w:lang w:val="en-GB" w:eastAsia="cs-CZ"/>
        </w:rPr>
        <w:t>října</w:t>
      </w:r>
      <w:proofErr w:type="spellEnd"/>
      <w:r w:rsidR="00DD2BF8" w:rsidRPr="001E0E83">
        <w:rPr>
          <w:rFonts w:ascii="Cambria" w:eastAsia="Times New Roman" w:hAnsi="Cambria"/>
          <w:lang w:val="en-GB" w:eastAsia="cs-CZ"/>
        </w:rPr>
        <w:t xml:space="preserve"> 2020)</w:t>
      </w:r>
      <w:r w:rsidRPr="001E0E83">
        <w:rPr>
          <w:rFonts w:ascii="Cambria" w:hAnsi="Cambria"/>
          <w:color w:val="000000" w:themeColor="text1"/>
          <w:shd w:val="clear" w:color="auto" w:fill="FFFFFF"/>
          <w:lang w:val="en-US"/>
        </w:rPr>
        <w:t>.</w:t>
      </w:r>
    </w:p>
    <w:p w14:paraId="7D80875E" w14:textId="19B185F9"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t>Ekspert</w:t>
      </w:r>
      <w:proofErr w:type="spellEnd"/>
      <w:r w:rsidRPr="001E0E83">
        <w:rPr>
          <w:rFonts w:ascii="Cambria" w:hAnsi="Cambria"/>
          <w:color w:val="000000" w:themeColor="text1"/>
          <w:shd w:val="clear" w:color="auto" w:fill="FFFFFF"/>
          <w:lang w:val="en-US"/>
        </w:rPr>
        <w:t xml:space="preserve"> (2020): Бюджет-2021 </w:t>
      </w:r>
      <w:proofErr w:type="spellStart"/>
      <w:r w:rsidRPr="001E0E83">
        <w:rPr>
          <w:rFonts w:ascii="Cambria" w:hAnsi="Cambria"/>
          <w:color w:val="000000" w:themeColor="text1"/>
          <w:shd w:val="clear" w:color="auto" w:fill="FFFFFF"/>
          <w:lang w:val="en-US"/>
        </w:rPr>
        <w:t>все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еще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недотягивает</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до</w:t>
      </w:r>
      <w:proofErr w:type="spellEnd"/>
      <w:r w:rsidRPr="001E0E83">
        <w:rPr>
          <w:rFonts w:ascii="Cambria" w:hAnsi="Cambria"/>
          <w:color w:val="000000" w:themeColor="text1"/>
          <w:shd w:val="clear" w:color="auto" w:fill="FFFFFF"/>
          <w:lang w:val="en-US"/>
        </w:rPr>
        <w:t xml:space="preserve"> 2012-го, </w:t>
      </w:r>
      <w:proofErr w:type="spellStart"/>
      <w:r w:rsidRPr="001E0E83">
        <w:rPr>
          <w:rFonts w:ascii="Cambria" w:hAnsi="Cambria"/>
          <w:color w:val="000000" w:themeColor="text1"/>
          <w:shd w:val="clear" w:color="auto" w:fill="FFFFFF"/>
          <w:lang w:val="en-US"/>
        </w:rPr>
        <w:t>Ekspert</w:t>
      </w:r>
      <w:proofErr w:type="spellEnd"/>
      <w:r w:rsidRPr="001E0E83">
        <w:rPr>
          <w:rFonts w:ascii="Cambria" w:hAnsi="Cambria"/>
          <w:color w:val="000000" w:themeColor="text1"/>
          <w:shd w:val="clear" w:color="auto" w:fill="FFFFFF"/>
          <w:lang w:val="en-US"/>
        </w:rPr>
        <w:t>, 9. 11. 2020.</w:t>
      </w:r>
    </w:p>
    <w:p w14:paraId="4A6D6E42" w14:textId="714AB5B7" w:rsidR="002D75BD" w:rsidRPr="001E0E83" w:rsidRDefault="002D75BD" w:rsidP="001E0E83">
      <w:pPr>
        <w:spacing w:after="100" w:afterAutospacing="1" w:line="240" w:lineRule="auto"/>
        <w:ind w:left="708" w:hanging="708"/>
        <w:rPr>
          <w:rFonts w:ascii="Cambria" w:eastAsia="Times New Roman" w:hAnsi="Cambria"/>
          <w:lang w:val="en-GB" w:eastAsia="cs-CZ"/>
        </w:rPr>
      </w:pPr>
      <w:r w:rsidRPr="001E0E83">
        <w:rPr>
          <w:rFonts w:ascii="Cambria" w:hAnsi="Cambria"/>
          <w:shd w:val="clear" w:color="auto" w:fill="FFFFFF"/>
          <w:lang w:val="en-US"/>
        </w:rPr>
        <w:t xml:space="preserve">EU-Azerbaijan Partnership Priorities (2018), Recommendation no 1/2018 of the EU-Azerbaijan Cooperation Council, </w:t>
      </w:r>
      <w:r w:rsidRPr="001E0E83">
        <w:rPr>
          <w:rFonts w:ascii="Cambria" w:eastAsia="Times New Roman" w:hAnsi="Cambria"/>
          <w:lang w:val="en-GB" w:eastAsia="cs-CZ"/>
        </w:rPr>
        <w:t xml:space="preserve">https://eur-lex.europa.eu/LexUriServ/LexUriServ.do?uri=OJ%3AL%3A2018%3A265%3A0018%3A0022%3AEN%3APDF </w:t>
      </w:r>
      <w:r w:rsidR="00DD2BF8" w:rsidRPr="001E0E83">
        <w:rPr>
          <w:rFonts w:ascii="Cambria" w:eastAsia="Times New Roman" w:hAnsi="Cambria"/>
          <w:lang w:val="en-GB" w:eastAsia="cs-CZ"/>
        </w:rPr>
        <w:t>(</w:t>
      </w:r>
      <w:proofErr w:type="spellStart"/>
      <w:r w:rsidR="00DD2BF8">
        <w:rPr>
          <w:rFonts w:ascii="Cambria" w:eastAsia="Times New Roman" w:hAnsi="Cambria"/>
          <w:lang w:val="en-GB" w:eastAsia="cs-CZ"/>
        </w:rPr>
        <w:t>staženo</w:t>
      </w:r>
      <w:proofErr w:type="spellEnd"/>
      <w:r w:rsidR="00DD2BF8">
        <w:rPr>
          <w:rFonts w:ascii="Cambria" w:eastAsia="Times New Roman" w:hAnsi="Cambria"/>
          <w:lang w:val="en-GB" w:eastAsia="cs-CZ"/>
        </w:rPr>
        <w:t xml:space="preserve"> 5. </w:t>
      </w:r>
      <w:proofErr w:type="spellStart"/>
      <w:r w:rsidR="00DD2BF8">
        <w:rPr>
          <w:rFonts w:ascii="Cambria" w:eastAsia="Times New Roman" w:hAnsi="Cambria"/>
          <w:lang w:val="en-GB" w:eastAsia="cs-CZ"/>
        </w:rPr>
        <w:t>prosince</w:t>
      </w:r>
      <w:proofErr w:type="spellEnd"/>
      <w:r w:rsidR="00DD2BF8" w:rsidRPr="001E0E83">
        <w:rPr>
          <w:rFonts w:ascii="Cambria" w:eastAsia="Times New Roman" w:hAnsi="Cambria"/>
          <w:lang w:val="en-GB" w:eastAsia="cs-CZ"/>
        </w:rPr>
        <w:t xml:space="preserve"> 2020)</w:t>
      </w:r>
      <w:r w:rsidRPr="001E0E83">
        <w:rPr>
          <w:rFonts w:ascii="Cambria" w:eastAsia="Times New Roman" w:hAnsi="Cambria"/>
          <w:lang w:val="en-GB" w:eastAsia="cs-CZ"/>
        </w:rPr>
        <w:t>.</w:t>
      </w:r>
    </w:p>
    <w:p w14:paraId="46D61A62" w14:textId="74346AD3" w:rsidR="00593C75" w:rsidRPr="001E0E83" w:rsidRDefault="00593C75" w:rsidP="001E0E83">
      <w:pPr>
        <w:spacing w:after="100" w:afterAutospacing="1" w:line="240" w:lineRule="auto"/>
        <w:ind w:left="709" w:hanging="709"/>
        <w:rPr>
          <w:rStyle w:val="author"/>
          <w:rFonts w:ascii="Cambria" w:hAnsi="Cambria"/>
        </w:rPr>
      </w:pPr>
      <w:r w:rsidRPr="001E0E83">
        <w:rPr>
          <w:rStyle w:val="author"/>
          <w:rFonts w:ascii="Cambria" w:hAnsi="Cambria"/>
        </w:rPr>
        <w:t xml:space="preserve">Eurasianet.org (2020): </w:t>
      </w:r>
      <w:proofErr w:type="spellStart"/>
      <w:r w:rsidRPr="001E0E83">
        <w:rPr>
          <w:rStyle w:val="author"/>
          <w:rFonts w:ascii="Cambria" w:hAnsi="Cambria"/>
        </w:rPr>
        <w:t>Leading</w:t>
      </w:r>
      <w:proofErr w:type="spellEnd"/>
      <w:r w:rsidRPr="001E0E83">
        <w:rPr>
          <w:rStyle w:val="author"/>
          <w:rFonts w:ascii="Cambria" w:hAnsi="Cambria"/>
        </w:rPr>
        <w:t xml:space="preserve"> </w:t>
      </w:r>
      <w:proofErr w:type="spellStart"/>
      <w:r w:rsidRPr="001E0E83">
        <w:rPr>
          <w:rStyle w:val="author"/>
          <w:rFonts w:ascii="Cambria" w:hAnsi="Cambria"/>
        </w:rPr>
        <w:t>Azerbaijani</w:t>
      </w:r>
      <w:proofErr w:type="spellEnd"/>
      <w:r w:rsidRPr="001E0E83">
        <w:rPr>
          <w:rStyle w:val="author"/>
          <w:rFonts w:ascii="Cambria" w:hAnsi="Cambria"/>
        </w:rPr>
        <w:t xml:space="preserve"> </w:t>
      </w:r>
      <w:proofErr w:type="spellStart"/>
      <w:r w:rsidRPr="001E0E83">
        <w:rPr>
          <w:rStyle w:val="author"/>
          <w:rFonts w:ascii="Cambria" w:hAnsi="Cambria"/>
        </w:rPr>
        <w:t>opposition</w:t>
      </w:r>
      <w:proofErr w:type="spellEnd"/>
      <w:r w:rsidRPr="001E0E83">
        <w:rPr>
          <w:rStyle w:val="author"/>
          <w:rFonts w:ascii="Cambria" w:hAnsi="Cambria"/>
        </w:rPr>
        <w:t xml:space="preserve"> </w:t>
      </w:r>
      <w:proofErr w:type="spellStart"/>
      <w:r w:rsidRPr="001E0E83">
        <w:rPr>
          <w:rStyle w:val="author"/>
          <w:rFonts w:ascii="Cambria" w:hAnsi="Cambria"/>
        </w:rPr>
        <w:t>figure</w:t>
      </w:r>
      <w:proofErr w:type="spellEnd"/>
      <w:r w:rsidRPr="001E0E83">
        <w:rPr>
          <w:rStyle w:val="author"/>
          <w:rFonts w:ascii="Cambria" w:hAnsi="Cambria"/>
        </w:rPr>
        <w:t xml:space="preserve"> </w:t>
      </w:r>
      <w:proofErr w:type="spellStart"/>
      <w:r w:rsidRPr="001E0E83">
        <w:rPr>
          <w:rStyle w:val="author"/>
          <w:rFonts w:ascii="Cambria" w:hAnsi="Cambria"/>
        </w:rPr>
        <w:t>enters</w:t>
      </w:r>
      <w:proofErr w:type="spellEnd"/>
      <w:r w:rsidRPr="001E0E83">
        <w:rPr>
          <w:rStyle w:val="author"/>
          <w:rFonts w:ascii="Cambria" w:hAnsi="Cambria"/>
        </w:rPr>
        <w:t xml:space="preserve"> second </w:t>
      </w:r>
      <w:proofErr w:type="spellStart"/>
      <w:r w:rsidRPr="001E0E83">
        <w:rPr>
          <w:rStyle w:val="author"/>
          <w:rFonts w:ascii="Cambria" w:hAnsi="Cambria"/>
        </w:rPr>
        <w:t>week</w:t>
      </w:r>
      <w:proofErr w:type="spellEnd"/>
      <w:r w:rsidRPr="001E0E83">
        <w:rPr>
          <w:rStyle w:val="author"/>
          <w:rFonts w:ascii="Cambria" w:hAnsi="Cambria"/>
        </w:rPr>
        <w:t xml:space="preserve"> </w:t>
      </w:r>
      <w:proofErr w:type="spellStart"/>
      <w:r w:rsidRPr="001E0E83">
        <w:rPr>
          <w:rStyle w:val="author"/>
          <w:rFonts w:ascii="Cambria" w:hAnsi="Cambria"/>
        </w:rPr>
        <w:t>of</w:t>
      </w:r>
      <w:proofErr w:type="spellEnd"/>
      <w:r w:rsidRPr="001E0E83">
        <w:rPr>
          <w:rStyle w:val="author"/>
          <w:rFonts w:ascii="Cambria" w:hAnsi="Cambria"/>
        </w:rPr>
        <w:t xml:space="preserve"> </w:t>
      </w:r>
      <w:proofErr w:type="spellStart"/>
      <w:r w:rsidRPr="001E0E83">
        <w:rPr>
          <w:rStyle w:val="author"/>
          <w:rFonts w:ascii="Cambria" w:hAnsi="Cambria"/>
        </w:rPr>
        <w:t>hunger</w:t>
      </w:r>
      <w:proofErr w:type="spellEnd"/>
      <w:r w:rsidRPr="001E0E83">
        <w:rPr>
          <w:rStyle w:val="author"/>
          <w:rFonts w:ascii="Cambria" w:hAnsi="Cambria"/>
        </w:rPr>
        <w:t xml:space="preserve"> strike,</w:t>
      </w:r>
      <w:r w:rsidRPr="001E0E83">
        <w:rPr>
          <w:rStyle w:val="author"/>
          <w:rFonts w:ascii="Cambria" w:hAnsi="Cambria"/>
          <w:i/>
        </w:rPr>
        <w:t xml:space="preserve"> Eurasianet.org</w:t>
      </w:r>
      <w:r w:rsidRPr="001E0E83">
        <w:rPr>
          <w:rStyle w:val="author"/>
          <w:rFonts w:ascii="Cambria" w:hAnsi="Cambria"/>
        </w:rPr>
        <w:t xml:space="preserve">, 15.09.2020, </w:t>
      </w:r>
      <w:r w:rsidRPr="00DD2BF8">
        <w:rPr>
          <w:rFonts w:ascii="Cambria" w:hAnsi="Cambria"/>
        </w:rPr>
        <w:t>https://eurasianet.org/leading-azerbaijani-opposition-figure-enters-second-week-of-hunger-strike</w:t>
      </w:r>
      <w:r w:rsidR="00DD2BF8">
        <w:rPr>
          <w:rStyle w:val="Hypertextovodkaz"/>
          <w:rFonts w:ascii="Cambria" w:hAnsi="Cambria"/>
        </w:rPr>
        <w:t xml:space="preserve"> </w:t>
      </w:r>
      <w:r w:rsidR="00DD2BF8" w:rsidRPr="001E0E83">
        <w:rPr>
          <w:rFonts w:ascii="Cambria" w:eastAsia="Times New Roman" w:hAnsi="Cambria"/>
          <w:lang w:val="en-GB" w:eastAsia="cs-CZ"/>
        </w:rPr>
        <w:t>(</w:t>
      </w:r>
      <w:proofErr w:type="spellStart"/>
      <w:r w:rsidR="00DD2BF8">
        <w:rPr>
          <w:rFonts w:ascii="Cambria" w:eastAsia="Times New Roman" w:hAnsi="Cambria"/>
          <w:lang w:val="en-GB" w:eastAsia="cs-CZ"/>
        </w:rPr>
        <w:t>staženo</w:t>
      </w:r>
      <w:proofErr w:type="spellEnd"/>
      <w:r w:rsidR="00DD2BF8">
        <w:rPr>
          <w:rFonts w:ascii="Cambria" w:eastAsia="Times New Roman" w:hAnsi="Cambria"/>
          <w:lang w:val="en-GB" w:eastAsia="cs-CZ"/>
        </w:rPr>
        <w:t xml:space="preserve"> 5. </w:t>
      </w:r>
      <w:proofErr w:type="spellStart"/>
      <w:r w:rsidR="00DD2BF8">
        <w:rPr>
          <w:rFonts w:ascii="Cambria" w:eastAsia="Times New Roman" w:hAnsi="Cambria"/>
          <w:lang w:val="en-GB" w:eastAsia="cs-CZ"/>
        </w:rPr>
        <w:t>prosince</w:t>
      </w:r>
      <w:proofErr w:type="spellEnd"/>
      <w:r w:rsidR="00DD2BF8" w:rsidRPr="001E0E83">
        <w:rPr>
          <w:rFonts w:ascii="Cambria" w:eastAsia="Times New Roman" w:hAnsi="Cambria"/>
          <w:lang w:val="en-GB" w:eastAsia="cs-CZ"/>
        </w:rPr>
        <w:t xml:space="preserve"> 2020)</w:t>
      </w:r>
      <w:r w:rsidRPr="001E0E83">
        <w:rPr>
          <w:rStyle w:val="author"/>
          <w:rFonts w:ascii="Cambria" w:hAnsi="Cambria"/>
        </w:rPr>
        <w:t>.</w:t>
      </w:r>
    </w:p>
    <w:p w14:paraId="1EBEF78C" w14:textId="281661C9"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lastRenderedPageBreak/>
        <w:t xml:space="preserve">Faheem, M. – </w:t>
      </w:r>
      <w:proofErr w:type="spellStart"/>
      <w:r w:rsidRPr="001E0E83">
        <w:rPr>
          <w:rFonts w:ascii="Cambria" w:eastAsia="Times New Roman" w:hAnsi="Cambria"/>
          <w:lang w:val="en-GB" w:eastAsia="cs-CZ"/>
        </w:rPr>
        <w:t>Azali</w:t>
      </w:r>
      <w:proofErr w:type="spellEnd"/>
      <w:r w:rsidRPr="001E0E83">
        <w:rPr>
          <w:rFonts w:ascii="Cambria" w:eastAsia="Times New Roman" w:hAnsi="Cambria"/>
          <w:lang w:val="en-GB" w:eastAsia="cs-CZ"/>
        </w:rPr>
        <w:t xml:space="preserve">, M. – Chin, L. – Mazlan, N. S. (2020a): Asymmetric effect of oil price changes on trade balance in Saudi Arabia, Kuwait and United Arab Emirates. </w:t>
      </w:r>
      <w:r w:rsidRPr="001E0E83">
        <w:rPr>
          <w:rFonts w:ascii="Cambria" w:eastAsia="Times New Roman" w:hAnsi="Cambria"/>
          <w:i/>
          <w:lang w:val="en-GB" w:eastAsia="cs-CZ"/>
        </w:rPr>
        <w:t>Pakistan Journal of Commerce and Social Sciences</w:t>
      </w:r>
      <w:r w:rsidRPr="001E0E83">
        <w:rPr>
          <w:rFonts w:ascii="Cambria" w:eastAsia="Times New Roman" w:hAnsi="Cambria"/>
          <w:lang w:val="en-GB" w:eastAsia="cs-CZ"/>
        </w:rPr>
        <w:t>, 14(3),</w:t>
      </w:r>
      <w:r w:rsidR="00DD2BF8">
        <w:rPr>
          <w:rFonts w:ascii="Cambria" w:eastAsia="Times New Roman" w:hAnsi="Cambria"/>
          <w:lang w:val="en-GB" w:eastAsia="cs-CZ"/>
        </w:rPr>
        <w:t xml:space="preserve"> </w:t>
      </w:r>
      <w:r w:rsidRPr="001E0E83">
        <w:rPr>
          <w:rFonts w:ascii="Cambria" w:eastAsia="Times New Roman" w:hAnsi="Cambria"/>
          <w:lang w:val="en-GB" w:eastAsia="cs-CZ"/>
        </w:rPr>
        <w:t>685-714.</w:t>
      </w:r>
    </w:p>
    <w:p w14:paraId="1F2B7673" w14:textId="29879CB1"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Faheem, M. – </w:t>
      </w:r>
      <w:proofErr w:type="spellStart"/>
      <w:r w:rsidRPr="001E0E83">
        <w:rPr>
          <w:rFonts w:ascii="Cambria" w:eastAsia="Times New Roman" w:hAnsi="Cambria"/>
          <w:lang w:val="en-GB" w:eastAsia="cs-CZ"/>
        </w:rPr>
        <w:t>Azali</w:t>
      </w:r>
      <w:proofErr w:type="spellEnd"/>
      <w:r w:rsidRPr="001E0E83">
        <w:rPr>
          <w:rFonts w:ascii="Cambria" w:eastAsia="Times New Roman" w:hAnsi="Cambria"/>
          <w:lang w:val="en-GB" w:eastAsia="cs-CZ"/>
        </w:rPr>
        <w:t xml:space="preserve">, M. – Chin, L. – Mazlan, N. S. (2020b): New evidence of oil price fluctuations and manufacturing output in Saudi Arabia, Kuwait and United Arab Emirates. </w:t>
      </w:r>
      <w:r w:rsidRPr="001E0E83">
        <w:rPr>
          <w:rFonts w:ascii="Cambria" w:eastAsia="Times New Roman" w:hAnsi="Cambria"/>
          <w:i/>
          <w:lang w:val="en-GB" w:eastAsia="cs-CZ"/>
        </w:rPr>
        <w:t>Pakistan Journal of Commerce and Social Sciences</w:t>
      </w:r>
      <w:r w:rsidRPr="001E0E83">
        <w:rPr>
          <w:rFonts w:ascii="Cambria" w:eastAsia="Times New Roman" w:hAnsi="Cambria"/>
          <w:lang w:val="en-GB" w:eastAsia="cs-CZ"/>
        </w:rPr>
        <w:t>, 14(1), 300-333.</w:t>
      </w:r>
    </w:p>
    <w:p w14:paraId="616BE348" w14:textId="77777777" w:rsidR="00593C75" w:rsidRPr="001E0E83" w:rsidRDefault="00593C75" w:rsidP="001E0E83">
      <w:pPr>
        <w:spacing w:after="100" w:afterAutospacing="1" w:line="240" w:lineRule="auto"/>
        <w:ind w:left="708" w:hanging="708"/>
        <w:rPr>
          <w:rFonts w:ascii="Cambria" w:hAnsi="Cambria"/>
          <w:lang w:val="en-GB"/>
        </w:rPr>
      </w:pPr>
      <w:r w:rsidRPr="001E0E83">
        <w:rPr>
          <w:rFonts w:ascii="Cambria" w:hAnsi="Cambria"/>
          <w:lang w:val="en-GB"/>
        </w:rPr>
        <w:t xml:space="preserve">Farid, A. M. (ed.) (2020): </w:t>
      </w:r>
      <w:r w:rsidRPr="001E0E83">
        <w:rPr>
          <w:rFonts w:ascii="Cambria" w:hAnsi="Cambria"/>
          <w:i/>
          <w:lang w:val="en-GB"/>
        </w:rPr>
        <w:t>Oil and Security in the Arabian Gulf</w:t>
      </w:r>
      <w:r w:rsidRPr="001E0E83">
        <w:rPr>
          <w:rFonts w:ascii="Cambria" w:hAnsi="Cambria"/>
          <w:lang w:val="en-GB"/>
        </w:rPr>
        <w:t>. Routledge.</w:t>
      </w:r>
    </w:p>
    <w:p w14:paraId="3AAFD4F8" w14:textId="76E395D9" w:rsidR="00DD2BF8" w:rsidRDefault="00593C75" w:rsidP="00DD2BF8">
      <w:pPr>
        <w:spacing w:after="100" w:afterAutospacing="1" w:line="240" w:lineRule="auto"/>
        <w:ind w:left="708" w:hanging="708"/>
        <w:rPr>
          <w:rFonts w:ascii="Cambria" w:eastAsia="Times New Roman" w:hAnsi="Cambria"/>
          <w:lang w:val="en-GB" w:eastAsia="cs-CZ"/>
        </w:rPr>
      </w:pPr>
      <w:r w:rsidRPr="001E0E83">
        <w:rPr>
          <w:rFonts w:ascii="Cambria" w:hAnsi="Cambria"/>
          <w:lang w:val="en-GB"/>
        </w:rPr>
        <w:t xml:space="preserve">Federal Reserve economic data (2020): https://fred.stlouisfed.org </w:t>
      </w:r>
      <w:bookmarkStart w:id="68" w:name="OLE_LINK2"/>
      <w:r w:rsidR="00DD2BF8" w:rsidRPr="001E0E83">
        <w:rPr>
          <w:rFonts w:ascii="Cambria" w:eastAsia="Times New Roman" w:hAnsi="Cambria"/>
          <w:lang w:val="en-GB" w:eastAsia="cs-CZ"/>
        </w:rPr>
        <w:t>(</w:t>
      </w:r>
      <w:proofErr w:type="spellStart"/>
      <w:r w:rsidR="009277A3">
        <w:rPr>
          <w:rFonts w:ascii="Cambria" w:eastAsia="Times New Roman" w:hAnsi="Cambria"/>
          <w:lang w:val="en-GB" w:eastAsia="cs-CZ"/>
        </w:rPr>
        <w:t>staženo</w:t>
      </w:r>
      <w:proofErr w:type="spellEnd"/>
      <w:r w:rsidR="009277A3">
        <w:rPr>
          <w:rFonts w:ascii="Cambria" w:eastAsia="Times New Roman" w:hAnsi="Cambria"/>
          <w:lang w:val="en-GB" w:eastAsia="cs-CZ"/>
        </w:rPr>
        <w:t xml:space="preserve"> 19. </w:t>
      </w:r>
      <w:proofErr w:type="spellStart"/>
      <w:r w:rsidR="009277A3">
        <w:rPr>
          <w:rFonts w:ascii="Cambria" w:eastAsia="Times New Roman" w:hAnsi="Cambria"/>
          <w:lang w:val="en-GB" w:eastAsia="cs-CZ"/>
        </w:rPr>
        <w:t>října</w:t>
      </w:r>
      <w:proofErr w:type="spellEnd"/>
      <w:r w:rsidR="00DD2BF8" w:rsidRPr="001E0E83">
        <w:rPr>
          <w:rFonts w:ascii="Cambria" w:eastAsia="Times New Roman" w:hAnsi="Cambria"/>
          <w:lang w:val="en-GB" w:eastAsia="cs-CZ"/>
        </w:rPr>
        <w:t xml:space="preserve"> 2020)</w:t>
      </w:r>
      <w:r w:rsidR="00DD2BF8">
        <w:rPr>
          <w:rFonts w:ascii="Cambria" w:eastAsia="Times New Roman" w:hAnsi="Cambria"/>
          <w:lang w:val="en-GB" w:eastAsia="cs-CZ"/>
        </w:rPr>
        <w:t>.</w:t>
      </w:r>
    </w:p>
    <w:p w14:paraId="775E4DC3" w14:textId="1BBEA776" w:rsidR="00593C75" w:rsidRPr="001E0E83" w:rsidRDefault="00593C75" w:rsidP="00DD2BF8">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Federal State Statistics Service </w:t>
      </w:r>
      <w:bookmarkEnd w:id="68"/>
      <w:r w:rsidRPr="001E0E83">
        <w:rPr>
          <w:rFonts w:ascii="Cambria" w:hAnsi="Cambria"/>
          <w:color w:val="000000" w:themeColor="text1"/>
          <w:shd w:val="clear" w:color="auto" w:fill="FFFFFF"/>
          <w:lang w:val="en-US"/>
        </w:rPr>
        <w:t>(2020)</w:t>
      </w:r>
      <w:r w:rsidR="009277A3">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xml:space="preserve"> Russia in numbers (database), </w:t>
      </w:r>
      <w:hyperlink r:id="rId26" w:history="1">
        <w:r w:rsidRPr="001E0E83">
          <w:rPr>
            <w:rFonts w:ascii="Cambria" w:hAnsi="Cambria"/>
            <w:color w:val="000000" w:themeColor="text1"/>
            <w:shd w:val="clear" w:color="auto" w:fill="FFFFFF"/>
            <w:lang w:val="en-US"/>
          </w:rPr>
          <w:t>https://showdata.gks.ru/report/276092/</w:t>
        </w:r>
      </w:hyperlink>
      <w:r w:rsidRPr="001E0E83">
        <w:rPr>
          <w:rFonts w:ascii="Cambria" w:hAnsi="Cambria"/>
          <w:color w:val="000000" w:themeColor="text1"/>
          <w:shd w:val="clear" w:color="auto" w:fill="FFFFFF"/>
          <w:lang w:val="en-US"/>
        </w:rPr>
        <w:t xml:space="preserve"> </w:t>
      </w:r>
      <w:r w:rsidR="009277A3" w:rsidRPr="001E0E83">
        <w:rPr>
          <w:rFonts w:ascii="Cambria" w:eastAsia="Times New Roman" w:hAnsi="Cambria"/>
          <w:lang w:val="en-GB" w:eastAsia="cs-CZ"/>
        </w:rPr>
        <w:t>(</w:t>
      </w:r>
      <w:proofErr w:type="spellStart"/>
      <w:r w:rsidR="009277A3">
        <w:rPr>
          <w:rFonts w:ascii="Cambria" w:eastAsia="Times New Roman" w:hAnsi="Cambria"/>
          <w:lang w:val="en-GB" w:eastAsia="cs-CZ"/>
        </w:rPr>
        <w:t>staženo</w:t>
      </w:r>
      <w:proofErr w:type="spellEnd"/>
      <w:r w:rsidR="009277A3">
        <w:rPr>
          <w:rFonts w:ascii="Cambria" w:eastAsia="Times New Roman" w:hAnsi="Cambria"/>
          <w:lang w:val="en-GB" w:eastAsia="cs-CZ"/>
        </w:rPr>
        <w:t xml:space="preserve"> 19. </w:t>
      </w:r>
      <w:proofErr w:type="spellStart"/>
      <w:r w:rsidR="009277A3">
        <w:rPr>
          <w:rFonts w:ascii="Cambria" w:eastAsia="Times New Roman" w:hAnsi="Cambria"/>
          <w:lang w:val="en-GB" w:eastAsia="cs-CZ"/>
        </w:rPr>
        <w:t>října</w:t>
      </w:r>
      <w:proofErr w:type="spellEnd"/>
      <w:r w:rsidR="009277A3" w:rsidRPr="001E0E83">
        <w:rPr>
          <w:rFonts w:ascii="Cambria" w:eastAsia="Times New Roman" w:hAnsi="Cambria"/>
          <w:lang w:val="en-GB" w:eastAsia="cs-CZ"/>
        </w:rPr>
        <w:t xml:space="preserve"> 2020)</w:t>
      </w:r>
      <w:r w:rsidRPr="001E0E83">
        <w:rPr>
          <w:rFonts w:ascii="Cambria" w:hAnsi="Cambria"/>
          <w:color w:val="000000" w:themeColor="text1"/>
          <w:shd w:val="clear" w:color="auto" w:fill="FFFFFF"/>
          <w:lang w:val="en-US"/>
        </w:rPr>
        <w:t>.</w:t>
      </w:r>
    </w:p>
    <w:p w14:paraId="77DA217B" w14:textId="27750D2B"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t>Feldkircher</w:t>
      </w:r>
      <w:proofErr w:type="spellEnd"/>
      <w:r w:rsidRPr="001E0E83">
        <w:rPr>
          <w:rFonts w:ascii="Cambria" w:hAnsi="Cambria"/>
          <w:color w:val="000000" w:themeColor="text1"/>
          <w:shd w:val="clear" w:color="auto" w:fill="FFFFFF"/>
          <w:lang w:val="en-US"/>
        </w:rPr>
        <w:t>, M. – Korhonen, I. (2014): The Rise of China and its Implications for Emerging Markets-Evidence from a GVAR model</w:t>
      </w:r>
      <w:r w:rsidR="009277A3">
        <w:rPr>
          <w:rFonts w:ascii="Cambria" w:hAnsi="Cambria"/>
          <w:color w:val="000000" w:themeColor="text1"/>
          <w:shd w:val="clear" w:color="auto" w:fill="FFFFFF"/>
          <w:lang w:val="en-US"/>
        </w:rPr>
        <w:t>,</w:t>
      </w:r>
      <w:r w:rsidRPr="001E0E83">
        <w:rPr>
          <w:rFonts w:ascii="Cambria" w:hAnsi="Cambria"/>
          <w:color w:val="000000" w:themeColor="text1"/>
          <w:lang w:val="en-US"/>
        </w:rPr>
        <w:t> </w:t>
      </w:r>
      <w:r w:rsidRPr="009277A3">
        <w:rPr>
          <w:rFonts w:ascii="Cambria" w:hAnsi="Cambria"/>
          <w:i/>
          <w:iCs/>
          <w:color w:val="000000" w:themeColor="text1"/>
          <w:shd w:val="clear" w:color="auto" w:fill="FFFFFF"/>
          <w:lang w:val="en-US"/>
        </w:rPr>
        <w:t>Pacific Economic Review</w:t>
      </w:r>
      <w:r w:rsidRPr="001E0E83">
        <w:rPr>
          <w:rFonts w:ascii="Cambria" w:hAnsi="Cambria"/>
          <w:color w:val="000000" w:themeColor="text1"/>
          <w:shd w:val="clear" w:color="auto" w:fill="FFFFFF"/>
          <w:lang w:val="en-US"/>
        </w:rPr>
        <w:t>,</w:t>
      </w:r>
      <w:r w:rsidRPr="001E0E83">
        <w:rPr>
          <w:rFonts w:ascii="Cambria" w:hAnsi="Cambria"/>
          <w:color w:val="000000" w:themeColor="text1"/>
          <w:lang w:val="en-US"/>
        </w:rPr>
        <w:t> </w:t>
      </w:r>
      <w:r w:rsidRPr="001E0E83">
        <w:rPr>
          <w:rFonts w:ascii="Cambria" w:hAnsi="Cambria"/>
          <w:color w:val="000000" w:themeColor="text1"/>
          <w:shd w:val="clear" w:color="auto" w:fill="FFFFFF"/>
          <w:lang w:val="en-US"/>
        </w:rPr>
        <w:t>19(1), 61-89.</w:t>
      </w:r>
    </w:p>
    <w:p w14:paraId="06437555" w14:textId="1DA75032" w:rsidR="00593C75" w:rsidRPr="001E0E83" w:rsidRDefault="00593C75" w:rsidP="001E0E83">
      <w:pPr>
        <w:spacing w:after="100" w:afterAutospacing="1" w:line="240" w:lineRule="auto"/>
        <w:ind w:left="708" w:hanging="708"/>
        <w:rPr>
          <w:rFonts w:ascii="Cambria" w:eastAsia="Times New Roman" w:hAnsi="Cambria"/>
          <w:lang w:eastAsia="cs-CZ"/>
        </w:rPr>
      </w:pPr>
      <w:proofErr w:type="spellStart"/>
      <w:r w:rsidRPr="001E0E83">
        <w:rPr>
          <w:rFonts w:ascii="Cambria" w:eastAsia="Times New Roman" w:hAnsi="Cambria"/>
          <w:lang w:eastAsia="cs-CZ"/>
        </w:rPr>
        <w:t>Gaies</w:t>
      </w:r>
      <w:proofErr w:type="spellEnd"/>
      <w:r w:rsidRPr="001E0E83">
        <w:rPr>
          <w:rFonts w:ascii="Cambria" w:eastAsia="Times New Roman" w:hAnsi="Cambria"/>
          <w:lang w:eastAsia="cs-CZ"/>
        </w:rPr>
        <w:t xml:space="preserve">, B. – </w:t>
      </w:r>
      <w:proofErr w:type="spellStart"/>
      <w:r w:rsidRPr="001E0E83">
        <w:rPr>
          <w:rFonts w:ascii="Cambria" w:eastAsia="Times New Roman" w:hAnsi="Cambria"/>
          <w:lang w:eastAsia="cs-CZ"/>
        </w:rPr>
        <w:t>Guesmi</w:t>
      </w:r>
      <w:proofErr w:type="spellEnd"/>
      <w:r w:rsidRPr="001E0E83">
        <w:rPr>
          <w:rFonts w:ascii="Cambria" w:eastAsia="Times New Roman" w:hAnsi="Cambria"/>
          <w:lang w:eastAsia="cs-CZ"/>
        </w:rPr>
        <w:t xml:space="preserve">, K. – </w:t>
      </w:r>
      <w:proofErr w:type="spellStart"/>
      <w:r w:rsidRPr="001E0E83">
        <w:rPr>
          <w:rFonts w:ascii="Cambria" w:eastAsia="Times New Roman" w:hAnsi="Cambria"/>
          <w:lang w:eastAsia="cs-CZ"/>
        </w:rPr>
        <w:t>Porcher</w:t>
      </w:r>
      <w:proofErr w:type="spellEnd"/>
      <w:r w:rsidRPr="001E0E83">
        <w:rPr>
          <w:rFonts w:ascii="Cambria" w:eastAsia="Times New Roman" w:hAnsi="Cambria"/>
          <w:lang w:eastAsia="cs-CZ"/>
        </w:rPr>
        <w:t xml:space="preserve">, T. – </w:t>
      </w:r>
      <w:proofErr w:type="spellStart"/>
      <w:r w:rsidRPr="001E0E83">
        <w:rPr>
          <w:rFonts w:ascii="Cambria" w:eastAsia="Times New Roman" w:hAnsi="Cambria"/>
          <w:lang w:eastAsia="cs-CZ"/>
        </w:rPr>
        <w:t>Boroumand</w:t>
      </w:r>
      <w:proofErr w:type="spellEnd"/>
      <w:r w:rsidRPr="001E0E83">
        <w:rPr>
          <w:rFonts w:ascii="Cambria" w:eastAsia="Times New Roman" w:hAnsi="Cambria"/>
          <w:lang w:eastAsia="cs-CZ"/>
        </w:rPr>
        <w:t xml:space="preserve">, R. (2020): </w:t>
      </w:r>
      <w:proofErr w:type="spellStart"/>
      <w:r w:rsidRPr="001E0E83">
        <w:rPr>
          <w:rFonts w:ascii="Cambria" w:eastAsia="Times New Roman" w:hAnsi="Cambria"/>
          <w:lang w:eastAsia="cs-CZ"/>
        </w:rPr>
        <w:t>Financial</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instability</w:t>
      </w:r>
      <w:proofErr w:type="spellEnd"/>
      <w:r w:rsidRPr="001E0E83">
        <w:rPr>
          <w:rFonts w:ascii="Cambria" w:eastAsia="Times New Roman" w:hAnsi="Cambria"/>
          <w:lang w:eastAsia="cs-CZ"/>
        </w:rPr>
        <w:t xml:space="preserve"> and </w:t>
      </w:r>
      <w:proofErr w:type="spellStart"/>
      <w:r w:rsidRPr="001E0E83">
        <w:rPr>
          <w:rFonts w:ascii="Cambria" w:eastAsia="Times New Roman" w:hAnsi="Cambria"/>
          <w:lang w:eastAsia="cs-CZ"/>
        </w:rPr>
        <w:t>oil</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price</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fluctuations</w:t>
      </w:r>
      <w:proofErr w:type="spellEnd"/>
      <w:r w:rsidRPr="001E0E83">
        <w:rPr>
          <w:rFonts w:ascii="Cambria" w:eastAsia="Times New Roman" w:hAnsi="Cambria"/>
          <w:lang w:eastAsia="cs-CZ"/>
        </w:rPr>
        <w:t xml:space="preserve">: evidence </w:t>
      </w:r>
      <w:proofErr w:type="spellStart"/>
      <w:r w:rsidRPr="001E0E83">
        <w:rPr>
          <w:rFonts w:ascii="Cambria" w:eastAsia="Times New Roman" w:hAnsi="Cambria"/>
          <w:lang w:eastAsia="cs-CZ"/>
        </w:rPr>
        <w:t>from</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oil</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exporting</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developing</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countries</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i/>
          <w:lang w:eastAsia="cs-CZ"/>
        </w:rPr>
        <w:t>The</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European</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Journal</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of</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Comparative</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Economics</w:t>
      </w:r>
      <w:proofErr w:type="spellEnd"/>
      <w:r w:rsidRPr="001E0E83">
        <w:rPr>
          <w:rFonts w:ascii="Cambria" w:eastAsia="Times New Roman" w:hAnsi="Cambria"/>
          <w:lang w:eastAsia="cs-CZ"/>
        </w:rPr>
        <w:t>, 17(1), 55-71.</w:t>
      </w:r>
    </w:p>
    <w:p w14:paraId="64F8E4EA" w14:textId="4DC92BAB" w:rsidR="00593C75" w:rsidRPr="001E0E83" w:rsidRDefault="00593C75" w:rsidP="001E0E83">
      <w:pPr>
        <w:autoSpaceDE w:val="0"/>
        <w:autoSpaceDN w:val="0"/>
        <w:adjustRightInd w:val="0"/>
        <w:spacing w:after="100" w:afterAutospacing="1" w:line="240" w:lineRule="auto"/>
        <w:ind w:left="709" w:right="-613" w:hanging="709"/>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General</w:t>
      </w:r>
      <w:r w:rsidRPr="001E0E83">
        <w:rPr>
          <w:rFonts w:ascii="Cambria" w:hAnsi="Cambria"/>
          <w:color w:val="000000" w:themeColor="text1"/>
          <w:lang w:val="en-US"/>
        </w:rPr>
        <w:t> </w:t>
      </w:r>
      <w:r w:rsidRPr="001E0E83">
        <w:rPr>
          <w:rFonts w:ascii="Cambria" w:hAnsi="Cambria"/>
          <w:color w:val="000000" w:themeColor="text1"/>
          <w:shd w:val="clear" w:color="auto" w:fill="FFFFFF"/>
          <w:lang w:val="en-US"/>
        </w:rPr>
        <w:t>Authority</w:t>
      </w:r>
      <w:r w:rsidRPr="001E0E83">
        <w:rPr>
          <w:rFonts w:ascii="Cambria" w:hAnsi="Cambria"/>
          <w:color w:val="000000" w:themeColor="text1"/>
          <w:lang w:val="en-US"/>
        </w:rPr>
        <w:t> </w:t>
      </w:r>
      <w:r w:rsidRPr="001E0E83">
        <w:rPr>
          <w:rFonts w:ascii="Cambria" w:hAnsi="Cambria"/>
          <w:color w:val="000000" w:themeColor="text1"/>
          <w:shd w:val="clear" w:color="auto" w:fill="FFFFFF"/>
          <w:lang w:val="en-US"/>
        </w:rPr>
        <w:t>for</w:t>
      </w:r>
      <w:r w:rsidRPr="001E0E83">
        <w:rPr>
          <w:rFonts w:ascii="Cambria" w:hAnsi="Cambria"/>
          <w:color w:val="000000" w:themeColor="text1"/>
          <w:lang w:val="en-US"/>
        </w:rPr>
        <w:t> </w:t>
      </w:r>
      <w:r w:rsidRPr="001E0E83">
        <w:rPr>
          <w:rFonts w:ascii="Cambria" w:hAnsi="Cambria"/>
          <w:color w:val="000000" w:themeColor="text1"/>
          <w:shd w:val="clear" w:color="auto" w:fill="FFFFFF"/>
          <w:lang w:val="en-US"/>
        </w:rPr>
        <w:t xml:space="preserve">Statistics </w:t>
      </w:r>
      <w:r w:rsidR="009277A3">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2020)</w:t>
      </w:r>
      <w:r w:rsidR="009277A3">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xml:space="preserve"> Economic Statistics, </w:t>
      </w:r>
      <w:hyperlink r:id="rId27" w:history="1">
        <w:r w:rsidRPr="001E0E83">
          <w:rPr>
            <w:rStyle w:val="Hypertextovodkaz"/>
            <w:rFonts w:ascii="Cambria" w:hAnsi="Cambria"/>
            <w:color w:val="000000" w:themeColor="text1"/>
          </w:rPr>
          <w:t>https://www.stats.gov.sa/en/economic-statistics</w:t>
        </w:r>
      </w:hyperlink>
      <w:r w:rsidRPr="001E0E83">
        <w:rPr>
          <w:rFonts w:ascii="Cambria" w:hAnsi="Cambria"/>
          <w:color w:val="000000" w:themeColor="text1"/>
          <w:lang w:val="en-US"/>
        </w:rPr>
        <w:t xml:space="preserve"> </w:t>
      </w:r>
      <w:r w:rsidR="009277A3" w:rsidRPr="001E0E83">
        <w:rPr>
          <w:rFonts w:ascii="Cambria" w:eastAsia="Times New Roman" w:hAnsi="Cambria"/>
          <w:lang w:val="en-GB" w:eastAsia="cs-CZ"/>
        </w:rPr>
        <w:t>(</w:t>
      </w:r>
      <w:proofErr w:type="spellStart"/>
      <w:r w:rsidR="009277A3">
        <w:rPr>
          <w:rFonts w:ascii="Cambria" w:eastAsia="Times New Roman" w:hAnsi="Cambria"/>
          <w:lang w:val="en-GB" w:eastAsia="cs-CZ"/>
        </w:rPr>
        <w:t>staženo</w:t>
      </w:r>
      <w:proofErr w:type="spellEnd"/>
      <w:r w:rsidR="009277A3">
        <w:rPr>
          <w:rFonts w:ascii="Cambria" w:eastAsia="Times New Roman" w:hAnsi="Cambria"/>
          <w:lang w:val="en-GB" w:eastAsia="cs-CZ"/>
        </w:rPr>
        <w:t xml:space="preserve"> 20. </w:t>
      </w:r>
      <w:proofErr w:type="spellStart"/>
      <w:r w:rsidR="009277A3">
        <w:rPr>
          <w:rFonts w:ascii="Cambria" w:eastAsia="Times New Roman" w:hAnsi="Cambria"/>
          <w:lang w:val="en-GB" w:eastAsia="cs-CZ"/>
        </w:rPr>
        <w:t>října</w:t>
      </w:r>
      <w:proofErr w:type="spellEnd"/>
      <w:r w:rsidR="009277A3" w:rsidRPr="001E0E83">
        <w:rPr>
          <w:rFonts w:ascii="Cambria" w:eastAsia="Times New Roman" w:hAnsi="Cambria"/>
          <w:lang w:val="en-GB" w:eastAsia="cs-CZ"/>
        </w:rPr>
        <w:t xml:space="preserve"> 2020</w:t>
      </w:r>
      <w:r w:rsidR="009277A3">
        <w:rPr>
          <w:rFonts w:ascii="Cambria" w:eastAsia="Times New Roman" w:hAnsi="Cambria"/>
          <w:lang w:val="en-GB" w:eastAsia="cs-CZ"/>
        </w:rPr>
        <w:t>)</w:t>
      </w:r>
      <w:r w:rsidRPr="001E0E83">
        <w:rPr>
          <w:rFonts w:ascii="Cambria" w:hAnsi="Cambria"/>
          <w:color w:val="000000" w:themeColor="text1"/>
          <w:shd w:val="clear" w:color="auto" w:fill="FFFFFF"/>
          <w:lang w:val="en-US"/>
        </w:rPr>
        <w:t>.</w:t>
      </w:r>
    </w:p>
    <w:p w14:paraId="3B72D733" w14:textId="3E1F76EB" w:rsidR="00593C75" w:rsidRPr="001E0E83" w:rsidRDefault="00593C75" w:rsidP="001E0E83">
      <w:pPr>
        <w:spacing w:after="100" w:afterAutospacing="1" w:line="240" w:lineRule="auto"/>
        <w:ind w:left="709" w:hanging="709"/>
        <w:rPr>
          <w:rFonts w:ascii="Cambria" w:hAnsi="Cambria"/>
        </w:rPr>
      </w:pPr>
      <w:proofErr w:type="spellStart"/>
      <w:r w:rsidRPr="001E0E83">
        <w:rPr>
          <w:rFonts w:ascii="Cambria" w:hAnsi="Cambria"/>
        </w:rPr>
        <w:t>Gogia</w:t>
      </w:r>
      <w:proofErr w:type="spellEnd"/>
      <w:r w:rsidRPr="001E0E83">
        <w:rPr>
          <w:rFonts w:ascii="Cambria" w:hAnsi="Cambria"/>
        </w:rPr>
        <w:t>, G</w:t>
      </w:r>
      <w:r w:rsidR="009277A3">
        <w:rPr>
          <w:rFonts w:ascii="Cambria" w:hAnsi="Cambria"/>
        </w:rPr>
        <w:t>.</w:t>
      </w:r>
      <w:r w:rsidRPr="001E0E83">
        <w:rPr>
          <w:rFonts w:ascii="Cambria" w:hAnsi="Cambria"/>
        </w:rPr>
        <w:t xml:space="preserve"> (2020): </w:t>
      </w:r>
      <w:proofErr w:type="spellStart"/>
      <w:r w:rsidRPr="001E0E83">
        <w:rPr>
          <w:rFonts w:ascii="Cambria" w:hAnsi="Cambria"/>
        </w:rPr>
        <w:t>Opposition</w:t>
      </w:r>
      <w:proofErr w:type="spellEnd"/>
      <w:r w:rsidRPr="001E0E83">
        <w:rPr>
          <w:rFonts w:ascii="Cambria" w:hAnsi="Cambria"/>
        </w:rPr>
        <w:t xml:space="preserve"> Leader </w:t>
      </w:r>
      <w:proofErr w:type="spellStart"/>
      <w:r w:rsidRPr="001E0E83">
        <w:rPr>
          <w:rFonts w:ascii="Cambria" w:hAnsi="Cambria"/>
        </w:rPr>
        <w:t>Convicted</w:t>
      </w:r>
      <w:proofErr w:type="spellEnd"/>
      <w:r w:rsidRPr="001E0E83">
        <w:rPr>
          <w:rFonts w:ascii="Cambria" w:hAnsi="Cambria"/>
        </w:rPr>
        <w:t xml:space="preserve"> in </w:t>
      </w:r>
      <w:proofErr w:type="spellStart"/>
      <w:r w:rsidRPr="001E0E83">
        <w:rPr>
          <w:rFonts w:ascii="Cambria" w:hAnsi="Cambria"/>
        </w:rPr>
        <w:t>Azerbaijan</w:t>
      </w:r>
      <w:proofErr w:type="spellEnd"/>
      <w:r w:rsidRPr="001E0E83">
        <w:rPr>
          <w:rFonts w:ascii="Cambria" w:hAnsi="Cambria"/>
        </w:rPr>
        <w:t xml:space="preserve">, </w:t>
      </w:r>
      <w:proofErr w:type="spellStart"/>
      <w:r w:rsidRPr="001E0E83">
        <w:rPr>
          <w:rFonts w:ascii="Cambria" w:hAnsi="Cambria"/>
          <w:i/>
        </w:rPr>
        <w:t>Human</w:t>
      </w:r>
      <w:proofErr w:type="spellEnd"/>
      <w:r w:rsidRPr="001E0E83">
        <w:rPr>
          <w:rFonts w:ascii="Cambria" w:hAnsi="Cambria"/>
          <w:i/>
        </w:rPr>
        <w:t xml:space="preserve"> </w:t>
      </w:r>
      <w:proofErr w:type="spellStart"/>
      <w:r w:rsidRPr="001E0E83">
        <w:rPr>
          <w:rFonts w:ascii="Cambria" w:hAnsi="Cambria"/>
          <w:i/>
        </w:rPr>
        <w:t>Rights</w:t>
      </w:r>
      <w:proofErr w:type="spellEnd"/>
      <w:r w:rsidRPr="001E0E83">
        <w:rPr>
          <w:rFonts w:ascii="Cambria" w:hAnsi="Cambria"/>
          <w:i/>
        </w:rPr>
        <w:t xml:space="preserve"> </w:t>
      </w:r>
      <w:proofErr w:type="spellStart"/>
      <w:r w:rsidRPr="001E0E83">
        <w:rPr>
          <w:rFonts w:ascii="Cambria" w:hAnsi="Cambria"/>
          <w:i/>
        </w:rPr>
        <w:t>Watch</w:t>
      </w:r>
      <w:proofErr w:type="spellEnd"/>
      <w:r w:rsidRPr="001E0E83">
        <w:rPr>
          <w:rFonts w:ascii="Cambria" w:hAnsi="Cambria"/>
        </w:rPr>
        <w:t xml:space="preserve">, 03.09.2020, </w:t>
      </w:r>
      <w:r w:rsidRPr="009277A3">
        <w:rPr>
          <w:rFonts w:ascii="Cambria" w:hAnsi="Cambria"/>
        </w:rPr>
        <w:t>https://www.hrw.org/news/2020/09/03/opposition-leader-convicted-azerbaijan</w:t>
      </w:r>
      <w:r w:rsidRPr="001E0E83">
        <w:rPr>
          <w:rFonts w:ascii="Cambria" w:hAnsi="Cambria"/>
        </w:rPr>
        <w:t xml:space="preserve"> </w:t>
      </w:r>
      <w:r w:rsidR="009277A3" w:rsidRPr="001E0E83">
        <w:rPr>
          <w:rFonts w:ascii="Cambria" w:eastAsia="Times New Roman" w:hAnsi="Cambria"/>
          <w:lang w:val="en-GB" w:eastAsia="cs-CZ"/>
        </w:rPr>
        <w:t>(</w:t>
      </w:r>
      <w:proofErr w:type="spellStart"/>
      <w:r w:rsidR="009277A3">
        <w:rPr>
          <w:rFonts w:ascii="Cambria" w:eastAsia="Times New Roman" w:hAnsi="Cambria"/>
          <w:lang w:val="en-GB" w:eastAsia="cs-CZ"/>
        </w:rPr>
        <w:t>staženo</w:t>
      </w:r>
      <w:proofErr w:type="spellEnd"/>
      <w:r w:rsidR="009277A3">
        <w:rPr>
          <w:rFonts w:ascii="Cambria" w:eastAsia="Times New Roman" w:hAnsi="Cambria"/>
          <w:lang w:val="en-GB" w:eastAsia="cs-CZ"/>
        </w:rPr>
        <w:t xml:space="preserve"> 19. </w:t>
      </w:r>
      <w:proofErr w:type="spellStart"/>
      <w:r w:rsidR="009277A3">
        <w:rPr>
          <w:rFonts w:ascii="Cambria" w:eastAsia="Times New Roman" w:hAnsi="Cambria"/>
          <w:lang w:val="en-GB" w:eastAsia="cs-CZ"/>
        </w:rPr>
        <w:t>října</w:t>
      </w:r>
      <w:proofErr w:type="spellEnd"/>
      <w:r w:rsidR="009277A3" w:rsidRPr="001E0E83">
        <w:rPr>
          <w:rFonts w:ascii="Cambria" w:eastAsia="Times New Roman" w:hAnsi="Cambria"/>
          <w:lang w:val="en-GB" w:eastAsia="cs-CZ"/>
        </w:rPr>
        <w:t xml:space="preserve"> 2020</w:t>
      </w:r>
      <w:r w:rsidR="009277A3">
        <w:rPr>
          <w:rFonts w:ascii="Cambria" w:eastAsia="Times New Roman" w:hAnsi="Cambria"/>
          <w:lang w:val="en-GB" w:eastAsia="cs-CZ"/>
        </w:rPr>
        <w:t>).</w:t>
      </w:r>
    </w:p>
    <w:p w14:paraId="5A1E08B8" w14:textId="55FD5520" w:rsidR="00593C75" w:rsidRPr="001E0E83" w:rsidRDefault="00593C75" w:rsidP="001E0E83">
      <w:pPr>
        <w:spacing w:after="100" w:afterAutospacing="1" w:line="240" w:lineRule="auto"/>
        <w:ind w:left="708" w:hanging="708"/>
        <w:rPr>
          <w:rFonts w:ascii="Cambria" w:eastAsia="Times New Roman" w:hAnsi="Cambria"/>
          <w:lang w:val="en-GB" w:eastAsia="cs-CZ"/>
        </w:rPr>
      </w:pPr>
      <w:proofErr w:type="spellStart"/>
      <w:r w:rsidRPr="001E0E83">
        <w:rPr>
          <w:rFonts w:ascii="Cambria" w:eastAsia="Times New Roman" w:hAnsi="Cambria"/>
          <w:lang w:val="en-GB" w:eastAsia="cs-CZ"/>
        </w:rPr>
        <w:t>Goldthau</w:t>
      </w:r>
      <w:proofErr w:type="spellEnd"/>
      <w:r w:rsidRPr="001E0E83">
        <w:rPr>
          <w:rFonts w:ascii="Cambria" w:eastAsia="Times New Roman" w:hAnsi="Cambria"/>
          <w:lang w:val="en-GB" w:eastAsia="cs-CZ"/>
        </w:rPr>
        <w:t>, A. – Sitter, N. (2020): Power, authority and security: the EU’s Russian gas dilemma. </w:t>
      </w:r>
      <w:r w:rsidRPr="009277A3">
        <w:rPr>
          <w:rFonts w:ascii="Cambria" w:eastAsia="Times New Roman" w:hAnsi="Cambria"/>
          <w:i/>
          <w:iCs/>
          <w:lang w:val="en-GB" w:eastAsia="cs-CZ"/>
        </w:rPr>
        <w:t>Journal of European Integration</w:t>
      </w:r>
      <w:r w:rsidRPr="001E0E83">
        <w:rPr>
          <w:rFonts w:ascii="Cambria" w:eastAsia="Times New Roman" w:hAnsi="Cambria"/>
          <w:lang w:val="en-GB" w:eastAsia="cs-CZ"/>
        </w:rPr>
        <w:t>,</w:t>
      </w:r>
      <w:r w:rsidR="009277A3">
        <w:rPr>
          <w:rFonts w:ascii="Cambria" w:eastAsia="Times New Roman" w:hAnsi="Cambria"/>
          <w:lang w:val="en-GB" w:eastAsia="cs-CZ"/>
        </w:rPr>
        <w:t xml:space="preserve"> </w:t>
      </w:r>
      <w:r w:rsidRPr="001E0E83">
        <w:rPr>
          <w:rFonts w:ascii="Cambria" w:eastAsia="Times New Roman" w:hAnsi="Cambria"/>
          <w:lang w:val="en-GB" w:eastAsia="cs-CZ"/>
        </w:rPr>
        <w:t>42(1), 111-127.</w:t>
      </w:r>
    </w:p>
    <w:p w14:paraId="4D414FBD" w14:textId="052555C2" w:rsidR="00593C75" w:rsidRPr="001E0E83" w:rsidRDefault="00593C75" w:rsidP="001E0E83">
      <w:pPr>
        <w:spacing w:after="100" w:afterAutospacing="1" w:line="240" w:lineRule="auto"/>
        <w:ind w:left="708" w:hanging="708"/>
        <w:rPr>
          <w:rFonts w:ascii="Cambria" w:eastAsia="Times New Roman" w:hAnsi="Cambria"/>
          <w:lang w:eastAsia="cs-CZ"/>
        </w:rPr>
      </w:pPr>
      <w:r w:rsidRPr="001E0E83">
        <w:rPr>
          <w:rFonts w:ascii="Cambria" w:eastAsia="Times New Roman" w:hAnsi="Cambria"/>
          <w:lang w:eastAsia="cs-CZ"/>
        </w:rPr>
        <w:t xml:space="preserve">Gong, X. – </w:t>
      </w:r>
      <w:proofErr w:type="spellStart"/>
      <w:r w:rsidRPr="001E0E83">
        <w:rPr>
          <w:rFonts w:ascii="Cambria" w:eastAsia="Times New Roman" w:hAnsi="Cambria"/>
          <w:lang w:eastAsia="cs-CZ"/>
        </w:rPr>
        <w:t>Chen</w:t>
      </w:r>
      <w:proofErr w:type="spellEnd"/>
      <w:r w:rsidRPr="001E0E83">
        <w:rPr>
          <w:rFonts w:ascii="Cambria" w:eastAsia="Times New Roman" w:hAnsi="Cambria"/>
          <w:lang w:eastAsia="cs-CZ"/>
        </w:rPr>
        <w:t xml:space="preserve">, L. – Lin, B. (2020): </w:t>
      </w:r>
      <w:proofErr w:type="spellStart"/>
      <w:r w:rsidRPr="001E0E83">
        <w:rPr>
          <w:rFonts w:ascii="Cambria" w:eastAsia="Times New Roman" w:hAnsi="Cambria"/>
          <w:lang w:eastAsia="cs-CZ"/>
        </w:rPr>
        <w:t>Analyzing</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dynamic</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impacts</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of</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different</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oil</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shocks</w:t>
      </w:r>
      <w:proofErr w:type="spellEnd"/>
      <w:r w:rsidRPr="001E0E83">
        <w:rPr>
          <w:rFonts w:ascii="Cambria" w:eastAsia="Times New Roman" w:hAnsi="Cambria"/>
          <w:lang w:eastAsia="cs-CZ"/>
        </w:rPr>
        <w:t xml:space="preserve"> on </w:t>
      </w:r>
      <w:proofErr w:type="spellStart"/>
      <w:r w:rsidRPr="001E0E83">
        <w:rPr>
          <w:rFonts w:ascii="Cambria" w:eastAsia="Times New Roman" w:hAnsi="Cambria"/>
          <w:lang w:eastAsia="cs-CZ"/>
        </w:rPr>
        <w:t>oil</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price</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i/>
          <w:lang w:eastAsia="cs-CZ"/>
        </w:rPr>
        <w:t>Energy</w:t>
      </w:r>
      <w:proofErr w:type="spellEnd"/>
      <w:r w:rsidRPr="001E0E83">
        <w:rPr>
          <w:rFonts w:ascii="Cambria" w:eastAsia="Times New Roman" w:hAnsi="Cambria"/>
          <w:lang w:eastAsia="cs-CZ"/>
        </w:rPr>
        <w:t>, 198</w:t>
      </w:r>
      <w:r w:rsidR="009277A3">
        <w:rPr>
          <w:rFonts w:ascii="Cambria" w:eastAsia="Times New Roman" w:hAnsi="Cambria"/>
          <w:lang w:eastAsia="cs-CZ"/>
        </w:rPr>
        <w:t>(C)</w:t>
      </w:r>
      <w:r w:rsidRPr="001E0E83">
        <w:rPr>
          <w:rFonts w:ascii="Cambria" w:eastAsia="Times New Roman" w:hAnsi="Cambria"/>
          <w:lang w:eastAsia="cs-CZ"/>
        </w:rPr>
        <w:t>, 117306.</w:t>
      </w:r>
    </w:p>
    <w:p w14:paraId="5D9CD7C8" w14:textId="40F5F609"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t>Gruppa</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Belanovskogo</w:t>
      </w:r>
      <w:proofErr w:type="spellEnd"/>
      <w:r w:rsidRPr="001E0E83">
        <w:rPr>
          <w:rFonts w:ascii="Cambria" w:hAnsi="Cambria"/>
          <w:color w:val="000000" w:themeColor="text1"/>
          <w:shd w:val="clear" w:color="auto" w:fill="FFFFFF"/>
          <w:lang w:val="en-US"/>
        </w:rPr>
        <w:t xml:space="preserve"> (2020): НОВЫЙ СПЕКТР ПОЛИТИЧЕСКИХ НАСТРОЕНИЙ В РОССИЙСКОМ ОБЩЕСТВЕ В 2020 г., </w:t>
      </w:r>
      <w:hyperlink r:id="rId28" w:history="1">
        <w:r w:rsidRPr="001E0E83">
          <w:rPr>
            <w:rFonts w:ascii="Cambria" w:hAnsi="Cambria"/>
            <w:color w:val="000000" w:themeColor="text1"/>
            <w:shd w:val="clear" w:color="auto" w:fill="FFFFFF"/>
            <w:lang w:val="en-US"/>
          </w:rPr>
          <w:t>http://sbelan.ru/Research-Presentations/NOVYJ-SPEKTR-POLITIChESKIH-NASTROENIJ-V-ROSSIJSKOM-OBShhESTVE-V-2020-g.pdf</w:t>
        </w:r>
      </w:hyperlink>
      <w:r w:rsidRPr="001E0E83">
        <w:rPr>
          <w:rFonts w:ascii="Cambria" w:hAnsi="Cambria"/>
          <w:color w:val="000000" w:themeColor="text1"/>
          <w:shd w:val="clear" w:color="auto" w:fill="FFFFFF"/>
          <w:lang w:val="en-US"/>
        </w:rPr>
        <w:t xml:space="preserve"> </w:t>
      </w:r>
      <w:r w:rsidR="009277A3" w:rsidRPr="001E0E83">
        <w:rPr>
          <w:rFonts w:ascii="Cambria" w:eastAsia="Times New Roman" w:hAnsi="Cambria"/>
          <w:lang w:val="en-GB" w:eastAsia="cs-CZ"/>
        </w:rPr>
        <w:t>(</w:t>
      </w:r>
      <w:proofErr w:type="spellStart"/>
      <w:r w:rsidR="009277A3">
        <w:rPr>
          <w:rFonts w:ascii="Cambria" w:eastAsia="Times New Roman" w:hAnsi="Cambria"/>
          <w:lang w:val="en-GB" w:eastAsia="cs-CZ"/>
        </w:rPr>
        <w:t>staženo</w:t>
      </w:r>
      <w:proofErr w:type="spellEnd"/>
      <w:r w:rsidR="009277A3">
        <w:rPr>
          <w:rFonts w:ascii="Cambria" w:eastAsia="Times New Roman" w:hAnsi="Cambria"/>
          <w:lang w:val="en-GB" w:eastAsia="cs-CZ"/>
        </w:rPr>
        <w:t xml:space="preserve"> 20. </w:t>
      </w:r>
      <w:proofErr w:type="spellStart"/>
      <w:r w:rsidR="009277A3">
        <w:rPr>
          <w:rFonts w:ascii="Cambria" w:eastAsia="Times New Roman" w:hAnsi="Cambria"/>
          <w:lang w:val="en-GB" w:eastAsia="cs-CZ"/>
        </w:rPr>
        <w:t>října</w:t>
      </w:r>
      <w:proofErr w:type="spellEnd"/>
      <w:r w:rsidR="009277A3" w:rsidRPr="001E0E83">
        <w:rPr>
          <w:rFonts w:ascii="Cambria" w:eastAsia="Times New Roman" w:hAnsi="Cambria"/>
          <w:lang w:val="en-GB" w:eastAsia="cs-CZ"/>
        </w:rPr>
        <w:t xml:space="preserve"> 2020</w:t>
      </w:r>
      <w:r w:rsidR="009277A3">
        <w:rPr>
          <w:rFonts w:ascii="Cambria" w:eastAsia="Times New Roman" w:hAnsi="Cambria"/>
          <w:lang w:val="en-GB" w:eastAsia="cs-CZ"/>
        </w:rPr>
        <w:t>)</w:t>
      </w:r>
      <w:r w:rsidRPr="001E0E83">
        <w:rPr>
          <w:rFonts w:ascii="Cambria" w:hAnsi="Cambria"/>
          <w:color w:val="000000" w:themeColor="text1"/>
          <w:shd w:val="clear" w:color="auto" w:fill="FFFFFF"/>
          <w:lang w:val="en-US"/>
        </w:rPr>
        <w:t>.</w:t>
      </w:r>
    </w:p>
    <w:p w14:paraId="650EF07E" w14:textId="4F93FE58" w:rsidR="00593C75" w:rsidRPr="001E0E83" w:rsidRDefault="00593C75" w:rsidP="001E0E83">
      <w:pPr>
        <w:pStyle w:val="Normlnweb"/>
        <w:spacing w:before="0" w:beforeAutospacing="0"/>
        <w:ind w:left="709" w:hanging="709"/>
        <w:rPr>
          <w:rFonts w:ascii="Cambria" w:hAnsi="Cambria"/>
          <w:sz w:val="22"/>
          <w:szCs w:val="22"/>
        </w:rPr>
      </w:pPr>
      <w:proofErr w:type="spellStart"/>
      <w:r w:rsidRPr="001E0E83">
        <w:rPr>
          <w:rFonts w:ascii="Cambria" w:hAnsi="Cambria"/>
          <w:sz w:val="22"/>
          <w:szCs w:val="22"/>
        </w:rPr>
        <w:t>Guliyev</w:t>
      </w:r>
      <w:proofErr w:type="spellEnd"/>
      <w:r w:rsidRPr="001E0E83">
        <w:rPr>
          <w:rFonts w:ascii="Cambria" w:hAnsi="Cambria"/>
          <w:sz w:val="22"/>
          <w:szCs w:val="22"/>
        </w:rPr>
        <w:t>, F</w:t>
      </w:r>
      <w:r w:rsidR="009277A3">
        <w:rPr>
          <w:rFonts w:ascii="Cambria" w:hAnsi="Cambria"/>
          <w:sz w:val="22"/>
          <w:szCs w:val="22"/>
        </w:rPr>
        <w:t>.</w:t>
      </w:r>
      <w:r w:rsidRPr="001E0E83">
        <w:rPr>
          <w:rFonts w:ascii="Cambria" w:hAnsi="Cambria"/>
          <w:sz w:val="22"/>
          <w:szCs w:val="22"/>
        </w:rPr>
        <w:t xml:space="preserve"> (2014): </w:t>
      </w:r>
      <w:proofErr w:type="spellStart"/>
      <w:r w:rsidRPr="001E0E83">
        <w:rPr>
          <w:rFonts w:ascii="Cambria" w:hAnsi="Cambria"/>
          <w:sz w:val="22"/>
          <w:szCs w:val="22"/>
        </w:rPr>
        <w:t>Why</w:t>
      </w:r>
      <w:proofErr w:type="spellEnd"/>
      <w:r w:rsidRPr="001E0E83">
        <w:rPr>
          <w:rFonts w:ascii="Cambria" w:hAnsi="Cambria"/>
          <w:sz w:val="22"/>
          <w:szCs w:val="22"/>
        </w:rPr>
        <w:t xml:space="preserve"> </w:t>
      </w:r>
      <w:proofErr w:type="spellStart"/>
      <w:r w:rsidRPr="001E0E83">
        <w:rPr>
          <w:rFonts w:ascii="Cambria" w:hAnsi="Cambria"/>
          <w:sz w:val="22"/>
          <w:szCs w:val="22"/>
        </w:rPr>
        <w:t>Oil</w:t>
      </w:r>
      <w:proofErr w:type="spellEnd"/>
      <w:r w:rsidRPr="001E0E83">
        <w:rPr>
          <w:rFonts w:ascii="Cambria" w:hAnsi="Cambria"/>
          <w:sz w:val="22"/>
          <w:szCs w:val="22"/>
        </w:rPr>
        <w:t xml:space="preserve"> </w:t>
      </w:r>
      <w:proofErr w:type="spellStart"/>
      <w:r w:rsidRPr="001E0E83">
        <w:rPr>
          <w:rFonts w:ascii="Cambria" w:hAnsi="Cambria"/>
          <w:sz w:val="22"/>
          <w:szCs w:val="22"/>
        </w:rPr>
        <w:t>Price</w:t>
      </w:r>
      <w:proofErr w:type="spellEnd"/>
      <w:r w:rsidRPr="001E0E83">
        <w:rPr>
          <w:rFonts w:ascii="Cambria" w:hAnsi="Cambria"/>
          <w:sz w:val="22"/>
          <w:szCs w:val="22"/>
        </w:rPr>
        <w:t xml:space="preserve"> </w:t>
      </w:r>
      <w:proofErr w:type="spellStart"/>
      <w:r w:rsidRPr="001E0E83">
        <w:rPr>
          <w:rFonts w:ascii="Cambria" w:hAnsi="Cambria"/>
          <w:sz w:val="22"/>
          <w:szCs w:val="22"/>
        </w:rPr>
        <w:t>Fall</w:t>
      </w:r>
      <w:proofErr w:type="spellEnd"/>
      <w:r w:rsidRPr="001E0E83">
        <w:rPr>
          <w:rFonts w:ascii="Cambria" w:hAnsi="Cambria"/>
          <w:sz w:val="22"/>
          <w:szCs w:val="22"/>
        </w:rPr>
        <w:t xml:space="preserve"> </w:t>
      </w:r>
      <w:proofErr w:type="spellStart"/>
      <w:r w:rsidRPr="001E0E83">
        <w:rPr>
          <w:rFonts w:ascii="Cambria" w:hAnsi="Cambria"/>
          <w:sz w:val="22"/>
          <w:szCs w:val="22"/>
        </w:rPr>
        <w:t>is</w:t>
      </w:r>
      <w:proofErr w:type="spellEnd"/>
      <w:r w:rsidRPr="001E0E83">
        <w:rPr>
          <w:rFonts w:ascii="Cambria" w:hAnsi="Cambria"/>
          <w:sz w:val="22"/>
          <w:szCs w:val="22"/>
        </w:rPr>
        <w:t xml:space="preserve"> </w:t>
      </w:r>
      <w:proofErr w:type="spellStart"/>
      <w:r w:rsidRPr="001E0E83">
        <w:rPr>
          <w:rFonts w:ascii="Cambria" w:hAnsi="Cambria"/>
          <w:sz w:val="22"/>
          <w:szCs w:val="22"/>
        </w:rPr>
        <w:t>Bad</w:t>
      </w:r>
      <w:proofErr w:type="spellEnd"/>
      <w:r w:rsidRPr="001E0E83">
        <w:rPr>
          <w:rFonts w:ascii="Cambria" w:hAnsi="Cambria"/>
          <w:sz w:val="22"/>
          <w:szCs w:val="22"/>
        </w:rPr>
        <w:t xml:space="preserve"> </w:t>
      </w:r>
      <w:proofErr w:type="spellStart"/>
      <w:r w:rsidRPr="001E0E83">
        <w:rPr>
          <w:rFonts w:ascii="Cambria" w:hAnsi="Cambria"/>
          <w:sz w:val="22"/>
          <w:szCs w:val="22"/>
        </w:rPr>
        <w:t>News</w:t>
      </w:r>
      <w:proofErr w:type="spellEnd"/>
      <w:r w:rsidRPr="001E0E83">
        <w:rPr>
          <w:rFonts w:ascii="Cambria" w:hAnsi="Cambria"/>
          <w:sz w:val="22"/>
          <w:szCs w:val="22"/>
        </w:rPr>
        <w:t xml:space="preserve"> </w:t>
      </w:r>
      <w:proofErr w:type="spellStart"/>
      <w:r w:rsidRPr="001E0E83">
        <w:rPr>
          <w:rFonts w:ascii="Cambria" w:hAnsi="Cambria"/>
          <w:sz w:val="22"/>
          <w:szCs w:val="22"/>
        </w:rPr>
        <w:t>for</w:t>
      </w:r>
      <w:proofErr w:type="spellEnd"/>
      <w:r w:rsidRPr="001E0E83">
        <w:rPr>
          <w:rFonts w:ascii="Cambria" w:hAnsi="Cambria"/>
          <w:sz w:val="22"/>
          <w:szCs w:val="22"/>
        </w:rPr>
        <w:t xml:space="preserve"> </w:t>
      </w:r>
      <w:proofErr w:type="spellStart"/>
      <w:r w:rsidRPr="001E0E83">
        <w:rPr>
          <w:rFonts w:ascii="Cambria" w:hAnsi="Cambria"/>
          <w:sz w:val="22"/>
          <w:szCs w:val="22"/>
        </w:rPr>
        <w:t>Azerbaijan</w:t>
      </w:r>
      <w:proofErr w:type="spellEnd"/>
      <w:r w:rsidRPr="001E0E83">
        <w:rPr>
          <w:rFonts w:ascii="Cambria" w:hAnsi="Cambria"/>
          <w:sz w:val="22"/>
          <w:szCs w:val="22"/>
        </w:rPr>
        <w:t xml:space="preserve">. </w:t>
      </w:r>
      <w:r w:rsidRPr="001E0E83">
        <w:rPr>
          <w:rFonts w:ascii="Cambria" w:hAnsi="Cambria"/>
          <w:i/>
          <w:iCs/>
          <w:sz w:val="22"/>
          <w:szCs w:val="22"/>
        </w:rPr>
        <w:t xml:space="preserve">SSRN </w:t>
      </w:r>
      <w:proofErr w:type="spellStart"/>
      <w:r w:rsidRPr="001E0E83">
        <w:rPr>
          <w:rFonts w:ascii="Cambria" w:hAnsi="Cambria"/>
          <w:i/>
          <w:iCs/>
          <w:sz w:val="22"/>
          <w:szCs w:val="22"/>
        </w:rPr>
        <w:t>Electronic</w:t>
      </w:r>
      <w:proofErr w:type="spellEnd"/>
      <w:r w:rsidRPr="001E0E83">
        <w:rPr>
          <w:rFonts w:ascii="Cambria" w:hAnsi="Cambria"/>
          <w:i/>
          <w:iCs/>
          <w:sz w:val="22"/>
          <w:szCs w:val="22"/>
        </w:rPr>
        <w:t xml:space="preserve"> </w:t>
      </w:r>
      <w:proofErr w:type="spellStart"/>
      <w:r w:rsidRPr="001E0E83">
        <w:rPr>
          <w:rFonts w:ascii="Cambria" w:hAnsi="Cambria"/>
          <w:i/>
          <w:iCs/>
          <w:sz w:val="22"/>
          <w:szCs w:val="22"/>
        </w:rPr>
        <w:t>Journal</w:t>
      </w:r>
      <w:proofErr w:type="spellEnd"/>
      <w:r w:rsidRPr="001E0E83">
        <w:rPr>
          <w:rFonts w:ascii="Cambria" w:hAnsi="Cambria"/>
          <w:sz w:val="22"/>
          <w:szCs w:val="22"/>
        </w:rPr>
        <w:t>, s. 2012–2015.</w:t>
      </w:r>
    </w:p>
    <w:p w14:paraId="092CEDA4" w14:textId="77777777" w:rsidR="00593C75" w:rsidRPr="001E0E83" w:rsidRDefault="00593C75" w:rsidP="001E0E83">
      <w:pPr>
        <w:spacing w:after="100" w:afterAutospacing="1" w:line="240" w:lineRule="auto"/>
        <w:ind w:left="708" w:hanging="708"/>
        <w:rPr>
          <w:rFonts w:ascii="Cambria" w:hAnsi="Cambria"/>
        </w:rPr>
      </w:pPr>
      <w:proofErr w:type="spellStart"/>
      <w:r w:rsidRPr="001E0E83">
        <w:rPr>
          <w:rFonts w:ascii="Cambria" w:hAnsi="Cambria"/>
        </w:rPr>
        <w:t>Hafner</w:t>
      </w:r>
      <w:proofErr w:type="spellEnd"/>
      <w:r w:rsidRPr="001E0E83">
        <w:rPr>
          <w:rFonts w:ascii="Cambria" w:hAnsi="Cambria"/>
        </w:rPr>
        <w:t xml:space="preserve">, M. – </w:t>
      </w:r>
      <w:proofErr w:type="spellStart"/>
      <w:r w:rsidRPr="001E0E83">
        <w:rPr>
          <w:rFonts w:ascii="Cambria" w:hAnsi="Cambria"/>
        </w:rPr>
        <w:t>Tagliapietra</w:t>
      </w:r>
      <w:proofErr w:type="spellEnd"/>
      <w:r w:rsidRPr="001E0E83">
        <w:rPr>
          <w:rFonts w:ascii="Cambria" w:hAnsi="Cambria"/>
        </w:rPr>
        <w:t>, S. (</w:t>
      </w:r>
      <w:proofErr w:type="spellStart"/>
      <w:r w:rsidRPr="001E0E83">
        <w:rPr>
          <w:rFonts w:ascii="Cambria" w:hAnsi="Cambria"/>
        </w:rPr>
        <w:t>eds</w:t>
      </w:r>
      <w:proofErr w:type="spellEnd"/>
      <w:r w:rsidRPr="001E0E83">
        <w:rPr>
          <w:rFonts w:ascii="Cambria" w:hAnsi="Cambria"/>
        </w:rPr>
        <w:t xml:space="preserve">.) (2020): </w:t>
      </w:r>
      <w:proofErr w:type="spellStart"/>
      <w:r w:rsidRPr="001E0E83">
        <w:rPr>
          <w:rFonts w:ascii="Cambria" w:hAnsi="Cambria"/>
          <w:i/>
        </w:rPr>
        <w:t>Geopolitics</w:t>
      </w:r>
      <w:proofErr w:type="spellEnd"/>
      <w:r w:rsidRPr="001E0E83">
        <w:rPr>
          <w:rFonts w:ascii="Cambria" w:hAnsi="Cambria"/>
          <w:i/>
        </w:rPr>
        <w:t xml:space="preserve"> </w:t>
      </w:r>
      <w:proofErr w:type="spellStart"/>
      <w:r w:rsidRPr="001E0E83">
        <w:rPr>
          <w:rFonts w:ascii="Cambria" w:hAnsi="Cambria"/>
          <w:i/>
        </w:rPr>
        <w:t>of</w:t>
      </w:r>
      <w:proofErr w:type="spellEnd"/>
      <w:r w:rsidRPr="001E0E83">
        <w:rPr>
          <w:rFonts w:ascii="Cambria" w:hAnsi="Cambria"/>
          <w:i/>
        </w:rPr>
        <w:t xml:space="preserve"> </w:t>
      </w:r>
      <w:proofErr w:type="spellStart"/>
      <w:r w:rsidRPr="001E0E83">
        <w:rPr>
          <w:rFonts w:ascii="Cambria" w:hAnsi="Cambria"/>
          <w:i/>
        </w:rPr>
        <w:t>Global</w:t>
      </w:r>
      <w:proofErr w:type="spellEnd"/>
      <w:r w:rsidRPr="001E0E83">
        <w:rPr>
          <w:rFonts w:ascii="Cambria" w:hAnsi="Cambria"/>
          <w:i/>
        </w:rPr>
        <w:t xml:space="preserve"> </w:t>
      </w:r>
      <w:proofErr w:type="spellStart"/>
      <w:r w:rsidRPr="001E0E83">
        <w:rPr>
          <w:rFonts w:ascii="Cambria" w:hAnsi="Cambria"/>
          <w:i/>
        </w:rPr>
        <w:t>Energy</w:t>
      </w:r>
      <w:proofErr w:type="spellEnd"/>
      <w:r w:rsidRPr="001E0E83">
        <w:rPr>
          <w:rFonts w:ascii="Cambria" w:hAnsi="Cambria"/>
          <w:i/>
        </w:rPr>
        <w:t xml:space="preserve"> </w:t>
      </w:r>
      <w:proofErr w:type="spellStart"/>
      <w:r w:rsidRPr="001E0E83">
        <w:rPr>
          <w:rFonts w:ascii="Cambria" w:hAnsi="Cambria"/>
          <w:i/>
        </w:rPr>
        <w:t>Transition</w:t>
      </w:r>
      <w:proofErr w:type="spellEnd"/>
      <w:r w:rsidRPr="001E0E83">
        <w:rPr>
          <w:rFonts w:ascii="Cambria" w:hAnsi="Cambria"/>
        </w:rPr>
        <w:t xml:space="preserve">, </w:t>
      </w:r>
      <w:proofErr w:type="spellStart"/>
      <w:r w:rsidRPr="001E0E83">
        <w:rPr>
          <w:rFonts w:ascii="Cambria" w:hAnsi="Cambria"/>
        </w:rPr>
        <w:t>Springer</w:t>
      </w:r>
      <w:proofErr w:type="spellEnd"/>
      <w:r w:rsidRPr="001E0E83">
        <w:rPr>
          <w:rFonts w:ascii="Cambria" w:hAnsi="Cambria"/>
        </w:rPr>
        <w:t>.</w:t>
      </w:r>
    </w:p>
    <w:p w14:paraId="1BA55438" w14:textId="1C468FDE" w:rsidR="00593C75" w:rsidRPr="001E0E83" w:rsidRDefault="00593C75" w:rsidP="001E0E83">
      <w:pPr>
        <w:spacing w:after="100" w:afterAutospacing="1" w:line="240" w:lineRule="auto"/>
        <w:ind w:left="708" w:hanging="708"/>
        <w:rPr>
          <w:rFonts w:ascii="Cambria" w:eastAsia="Times New Roman" w:hAnsi="Cambria"/>
          <w:lang w:val="en-GB" w:eastAsia="cs-CZ"/>
        </w:rPr>
      </w:pPr>
      <w:r w:rsidRPr="001E0E83">
        <w:rPr>
          <w:rFonts w:ascii="Cambria" w:eastAsia="Times New Roman" w:hAnsi="Cambria"/>
          <w:lang w:val="en-GB" w:eastAsia="cs-CZ"/>
        </w:rPr>
        <w:t xml:space="preserve">Hasanov, F. J. – </w:t>
      </w:r>
      <w:proofErr w:type="spellStart"/>
      <w:r w:rsidRPr="001E0E83">
        <w:rPr>
          <w:rFonts w:ascii="Cambria" w:eastAsia="Times New Roman" w:hAnsi="Cambria"/>
          <w:lang w:val="en-GB" w:eastAsia="cs-CZ"/>
        </w:rPr>
        <w:t>Mahmudlu</w:t>
      </w:r>
      <w:proofErr w:type="spellEnd"/>
      <w:r w:rsidRPr="001E0E83">
        <w:rPr>
          <w:rFonts w:ascii="Cambria" w:eastAsia="Times New Roman" w:hAnsi="Cambria"/>
          <w:lang w:val="en-GB" w:eastAsia="cs-CZ"/>
        </w:rPr>
        <w:t xml:space="preserve">, C. – Deb, K. – </w:t>
      </w:r>
      <w:proofErr w:type="spellStart"/>
      <w:r w:rsidRPr="001E0E83">
        <w:rPr>
          <w:rFonts w:ascii="Cambria" w:eastAsia="Times New Roman" w:hAnsi="Cambria"/>
          <w:lang w:val="en-GB" w:eastAsia="cs-CZ"/>
        </w:rPr>
        <w:t>Abilov</w:t>
      </w:r>
      <w:proofErr w:type="spellEnd"/>
      <w:r w:rsidRPr="001E0E83">
        <w:rPr>
          <w:rFonts w:ascii="Cambria" w:eastAsia="Times New Roman" w:hAnsi="Cambria"/>
          <w:lang w:val="en-GB" w:eastAsia="cs-CZ"/>
        </w:rPr>
        <w:t xml:space="preserve">, S. – Hasanov, O. (2020): The role of Azeri natural gas in meeting European Union energy security needs. </w:t>
      </w:r>
      <w:r w:rsidRPr="001E0E83">
        <w:rPr>
          <w:rFonts w:ascii="Cambria" w:eastAsia="Times New Roman" w:hAnsi="Cambria"/>
          <w:i/>
          <w:lang w:val="en-GB" w:eastAsia="cs-CZ"/>
        </w:rPr>
        <w:t>Energy Strategy Reviews</w:t>
      </w:r>
      <w:r w:rsidRPr="001E0E83">
        <w:rPr>
          <w:rFonts w:ascii="Cambria" w:eastAsia="Times New Roman" w:hAnsi="Cambria"/>
          <w:lang w:val="en-GB" w:eastAsia="cs-CZ"/>
        </w:rPr>
        <w:t>, 28, 100464.</w:t>
      </w:r>
    </w:p>
    <w:p w14:paraId="309C9F31" w14:textId="0F222CD1" w:rsidR="00593C75" w:rsidRPr="001E0E83" w:rsidRDefault="00593C75" w:rsidP="001E0E83">
      <w:pPr>
        <w:spacing w:after="100" w:afterAutospacing="1" w:line="240" w:lineRule="auto"/>
        <w:ind w:left="709" w:hanging="709"/>
        <w:rPr>
          <w:rFonts w:ascii="Cambria" w:hAnsi="Cambria"/>
          <w:lang w:val="en-GB"/>
        </w:rPr>
      </w:pPr>
      <w:r w:rsidRPr="001E0E83">
        <w:rPr>
          <w:rFonts w:ascii="Cambria" w:hAnsi="Cambria"/>
          <w:lang w:val="en-GB"/>
        </w:rPr>
        <w:lastRenderedPageBreak/>
        <w:t xml:space="preserve">Henderson J. – </w:t>
      </w:r>
      <w:proofErr w:type="spellStart"/>
      <w:r w:rsidRPr="001E0E83">
        <w:rPr>
          <w:rFonts w:ascii="Cambria" w:hAnsi="Cambria"/>
          <w:lang w:val="en-GB"/>
        </w:rPr>
        <w:t>Mitrova</w:t>
      </w:r>
      <w:proofErr w:type="spellEnd"/>
      <w:r w:rsidRPr="001E0E83">
        <w:rPr>
          <w:rFonts w:ascii="Cambria" w:hAnsi="Cambria"/>
          <w:lang w:val="en-GB"/>
        </w:rPr>
        <w:t xml:space="preserve"> T. (2020): Implications of the Global Energy Transition on Russia. In: Hafner </w:t>
      </w:r>
      <w:r w:rsidRPr="001E0E83">
        <w:rPr>
          <w:rStyle w:val="authorsname"/>
          <w:rFonts w:ascii="Cambria" w:hAnsi="Cambria"/>
          <w:lang w:val="en-GB"/>
        </w:rPr>
        <w:t>Manfred -</w:t>
      </w:r>
      <w:r w:rsidRPr="001E0E83">
        <w:rPr>
          <w:rFonts w:ascii="Cambria" w:hAnsi="Cambria"/>
          <w:lang w:val="en-GB"/>
        </w:rPr>
        <w:t xml:space="preserve"> </w:t>
      </w:r>
      <w:proofErr w:type="spellStart"/>
      <w:r w:rsidRPr="001E0E83">
        <w:rPr>
          <w:rFonts w:ascii="Cambria" w:hAnsi="Cambria"/>
          <w:lang w:val="en-GB"/>
        </w:rPr>
        <w:t>Tagliapietra</w:t>
      </w:r>
      <w:proofErr w:type="spellEnd"/>
      <w:r w:rsidRPr="001E0E83">
        <w:rPr>
          <w:rFonts w:ascii="Cambria" w:hAnsi="Cambria"/>
          <w:lang w:val="en-GB"/>
        </w:rPr>
        <w:t xml:space="preserve"> Simone (eds</w:t>
      </w:r>
      <w:r w:rsidR="009277A3">
        <w:rPr>
          <w:rFonts w:ascii="Cambria" w:hAnsi="Cambria"/>
          <w:lang w:val="en-GB"/>
        </w:rPr>
        <w:t>.</w:t>
      </w:r>
      <w:r w:rsidRPr="001E0E83">
        <w:rPr>
          <w:rFonts w:ascii="Cambria" w:hAnsi="Cambria"/>
          <w:lang w:val="en-GB"/>
        </w:rPr>
        <w:t xml:space="preserve">): </w:t>
      </w:r>
      <w:r w:rsidRPr="001E0E83">
        <w:rPr>
          <w:rFonts w:ascii="Cambria" w:hAnsi="Cambria"/>
          <w:i/>
          <w:lang w:val="en-GB"/>
        </w:rPr>
        <w:t>The Geopolitics of the Global Energy Transition</w:t>
      </w:r>
      <w:r w:rsidRPr="001E0E83">
        <w:rPr>
          <w:rFonts w:ascii="Cambria" w:hAnsi="Cambria"/>
          <w:lang w:val="en-GB"/>
        </w:rPr>
        <w:t>. Cham: Springer, 93-114</w:t>
      </w:r>
      <w:r w:rsidR="00C6088E">
        <w:rPr>
          <w:rFonts w:ascii="Cambria" w:hAnsi="Cambria"/>
          <w:lang w:val="en-GB"/>
        </w:rPr>
        <w:t>.</w:t>
      </w:r>
    </w:p>
    <w:p w14:paraId="0393F325" w14:textId="24973341" w:rsidR="00593C75" w:rsidRPr="001E0E83" w:rsidRDefault="00593C75" w:rsidP="001E0E83">
      <w:pPr>
        <w:spacing w:after="100" w:afterAutospacing="1" w:line="240" w:lineRule="auto"/>
        <w:ind w:left="708" w:hanging="708"/>
        <w:rPr>
          <w:rFonts w:ascii="Cambria" w:eastAsia="Times New Roman" w:hAnsi="Cambria"/>
          <w:lang w:eastAsia="cs-CZ"/>
        </w:rPr>
      </w:pPr>
      <w:proofErr w:type="spellStart"/>
      <w:r w:rsidRPr="001E0E83">
        <w:rPr>
          <w:rFonts w:ascii="Cambria" w:hAnsi="Cambria"/>
          <w:color w:val="000000" w:themeColor="text1"/>
          <w:shd w:val="clear" w:color="auto" w:fill="FFFFFF"/>
          <w:lang w:val="en-US"/>
        </w:rPr>
        <w:t>Hertog</w:t>
      </w:r>
      <w:proofErr w:type="spellEnd"/>
      <w:r w:rsidRPr="001E0E83">
        <w:rPr>
          <w:rFonts w:ascii="Cambria" w:hAnsi="Cambria"/>
          <w:color w:val="000000" w:themeColor="text1"/>
          <w:shd w:val="clear" w:color="auto" w:fill="FFFFFF"/>
          <w:lang w:val="en-US"/>
        </w:rPr>
        <w:t>, S. (2010)</w:t>
      </w:r>
      <w:r w:rsidR="009277A3">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xml:space="preserve"> Defying the resource curse: explaining successful state-owned enterprises in rentier states. </w:t>
      </w:r>
      <w:r w:rsidRPr="001E0E83">
        <w:rPr>
          <w:rFonts w:ascii="Cambria" w:hAnsi="Cambria"/>
          <w:i/>
          <w:color w:val="000000" w:themeColor="text1"/>
          <w:shd w:val="clear" w:color="auto" w:fill="FFFFFF"/>
          <w:lang w:val="en-US"/>
        </w:rPr>
        <w:t>World Politics</w:t>
      </w:r>
      <w:r w:rsidRPr="001E0E83">
        <w:rPr>
          <w:rFonts w:ascii="Cambria" w:hAnsi="Cambria"/>
          <w:color w:val="000000" w:themeColor="text1"/>
          <w:shd w:val="clear" w:color="auto" w:fill="FFFFFF"/>
          <w:lang w:val="en-US"/>
        </w:rPr>
        <w:t>, 62</w:t>
      </w:r>
      <w:r w:rsidR="009277A3">
        <w:rPr>
          <w:rFonts w:ascii="Cambria" w:hAnsi="Cambria"/>
          <w:color w:val="000000" w:themeColor="text1"/>
          <w:shd w:val="clear" w:color="auto" w:fill="FFFFFF"/>
          <w:lang w:val="en-US"/>
        </w:rPr>
        <w:t>(2)</w:t>
      </w:r>
      <w:r w:rsidRPr="001E0E83">
        <w:rPr>
          <w:rFonts w:ascii="Cambria" w:hAnsi="Cambria"/>
          <w:color w:val="000000" w:themeColor="text1"/>
          <w:shd w:val="clear" w:color="auto" w:fill="FFFFFF"/>
          <w:lang w:val="en-US"/>
        </w:rPr>
        <w:t>, 261</w:t>
      </w:r>
      <w:r w:rsidR="009277A3">
        <w:rPr>
          <w:rFonts w:ascii="Cambria" w:hAnsi="Cambria"/>
          <w:color w:val="000000" w:themeColor="text1"/>
          <w:shd w:val="clear" w:color="auto" w:fill="FFFFFF"/>
          <w:lang w:val="en-US"/>
        </w:rPr>
        <w:t>-301</w:t>
      </w:r>
      <w:r w:rsidRPr="001E0E83">
        <w:rPr>
          <w:rFonts w:ascii="Cambria" w:hAnsi="Cambria"/>
          <w:color w:val="000000" w:themeColor="text1"/>
          <w:shd w:val="clear" w:color="auto" w:fill="FFFFFF"/>
          <w:lang w:val="en-US"/>
        </w:rPr>
        <w:t>.</w:t>
      </w:r>
    </w:p>
    <w:p w14:paraId="7D786FD3" w14:textId="41647203" w:rsidR="00593C75" w:rsidRDefault="00593C75" w:rsidP="001E0E83">
      <w:pPr>
        <w:spacing w:after="100" w:afterAutospacing="1" w:line="240" w:lineRule="auto"/>
        <w:ind w:left="708" w:hanging="708"/>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t>Chernyavskiy</w:t>
      </w:r>
      <w:proofErr w:type="spellEnd"/>
      <w:r w:rsidRPr="001E0E83">
        <w:rPr>
          <w:rFonts w:ascii="Cambria" w:hAnsi="Cambria"/>
          <w:color w:val="000000" w:themeColor="text1"/>
          <w:shd w:val="clear" w:color="auto" w:fill="FFFFFF"/>
          <w:lang w:val="en-US"/>
        </w:rPr>
        <w:t xml:space="preserve">, S. (2015): </w:t>
      </w:r>
      <w:proofErr w:type="spellStart"/>
      <w:r w:rsidRPr="001E0E83">
        <w:rPr>
          <w:rFonts w:ascii="Cambria" w:hAnsi="Cambria"/>
          <w:color w:val="000000" w:themeColor="text1"/>
          <w:shd w:val="clear" w:color="auto" w:fill="FFFFFF"/>
          <w:lang w:val="en-US"/>
        </w:rPr>
        <w:t>Izyatiye</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rentnykh</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dokhodov</w:t>
      </w:r>
      <w:proofErr w:type="spellEnd"/>
      <w:r w:rsidRPr="001E0E83">
        <w:rPr>
          <w:rFonts w:ascii="Cambria" w:hAnsi="Cambria"/>
          <w:color w:val="000000" w:themeColor="text1"/>
          <w:shd w:val="clear" w:color="auto" w:fill="FFFFFF"/>
          <w:lang w:val="en-US"/>
        </w:rPr>
        <w:t xml:space="preserve"> – </w:t>
      </w:r>
      <w:proofErr w:type="spellStart"/>
      <w:r w:rsidRPr="001E0E83">
        <w:rPr>
          <w:rFonts w:ascii="Cambria" w:hAnsi="Cambria"/>
          <w:color w:val="000000" w:themeColor="text1"/>
          <w:shd w:val="clear" w:color="auto" w:fill="FFFFFF"/>
          <w:lang w:val="en-US"/>
        </w:rPr>
        <w:t>faktor</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povysheniya</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ekonomicheskoy</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bezopasnosti</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Rossii</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i/>
          <w:color w:val="000000" w:themeColor="text1"/>
          <w:shd w:val="clear" w:color="auto" w:fill="FFFFFF"/>
          <w:lang w:val="en-US"/>
        </w:rPr>
        <w:t>Regional'nyye</w:t>
      </w:r>
      <w:proofErr w:type="spellEnd"/>
      <w:r w:rsidRPr="001E0E83">
        <w:rPr>
          <w:rFonts w:ascii="Cambria" w:hAnsi="Cambria"/>
          <w:i/>
          <w:color w:val="000000" w:themeColor="text1"/>
          <w:shd w:val="clear" w:color="auto" w:fill="FFFFFF"/>
          <w:lang w:val="en-US"/>
        </w:rPr>
        <w:t xml:space="preserve"> </w:t>
      </w:r>
      <w:proofErr w:type="spellStart"/>
      <w:r w:rsidRPr="001E0E83">
        <w:rPr>
          <w:rFonts w:ascii="Cambria" w:hAnsi="Cambria"/>
          <w:i/>
          <w:color w:val="000000" w:themeColor="text1"/>
          <w:shd w:val="clear" w:color="auto" w:fill="FFFFFF"/>
          <w:lang w:val="en-US"/>
        </w:rPr>
        <w:t>Problemy</w:t>
      </w:r>
      <w:proofErr w:type="spellEnd"/>
      <w:r w:rsidRPr="001E0E83">
        <w:rPr>
          <w:rFonts w:ascii="Cambria" w:hAnsi="Cambria"/>
          <w:i/>
          <w:color w:val="000000" w:themeColor="text1"/>
          <w:shd w:val="clear" w:color="auto" w:fill="FFFFFF"/>
          <w:lang w:val="en-US"/>
        </w:rPr>
        <w:t xml:space="preserve"> </w:t>
      </w:r>
      <w:proofErr w:type="spellStart"/>
      <w:r w:rsidRPr="001E0E83">
        <w:rPr>
          <w:rFonts w:ascii="Cambria" w:hAnsi="Cambria"/>
          <w:i/>
          <w:color w:val="000000" w:themeColor="text1"/>
          <w:shd w:val="clear" w:color="auto" w:fill="FFFFFF"/>
          <w:lang w:val="en-US"/>
        </w:rPr>
        <w:t>Preobrazovaniya</w:t>
      </w:r>
      <w:proofErr w:type="spellEnd"/>
      <w:r w:rsidRPr="001E0E83">
        <w:rPr>
          <w:rFonts w:ascii="Cambria" w:hAnsi="Cambria"/>
          <w:i/>
          <w:color w:val="000000" w:themeColor="text1"/>
          <w:shd w:val="clear" w:color="auto" w:fill="FFFFFF"/>
          <w:lang w:val="en-US"/>
        </w:rPr>
        <w:t xml:space="preserve"> </w:t>
      </w:r>
      <w:proofErr w:type="spellStart"/>
      <w:r w:rsidRPr="001E0E83">
        <w:rPr>
          <w:rFonts w:ascii="Cambria" w:hAnsi="Cambria"/>
          <w:i/>
          <w:color w:val="000000" w:themeColor="text1"/>
          <w:shd w:val="clear" w:color="auto" w:fill="FFFFFF"/>
          <w:lang w:val="en-US"/>
        </w:rPr>
        <w:t>Ekonomiki</w:t>
      </w:r>
      <w:proofErr w:type="spellEnd"/>
      <w:r w:rsidRPr="001E0E83">
        <w:rPr>
          <w:rFonts w:ascii="Cambria" w:hAnsi="Cambria"/>
          <w:color w:val="000000" w:themeColor="text1"/>
          <w:shd w:val="clear" w:color="auto" w:fill="FFFFFF"/>
          <w:lang w:val="en-US"/>
        </w:rPr>
        <w:t>, 10, 73-78.</w:t>
      </w:r>
    </w:p>
    <w:p w14:paraId="1066DEC0" w14:textId="6A758B79"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IEA (2019): World Energy Outlook 2019, </w:t>
      </w:r>
      <w:hyperlink r:id="rId29" w:history="1">
        <w:r w:rsidRPr="001E0E83">
          <w:rPr>
            <w:rFonts w:ascii="Cambria" w:hAnsi="Cambria"/>
            <w:color w:val="000000" w:themeColor="text1"/>
          </w:rPr>
          <w:t>https://www.iea.org/reports/world-energy-outlook-2019</w:t>
        </w:r>
      </w:hyperlink>
      <w:r w:rsidRPr="001E0E83">
        <w:rPr>
          <w:rFonts w:ascii="Cambria" w:hAnsi="Cambria"/>
          <w:color w:val="000000" w:themeColor="text1"/>
          <w:shd w:val="clear" w:color="auto" w:fill="FFFFFF"/>
          <w:lang w:val="en-US"/>
        </w:rPr>
        <w:t xml:space="preserve"> (</w:t>
      </w:r>
      <w:proofErr w:type="spellStart"/>
      <w:r w:rsidR="009277A3">
        <w:rPr>
          <w:rFonts w:ascii="Cambria" w:hAnsi="Cambria"/>
          <w:color w:val="000000" w:themeColor="text1"/>
          <w:shd w:val="clear" w:color="auto" w:fill="FFFFFF"/>
          <w:lang w:val="en-US"/>
        </w:rPr>
        <w:t>staženo</w:t>
      </w:r>
      <w:proofErr w:type="spellEnd"/>
      <w:r w:rsidR="009277A3">
        <w:rPr>
          <w:rFonts w:ascii="Cambria" w:hAnsi="Cambria"/>
          <w:color w:val="000000" w:themeColor="text1"/>
          <w:shd w:val="clear" w:color="auto" w:fill="FFFFFF"/>
          <w:lang w:val="en-US"/>
        </w:rPr>
        <w:t xml:space="preserve"> 19. </w:t>
      </w:r>
      <w:proofErr w:type="spellStart"/>
      <w:r w:rsidR="009277A3">
        <w:rPr>
          <w:rFonts w:ascii="Cambria" w:hAnsi="Cambria"/>
          <w:color w:val="000000" w:themeColor="text1"/>
          <w:shd w:val="clear" w:color="auto" w:fill="FFFFFF"/>
          <w:lang w:val="en-US"/>
        </w:rPr>
        <w:t>října</w:t>
      </w:r>
      <w:proofErr w:type="spellEnd"/>
      <w:r w:rsidRPr="001E0E83">
        <w:rPr>
          <w:rFonts w:ascii="Cambria" w:hAnsi="Cambria"/>
          <w:color w:val="000000" w:themeColor="text1"/>
          <w:shd w:val="clear" w:color="auto" w:fill="FFFFFF"/>
          <w:lang w:val="en-US"/>
        </w:rPr>
        <w:t xml:space="preserve"> 2020).</w:t>
      </w:r>
    </w:p>
    <w:p w14:paraId="1878A6B5" w14:textId="7C2B1788"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IEA (2020): Energy market turmoil deepens challenges for many major oil and gas exporters, </w:t>
      </w:r>
      <w:hyperlink r:id="rId30" w:history="1">
        <w:r w:rsidRPr="001E0E83">
          <w:rPr>
            <w:rFonts w:ascii="Cambria" w:hAnsi="Cambria"/>
            <w:color w:val="000000" w:themeColor="text1"/>
            <w:shd w:val="clear" w:color="auto" w:fill="FFFFFF"/>
            <w:lang w:val="en-US"/>
          </w:rPr>
          <w:t>https://www.iea.org/articles/energy-market-turmoil-deepens-challenges-for-many-major-oil-and-gas-exporters</w:t>
        </w:r>
      </w:hyperlink>
      <w:r w:rsidRPr="001E0E83">
        <w:rPr>
          <w:rFonts w:ascii="Cambria" w:hAnsi="Cambria"/>
          <w:color w:val="000000" w:themeColor="text1"/>
          <w:shd w:val="clear" w:color="auto" w:fill="FFFFFF"/>
          <w:lang w:val="en-US"/>
        </w:rPr>
        <w:t xml:space="preserve"> </w:t>
      </w:r>
      <w:r w:rsidR="00C6088E" w:rsidRPr="001E0E83">
        <w:rPr>
          <w:rFonts w:ascii="Cambria" w:hAnsi="Cambria"/>
          <w:color w:val="000000" w:themeColor="text1"/>
          <w:shd w:val="clear" w:color="auto" w:fill="FFFFFF"/>
          <w:lang w:val="en-US"/>
        </w:rPr>
        <w:t>(</w:t>
      </w:r>
      <w:proofErr w:type="spellStart"/>
      <w:r w:rsidR="00C6088E">
        <w:rPr>
          <w:rFonts w:ascii="Cambria" w:hAnsi="Cambria"/>
          <w:color w:val="000000" w:themeColor="text1"/>
          <w:shd w:val="clear" w:color="auto" w:fill="FFFFFF"/>
          <w:lang w:val="en-US"/>
        </w:rPr>
        <w:t>staženo</w:t>
      </w:r>
      <w:proofErr w:type="spellEnd"/>
      <w:r w:rsidR="00C6088E">
        <w:rPr>
          <w:rFonts w:ascii="Cambria" w:hAnsi="Cambria"/>
          <w:color w:val="000000" w:themeColor="text1"/>
          <w:shd w:val="clear" w:color="auto" w:fill="FFFFFF"/>
          <w:lang w:val="en-US"/>
        </w:rPr>
        <w:t xml:space="preserve"> 19. </w:t>
      </w:r>
      <w:proofErr w:type="spellStart"/>
      <w:r w:rsidR="00C6088E">
        <w:rPr>
          <w:rFonts w:ascii="Cambria" w:hAnsi="Cambria"/>
          <w:color w:val="000000" w:themeColor="text1"/>
          <w:shd w:val="clear" w:color="auto" w:fill="FFFFFF"/>
          <w:lang w:val="en-US"/>
        </w:rPr>
        <w:t>října</w:t>
      </w:r>
      <w:proofErr w:type="spellEnd"/>
      <w:r w:rsidR="00C6088E" w:rsidRPr="001E0E83">
        <w:rPr>
          <w:rFonts w:ascii="Cambria" w:hAnsi="Cambria"/>
          <w:color w:val="000000" w:themeColor="text1"/>
          <w:shd w:val="clear" w:color="auto" w:fill="FFFFFF"/>
          <w:lang w:val="en-US"/>
        </w:rPr>
        <w:t xml:space="preserve"> 2020)</w:t>
      </w:r>
      <w:r w:rsidRPr="001E0E83">
        <w:rPr>
          <w:rFonts w:ascii="Cambria" w:hAnsi="Cambria"/>
          <w:color w:val="000000" w:themeColor="text1"/>
          <w:shd w:val="clear" w:color="auto" w:fill="FFFFFF"/>
          <w:lang w:val="en-US"/>
        </w:rPr>
        <w:t>.</w:t>
      </w:r>
    </w:p>
    <w:p w14:paraId="67A0292C" w14:textId="1C32A90E"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IMF (2020a). Regional Economic Outlook: Middle East and Central Asia, October, https://www.imf.org/en/Publications/REO </w:t>
      </w:r>
      <w:r w:rsidR="00C6088E" w:rsidRPr="001E0E83">
        <w:rPr>
          <w:rFonts w:ascii="Cambria" w:hAnsi="Cambria"/>
          <w:color w:val="000000" w:themeColor="text1"/>
          <w:shd w:val="clear" w:color="auto" w:fill="FFFFFF"/>
          <w:lang w:val="en-US"/>
        </w:rPr>
        <w:t>(</w:t>
      </w:r>
      <w:proofErr w:type="spellStart"/>
      <w:r w:rsidR="00C6088E">
        <w:rPr>
          <w:rFonts w:ascii="Cambria" w:hAnsi="Cambria"/>
          <w:color w:val="000000" w:themeColor="text1"/>
          <w:shd w:val="clear" w:color="auto" w:fill="FFFFFF"/>
          <w:lang w:val="en-US"/>
        </w:rPr>
        <w:t>staženo</w:t>
      </w:r>
      <w:proofErr w:type="spellEnd"/>
      <w:r w:rsidR="00C6088E">
        <w:rPr>
          <w:rFonts w:ascii="Cambria" w:hAnsi="Cambria"/>
          <w:color w:val="000000" w:themeColor="text1"/>
          <w:shd w:val="clear" w:color="auto" w:fill="FFFFFF"/>
          <w:lang w:val="en-US"/>
        </w:rPr>
        <w:t xml:space="preserve"> 19. </w:t>
      </w:r>
      <w:proofErr w:type="spellStart"/>
      <w:r w:rsidR="00C6088E">
        <w:rPr>
          <w:rFonts w:ascii="Cambria" w:hAnsi="Cambria"/>
          <w:color w:val="000000" w:themeColor="text1"/>
          <w:shd w:val="clear" w:color="auto" w:fill="FFFFFF"/>
          <w:lang w:val="en-US"/>
        </w:rPr>
        <w:t>října</w:t>
      </w:r>
      <w:proofErr w:type="spellEnd"/>
      <w:r w:rsidR="00C6088E" w:rsidRPr="001E0E83">
        <w:rPr>
          <w:rFonts w:ascii="Cambria" w:hAnsi="Cambria"/>
          <w:color w:val="000000" w:themeColor="text1"/>
          <w:shd w:val="clear" w:color="auto" w:fill="FFFFFF"/>
          <w:lang w:val="en-US"/>
        </w:rPr>
        <w:t xml:space="preserve"> 2020)</w:t>
      </w:r>
      <w:r w:rsidRPr="001E0E83">
        <w:rPr>
          <w:rFonts w:ascii="Cambria" w:hAnsi="Cambria"/>
          <w:color w:val="000000" w:themeColor="text1"/>
          <w:shd w:val="clear" w:color="auto" w:fill="FFFFFF"/>
          <w:lang w:val="en-US"/>
        </w:rPr>
        <w:t>.</w:t>
      </w:r>
    </w:p>
    <w:p w14:paraId="06585867" w14:textId="458999A3"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IMF (2020b): World Economic Outlook, October 2020: A Long and Difficult Ascent, International Monetary Fund, </w:t>
      </w:r>
      <w:hyperlink r:id="rId31" w:history="1">
        <w:r w:rsidRPr="001E0E83">
          <w:rPr>
            <w:rFonts w:ascii="Cambria" w:hAnsi="Cambria"/>
            <w:color w:val="000000" w:themeColor="text1"/>
            <w:shd w:val="clear" w:color="auto" w:fill="FFFFFF"/>
            <w:lang w:val="en-US"/>
          </w:rPr>
          <w:t>https://www.imf.org/en/Publications/WEO/Issues/2020/09/30/world-economic-outlook-october-2020</w:t>
        </w:r>
      </w:hyperlink>
      <w:r w:rsidRPr="001E0E83">
        <w:rPr>
          <w:rFonts w:ascii="Cambria" w:hAnsi="Cambria"/>
          <w:color w:val="000000" w:themeColor="text1"/>
          <w:shd w:val="clear" w:color="auto" w:fill="FFFFFF"/>
          <w:lang w:val="en-US"/>
        </w:rPr>
        <w:t xml:space="preserve"> </w:t>
      </w:r>
      <w:r w:rsidR="00C6088E" w:rsidRPr="001E0E83">
        <w:rPr>
          <w:rFonts w:ascii="Cambria" w:hAnsi="Cambria"/>
          <w:color w:val="000000" w:themeColor="text1"/>
          <w:shd w:val="clear" w:color="auto" w:fill="FFFFFF"/>
          <w:lang w:val="en-US"/>
        </w:rPr>
        <w:t>(</w:t>
      </w:r>
      <w:proofErr w:type="spellStart"/>
      <w:r w:rsidR="00C6088E">
        <w:rPr>
          <w:rFonts w:ascii="Cambria" w:hAnsi="Cambria"/>
          <w:color w:val="000000" w:themeColor="text1"/>
          <w:shd w:val="clear" w:color="auto" w:fill="FFFFFF"/>
          <w:lang w:val="en-US"/>
        </w:rPr>
        <w:t>staženo</w:t>
      </w:r>
      <w:proofErr w:type="spellEnd"/>
      <w:r w:rsidR="00C6088E">
        <w:rPr>
          <w:rFonts w:ascii="Cambria" w:hAnsi="Cambria"/>
          <w:color w:val="000000" w:themeColor="text1"/>
          <w:shd w:val="clear" w:color="auto" w:fill="FFFFFF"/>
          <w:lang w:val="en-US"/>
        </w:rPr>
        <w:t xml:space="preserve"> 19. </w:t>
      </w:r>
      <w:proofErr w:type="spellStart"/>
      <w:r w:rsidR="00C6088E">
        <w:rPr>
          <w:rFonts w:ascii="Cambria" w:hAnsi="Cambria"/>
          <w:color w:val="000000" w:themeColor="text1"/>
          <w:shd w:val="clear" w:color="auto" w:fill="FFFFFF"/>
          <w:lang w:val="en-US"/>
        </w:rPr>
        <w:t>října</w:t>
      </w:r>
      <w:proofErr w:type="spellEnd"/>
      <w:r w:rsidR="00C6088E" w:rsidRPr="001E0E83">
        <w:rPr>
          <w:rFonts w:ascii="Cambria" w:hAnsi="Cambria"/>
          <w:color w:val="000000" w:themeColor="text1"/>
          <w:shd w:val="clear" w:color="auto" w:fill="FFFFFF"/>
          <w:lang w:val="en-US"/>
        </w:rPr>
        <w:t xml:space="preserve"> 2020)</w:t>
      </w:r>
      <w:r w:rsidRPr="001E0E83">
        <w:rPr>
          <w:rFonts w:ascii="Cambria" w:hAnsi="Cambria"/>
          <w:color w:val="000000" w:themeColor="text1"/>
          <w:shd w:val="clear" w:color="auto" w:fill="FFFFFF"/>
          <w:lang w:val="en-US"/>
        </w:rPr>
        <w:t>.</w:t>
      </w:r>
    </w:p>
    <w:p w14:paraId="06440B9D" w14:textId="07B6D0FC"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Intergovernmental Agreement (2012): Intergovernmental Agreement between the Government of the Republic of Turkey and the Government of the Republic of Azerbaijan Concerning the Trans Anatolian Natural Gas Pipeline System, </w:t>
      </w:r>
      <w:r w:rsidR="001A331C" w:rsidRPr="00F650E6">
        <w:rPr>
          <w:rFonts w:ascii="Cambria" w:hAnsi="Cambria"/>
          <w:shd w:val="clear" w:color="auto" w:fill="FFFFFF"/>
          <w:lang w:val="en-US"/>
        </w:rPr>
        <w:t>http://www.tanap.com/content/file/TANAPIGA.pdf</w:t>
      </w:r>
      <w:r w:rsidR="001A331C" w:rsidRPr="001E0E83">
        <w:rPr>
          <w:rFonts w:ascii="Cambria" w:hAnsi="Cambria"/>
          <w:color w:val="000000" w:themeColor="text1"/>
          <w:shd w:val="clear" w:color="auto" w:fill="FFFFFF"/>
          <w:lang w:val="en-US"/>
        </w:rPr>
        <w:t xml:space="preserve"> </w:t>
      </w:r>
      <w:r w:rsidR="00C6088E" w:rsidRPr="001E0E83">
        <w:rPr>
          <w:rFonts w:ascii="Cambria" w:hAnsi="Cambria"/>
          <w:color w:val="000000" w:themeColor="text1"/>
          <w:shd w:val="clear" w:color="auto" w:fill="FFFFFF"/>
          <w:lang w:val="en-US"/>
        </w:rPr>
        <w:t>(</w:t>
      </w:r>
      <w:proofErr w:type="spellStart"/>
      <w:r w:rsidR="00C6088E">
        <w:rPr>
          <w:rFonts w:ascii="Cambria" w:hAnsi="Cambria"/>
          <w:color w:val="000000" w:themeColor="text1"/>
          <w:shd w:val="clear" w:color="auto" w:fill="FFFFFF"/>
          <w:lang w:val="en-US"/>
        </w:rPr>
        <w:t>staženo</w:t>
      </w:r>
      <w:proofErr w:type="spellEnd"/>
      <w:r w:rsidR="00C6088E">
        <w:rPr>
          <w:rFonts w:ascii="Cambria" w:hAnsi="Cambria"/>
          <w:color w:val="000000" w:themeColor="text1"/>
          <w:shd w:val="clear" w:color="auto" w:fill="FFFFFF"/>
          <w:lang w:val="en-US"/>
        </w:rPr>
        <w:t xml:space="preserve"> 19. </w:t>
      </w:r>
      <w:proofErr w:type="spellStart"/>
      <w:r w:rsidR="00C6088E">
        <w:rPr>
          <w:rFonts w:ascii="Cambria" w:hAnsi="Cambria"/>
          <w:color w:val="000000" w:themeColor="text1"/>
          <w:shd w:val="clear" w:color="auto" w:fill="FFFFFF"/>
          <w:lang w:val="en-US"/>
        </w:rPr>
        <w:t>října</w:t>
      </w:r>
      <w:proofErr w:type="spellEnd"/>
      <w:r w:rsidR="00C6088E" w:rsidRPr="001E0E83">
        <w:rPr>
          <w:rFonts w:ascii="Cambria" w:hAnsi="Cambria"/>
          <w:color w:val="000000" w:themeColor="text1"/>
          <w:shd w:val="clear" w:color="auto" w:fill="FFFFFF"/>
          <w:lang w:val="en-US"/>
        </w:rPr>
        <w:t xml:space="preserve"> 2020)</w:t>
      </w:r>
      <w:r w:rsidR="001A331C" w:rsidRPr="001E0E83">
        <w:rPr>
          <w:rFonts w:ascii="Cambria" w:hAnsi="Cambria"/>
          <w:color w:val="000000" w:themeColor="text1"/>
          <w:shd w:val="clear" w:color="auto" w:fill="FFFFFF"/>
          <w:lang w:val="en-US"/>
        </w:rPr>
        <w:t>.</w:t>
      </w:r>
    </w:p>
    <w:p w14:paraId="7B7E2F3E" w14:textId="2EBC1326"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IRENA (2019): </w:t>
      </w:r>
      <w:hyperlink r:id="rId32" w:tgtFrame="_blank" w:history="1">
        <w:r w:rsidRPr="001E0E83">
          <w:rPr>
            <w:rFonts w:ascii="Cambria" w:hAnsi="Cambria"/>
            <w:color w:val="000000" w:themeColor="text1"/>
            <w:shd w:val="clear" w:color="auto" w:fill="FFFFFF"/>
            <w:lang w:val="en-US"/>
          </w:rPr>
          <w:t>A New World: The Geopolitics of the Energy Transformation</w:t>
        </w:r>
      </w:hyperlink>
      <w:r w:rsidRPr="001E0E83">
        <w:rPr>
          <w:rFonts w:ascii="Cambria" w:hAnsi="Cambria"/>
          <w:color w:val="000000" w:themeColor="text1"/>
          <w:shd w:val="clear" w:color="auto" w:fill="FFFFFF"/>
          <w:lang w:val="en-US"/>
        </w:rPr>
        <w:t xml:space="preserve">. </w:t>
      </w:r>
      <w:hyperlink r:id="rId33" w:history="1">
        <w:r w:rsidRPr="001E0E83">
          <w:rPr>
            <w:rFonts w:ascii="Cambria" w:hAnsi="Cambria"/>
            <w:color w:val="000000" w:themeColor="text1"/>
            <w:shd w:val="clear" w:color="auto" w:fill="FFFFFF"/>
            <w:lang w:val="en-US"/>
          </w:rPr>
          <w:t>https://www.irena.org/-/media/Files/IRENA/Agency/Publication/2019/Jan/Global_commission_geopolitics_new_world_2019.pdf</w:t>
        </w:r>
      </w:hyperlink>
      <w:r w:rsidRPr="001E0E83">
        <w:rPr>
          <w:rFonts w:ascii="Cambria" w:hAnsi="Cambria"/>
          <w:color w:val="000000" w:themeColor="text1"/>
          <w:shd w:val="clear" w:color="auto" w:fill="FFFFFF"/>
          <w:lang w:val="en-US"/>
        </w:rPr>
        <w:t xml:space="preserve"> </w:t>
      </w:r>
      <w:r w:rsidR="00C6088E" w:rsidRPr="001E0E83">
        <w:rPr>
          <w:rFonts w:ascii="Cambria" w:hAnsi="Cambria"/>
          <w:color w:val="000000" w:themeColor="text1"/>
          <w:shd w:val="clear" w:color="auto" w:fill="FFFFFF"/>
          <w:lang w:val="en-US"/>
        </w:rPr>
        <w:t>(</w:t>
      </w:r>
      <w:proofErr w:type="spellStart"/>
      <w:r w:rsidR="00C6088E">
        <w:rPr>
          <w:rFonts w:ascii="Cambria" w:hAnsi="Cambria"/>
          <w:color w:val="000000" w:themeColor="text1"/>
          <w:shd w:val="clear" w:color="auto" w:fill="FFFFFF"/>
          <w:lang w:val="en-US"/>
        </w:rPr>
        <w:t>staženo</w:t>
      </w:r>
      <w:proofErr w:type="spellEnd"/>
      <w:r w:rsidR="00C6088E">
        <w:rPr>
          <w:rFonts w:ascii="Cambria" w:hAnsi="Cambria"/>
          <w:color w:val="000000" w:themeColor="text1"/>
          <w:shd w:val="clear" w:color="auto" w:fill="FFFFFF"/>
          <w:lang w:val="en-US"/>
        </w:rPr>
        <w:t xml:space="preserve"> 19. </w:t>
      </w:r>
      <w:proofErr w:type="spellStart"/>
      <w:r w:rsidR="00C6088E">
        <w:rPr>
          <w:rFonts w:ascii="Cambria" w:hAnsi="Cambria"/>
          <w:color w:val="000000" w:themeColor="text1"/>
          <w:shd w:val="clear" w:color="auto" w:fill="FFFFFF"/>
          <w:lang w:val="en-US"/>
        </w:rPr>
        <w:t>října</w:t>
      </w:r>
      <w:proofErr w:type="spellEnd"/>
      <w:r w:rsidR="00C6088E" w:rsidRPr="001E0E83">
        <w:rPr>
          <w:rFonts w:ascii="Cambria" w:hAnsi="Cambria"/>
          <w:color w:val="000000" w:themeColor="text1"/>
          <w:shd w:val="clear" w:color="auto" w:fill="FFFFFF"/>
          <w:lang w:val="en-US"/>
        </w:rPr>
        <w:t xml:space="preserve"> 2020)</w:t>
      </w:r>
      <w:r w:rsidRPr="001E0E83">
        <w:rPr>
          <w:rFonts w:ascii="Cambria" w:hAnsi="Cambria"/>
          <w:color w:val="000000" w:themeColor="text1"/>
          <w:shd w:val="clear" w:color="auto" w:fill="FFFFFF"/>
          <w:lang w:val="en-US"/>
        </w:rPr>
        <w:t>.</w:t>
      </w:r>
    </w:p>
    <w:p w14:paraId="7073C0C8" w14:textId="25C75CC1"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Jiang, Z. – Yoon, S. M. (2020): Dynamic co-movement between oil and stock markets in oil-importing and oil-exporting countries: Two types of wavelet analysis. </w:t>
      </w:r>
      <w:r w:rsidRPr="001E0E83">
        <w:rPr>
          <w:rFonts w:ascii="Cambria" w:hAnsi="Cambria"/>
          <w:i/>
          <w:color w:val="000000" w:themeColor="text1"/>
          <w:shd w:val="clear" w:color="auto" w:fill="FFFFFF"/>
          <w:lang w:val="en-US"/>
        </w:rPr>
        <w:t>Energy Economics</w:t>
      </w:r>
      <w:r w:rsidRPr="001E0E83">
        <w:rPr>
          <w:rFonts w:ascii="Cambria" w:hAnsi="Cambria"/>
          <w:color w:val="000000" w:themeColor="text1"/>
          <w:shd w:val="clear" w:color="auto" w:fill="FFFFFF"/>
          <w:lang w:val="en-US"/>
        </w:rPr>
        <w:t>, 90, 104835.</w:t>
      </w:r>
    </w:p>
    <w:p w14:paraId="23B7A741" w14:textId="04B92D7A"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Jiménez-Rodríguez, R. – Sánchez, M. (2005): Oil price shocks and real GDP growth: empirical evidence for some OECD countries. </w:t>
      </w:r>
      <w:r w:rsidRPr="001E0E83">
        <w:rPr>
          <w:rFonts w:ascii="Cambria" w:eastAsia="Times New Roman" w:hAnsi="Cambria"/>
          <w:i/>
          <w:lang w:val="en-GB" w:eastAsia="cs-CZ"/>
        </w:rPr>
        <w:t>Applied Economics</w:t>
      </w:r>
      <w:r w:rsidRPr="001E0E83">
        <w:rPr>
          <w:rFonts w:ascii="Cambria" w:eastAsia="Times New Roman" w:hAnsi="Cambria"/>
          <w:lang w:val="en-GB" w:eastAsia="cs-CZ"/>
        </w:rPr>
        <w:t>, 37</w:t>
      </w:r>
      <w:r w:rsidR="00EE19EC">
        <w:rPr>
          <w:rFonts w:ascii="Cambria" w:eastAsia="Times New Roman" w:hAnsi="Cambria"/>
          <w:lang w:val="en-GB" w:eastAsia="cs-CZ"/>
        </w:rPr>
        <w:t>(</w:t>
      </w:r>
      <w:r w:rsidRPr="001E0E83">
        <w:rPr>
          <w:rFonts w:ascii="Cambria" w:eastAsia="Times New Roman" w:hAnsi="Cambria"/>
          <w:lang w:val="en-GB" w:eastAsia="cs-CZ"/>
        </w:rPr>
        <w:t>2</w:t>
      </w:r>
      <w:r w:rsidR="00EE19EC">
        <w:rPr>
          <w:rFonts w:ascii="Cambria" w:eastAsia="Times New Roman" w:hAnsi="Cambria"/>
          <w:lang w:val="en-GB" w:eastAsia="cs-CZ"/>
        </w:rPr>
        <w:t>)</w:t>
      </w:r>
      <w:r w:rsidRPr="001E0E83">
        <w:rPr>
          <w:rFonts w:ascii="Cambria" w:eastAsia="Times New Roman" w:hAnsi="Cambria"/>
          <w:lang w:val="en-GB" w:eastAsia="cs-CZ"/>
        </w:rPr>
        <w:t>, 201-228.</w:t>
      </w:r>
    </w:p>
    <w:p w14:paraId="57981FFC" w14:textId="3E15FDBC"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Killian</w:t>
      </w:r>
      <w:r w:rsidR="00C6088E">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xml:space="preserve"> L. (2014): Oil Price Shocks: Causes and Consequences, </w:t>
      </w:r>
      <w:r w:rsidRPr="00EE19EC">
        <w:rPr>
          <w:rFonts w:ascii="Cambria" w:hAnsi="Cambria"/>
          <w:i/>
          <w:iCs/>
          <w:color w:val="000000" w:themeColor="text1"/>
          <w:shd w:val="clear" w:color="auto" w:fill="FFFFFF"/>
          <w:lang w:val="en-US"/>
        </w:rPr>
        <w:t>Annual Review of Resource Economics</w:t>
      </w:r>
      <w:r w:rsidRPr="001E0E83">
        <w:rPr>
          <w:rFonts w:ascii="Cambria" w:hAnsi="Cambria"/>
          <w:color w:val="000000" w:themeColor="text1"/>
          <w:shd w:val="clear" w:color="auto" w:fill="FFFFFF"/>
          <w:lang w:val="en-US"/>
        </w:rPr>
        <w:t>, 6</w:t>
      </w:r>
      <w:r w:rsidR="00EE19EC">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1</w:t>
      </w:r>
      <w:r w:rsidR="00EE19EC">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133-154</w:t>
      </w:r>
      <w:r w:rsidR="00C6088E">
        <w:rPr>
          <w:rFonts w:ascii="Cambria" w:hAnsi="Cambria"/>
          <w:color w:val="000000" w:themeColor="text1"/>
          <w:shd w:val="clear" w:color="auto" w:fill="FFFFFF"/>
          <w:lang w:val="en-US"/>
        </w:rPr>
        <w:t>.</w:t>
      </w:r>
    </w:p>
    <w:p w14:paraId="020FE94E" w14:textId="100416ED" w:rsidR="00593C75" w:rsidRPr="001E0E83" w:rsidRDefault="00593C75" w:rsidP="001E0E83">
      <w:pPr>
        <w:spacing w:after="100" w:afterAutospacing="1" w:line="240" w:lineRule="auto"/>
        <w:ind w:left="708" w:hanging="708"/>
        <w:rPr>
          <w:rFonts w:ascii="Cambria" w:eastAsia="Times New Roman" w:hAnsi="Cambria"/>
          <w:lang w:val="en-GB" w:eastAsia="cs-CZ"/>
        </w:rPr>
      </w:pPr>
      <w:proofErr w:type="spellStart"/>
      <w:r w:rsidRPr="001E0E83">
        <w:rPr>
          <w:rFonts w:ascii="Cambria" w:eastAsia="Times New Roman" w:hAnsi="Cambria"/>
          <w:lang w:eastAsia="cs-CZ"/>
        </w:rPr>
        <w:t>Kitous</w:t>
      </w:r>
      <w:proofErr w:type="spellEnd"/>
      <w:r w:rsidRPr="001E0E83">
        <w:rPr>
          <w:rFonts w:ascii="Cambria" w:eastAsia="Times New Roman" w:hAnsi="Cambria"/>
          <w:lang w:eastAsia="cs-CZ"/>
        </w:rPr>
        <w:t xml:space="preserve">, A. (et al.) (2016): </w:t>
      </w:r>
      <w:proofErr w:type="spellStart"/>
      <w:r w:rsidRPr="001E0E83">
        <w:rPr>
          <w:rFonts w:ascii="Cambria" w:eastAsia="Times New Roman" w:hAnsi="Cambria"/>
          <w:lang w:eastAsia="cs-CZ"/>
        </w:rPr>
        <w:t>Impact</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of</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low</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oil</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prices</w:t>
      </w:r>
      <w:proofErr w:type="spellEnd"/>
      <w:r w:rsidRPr="001E0E83">
        <w:rPr>
          <w:rFonts w:ascii="Cambria" w:eastAsia="Times New Roman" w:hAnsi="Cambria"/>
          <w:lang w:eastAsia="cs-CZ"/>
        </w:rPr>
        <w:t xml:space="preserve"> on </w:t>
      </w:r>
      <w:proofErr w:type="spellStart"/>
      <w:r w:rsidRPr="001E0E83">
        <w:rPr>
          <w:rFonts w:ascii="Cambria" w:eastAsia="Times New Roman" w:hAnsi="Cambria"/>
          <w:lang w:eastAsia="cs-CZ"/>
        </w:rPr>
        <w:t>oil</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exporting</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countries</w:t>
      </w:r>
      <w:proofErr w:type="spellEnd"/>
      <w:r w:rsidRPr="001E0E83">
        <w:rPr>
          <w:rFonts w:ascii="Cambria" w:eastAsia="Times New Roman" w:hAnsi="Cambria"/>
          <w:lang w:eastAsia="cs-CZ"/>
        </w:rPr>
        <w:t xml:space="preserve">, </w:t>
      </w:r>
      <w:r w:rsidRPr="001E0E83">
        <w:rPr>
          <w:rFonts w:ascii="Cambria" w:eastAsia="Times New Roman" w:hAnsi="Cambria"/>
          <w:i/>
          <w:lang w:eastAsia="cs-CZ"/>
        </w:rPr>
        <w:t xml:space="preserve">JRC Science </w:t>
      </w:r>
      <w:proofErr w:type="spellStart"/>
      <w:r w:rsidRPr="001E0E83">
        <w:rPr>
          <w:rFonts w:ascii="Cambria" w:eastAsia="Times New Roman" w:hAnsi="Cambria"/>
          <w:i/>
          <w:lang w:eastAsia="cs-CZ"/>
        </w:rPr>
        <w:t>for</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Policy</w:t>
      </w:r>
      <w:proofErr w:type="spellEnd"/>
      <w:r w:rsidRPr="001E0E83">
        <w:rPr>
          <w:rFonts w:ascii="Cambria" w:eastAsia="Times New Roman" w:hAnsi="Cambria"/>
          <w:i/>
          <w:lang w:eastAsia="cs-CZ"/>
        </w:rPr>
        <w:t xml:space="preserve"> Report</w:t>
      </w:r>
      <w:r w:rsidRPr="001E0E83">
        <w:rPr>
          <w:rFonts w:ascii="Cambria" w:eastAsia="Times New Roman" w:hAnsi="Cambria"/>
          <w:lang w:eastAsia="cs-CZ"/>
        </w:rPr>
        <w:t xml:space="preserve">, </w:t>
      </w:r>
      <w:proofErr w:type="spellStart"/>
      <w:r w:rsidRPr="001E0E83">
        <w:rPr>
          <w:rFonts w:ascii="Cambria" w:eastAsia="Times New Roman" w:hAnsi="Cambria"/>
          <w:lang w:eastAsia="cs-CZ"/>
        </w:rPr>
        <w:t>European</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Commision</w:t>
      </w:r>
      <w:proofErr w:type="spellEnd"/>
      <w:r w:rsidRPr="001E0E83">
        <w:rPr>
          <w:rFonts w:ascii="Cambria" w:eastAsia="Times New Roman" w:hAnsi="Cambria"/>
          <w:lang w:eastAsia="cs-CZ"/>
        </w:rPr>
        <w:t>, https://publications.jrc.ec.europa.eu/repository/bitstream/JRC101562/jrc101562_impact%20of%20low%20oil%20prices%2020160512.pdf</w:t>
      </w:r>
      <w:r w:rsidR="00EE19EC">
        <w:rPr>
          <w:rFonts w:ascii="Cambria" w:eastAsia="Times New Roman" w:hAnsi="Cambria"/>
          <w:lang w:eastAsia="cs-CZ"/>
        </w:rPr>
        <w:t xml:space="preserve"> (staženo 20. října 2020).</w:t>
      </w:r>
    </w:p>
    <w:p w14:paraId="3776183F" w14:textId="2551B561"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lastRenderedPageBreak/>
        <w:t>Kolomak</w:t>
      </w:r>
      <w:proofErr w:type="spellEnd"/>
      <w:r w:rsidRPr="001E0E83">
        <w:rPr>
          <w:rFonts w:ascii="Cambria" w:hAnsi="Cambria"/>
          <w:color w:val="000000" w:themeColor="text1"/>
          <w:shd w:val="clear" w:color="auto" w:fill="FFFFFF"/>
          <w:lang w:val="en-US"/>
        </w:rPr>
        <w:t xml:space="preserve">, E. – </w:t>
      </w:r>
      <w:proofErr w:type="spellStart"/>
      <w:r w:rsidRPr="001E0E83">
        <w:rPr>
          <w:rFonts w:ascii="Cambria" w:hAnsi="Cambria"/>
          <w:color w:val="000000" w:themeColor="text1"/>
          <w:shd w:val="clear" w:color="auto" w:fill="FFFFFF"/>
          <w:lang w:val="en-US"/>
        </w:rPr>
        <w:t>Sumskaya</w:t>
      </w:r>
      <w:proofErr w:type="spellEnd"/>
      <w:r w:rsidRPr="001E0E83">
        <w:rPr>
          <w:rFonts w:ascii="Cambria" w:hAnsi="Cambria"/>
          <w:color w:val="000000" w:themeColor="text1"/>
          <w:shd w:val="clear" w:color="auto" w:fill="FFFFFF"/>
          <w:lang w:val="en-US"/>
        </w:rPr>
        <w:t xml:space="preserve">, Т. (2020): Assessing Federal Transfers’ Role in the Subnational Budget System of the Russian Federation. Economic and Social Changes: Facts, Trends, Forecast / </w:t>
      </w:r>
      <w:proofErr w:type="spellStart"/>
      <w:r w:rsidRPr="001E0E83">
        <w:rPr>
          <w:rFonts w:ascii="Cambria" w:hAnsi="Cambria"/>
          <w:color w:val="000000" w:themeColor="text1"/>
          <w:shd w:val="clear" w:color="auto" w:fill="FFFFFF"/>
          <w:lang w:val="en-US"/>
        </w:rPr>
        <w:t>Экономические</w:t>
      </w:r>
      <w:proofErr w:type="spellEnd"/>
      <w:r w:rsidRPr="001E0E83">
        <w:rPr>
          <w:rFonts w:ascii="Cambria" w:hAnsi="Cambria"/>
          <w:color w:val="000000" w:themeColor="text1"/>
          <w:shd w:val="clear" w:color="auto" w:fill="FFFFFF"/>
          <w:lang w:val="en-US"/>
        </w:rPr>
        <w:t xml:space="preserve"> и </w:t>
      </w:r>
      <w:proofErr w:type="spellStart"/>
      <w:r w:rsidRPr="001E0E83">
        <w:rPr>
          <w:rFonts w:ascii="Cambria" w:hAnsi="Cambria"/>
          <w:color w:val="000000" w:themeColor="text1"/>
          <w:shd w:val="clear" w:color="auto" w:fill="FFFFFF"/>
          <w:lang w:val="en-US"/>
        </w:rPr>
        <w:t>социальные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перемены</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факты</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тенденции</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прогноз</w:t>
      </w:r>
      <w:proofErr w:type="spellEnd"/>
      <w:r w:rsidRPr="001E0E83">
        <w:rPr>
          <w:rFonts w:ascii="Cambria" w:hAnsi="Cambria"/>
          <w:color w:val="000000" w:themeColor="text1"/>
          <w:shd w:val="clear" w:color="auto" w:fill="FFFFFF"/>
          <w:lang w:val="en-US"/>
        </w:rPr>
        <w:t>, 13</w:t>
      </w:r>
      <w:r w:rsidR="00EE19EC">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2</w:t>
      </w:r>
      <w:r w:rsidR="00EE19EC">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89–105.</w:t>
      </w:r>
    </w:p>
    <w:p w14:paraId="488D0A98" w14:textId="6E56B4F4" w:rsidR="00593C75" w:rsidRPr="001E0E83" w:rsidRDefault="00593C75" w:rsidP="001E0E83">
      <w:pPr>
        <w:spacing w:after="100" w:afterAutospacing="1" w:line="240" w:lineRule="auto"/>
        <w:ind w:left="708" w:hanging="708"/>
        <w:rPr>
          <w:rFonts w:ascii="Cambria" w:eastAsia="Times New Roman" w:hAnsi="Cambria"/>
          <w:lang w:val="en-GB" w:eastAsia="cs-CZ"/>
        </w:rPr>
      </w:pPr>
      <w:proofErr w:type="spellStart"/>
      <w:r w:rsidRPr="001E0E83">
        <w:rPr>
          <w:rFonts w:ascii="Cambria" w:hAnsi="Cambria"/>
          <w:color w:val="000000" w:themeColor="text1"/>
          <w:shd w:val="clear" w:color="auto" w:fill="FFFFFF"/>
          <w:lang w:val="en-US"/>
        </w:rPr>
        <w:t>Konoplyanik</w:t>
      </w:r>
      <w:proofErr w:type="spellEnd"/>
      <w:r w:rsidRPr="001E0E83">
        <w:rPr>
          <w:rFonts w:ascii="Cambria" w:hAnsi="Cambria"/>
          <w:color w:val="000000" w:themeColor="text1"/>
          <w:shd w:val="clear" w:color="auto" w:fill="FFFFFF"/>
          <w:lang w:val="en-US"/>
        </w:rPr>
        <w:t xml:space="preserve">, A. (2020): </w:t>
      </w:r>
      <w:proofErr w:type="spellStart"/>
      <w:r w:rsidRPr="001E0E83">
        <w:rPr>
          <w:rFonts w:ascii="Cambria" w:hAnsi="Cambria"/>
          <w:color w:val="000000" w:themeColor="text1"/>
          <w:shd w:val="clear" w:color="auto" w:fill="FFFFFF"/>
          <w:lang w:val="en-US"/>
        </w:rPr>
        <w:t>Чистый</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водород</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из</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природного</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газа</w:t>
      </w:r>
      <w:proofErr w:type="spellEnd"/>
      <w:r w:rsidRPr="001E0E83">
        <w:rPr>
          <w:rFonts w:ascii="Cambria" w:hAnsi="Cambria"/>
          <w:color w:val="000000" w:themeColor="text1"/>
          <w:shd w:val="clear" w:color="auto" w:fill="FFFFFF"/>
          <w:lang w:val="en-US"/>
        </w:rPr>
        <w:t xml:space="preserve"> — </w:t>
      </w:r>
      <w:proofErr w:type="spellStart"/>
      <w:r w:rsidRPr="001E0E83">
        <w:rPr>
          <w:rFonts w:ascii="Cambria" w:hAnsi="Cambria"/>
          <w:color w:val="000000" w:themeColor="text1"/>
          <w:shd w:val="clear" w:color="auto" w:fill="FFFFFF"/>
          <w:lang w:val="en-US"/>
        </w:rPr>
        <w:t>новое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перспективное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направление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сотрудничества</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России</w:t>
      </w:r>
      <w:proofErr w:type="spellEnd"/>
      <w:r w:rsidRPr="001E0E83">
        <w:rPr>
          <w:rFonts w:ascii="Cambria" w:hAnsi="Cambria"/>
          <w:color w:val="000000" w:themeColor="text1"/>
          <w:shd w:val="clear" w:color="auto" w:fill="FFFFFF"/>
          <w:lang w:val="en-US"/>
        </w:rPr>
        <w:t xml:space="preserve"> и ЕС (</w:t>
      </w:r>
      <w:proofErr w:type="spellStart"/>
      <w:r w:rsidRPr="001E0E83">
        <w:rPr>
          <w:rFonts w:ascii="Cambria" w:hAnsi="Cambria"/>
          <w:color w:val="000000" w:themeColor="text1"/>
          <w:shd w:val="clear" w:color="auto" w:fill="FFFFFF"/>
          <w:lang w:val="en-US"/>
        </w:rPr>
        <w:t>Čistý</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vodík</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ze</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zemního</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plynu</w:t>
      </w:r>
      <w:proofErr w:type="spellEnd"/>
      <w:r w:rsidRPr="001E0E83">
        <w:rPr>
          <w:rFonts w:ascii="Cambria" w:hAnsi="Cambria"/>
          <w:color w:val="000000" w:themeColor="text1"/>
          <w:shd w:val="clear" w:color="auto" w:fill="FFFFFF"/>
          <w:lang w:val="en-US"/>
        </w:rPr>
        <w:t xml:space="preserve"> – </w:t>
      </w:r>
      <w:proofErr w:type="spellStart"/>
      <w:r w:rsidRPr="001E0E83">
        <w:rPr>
          <w:rFonts w:ascii="Cambria" w:hAnsi="Cambria"/>
          <w:color w:val="000000" w:themeColor="text1"/>
          <w:shd w:val="clear" w:color="auto" w:fill="FFFFFF"/>
          <w:lang w:val="en-US"/>
        </w:rPr>
        <w:t>nové</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perspektivy</w:t>
      </w:r>
      <w:proofErr w:type="spellEnd"/>
      <w:r w:rsidRPr="001E0E83">
        <w:rPr>
          <w:rFonts w:ascii="Cambria" w:hAnsi="Cambria"/>
          <w:color w:val="000000" w:themeColor="text1"/>
          <w:shd w:val="clear" w:color="auto" w:fill="FFFFFF"/>
          <w:lang w:val="en-US"/>
        </w:rPr>
        <w:t xml:space="preserve"> pro </w:t>
      </w:r>
      <w:proofErr w:type="spellStart"/>
      <w:r w:rsidRPr="001E0E83">
        <w:rPr>
          <w:rFonts w:ascii="Cambria" w:hAnsi="Cambria"/>
          <w:color w:val="000000" w:themeColor="text1"/>
          <w:shd w:val="clear" w:color="auto" w:fill="FFFFFF"/>
          <w:lang w:val="en-US"/>
        </w:rPr>
        <w:t>spolupráci</w:t>
      </w:r>
      <w:proofErr w:type="spellEnd"/>
      <w:r w:rsidRPr="001E0E83">
        <w:rPr>
          <w:rFonts w:ascii="Cambria" w:hAnsi="Cambria"/>
          <w:color w:val="000000" w:themeColor="text1"/>
          <w:shd w:val="clear" w:color="auto" w:fill="FFFFFF"/>
          <w:lang w:val="en-US"/>
        </w:rPr>
        <w:t xml:space="preserve"> Ruska a EU). </w:t>
      </w:r>
      <w:proofErr w:type="spellStart"/>
      <w:r w:rsidRPr="00EE19EC">
        <w:rPr>
          <w:rFonts w:ascii="Cambria" w:hAnsi="Cambria"/>
          <w:i/>
          <w:iCs/>
          <w:color w:val="000000" w:themeColor="text1"/>
          <w:shd w:val="clear" w:color="auto" w:fill="FFFFFF"/>
          <w:lang w:val="en-US"/>
        </w:rPr>
        <w:t>Газпром</w:t>
      </w:r>
      <w:proofErr w:type="spellEnd"/>
      <w:r w:rsidRPr="001E0E83">
        <w:rPr>
          <w:rFonts w:ascii="Cambria" w:hAnsi="Cambria"/>
          <w:color w:val="000000" w:themeColor="text1"/>
          <w:shd w:val="clear" w:color="auto" w:fill="FFFFFF"/>
          <w:lang w:val="en-US"/>
        </w:rPr>
        <w:t>,</w:t>
      </w:r>
      <w:r w:rsidR="00EE19EC">
        <w:rPr>
          <w:rFonts w:ascii="Cambria" w:hAnsi="Cambria"/>
          <w:color w:val="000000" w:themeColor="text1"/>
          <w:shd w:val="clear" w:color="auto" w:fill="FFFFFF"/>
          <w:lang w:val="en-US"/>
        </w:rPr>
        <w:t xml:space="preserve"> No.</w:t>
      </w:r>
      <w:r w:rsidRPr="001E0E83">
        <w:rPr>
          <w:rFonts w:ascii="Cambria" w:hAnsi="Cambria"/>
          <w:color w:val="000000" w:themeColor="text1"/>
          <w:shd w:val="clear" w:color="auto" w:fill="FFFFFF"/>
          <w:lang w:val="en-US"/>
        </w:rPr>
        <w:t xml:space="preserve"> 9, 2-11.</w:t>
      </w:r>
    </w:p>
    <w:p w14:paraId="65DC54AA" w14:textId="5449A045" w:rsidR="00593C75" w:rsidRPr="001E0E83" w:rsidRDefault="00593C75" w:rsidP="001E0E83">
      <w:pPr>
        <w:spacing w:after="100" w:afterAutospacing="1" w:line="240" w:lineRule="auto"/>
        <w:ind w:left="709" w:hanging="709"/>
        <w:rPr>
          <w:rFonts w:ascii="Cambria" w:hAnsi="Cambria"/>
        </w:rPr>
      </w:pPr>
      <w:r w:rsidRPr="001E0E83">
        <w:rPr>
          <w:rFonts w:ascii="Cambria" w:hAnsi="Cambria"/>
        </w:rPr>
        <w:t xml:space="preserve">Kopeček, </w:t>
      </w:r>
      <w:r w:rsidR="000750C3" w:rsidRPr="001E0E83">
        <w:rPr>
          <w:rFonts w:ascii="Cambria" w:hAnsi="Cambria"/>
        </w:rPr>
        <w:t xml:space="preserve">V. </w:t>
      </w:r>
      <w:r w:rsidRPr="001E0E83">
        <w:rPr>
          <w:rFonts w:ascii="Cambria" w:hAnsi="Cambria"/>
        </w:rPr>
        <w:t xml:space="preserve">(2016): </w:t>
      </w:r>
      <w:proofErr w:type="spellStart"/>
      <w:r w:rsidRPr="001E0E83">
        <w:rPr>
          <w:rFonts w:ascii="Cambria" w:hAnsi="Cambria"/>
        </w:rPr>
        <w:t>How</w:t>
      </w:r>
      <w:proofErr w:type="spellEnd"/>
      <w:r w:rsidRPr="001E0E83">
        <w:rPr>
          <w:rFonts w:ascii="Cambria" w:hAnsi="Cambria"/>
        </w:rPr>
        <w:t xml:space="preserve"> to </w:t>
      </w:r>
      <w:proofErr w:type="spellStart"/>
      <w:r w:rsidRPr="001E0E83">
        <w:rPr>
          <w:rFonts w:ascii="Cambria" w:hAnsi="Cambria"/>
        </w:rPr>
        <w:t>Capture</w:t>
      </w:r>
      <w:proofErr w:type="spellEnd"/>
      <w:r w:rsidRPr="001E0E83">
        <w:rPr>
          <w:rFonts w:ascii="Cambria" w:hAnsi="Cambria"/>
        </w:rPr>
        <w:t xml:space="preserve"> a </w:t>
      </w:r>
      <w:proofErr w:type="spellStart"/>
      <w:r w:rsidRPr="001E0E83">
        <w:rPr>
          <w:rFonts w:ascii="Cambria" w:hAnsi="Cambria"/>
        </w:rPr>
        <w:t>State</w:t>
      </w:r>
      <w:proofErr w:type="spellEnd"/>
      <w:r w:rsidRPr="001E0E83">
        <w:rPr>
          <w:rFonts w:ascii="Cambria" w:hAnsi="Cambria"/>
        </w:rPr>
        <w:t xml:space="preserve">? </w:t>
      </w:r>
      <w:proofErr w:type="spellStart"/>
      <w:r w:rsidRPr="001E0E83">
        <w:rPr>
          <w:rFonts w:ascii="Cambria" w:hAnsi="Cambria"/>
        </w:rPr>
        <w:t>The</w:t>
      </w:r>
      <w:proofErr w:type="spellEnd"/>
      <w:r w:rsidRPr="001E0E83">
        <w:rPr>
          <w:rFonts w:ascii="Cambria" w:hAnsi="Cambria"/>
        </w:rPr>
        <w:t xml:space="preserve"> Case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Azerbaijan</w:t>
      </w:r>
      <w:proofErr w:type="spellEnd"/>
      <w:r w:rsidR="00EE19EC">
        <w:rPr>
          <w:rFonts w:ascii="Cambria" w:hAnsi="Cambria"/>
        </w:rPr>
        <w:t>.</w:t>
      </w:r>
      <w:r w:rsidRPr="001E0E83">
        <w:rPr>
          <w:rFonts w:ascii="Cambria" w:hAnsi="Cambria"/>
        </w:rPr>
        <w:t xml:space="preserve"> </w:t>
      </w:r>
      <w:r w:rsidRPr="001E0E83">
        <w:rPr>
          <w:rFonts w:ascii="Cambria" w:hAnsi="Cambria"/>
          <w:i/>
        </w:rPr>
        <w:t xml:space="preserve">Politické </w:t>
      </w:r>
      <w:proofErr w:type="spellStart"/>
      <w:r w:rsidRPr="001E0E83">
        <w:rPr>
          <w:rFonts w:ascii="Cambria" w:hAnsi="Cambria"/>
          <w:i/>
        </w:rPr>
        <w:t>vedy</w:t>
      </w:r>
      <w:proofErr w:type="spellEnd"/>
      <w:r w:rsidRPr="001E0E83">
        <w:rPr>
          <w:rFonts w:ascii="Cambria" w:hAnsi="Cambria"/>
        </w:rPr>
        <w:t xml:space="preserve">, </w:t>
      </w:r>
      <w:r w:rsidRPr="001E0E83">
        <w:rPr>
          <w:rFonts w:ascii="Cambria" w:hAnsi="Cambria"/>
          <w:i/>
        </w:rPr>
        <w:t>19</w:t>
      </w:r>
      <w:r w:rsidR="00EE19EC">
        <w:rPr>
          <w:rFonts w:ascii="Cambria" w:hAnsi="Cambria"/>
          <w:i/>
        </w:rPr>
        <w:t>(2)</w:t>
      </w:r>
      <w:r w:rsidR="00EE19EC">
        <w:rPr>
          <w:rFonts w:ascii="Cambria" w:hAnsi="Cambria"/>
        </w:rPr>
        <w:t>,</w:t>
      </w:r>
      <w:r w:rsidRPr="001E0E83">
        <w:rPr>
          <w:rFonts w:ascii="Cambria" w:hAnsi="Cambria"/>
        </w:rPr>
        <w:t xml:space="preserve"> 64-89.</w:t>
      </w:r>
    </w:p>
    <w:p w14:paraId="50A8E9BB" w14:textId="46BC36B6" w:rsidR="00593C75" w:rsidRPr="001E0E83" w:rsidRDefault="00593C75" w:rsidP="001E0E83">
      <w:pPr>
        <w:spacing w:after="100" w:afterAutospacing="1" w:line="240" w:lineRule="auto"/>
        <w:ind w:left="709" w:hanging="709"/>
        <w:rPr>
          <w:rFonts w:ascii="Cambria" w:hAnsi="Cambria"/>
        </w:rPr>
      </w:pPr>
      <w:proofErr w:type="spellStart"/>
      <w:r w:rsidRPr="001E0E83">
        <w:rPr>
          <w:rFonts w:ascii="Cambria" w:hAnsi="Cambria"/>
        </w:rPr>
        <w:t>Kucera</w:t>
      </w:r>
      <w:proofErr w:type="spellEnd"/>
      <w:r w:rsidRPr="001E0E83">
        <w:rPr>
          <w:rFonts w:ascii="Cambria" w:hAnsi="Cambria"/>
        </w:rPr>
        <w:t xml:space="preserve">, </w:t>
      </w:r>
      <w:r w:rsidR="000750C3" w:rsidRPr="001E0E83">
        <w:rPr>
          <w:rFonts w:ascii="Cambria" w:hAnsi="Cambria"/>
        </w:rPr>
        <w:t xml:space="preserve">J. </w:t>
      </w:r>
      <w:r w:rsidRPr="001E0E83">
        <w:rPr>
          <w:rFonts w:ascii="Cambria" w:hAnsi="Cambria"/>
        </w:rPr>
        <w:t xml:space="preserve">(2020): </w:t>
      </w:r>
      <w:proofErr w:type="spellStart"/>
      <w:r w:rsidRPr="001E0E83">
        <w:rPr>
          <w:rFonts w:ascii="Cambria" w:hAnsi="Cambria"/>
        </w:rPr>
        <w:t>Azerbaijan</w:t>
      </w:r>
      <w:proofErr w:type="spellEnd"/>
      <w:r w:rsidRPr="001E0E83">
        <w:rPr>
          <w:rFonts w:ascii="Cambria" w:hAnsi="Cambria"/>
        </w:rPr>
        <w:t xml:space="preserve"> </w:t>
      </w:r>
      <w:proofErr w:type="spellStart"/>
      <w:r w:rsidRPr="001E0E83">
        <w:rPr>
          <w:rFonts w:ascii="Cambria" w:hAnsi="Cambria"/>
        </w:rPr>
        <w:t>cracks</w:t>
      </w:r>
      <w:proofErr w:type="spellEnd"/>
      <w:r w:rsidRPr="001E0E83">
        <w:rPr>
          <w:rFonts w:ascii="Cambria" w:hAnsi="Cambria"/>
        </w:rPr>
        <w:t xml:space="preserve"> </w:t>
      </w:r>
      <w:proofErr w:type="spellStart"/>
      <w:r w:rsidRPr="001E0E83">
        <w:rPr>
          <w:rFonts w:ascii="Cambria" w:hAnsi="Cambria"/>
        </w:rPr>
        <w:t>down</w:t>
      </w:r>
      <w:proofErr w:type="spellEnd"/>
      <w:r w:rsidRPr="001E0E83">
        <w:rPr>
          <w:rFonts w:ascii="Cambria" w:hAnsi="Cambria"/>
        </w:rPr>
        <w:t xml:space="preserve"> on </w:t>
      </w:r>
      <w:proofErr w:type="spellStart"/>
      <w:r w:rsidRPr="001E0E83">
        <w:rPr>
          <w:rFonts w:ascii="Cambria" w:hAnsi="Cambria"/>
        </w:rPr>
        <w:t>opposition</w:t>
      </w:r>
      <w:proofErr w:type="spellEnd"/>
      <w:r w:rsidRPr="001E0E83">
        <w:rPr>
          <w:rFonts w:ascii="Cambria" w:hAnsi="Cambria"/>
        </w:rPr>
        <w:t xml:space="preserve"> amid </w:t>
      </w:r>
      <w:proofErr w:type="spellStart"/>
      <w:r w:rsidRPr="001E0E83">
        <w:rPr>
          <w:rFonts w:ascii="Cambria" w:hAnsi="Cambria"/>
        </w:rPr>
        <w:t>coronavirus</w:t>
      </w:r>
      <w:proofErr w:type="spellEnd"/>
      <w:r w:rsidRPr="001E0E83">
        <w:rPr>
          <w:rFonts w:ascii="Cambria" w:hAnsi="Cambria"/>
        </w:rPr>
        <w:t xml:space="preserve"> </w:t>
      </w:r>
      <w:proofErr w:type="spellStart"/>
      <w:r w:rsidRPr="001E0E83">
        <w:rPr>
          <w:rFonts w:ascii="Cambria" w:hAnsi="Cambria"/>
        </w:rPr>
        <w:t>outbreak</w:t>
      </w:r>
      <w:proofErr w:type="spellEnd"/>
      <w:r w:rsidRPr="001E0E83">
        <w:rPr>
          <w:rFonts w:ascii="Cambria" w:hAnsi="Cambria"/>
        </w:rPr>
        <w:t xml:space="preserve">, </w:t>
      </w:r>
      <w:r w:rsidRPr="001E0E83">
        <w:rPr>
          <w:rStyle w:val="author"/>
          <w:rFonts w:ascii="Cambria" w:hAnsi="Cambria"/>
          <w:i/>
        </w:rPr>
        <w:t>Eurasianet.org</w:t>
      </w:r>
      <w:r w:rsidRPr="001E0E83">
        <w:rPr>
          <w:rStyle w:val="author"/>
          <w:rFonts w:ascii="Cambria" w:hAnsi="Cambria"/>
        </w:rPr>
        <w:t xml:space="preserve">, 13.04.2020, </w:t>
      </w:r>
      <w:r w:rsidR="00EE19EC" w:rsidRPr="00EE19EC">
        <w:rPr>
          <w:rStyle w:val="author"/>
          <w:rFonts w:ascii="Cambria" w:hAnsi="Cambria"/>
        </w:rPr>
        <w:t>https://eurasianet.org/azerbaijan-cracks-down-on-opposition-amid-coronavirus-outbreak</w:t>
      </w:r>
      <w:r w:rsidR="00EE19EC">
        <w:rPr>
          <w:rStyle w:val="author"/>
          <w:rFonts w:ascii="Cambria" w:hAnsi="Cambria"/>
        </w:rPr>
        <w:t xml:space="preserve"> (staženo 5. prosince 2020)</w:t>
      </w:r>
      <w:r w:rsidRPr="001E0E83">
        <w:rPr>
          <w:rStyle w:val="author"/>
          <w:rFonts w:ascii="Cambria" w:hAnsi="Cambria"/>
        </w:rPr>
        <w:t>.</w:t>
      </w:r>
    </w:p>
    <w:p w14:paraId="7B1B7AF4" w14:textId="4B94F9C8" w:rsidR="00593C75" w:rsidRPr="001E0E83" w:rsidRDefault="00593C75" w:rsidP="001E0E83">
      <w:pPr>
        <w:spacing w:after="100" w:afterAutospacing="1" w:line="240" w:lineRule="auto"/>
        <w:ind w:left="708" w:hanging="708"/>
        <w:rPr>
          <w:rFonts w:ascii="Cambria" w:eastAsia="Times New Roman" w:hAnsi="Cambria"/>
          <w:lang w:val="en-GB" w:eastAsia="cs-CZ"/>
        </w:rPr>
      </w:pPr>
      <w:r w:rsidRPr="001E0E83">
        <w:rPr>
          <w:rFonts w:ascii="Cambria" w:eastAsia="Times New Roman" w:hAnsi="Cambria"/>
          <w:lang w:val="en-GB" w:eastAsia="cs-CZ"/>
        </w:rPr>
        <w:t>Le, T</w:t>
      </w:r>
      <w:r w:rsidR="00EE19EC">
        <w:rPr>
          <w:rFonts w:ascii="Cambria" w:eastAsia="Times New Roman" w:hAnsi="Cambria"/>
          <w:lang w:val="en-GB" w:eastAsia="cs-CZ"/>
        </w:rPr>
        <w:t>.</w:t>
      </w:r>
      <w:r w:rsidRPr="001E0E83">
        <w:rPr>
          <w:rFonts w:ascii="Cambria" w:eastAsia="Times New Roman" w:hAnsi="Cambria"/>
          <w:lang w:val="en-GB" w:eastAsia="cs-CZ"/>
        </w:rPr>
        <w:t>-H</w:t>
      </w:r>
      <w:r w:rsidR="00EE19EC">
        <w:rPr>
          <w:rFonts w:ascii="Cambria" w:eastAsia="Times New Roman" w:hAnsi="Cambria"/>
          <w:lang w:val="en-GB" w:eastAsia="cs-CZ"/>
        </w:rPr>
        <w:t>.</w:t>
      </w:r>
      <w:r w:rsidRPr="001E0E83">
        <w:rPr>
          <w:rFonts w:ascii="Cambria" w:eastAsia="Times New Roman" w:hAnsi="Cambria"/>
          <w:lang w:val="en-GB" w:eastAsia="cs-CZ"/>
        </w:rPr>
        <w:t xml:space="preserve"> </w:t>
      </w:r>
      <w:r w:rsidR="00EE19EC">
        <w:rPr>
          <w:rFonts w:ascii="Cambria" w:eastAsia="Times New Roman" w:hAnsi="Cambria"/>
          <w:lang w:val="en-GB" w:eastAsia="cs-CZ"/>
        </w:rPr>
        <w:t>–</w:t>
      </w:r>
      <w:r w:rsidRPr="001E0E83">
        <w:rPr>
          <w:rFonts w:ascii="Cambria" w:eastAsia="Times New Roman" w:hAnsi="Cambria"/>
          <w:lang w:val="en-GB" w:eastAsia="cs-CZ"/>
        </w:rPr>
        <w:t xml:space="preserve"> Nguyen, C. P. (2019): Is energy security a driver for economic growth? Evidence from a global sample. </w:t>
      </w:r>
      <w:r w:rsidRPr="001E0E83">
        <w:rPr>
          <w:rFonts w:ascii="Cambria" w:eastAsia="Times New Roman" w:hAnsi="Cambria"/>
          <w:i/>
          <w:lang w:val="en-GB" w:eastAsia="cs-CZ"/>
        </w:rPr>
        <w:t>Energy Policy</w:t>
      </w:r>
      <w:r w:rsidRPr="001E0E83">
        <w:rPr>
          <w:rFonts w:ascii="Cambria" w:eastAsia="Times New Roman" w:hAnsi="Cambria"/>
          <w:lang w:val="en-GB" w:eastAsia="cs-CZ"/>
        </w:rPr>
        <w:t>, 129(C), 436-451.</w:t>
      </w:r>
    </w:p>
    <w:p w14:paraId="6848E28B" w14:textId="61BF7225" w:rsidR="00593C75" w:rsidRPr="001E0E83" w:rsidRDefault="00593C75" w:rsidP="001E0E83">
      <w:pPr>
        <w:spacing w:after="100" w:afterAutospacing="1" w:line="240" w:lineRule="auto"/>
        <w:ind w:left="708" w:hanging="708"/>
        <w:rPr>
          <w:rFonts w:ascii="Cambria" w:hAnsi="Cambria"/>
          <w:lang w:val="en-GB"/>
        </w:rPr>
      </w:pPr>
      <w:r w:rsidRPr="001E0E83">
        <w:rPr>
          <w:rFonts w:ascii="Cambria" w:hAnsi="Cambria"/>
          <w:lang w:val="en-GB"/>
        </w:rPr>
        <w:t xml:space="preserve">Lee, C. (2016): Oil and Terrorism: Uncovering the Mechanisms. </w:t>
      </w:r>
      <w:r w:rsidRPr="001E0E83">
        <w:rPr>
          <w:rFonts w:ascii="Cambria" w:hAnsi="Cambria"/>
          <w:i/>
          <w:lang w:val="en-GB"/>
        </w:rPr>
        <w:t>Journal of Conflict Resolution</w:t>
      </w:r>
      <w:r w:rsidRPr="001E0E83">
        <w:rPr>
          <w:rFonts w:ascii="Cambria" w:hAnsi="Cambria"/>
          <w:lang w:val="en-GB"/>
        </w:rPr>
        <w:t>, 62(5), 903–928.</w:t>
      </w:r>
    </w:p>
    <w:p w14:paraId="4F27CABB" w14:textId="77777777" w:rsidR="00593C75" w:rsidRPr="001E0E83" w:rsidRDefault="00593C75" w:rsidP="001E0E83">
      <w:pPr>
        <w:spacing w:after="100" w:afterAutospacing="1" w:line="240" w:lineRule="auto"/>
        <w:ind w:left="708" w:hanging="708"/>
        <w:rPr>
          <w:rFonts w:ascii="Cambria" w:eastAsia="Times New Roman" w:hAnsi="Cambria"/>
          <w:lang w:val="en-GB" w:eastAsia="cs-CZ"/>
        </w:rPr>
      </w:pPr>
      <w:proofErr w:type="spellStart"/>
      <w:r w:rsidRPr="001E0E83">
        <w:rPr>
          <w:rFonts w:ascii="Cambria" w:eastAsia="Times New Roman" w:hAnsi="Cambria"/>
          <w:lang w:val="en-GB" w:eastAsia="cs-CZ"/>
        </w:rPr>
        <w:t>Legieć</w:t>
      </w:r>
      <w:proofErr w:type="spellEnd"/>
      <w:r w:rsidRPr="001E0E83">
        <w:rPr>
          <w:rFonts w:ascii="Cambria" w:eastAsia="Times New Roman" w:hAnsi="Cambria"/>
          <w:lang w:val="en-GB" w:eastAsia="cs-CZ"/>
        </w:rPr>
        <w:t xml:space="preserve">, A. (2020): Reshuffle in Azerbaijan: Effects on Internal and Foreign Policy. </w:t>
      </w:r>
      <w:proofErr w:type="spellStart"/>
      <w:r w:rsidRPr="001E0E83">
        <w:rPr>
          <w:rFonts w:ascii="Cambria" w:eastAsia="Times New Roman" w:hAnsi="Cambria"/>
          <w:i/>
          <w:lang w:val="en-GB" w:eastAsia="cs-CZ"/>
        </w:rPr>
        <w:t>Polski</w:t>
      </w:r>
      <w:proofErr w:type="spellEnd"/>
      <w:r w:rsidRPr="001E0E83">
        <w:rPr>
          <w:rFonts w:ascii="Cambria" w:eastAsia="Times New Roman" w:hAnsi="Cambria"/>
          <w:i/>
          <w:lang w:val="en-GB" w:eastAsia="cs-CZ"/>
        </w:rPr>
        <w:t xml:space="preserve"> </w:t>
      </w:r>
      <w:proofErr w:type="spellStart"/>
      <w:r w:rsidRPr="001E0E83">
        <w:rPr>
          <w:rFonts w:ascii="Cambria" w:eastAsia="Times New Roman" w:hAnsi="Cambria"/>
          <w:i/>
          <w:lang w:val="en-GB" w:eastAsia="cs-CZ"/>
        </w:rPr>
        <w:t>Instytut</w:t>
      </w:r>
      <w:proofErr w:type="spellEnd"/>
      <w:r w:rsidRPr="001E0E83">
        <w:rPr>
          <w:rFonts w:ascii="Cambria" w:eastAsia="Times New Roman" w:hAnsi="Cambria"/>
          <w:i/>
          <w:lang w:val="en-GB" w:eastAsia="cs-CZ"/>
        </w:rPr>
        <w:t xml:space="preserve"> </w:t>
      </w:r>
      <w:proofErr w:type="spellStart"/>
      <w:r w:rsidRPr="001E0E83">
        <w:rPr>
          <w:rFonts w:ascii="Cambria" w:eastAsia="Times New Roman" w:hAnsi="Cambria"/>
          <w:i/>
          <w:lang w:val="en-GB" w:eastAsia="cs-CZ"/>
        </w:rPr>
        <w:t>Spraw</w:t>
      </w:r>
      <w:proofErr w:type="spellEnd"/>
      <w:r w:rsidRPr="001E0E83">
        <w:rPr>
          <w:rFonts w:ascii="Cambria" w:eastAsia="Times New Roman" w:hAnsi="Cambria"/>
          <w:i/>
          <w:lang w:val="en-GB" w:eastAsia="cs-CZ"/>
        </w:rPr>
        <w:t xml:space="preserve"> </w:t>
      </w:r>
      <w:proofErr w:type="spellStart"/>
      <w:r w:rsidRPr="001E0E83">
        <w:rPr>
          <w:rFonts w:ascii="Cambria" w:eastAsia="Times New Roman" w:hAnsi="Cambria"/>
          <w:i/>
          <w:lang w:val="en-GB" w:eastAsia="cs-CZ"/>
        </w:rPr>
        <w:t>Międzynarodowych</w:t>
      </w:r>
      <w:proofErr w:type="spellEnd"/>
      <w:r w:rsidRPr="001E0E83">
        <w:rPr>
          <w:rFonts w:ascii="Cambria" w:eastAsia="Times New Roman" w:hAnsi="Cambria"/>
          <w:lang w:val="en-GB" w:eastAsia="cs-CZ"/>
        </w:rPr>
        <w:t xml:space="preserve">, </w:t>
      </w:r>
      <w:proofErr w:type="spellStart"/>
      <w:r w:rsidRPr="001E0E83">
        <w:rPr>
          <w:rFonts w:ascii="Cambria" w:eastAsia="Times New Roman" w:hAnsi="Cambria"/>
          <w:lang w:val="en-GB" w:eastAsia="cs-CZ"/>
        </w:rPr>
        <w:t>Warsau</w:t>
      </w:r>
      <w:proofErr w:type="spellEnd"/>
      <w:r w:rsidRPr="001E0E83">
        <w:rPr>
          <w:rFonts w:ascii="Cambria" w:eastAsia="Times New Roman" w:hAnsi="Cambria"/>
          <w:lang w:val="en-GB" w:eastAsia="cs-CZ"/>
        </w:rPr>
        <w:t>.</w:t>
      </w:r>
    </w:p>
    <w:p w14:paraId="449958C7" w14:textId="4CB06A9A" w:rsidR="00593C75" w:rsidRPr="001E0E83" w:rsidRDefault="00593C75" w:rsidP="001E0E83">
      <w:pPr>
        <w:spacing w:after="100" w:afterAutospacing="1" w:line="240" w:lineRule="auto"/>
        <w:ind w:left="709" w:hanging="709"/>
        <w:rPr>
          <w:rFonts w:ascii="Cambria" w:eastAsia="Times New Roman" w:hAnsi="Cambria"/>
          <w:lang w:val="en-GB" w:eastAsia="cs-CZ"/>
        </w:rPr>
      </w:pPr>
      <w:proofErr w:type="spellStart"/>
      <w:r w:rsidRPr="001E0E83">
        <w:rPr>
          <w:rFonts w:ascii="Cambria" w:eastAsia="Times New Roman" w:hAnsi="Cambria"/>
          <w:lang w:val="en-GB" w:eastAsia="cs-CZ"/>
        </w:rPr>
        <w:t>Lescaroux</w:t>
      </w:r>
      <w:proofErr w:type="spellEnd"/>
      <w:r w:rsidRPr="001E0E83">
        <w:rPr>
          <w:rFonts w:ascii="Cambria" w:eastAsia="Times New Roman" w:hAnsi="Cambria"/>
          <w:lang w:val="en-GB" w:eastAsia="cs-CZ"/>
        </w:rPr>
        <w:t xml:space="preserve">, F. – Mignon, V. (2008): On the influence of oil prices on economic activity and other macroeconomic and financial variables. </w:t>
      </w:r>
      <w:r w:rsidRPr="001E0E83">
        <w:rPr>
          <w:rFonts w:ascii="Cambria" w:eastAsia="Times New Roman" w:hAnsi="Cambria"/>
          <w:i/>
          <w:lang w:val="en-GB" w:eastAsia="cs-CZ"/>
        </w:rPr>
        <w:t>OPEC Energy Review</w:t>
      </w:r>
      <w:r w:rsidRPr="001E0E83">
        <w:rPr>
          <w:rFonts w:ascii="Cambria" w:eastAsia="Times New Roman" w:hAnsi="Cambria"/>
          <w:lang w:val="en-GB" w:eastAsia="cs-CZ"/>
        </w:rPr>
        <w:t>, 32(4), 343–380</w:t>
      </w:r>
      <w:r w:rsidR="00EE19EC">
        <w:rPr>
          <w:rFonts w:ascii="Cambria" w:eastAsia="Times New Roman" w:hAnsi="Cambria"/>
          <w:lang w:val="en-GB" w:eastAsia="cs-CZ"/>
        </w:rPr>
        <w:t>.</w:t>
      </w:r>
      <w:r w:rsidRPr="001E0E83">
        <w:rPr>
          <w:rFonts w:ascii="Cambria" w:eastAsia="Times New Roman" w:hAnsi="Cambria"/>
          <w:lang w:val="en-GB" w:eastAsia="cs-CZ"/>
        </w:rPr>
        <w:t xml:space="preserve"> https://doi.org/10.1111/j.1753-0237.2009.00157.x.</w:t>
      </w:r>
    </w:p>
    <w:p w14:paraId="49EF92E6" w14:textId="606B9B35"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Levada </w:t>
      </w:r>
      <w:proofErr w:type="spellStart"/>
      <w:r w:rsidRPr="001E0E83">
        <w:rPr>
          <w:rFonts w:ascii="Cambria" w:hAnsi="Cambria"/>
          <w:color w:val="000000" w:themeColor="text1"/>
          <w:shd w:val="clear" w:color="auto" w:fill="FFFFFF"/>
          <w:lang w:val="en-US"/>
        </w:rPr>
        <w:t>Centr</w:t>
      </w:r>
      <w:proofErr w:type="spellEnd"/>
      <w:r w:rsidRPr="001E0E83">
        <w:rPr>
          <w:rFonts w:ascii="Cambria" w:hAnsi="Cambria"/>
          <w:color w:val="000000" w:themeColor="text1"/>
          <w:shd w:val="clear" w:color="auto" w:fill="FFFFFF"/>
          <w:lang w:val="en-US"/>
        </w:rPr>
        <w:t xml:space="preserve"> (2020a): </w:t>
      </w:r>
      <w:proofErr w:type="spellStart"/>
      <w:r w:rsidRPr="001E0E83">
        <w:rPr>
          <w:rFonts w:ascii="Cambria" w:hAnsi="Cambria"/>
          <w:color w:val="000000" w:themeColor="text1"/>
          <w:shd w:val="clear" w:color="auto" w:fill="FFFFFF"/>
          <w:lang w:val="en-US"/>
        </w:rPr>
        <w:t>Положение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дел</w:t>
      </w:r>
      <w:proofErr w:type="spellEnd"/>
      <w:r w:rsidRPr="001E0E83">
        <w:rPr>
          <w:rFonts w:ascii="Cambria" w:hAnsi="Cambria"/>
          <w:color w:val="000000" w:themeColor="text1"/>
          <w:shd w:val="clear" w:color="auto" w:fill="FFFFFF"/>
          <w:lang w:val="en-US"/>
        </w:rPr>
        <w:t xml:space="preserve"> в </w:t>
      </w:r>
      <w:proofErr w:type="spellStart"/>
      <w:r w:rsidRPr="001E0E83">
        <w:rPr>
          <w:rFonts w:ascii="Cambria" w:hAnsi="Cambria"/>
          <w:color w:val="000000" w:themeColor="text1"/>
          <w:shd w:val="clear" w:color="auto" w:fill="FFFFFF"/>
          <w:lang w:val="en-US"/>
        </w:rPr>
        <w:t>стране</w:t>
      </w:r>
      <w:proofErr w:type="spellEnd"/>
      <w:r w:rsidRPr="001E0E83">
        <w:rPr>
          <w:rFonts w:ascii="Cambria" w:hAnsi="Cambria"/>
          <w:color w:val="000000" w:themeColor="text1"/>
          <w:shd w:val="clear" w:color="auto" w:fill="FFFFFF"/>
          <w:lang w:val="en-US"/>
        </w:rPr>
        <w:t xml:space="preserve">, Levada </w:t>
      </w:r>
      <w:proofErr w:type="spellStart"/>
      <w:r w:rsidRPr="001E0E83">
        <w:rPr>
          <w:rFonts w:ascii="Cambria" w:hAnsi="Cambria"/>
          <w:color w:val="000000" w:themeColor="text1"/>
          <w:shd w:val="clear" w:color="auto" w:fill="FFFFFF"/>
          <w:lang w:val="en-US"/>
        </w:rPr>
        <w:t>Centr</w:t>
      </w:r>
      <w:proofErr w:type="spellEnd"/>
      <w:r w:rsidRPr="001E0E83">
        <w:rPr>
          <w:rFonts w:ascii="Cambria" w:hAnsi="Cambria"/>
          <w:color w:val="000000" w:themeColor="text1"/>
          <w:shd w:val="clear" w:color="auto" w:fill="FFFFFF"/>
          <w:lang w:val="en-US"/>
        </w:rPr>
        <w:t xml:space="preserve">, </w:t>
      </w:r>
      <w:hyperlink r:id="rId34" w:history="1">
        <w:r w:rsidRPr="001E0E83">
          <w:rPr>
            <w:rFonts w:ascii="Cambria" w:hAnsi="Cambria"/>
            <w:color w:val="000000" w:themeColor="text1"/>
            <w:shd w:val="clear" w:color="auto" w:fill="FFFFFF"/>
            <w:lang w:val="en-US"/>
          </w:rPr>
          <w:t>https://www.levada.ru/indikatory/polozhenie-del-v-strane/</w:t>
        </w:r>
      </w:hyperlink>
      <w:r w:rsidRPr="001E0E83">
        <w:rPr>
          <w:rFonts w:ascii="Cambria" w:hAnsi="Cambria"/>
          <w:color w:val="000000" w:themeColor="text1"/>
          <w:shd w:val="clear" w:color="auto" w:fill="FFFFFF"/>
          <w:lang w:val="en-US"/>
        </w:rPr>
        <w:t xml:space="preserve"> (</w:t>
      </w:r>
      <w:proofErr w:type="spellStart"/>
      <w:r w:rsidR="00EE19EC">
        <w:rPr>
          <w:rFonts w:ascii="Cambria" w:hAnsi="Cambria"/>
          <w:color w:val="000000" w:themeColor="text1"/>
          <w:shd w:val="clear" w:color="auto" w:fill="FFFFFF"/>
          <w:lang w:val="en-US"/>
        </w:rPr>
        <w:t>staženo</w:t>
      </w:r>
      <w:proofErr w:type="spellEnd"/>
      <w:r w:rsidR="00EE19EC">
        <w:rPr>
          <w:rFonts w:ascii="Cambria" w:hAnsi="Cambria"/>
          <w:color w:val="000000" w:themeColor="text1"/>
          <w:shd w:val="clear" w:color="auto" w:fill="FFFFFF"/>
          <w:lang w:val="en-US"/>
        </w:rPr>
        <w:t xml:space="preserve"> 19. </w:t>
      </w:r>
      <w:proofErr w:type="spellStart"/>
      <w:r w:rsidR="00EE19EC">
        <w:rPr>
          <w:rFonts w:ascii="Cambria" w:hAnsi="Cambria"/>
          <w:color w:val="000000" w:themeColor="text1"/>
          <w:shd w:val="clear" w:color="auto" w:fill="FFFFFF"/>
          <w:lang w:val="en-US"/>
        </w:rPr>
        <w:t>října</w:t>
      </w:r>
      <w:proofErr w:type="spellEnd"/>
      <w:r w:rsidR="00EE19EC">
        <w:rPr>
          <w:rFonts w:ascii="Cambria" w:hAnsi="Cambria"/>
          <w:color w:val="000000" w:themeColor="text1"/>
          <w:shd w:val="clear" w:color="auto" w:fill="FFFFFF"/>
          <w:lang w:val="en-US"/>
        </w:rPr>
        <w:t xml:space="preserve"> 2020</w:t>
      </w:r>
      <w:r w:rsidRPr="001E0E83">
        <w:rPr>
          <w:rFonts w:ascii="Cambria" w:hAnsi="Cambria"/>
          <w:color w:val="000000" w:themeColor="text1"/>
          <w:shd w:val="clear" w:color="auto" w:fill="FFFFFF"/>
          <w:lang w:val="en-US"/>
        </w:rPr>
        <w:t>).</w:t>
      </w:r>
    </w:p>
    <w:p w14:paraId="06E35BC6" w14:textId="40F4A100"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Levada </w:t>
      </w:r>
      <w:proofErr w:type="spellStart"/>
      <w:r w:rsidRPr="001E0E83">
        <w:rPr>
          <w:rFonts w:ascii="Cambria" w:hAnsi="Cambria"/>
          <w:color w:val="000000" w:themeColor="text1"/>
          <w:shd w:val="clear" w:color="auto" w:fill="FFFFFF"/>
          <w:lang w:val="en-US"/>
        </w:rPr>
        <w:t>Centr</w:t>
      </w:r>
      <w:proofErr w:type="spellEnd"/>
      <w:r w:rsidRPr="001E0E83">
        <w:rPr>
          <w:rFonts w:ascii="Cambria" w:hAnsi="Cambria"/>
          <w:color w:val="000000" w:themeColor="text1"/>
          <w:shd w:val="clear" w:color="auto" w:fill="FFFFFF"/>
          <w:lang w:val="en-US"/>
        </w:rPr>
        <w:t xml:space="preserve"> (2020b): </w:t>
      </w:r>
      <w:proofErr w:type="spellStart"/>
      <w:r w:rsidRPr="001E0E83">
        <w:rPr>
          <w:rFonts w:ascii="Cambria" w:hAnsi="Cambria"/>
          <w:color w:val="000000" w:themeColor="text1"/>
          <w:shd w:val="clear" w:color="auto" w:fill="FFFFFF"/>
          <w:lang w:val="en-US"/>
        </w:rPr>
        <w:t>Одобрение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органов</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власти</w:t>
      </w:r>
      <w:proofErr w:type="spellEnd"/>
      <w:r w:rsidRPr="001E0E83">
        <w:rPr>
          <w:rFonts w:ascii="Cambria" w:hAnsi="Cambria"/>
          <w:color w:val="000000" w:themeColor="text1"/>
          <w:shd w:val="clear" w:color="auto" w:fill="FFFFFF"/>
          <w:lang w:val="en-US"/>
        </w:rPr>
        <w:t xml:space="preserve">, Levada </w:t>
      </w:r>
      <w:proofErr w:type="spellStart"/>
      <w:r w:rsidRPr="001E0E83">
        <w:rPr>
          <w:rFonts w:ascii="Cambria" w:hAnsi="Cambria"/>
          <w:color w:val="000000" w:themeColor="text1"/>
          <w:shd w:val="clear" w:color="auto" w:fill="FFFFFF"/>
          <w:lang w:val="en-US"/>
        </w:rPr>
        <w:t>Centr</w:t>
      </w:r>
      <w:proofErr w:type="spellEnd"/>
      <w:r w:rsidRPr="001E0E83">
        <w:rPr>
          <w:rFonts w:ascii="Cambria" w:hAnsi="Cambria"/>
          <w:color w:val="000000" w:themeColor="text1"/>
          <w:shd w:val="clear" w:color="auto" w:fill="FFFFFF"/>
          <w:lang w:val="en-US"/>
        </w:rPr>
        <w:t xml:space="preserve">, </w:t>
      </w:r>
      <w:hyperlink r:id="rId35" w:history="1">
        <w:r w:rsidRPr="001E0E83">
          <w:rPr>
            <w:rFonts w:ascii="Cambria" w:hAnsi="Cambria"/>
            <w:color w:val="000000" w:themeColor="text1"/>
            <w:shd w:val="clear" w:color="auto" w:fill="FFFFFF"/>
            <w:lang w:val="en-US"/>
          </w:rPr>
          <w:t>https://www.levada.ru/indikatory/odobrenie-organov-vlasti/</w:t>
        </w:r>
      </w:hyperlink>
      <w:r w:rsidRPr="001E0E83">
        <w:rPr>
          <w:rFonts w:ascii="Cambria" w:hAnsi="Cambria"/>
          <w:color w:val="000000" w:themeColor="text1"/>
          <w:shd w:val="clear" w:color="auto" w:fill="FFFFFF"/>
          <w:lang w:val="en-US"/>
        </w:rPr>
        <w:t xml:space="preserve"> </w:t>
      </w:r>
      <w:r w:rsidR="00EE19EC" w:rsidRPr="001E0E83">
        <w:rPr>
          <w:rFonts w:ascii="Cambria" w:hAnsi="Cambria"/>
          <w:color w:val="000000" w:themeColor="text1"/>
          <w:shd w:val="clear" w:color="auto" w:fill="FFFFFF"/>
          <w:lang w:val="en-US"/>
        </w:rPr>
        <w:t>(</w:t>
      </w:r>
      <w:proofErr w:type="spellStart"/>
      <w:r w:rsidR="00EE19EC">
        <w:rPr>
          <w:rFonts w:ascii="Cambria" w:hAnsi="Cambria"/>
          <w:color w:val="000000" w:themeColor="text1"/>
          <w:shd w:val="clear" w:color="auto" w:fill="FFFFFF"/>
          <w:lang w:val="en-US"/>
        </w:rPr>
        <w:t>staženo</w:t>
      </w:r>
      <w:proofErr w:type="spellEnd"/>
      <w:r w:rsidR="00EE19EC">
        <w:rPr>
          <w:rFonts w:ascii="Cambria" w:hAnsi="Cambria"/>
          <w:color w:val="000000" w:themeColor="text1"/>
          <w:shd w:val="clear" w:color="auto" w:fill="FFFFFF"/>
          <w:lang w:val="en-US"/>
        </w:rPr>
        <w:t xml:space="preserve"> 19. </w:t>
      </w:r>
      <w:proofErr w:type="spellStart"/>
      <w:r w:rsidR="00EE19EC">
        <w:rPr>
          <w:rFonts w:ascii="Cambria" w:hAnsi="Cambria"/>
          <w:color w:val="000000" w:themeColor="text1"/>
          <w:shd w:val="clear" w:color="auto" w:fill="FFFFFF"/>
          <w:lang w:val="en-US"/>
        </w:rPr>
        <w:t>října</w:t>
      </w:r>
      <w:proofErr w:type="spellEnd"/>
      <w:r w:rsidR="00EE19EC">
        <w:rPr>
          <w:rFonts w:ascii="Cambria" w:hAnsi="Cambria"/>
          <w:color w:val="000000" w:themeColor="text1"/>
          <w:shd w:val="clear" w:color="auto" w:fill="FFFFFF"/>
          <w:lang w:val="en-US"/>
        </w:rPr>
        <w:t xml:space="preserve"> 2020</w:t>
      </w:r>
      <w:r w:rsidR="00EE19EC" w:rsidRPr="001E0E83">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w:t>
      </w:r>
    </w:p>
    <w:p w14:paraId="5B4462B7" w14:textId="7B976478"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Levada </w:t>
      </w:r>
      <w:proofErr w:type="spellStart"/>
      <w:r w:rsidRPr="001E0E83">
        <w:rPr>
          <w:rFonts w:ascii="Cambria" w:hAnsi="Cambria"/>
          <w:color w:val="000000" w:themeColor="text1"/>
          <w:shd w:val="clear" w:color="auto" w:fill="FFFFFF"/>
          <w:lang w:val="en-US"/>
        </w:rPr>
        <w:t>Centr</w:t>
      </w:r>
      <w:proofErr w:type="spellEnd"/>
      <w:r w:rsidRPr="001E0E83">
        <w:rPr>
          <w:rFonts w:ascii="Cambria" w:hAnsi="Cambria"/>
          <w:color w:val="000000" w:themeColor="text1"/>
          <w:shd w:val="clear" w:color="auto" w:fill="FFFFFF"/>
          <w:lang w:val="en-US"/>
        </w:rPr>
        <w:t xml:space="preserve"> (2020c): </w:t>
      </w:r>
      <w:proofErr w:type="spellStart"/>
      <w:r w:rsidRPr="001E0E83">
        <w:rPr>
          <w:rFonts w:ascii="Cambria" w:hAnsi="Cambria"/>
          <w:color w:val="000000" w:themeColor="text1"/>
          <w:shd w:val="clear" w:color="auto" w:fill="FFFFFF"/>
          <w:lang w:val="en-US"/>
        </w:rPr>
        <w:t>Доверие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политикам</w:t>
      </w:r>
      <w:proofErr w:type="spellEnd"/>
      <w:r w:rsidRPr="001E0E83">
        <w:rPr>
          <w:rFonts w:ascii="Cambria" w:hAnsi="Cambria"/>
          <w:color w:val="000000" w:themeColor="text1"/>
          <w:shd w:val="clear" w:color="auto" w:fill="FFFFFF"/>
          <w:lang w:val="en-US"/>
        </w:rPr>
        <w:t xml:space="preserve">, Levada </w:t>
      </w:r>
      <w:proofErr w:type="spellStart"/>
      <w:r w:rsidRPr="001E0E83">
        <w:rPr>
          <w:rFonts w:ascii="Cambria" w:hAnsi="Cambria"/>
          <w:color w:val="000000" w:themeColor="text1"/>
          <w:shd w:val="clear" w:color="auto" w:fill="FFFFFF"/>
          <w:lang w:val="en-US"/>
        </w:rPr>
        <w:t>Centr</w:t>
      </w:r>
      <w:proofErr w:type="spellEnd"/>
      <w:r w:rsidRPr="001E0E83">
        <w:rPr>
          <w:rFonts w:ascii="Cambria" w:hAnsi="Cambria"/>
          <w:color w:val="000000" w:themeColor="text1"/>
          <w:shd w:val="clear" w:color="auto" w:fill="FFFFFF"/>
          <w:lang w:val="en-US"/>
        </w:rPr>
        <w:t xml:space="preserve">, </w:t>
      </w:r>
      <w:hyperlink r:id="rId36" w:history="1">
        <w:r w:rsidRPr="001E0E83">
          <w:rPr>
            <w:rFonts w:ascii="Cambria" w:hAnsi="Cambria"/>
            <w:color w:val="000000" w:themeColor="text1"/>
            <w:shd w:val="clear" w:color="auto" w:fill="FFFFFF"/>
            <w:lang w:val="en-US"/>
          </w:rPr>
          <w:t>https://www.levada.ru/2020/11/12/doverie-politikam-6/</w:t>
        </w:r>
      </w:hyperlink>
      <w:r w:rsidRPr="001E0E83">
        <w:rPr>
          <w:rFonts w:ascii="Cambria" w:hAnsi="Cambria"/>
          <w:color w:val="000000" w:themeColor="text1"/>
          <w:shd w:val="clear" w:color="auto" w:fill="FFFFFF"/>
          <w:lang w:val="en-US"/>
        </w:rPr>
        <w:t xml:space="preserve"> </w:t>
      </w:r>
      <w:r w:rsidR="00EE19EC" w:rsidRPr="001E0E83">
        <w:rPr>
          <w:rFonts w:ascii="Cambria" w:hAnsi="Cambria"/>
          <w:color w:val="000000" w:themeColor="text1"/>
          <w:shd w:val="clear" w:color="auto" w:fill="FFFFFF"/>
          <w:lang w:val="en-US"/>
        </w:rPr>
        <w:t>(</w:t>
      </w:r>
      <w:proofErr w:type="spellStart"/>
      <w:r w:rsidR="00EE19EC">
        <w:rPr>
          <w:rFonts w:ascii="Cambria" w:hAnsi="Cambria"/>
          <w:color w:val="000000" w:themeColor="text1"/>
          <w:shd w:val="clear" w:color="auto" w:fill="FFFFFF"/>
          <w:lang w:val="en-US"/>
        </w:rPr>
        <w:t>staženo</w:t>
      </w:r>
      <w:proofErr w:type="spellEnd"/>
      <w:r w:rsidR="00EE19EC">
        <w:rPr>
          <w:rFonts w:ascii="Cambria" w:hAnsi="Cambria"/>
          <w:color w:val="000000" w:themeColor="text1"/>
          <w:shd w:val="clear" w:color="auto" w:fill="FFFFFF"/>
          <w:lang w:val="en-US"/>
        </w:rPr>
        <w:t xml:space="preserve"> 19. </w:t>
      </w:r>
      <w:proofErr w:type="spellStart"/>
      <w:r w:rsidR="00EE19EC">
        <w:rPr>
          <w:rFonts w:ascii="Cambria" w:hAnsi="Cambria"/>
          <w:color w:val="000000" w:themeColor="text1"/>
          <w:shd w:val="clear" w:color="auto" w:fill="FFFFFF"/>
          <w:lang w:val="en-US"/>
        </w:rPr>
        <w:t>října</w:t>
      </w:r>
      <w:proofErr w:type="spellEnd"/>
      <w:r w:rsidR="00EE19EC">
        <w:rPr>
          <w:rFonts w:ascii="Cambria" w:hAnsi="Cambria"/>
          <w:color w:val="000000" w:themeColor="text1"/>
          <w:shd w:val="clear" w:color="auto" w:fill="FFFFFF"/>
          <w:lang w:val="en-US"/>
        </w:rPr>
        <w:t xml:space="preserve"> 2020</w:t>
      </w:r>
      <w:r w:rsidR="00EE19EC" w:rsidRPr="001E0E83">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w:t>
      </w:r>
    </w:p>
    <w:p w14:paraId="698BF1A0" w14:textId="7965D698"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Levinson, A. (2020): </w:t>
      </w:r>
      <w:proofErr w:type="spellStart"/>
      <w:r w:rsidRPr="001E0E83">
        <w:rPr>
          <w:rFonts w:ascii="Cambria" w:hAnsi="Cambria"/>
          <w:color w:val="000000" w:themeColor="text1"/>
          <w:shd w:val="clear" w:color="auto" w:fill="FFFFFF"/>
          <w:lang w:val="en-US"/>
        </w:rPr>
        <w:t>Почему</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даже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успешный</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протест</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не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добьется</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своего</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Reforum</w:t>
      </w:r>
      <w:proofErr w:type="spellEnd"/>
      <w:r w:rsidRPr="001E0E83">
        <w:rPr>
          <w:rFonts w:ascii="Cambria" w:hAnsi="Cambria"/>
          <w:color w:val="000000" w:themeColor="text1"/>
          <w:shd w:val="clear" w:color="auto" w:fill="FFFFFF"/>
          <w:lang w:val="en-US"/>
        </w:rPr>
        <w:t xml:space="preserve">, 24. 6. 2020, </w:t>
      </w:r>
      <w:hyperlink r:id="rId37" w:history="1">
        <w:r w:rsidRPr="001E0E83">
          <w:rPr>
            <w:rFonts w:ascii="Cambria" w:hAnsi="Cambria"/>
            <w:color w:val="000000" w:themeColor="text1"/>
            <w:shd w:val="clear" w:color="auto" w:fill="FFFFFF"/>
            <w:lang w:val="en-US"/>
          </w:rPr>
          <w:t>https://reforum.io/blog/2020/06/24/pochemu-dazhe-uspeshnyj-protest-ne-dobetsya-svoego/?fbclid=IwAR0c1PQkhq92T0yF_PQ8-ZMlV7e8lefrYauWUZwaPLOBFboEOU3sVjgR5pg</w:t>
        </w:r>
      </w:hyperlink>
      <w:r w:rsidRPr="001E0E83">
        <w:rPr>
          <w:rFonts w:ascii="Cambria" w:hAnsi="Cambria"/>
          <w:color w:val="000000" w:themeColor="text1"/>
          <w:shd w:val="clear" w:color="auto" w:fill="FFFFFF"/>
          <w:lang w:val="en-US"/>
        </w:rPr>
        <w:t xml:space="preserve"> </w:t>
      </w:r>
      <w:r w:rsidR="00EE19EC" w:rsidRPr="001E0E83">
        <w:rPr>
          <w:rFonts w:ascii="Cambria" w:hAnsi="Cambria"/>
          <w:color w:val="000000" w:themeColor="text1"/>
          <w:shd w:val="clear" w:color="auto" w:fill="FFFFFF"/>
          <w:lang w:val="en-US"/>
        </w:rPr>
        <w:t>(</w:t>
      </w:r>
      <w:proofErr w:type="spellStart"/>
      <w:r w:rsidR="00EE19EC">
        <w:rPr>
          <w:rFonts w:ascii="Cambria" w:hAnsi="Cambria"/>
          <w:color w:val="000000" w:themeColor="text1"/>
          <w:shd w:val="clear" w:color="auto" w:fill="FFFFFF"/>
          <w:lang w:val="en-US"/>
        </w:rPr>
        <w:t>staženo</w:t>
      </w:r>
      <w:proofErr w:type="spellEnd"/>
      <w:r w:rsidR="00EE19EC">
        <w:rPr>
          <w:rFonts w:ascii="Cambria" w:hAnsi="Cambria"/>
          <w:color w:val="000000" w:themeColor="text1"/>
          <w:shd w:val="clear" w:color="auto" w:fill="FFFFFF"/>
          <w:lang w:val="en-US"/>
        </w:rPr>
        <w:t xml:space="preserve"> 19. </w:t>
      </w:r>
      <w:proofErr w:type="spellStart"/>
      <w:r w:rsidR="00EE19EC">
        <w:rPr>
          <w:rFonts w:ascii="Cambria" w:hAnsi="Cambria"/>
          <w:color w:val="000000" w:themeColor="text1"/>
          <w:shd w:val="clear" w:color="auto" w:fill="FFFFFF"/>
          <w:lang w:val="en-US"/>
        </w:rPr>
        <w:t>října</w:t>
      </w:r>
      <w:proofErr w:type="spellEnd"/>
      <w:r w:rsidR="00EE19EC">
        <w:rPr>
          <w:rFonts w:ascii="Cambria" w:hAnsi="Cambria"/>
          <w:color w:val="000000" w:themeColor="text1"/>
          <w:shd w:val="clear" w:color="auto" w:fill="FFFFFF"/>
          <w:lang w:val="en-US"/>
        </w:rPr>
        <w:t xml:space="preserve"> 2020</w:t>
      </w:r>
      <w:r w:rsidR="00EE19EC" w:rsidRPr="001E0E83">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w:t>
      </w:r>
    </w:p>
    <w:p w14:paraId="38C17D96" w14:textId="77777777"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Lukyanov, F. – Miller, A. (2017): </w:t>
      </w:r>
      <w:proofErr w:type="spellStart"/>
      <w:r w:rsidRPr="001E0E83">
        <w:rPr>
          <w:rFonts w:ascii="Cambria" w:hAnsi="Cambria"/>
          <w:color w:val="000000" w:themeColor="text1"/>
          <w:shd w:val="clear" w:color="auto" w:fill="FFFFFF"/>
          <w:lang w:val="en-US"/>
        </w:rPr>
        <w:t>Сдержанность</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вместо</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напористости</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Россия</w:t>
      </w:r>
      <w:proofErr w:type="spellEnd"/>
      <w:r w:rsidRPr="001E0E83">
        <w:rPr>
          <w:rFonts w:ascii="Cambria" w:hAnsi="Cambria"/>
          <w:color w:val="000000" w:themeColor="text1"/>
          <w:shd w:val="clear" w:color="auto" w:fill="FFFFFF"/>
          <w:lang w:val="en-US"/>
        </w:rPr>
        <w:t xml:space="preserve"> и </w:t>
      </w:r>
      <w:proofErr w:type="spellStart"/>
      <w:r w:rsidRPr="001E0E83">
        <w:rPr>
          <w:rFonts w:ascii="Cambria" w:hAnsi="Cambria"/>
          <w:color w:val="000000" w:themeColor="text1"/>
          <w:shd w:val="clear" w:color="auto" w:fill="FFFFFF"/>
          <w:lang w:val="en-US"/>
        </w:rPr>
        <w:t>новая</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мировая</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эпоха</w:t>
      </w:r>
      <w:proofErr w:type="spellEnd"/>
      <w:r w:rsidRPr="001E0E83">
        <w:rPr>
          <w:rFonts w:ascii="Cambria" w:hAnsi="Cambria"/>
          <w:color w:val="000000" w:themeColor="text1"/>
          <w:shd w:val="clear" w:color="auto" w:fill="FFFFFF"/>
          <w:lang w:val="en-US"/>
        </w:rPr>
        <w:t>. Moscow: SVOP.</w:t>
      </w:r>
    </w:p>
    <w:p w14:paraId="71FBC3FF" w14:textId="18939599" w:rsidR="00593C75" w:rsidRPr="001E0E83" w:rsidRDefault="00EE19EC" w:rsidP="001E0E83">
      <w:pPr>
        <w:spacing w:after="100" w:afterAutospacing="1" w:line="240" w:lineRule="auto"/>
        <w:ind w:left="709" w:hanging="709"/>
        <w:rPr>
          <w:rFonts w:ascii="Cambria" w:hAnsi="Cambria"/>
          <w:lang w:val="en-GB"/>
        </w:rPr>
      </w:pPr>
      <w:proofErr w:type="spellStart"/>
      <w:r w:rsidRPr="001E0E83">
        <w:rPr>
          <w:rFonts w:ascii="Cambria" w:hAnsi="Cambria"/>
          <w:color w:val="000000" w:themeColor="text1"/>
          <w:shd w:val="clear" w:color="auto" w:fill="FFFFFF"/>
          <w:lang w:val="en-US"/>
        </w:rPr>
        <w:t>Межбюджетные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трансферты</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как</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механизм</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стимулирования</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роста</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экономики</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регионов</w:t>
      </w:r>
      <w:proofErr w:type="spellEnd"/>
      <w:r w:rsidRPr="001E0E83">
        <w:rPr>
          <w:rFonts w:ascii="Cambria" w:hAnsi="Cambria"/>
          <w:lang w:val="en-GB"/>
        </w:rPr>
        <w:t xml:space="preserve"> </w:t>
      </w:r>
      <w:r w:rsidR="00593C75" w:rsidRPr="001E0E83">
        <w:rPr>
          <w:rFonts w:ascii="Cambria" w:hAnsi="Cambria"/>
          <w:lang w:val="en-GB"/>
        </w:rPr>
        <w:t xml:space="preserve">Makarov I. (2020): Green Transformation of the World Economy: Risks and Opportunities for Russia. In: </w:t>
      </w:r>
      <w:proofErr w:type="spellStart"/>
      <w:r w:rsidR="00593C75" w:rsidRPr="001E0E83">
        <w:rPr>
          <w:rFonts w:ascii="Cambria" w:hAnsi="Cambria"/>
          <w:lang w:val="en-GB"/>
        </w:rPr>
        <w:t>Diesen</w:t>
      </w:r>
      <w:proofErr w:type="spellEnd"/>
      <w:r w:rsidR="00593C75" w:rsidRPr="001E0E83">
        <w:rPr>
          <w:rFonts w:ascii="Cambria" w:hAnsi="Cambria"/>
          <w:lang w:val="en-GB"/>
        </w:rPr>
        <w:t xml:space="preserve"> Glenn - </w:t>
      </w:r>
      <w:proofErr w:type="spellStart"/>
      <w:r w:rsidR="00593C75" w:rsidRPr="001E0E83">
        <w:rPr>
          <w:rFonts w:ascii="Cambria" w:hAnsi="Cambria"/>
          <w:lang w:val="en-GB"/>
        </w:rPr>
        <w:t>Lukin</w:t>
      </w:r>
      <w:proofErr w:type="spellEnd"/>
      <w:r w:rsidR="00593C75" w:rsidRPr="001E0E83">
        <w:rPr>
          <w:rFonts w:ascii="Cambria" w:hAnsi="Cambria"/>
          <w:lang w:val="en-GB"/>
        </w:rPr>
        <w:t xml:space="preserve"> Alexander (eds): </w:t>
      </w:r>
      <w:r w:rsidR="00593C75" w:rsidRPr="001E0E83">
        <w:rPr>
          <w:rFonts w:ascii="Cambria" w:hAnsi="Cambria"/>
          <w:i/>
          <w:lang w:val="en-GB"/>
        </w:rPr>
        <w:t>Russia in a Changing World</w:t>
      </w:r>
      <w:r w:rsidR="00593C75" w:rsidRPr="001E0E83">
        <w:rPr>
          <w:rFonts w:ascii="Cambria" w:hAnsi="Cambria"/>
          <w:lang w:val="en-GB"/>
        </w:rPr>
        <w:t>. Singapore: Palgrave Macmillan, 123-142.</w:t>
      </w:r>
    </w:p>
    <w:p w14:paraId="629B0C0A" w14:textId="143F44D5"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lastRenderedPageBreak/>
        <w:t xml:space="preserve">Makarov, I. – Chen, H. – </w:t>
      </w:r>
      <w:proofErr w:type="spellStart"/>
      <w:r w:rsidRPr="001E0E83">
        <w:rPr>
          <w:rFonts w:ascii="Cambria" w:eastAsia="Times New Roman" w:hAnsi="Cambria"/>
          <w:lang w:val="en-GB" w:eastAsia="cs-CZ"/>
        </w:rPr>
        <w:t>Paltsev</w:t>
      </w:r>
      <w:proofErr w:type="spellEnd"/>
      <w:r w:rsidRPr="001E0E83">
        <w:rPr>
          <w:rFonts w:ascii="Cambria" w:eastAsia="Times New Roman" w:hAnsi="Cambria"/>
          <w:lang w:val="en-GB" w:eastAsia="cs-CZ"/>
        </w:rPr>
        <w:t xml:space="preserve">, S. (2020): Impacts of climate change policies worldwide on the Russian economy. </w:t>
      </w:r>
      <w:r w:rsidRPr="001E0E83">
        <w:rPr>
          <w:rFonts w:ascii="Cambria" w:eastAsia="Times New Roman" w:hAnsi="Cambria"/>
          <w:i/>
          <w:iCs/>
          <w:lang w:val="en-GB" w:eastAsia="cs-CZ"/>
        </w:rPr>
        <w:t>Climate Policy,</w:t>
      </w:r>
      <w:r w:rsidR="00EE19EC">
        <w:rPr>
          <w:rFonts w:ascii="Cambria" w:eastAsia="Times New Roman" w:hAnsi="Cambria"/>
          <w:i/>
          <w:iCs/>
          <w:lang w:val="en-GB" w:eastAsia="cs-CZ"/>
        </w:rPr>
        <w:t xml:space="preserve"> </w:t>
      </w:r>
      <w:r w:rsidR="00EE19EC" w:rsidRPr="00EE19EC">
        <w:rPr>
          <w:rFonts w:ascii="Cambria" w:eastAsia="Times New Roman" w:hAnsi="Cambria"/>
          <w:lang w:val="en-GB" w:eastAsia="cs-CZ"/>
        </w:rPr>
        <w:t>online first</w:t>
      </w:r>
      <w:r w:rsidR="00EE19EC">
        <w:rPr>
          <w:rFonts w:ascii="Cambria" w:eastAsia="Times New Roman" w:hAnsi="Cambria"/>
          <w:lang w:val="en-GB" w:eastAsia="cs-CZ"/>
        </w:rPr>
        <w:t>,</w:t>
      </w:r>
      <w:r w:rsidRPr="001E0E83">
        <w:rPr>
          <w:rFonts w:ascii="Cambria" w:eastAsia="Times New Roman" w:hAnsi="Cambria"/>
          <w:lang w:val="en-GB" w:eastAsia="cs-CZ"/>
        </w:rPr>
        <w:t xml:space="preserve"> 1-15.</w:t>
      </w:r>
    </w:p>
    <w:p w14:paraId="7129C5F4" w14:textId="74E4272D" w:rsidR="00593C75" w:rsidRPr="001E0E83" w:rsidRDefault="00593C75" w:rsidP="001E0E83">
      <w:pPr>
        <w:spacing w:after="100" w:afterAutospacing="1" w:line="240" w:lineRule="auto"/>
        <w:ind w:left="709" w:hanging="709"/>
        <w:rPr>
          <w:rFonts w:ascii="Cambria" w:hAnsi="Cambria"/>
        </w:rPr>
      </w:pPr>
      <w:proofErr w:type="spellStart"/>
      <w:r w:rsidRPr="001E0E83">
        <w:rPr>
          <w:rFonts w:ascii="Cambria" w:hAnsi="Cambria"/>
        </w:rPr>
        <w:t>Mamedov</w:t>
      </w:r>
      <w:proofErr w:type="spellEnd"/>
      <w:r w:rsidRPr="001E0E83">
        <w:rPr>
          <w:rFonts w:ascii="Cambria" w:hAnsi="Cambria"/>
        </w:rPr>
        <w:t xml:space="preserve">, А. (2020): </w:t>
      </w:r>
      <w:proofErr w:type="spellStart"/>
      <w:r w:rsidRPr="001E0E83">
        <w:rPr>
          <w:rFonts w:ascii="Cambria" w:hAnsi="Cambria"/>
        </w:rPr>
        <w:t>Вывоз</w:t>
      </w:r>
      <w:proofErr w:type="spellEnd"/>
      <w:r w:rsidRPr="001E0E83">
        <w:rPr>
          <w:rFonts w:ascii="Cambria" w:hAnsi="Cambria"/>
        </w:rPr>
        <w:t xml:space="preserve"> </w:t>
      </w:r>
      <w:proofErr w:type="spellStart"/>
      <w:r w:rsidRPr="001E0E83">
        <w:rPr>
          <w:rFonts w:ascii="Cambria" w:hAnsi="Cambria"/>
        </w:rPr>
        <w:t>капитала</w:t>
      </w:r>
      <w:proofErr w:type="spellEnd"/>
      <w:r w:rsidRPr="001E0E83">
        <w:rPr>
          <w:rFonts w:ascii="Cambria" w:hAnsi="Cambria"/>
        </w:rPr>
        <w:t xml:space="preserve"> </w:t>
      </w:r>
      <w:proofErr w:type="spellStart"/>
      <w:r w:rsidRPr="001E0E83">
        <w:rPr>
          <w:rFonts w:ascii="Cambria" w:hAnsi="Cambria"/>
        </w:rPr>
        <w:t>из</w:t>
      </w:r>
      <w:proofErr w:type="spellEnd"/>
      <w:r w:rsidRPr="001E0E83">
        <w:rPr>
          <w:rFonts w:ascii="Cambria" w:hAnsi="Cambria"/>
        </w:rPr>
        <w:t xml:space="preserve"> </w:t>
      </w:r>
      <w:proofErr w:type="spellStart"/>
      <w:r w:rsidRPr="001E0E83">
        <w:rPr>
          <w:rFonts w:ascii="Cambria" w:hAnsi="Cambria"/>
        </w:rPr>
        <w:t>Азербайджана</w:t>
      </w:r>
      <w:proofErr w:type="spellEnd"/>
      <w:r w:rsidRPr="001E0E83">
        <w:rPr>
          <w:rFonts w:ascii="Cambria" w:hAnsi="Cambria"/>
        </w:rPr>
        <w:t xml:space="preserve"> в I </w:t>
      </w:r>
      <w:proofErr w:type="spellStart"/>
      <w:r w:rsidRPr="001E0E83">
        <w:rPr>
          <w:rFonts w:ascii="Cambria" w:hAnsi="Cambria"/>
        </w:rPr>
        <w:t>полугодии</w:t>
      </w:r>
      <w:proofErr w:type="spellEnd"/>
      <w:r w:rsidRPr="001E0E83">
        <w:rPr>
          <w:rFonts w:ascii="Cambria" w:hAnsi="Cambria"/>
        </w:rPr>
        <w:t xml:space="preserve"> </w:t>
      </w:r>
      <w:proofErr w:type="spellStart"/>
      <w:r w:rsidRPr="001E0E83">
        <w:rPr>
          <w:rFonts w:ascii="Cambria" w:hAnsi="Cambria"/>
        </w:rPr>
        <w:t>увеличился</w:t>
      </w:r>
      <w:proofErr w:type="spellEnd"/>
      <w:r w:rsidRPr="001E0E83">
        <w:rPr>
          <w:rFonts w:ascii="Cambria" w:hAnsi="Cambria"/>
        </w:rPr>
        <w:t xml:space="preserve"> </w:t>
      </w:r>
      <w:proofErr w:type="spellStart"/>
      <w:r w:rsidRPr="001E0E83">
        <w:rPr>
          <w:rFonts w:ascii="Cambria" w:hAnsi="Cambria"/>
        </w:rPr>
        <w:t>почти</w:t>
      </w:r>
      <w:proofErr w:type="spellEnd"/>
      <w:r w:rsidRPr="001E0E83">
        <w:rPr>
          <w:rFonts w:ascii="Cambria" w:hAnsi="Cambria"/>
        </w:rPr>
        <w:t xml:space="preserve"> </w:t>
      </w:r>
      <w:proofErr w:type="spellStart"/>
      <w:r w:rsidRPr="001E0E83">
        <w:rPr>
          <w:rFonts w:ascii="Cambria" w:hAnsi="Cambria"/>
        </w:rPr>
        <w:t>на</w:t>
      </w:r>
      <w:proofErr w:type="spellEnd"/>
      <w:r w:rsidRPr="001E0E83">
        <w:rPr>
          <w:rFonts w:ascii="Cambria" w:hAnsi="Cambria"/>
        </w:rPr>
        <w:t xml:space="preserve"> </w:t>
      </w:r>
      <w:proofErr w:type="spellStart"/>
      <w:r w:rsidRPr="001E0E83">
        <w:rPr>
          <w:rFonts w:ascii="Cambria" w:hAnsi="Cambria"/>
        </w:rPr>
        <w:t>треть</w:t>
      </w:r>
      <w:proofErr w:type="spellEnd"/>
      <w:r w:rsidRPr="001E0E83">
        <w:rPr>
          <w:rFonts w:ascii="Cambria" w:hAnsi="Cambria"/>
        </w:rPr>
        <w:t xml:space="preserve"> – ЦБ, </w:t>
      </w:r>
      <w:proofErr w:type="spellStart"/>
      <w:r w:rsidRPr="001E0E83">
        <w:rPr>
          <w:rFonts w:ascii="Cambria" w:hAnsi="Cambria"/>
          <w:i/>
        </w:rPr>
        <w:t>Interfax</w:t>
      </w:r>
      <w:proofErr w:type="spellEnd"/>
      <w:r w:rsidRPr="001E0E83">
        <w:rPr>
          <w:rFonts w:ascii="Cambria" w:hAnsi="Cambria"/>
          <w:i/>
        </w:rPr>
        <w:t xml:space="preserve"> – Ázerbájdžán</w:t>
      </w:r>
      <w:r w:rsidRPr="001E0E83">
        <w:rPr>
          <w:rFonts w:ascii="Cambria" w:hAnsi="Cambria"/>
        </w:rPr>
        <w:t xml:space="preserve">, 14.09.2020, </w:t>
      </w:r>
      <w:r w:rsidR="00EE19EC" w:rsidRPr="00EE19EC">
        <w:rPr>
          <w:rFonts w:ascii="Cambria" w:hAnsi="Cambria"/>
        </w:rPr>
        <w:t>http://interfax.az/view/813238</w:t>
      </w:r>
      <w:r w:rsidR="00EE19EC">
        <w:rPr>
          <w:rFonts w:ascii="Cambria" w:hAnsi="Cambria"/>
        </w:rPr>
        <w:t xml:space="preserve"> </w:t>
      </w:r>
      <w:r w:rsidR="00EE19EC" w:rsidRPr="001E0E83">
        <w:rPr>
          <w:rFonts w:ascii="Cambria" w:hAnsi="Cambria"/>
          <w:color w:val="000000" w:themeColor="text1"/>
          <w:shd w:val="clear" w:color="auto" w:fill="FFFFFF"/>
          <w:lang w:val="en-US"/>
        </w:rPr>
        <w:t>(</w:t>
      </w:r>
      <w:proofErr w:type="spellStart"/>
      <w:r w:rsidR="00EE19EC">
        <w:rPr>
          <w:rFonts w:ascii="Cambria" w:hAnsi="Cambria"/>
          <w:color w:val="000000" w:themeColor="text1"/>
          <w:shd w:val="clear" w:color="auto" w:fill="FFFFFF"/>
          <w:lang w:val="en-US"/>
        </w:rPr>
        <w:t>staženo</w:t>
      </w:r>
      <w:proofErr w:type="spellEnd"/>
      <w:r w:rsidR="00EE19EC">
        <w:rPr>
          <w:rFonts w:ascii="Cambria" w:hAnsi="Cambria"/>
          <w:color w:val="000000" w:themeColor="text1"/>
          <w:shd w:val="clear" w:color="auto" w:fill="FFFFFF"/>
          <w:lang w:val="en-US"/>
        </w:rPr>
        <w:t xml:space="preserve"> 19. </w:t>
      </w:r>
      <w:proofErr w:type="spellStart"/>
      <w:r w:rsidR="00EE19EC">
        <w:rPr>
          <w:rFonts w:ascii="Cambria" w:hAnsi="Cambria"/>
          <w:color w:val="000000" w:themeColor="text1"/>
          <w:shd w:val="clear" w:color="auto" w:fill="FFFFFF"/>
          <w:lang w:val="en-US"/>
        </w:rPr>
        <w:t>října</w:t>
      </w:r>
      <w:proofErr w:type="spellEnd"/>
      <w:r w:rsidR="00EE19EC">
        <w:rPr>
          <w:rFonts w:ascii="Cambria" w:hAnsi="Cambria"/>
          <w:color w:val="000000" w:themeColor="text1"/>
          <w:shd w:val="clear" w:color="auto" w:fill="FFFFFF"/>
          <w:lang w:val="en-US"/>
        </w:rPr>
        <w:t xml:space="preserve"> 2020</w:t>
      </w:r>
      <w:r w:rsidR="00EE19EC" w:rsidRPr="001E0E83">
        <w:rPr>
          <w:rFonts w:ascii="Cambria" w:hAnsi="Cambria"/>
          <w:color w:val="000000" w:themeColor="text1"/>
          <w:shd w:val="clear" w:color="auto" w:fill="FFFFFF"/>
          <w:lang w:val="en-US"/>
        </w:rPr>
        <w:t>)</w:t>
      </w:r>
      <w:r w:rsidRPr="001E0E83">
        <w:rPr>
          <w:rFonts w:ascii="Cambria" w:hAnsi="Cambria"/>
        </w:rPr>
        <w:t>.</w:t>
      </w:r>
    </w:p>
    <w:p w14:paraId="6A9C182D" w14:textId="18364E52" w:rsidR="00593C75" w:rsidRPr="001E0E83" w:rsidRDefault="00593C75" w:rsidP="001E0E83">
      <w:pPr>
        <w:spacing w:after="100" w:afterAutospacing="1" w:line="240" w:lineRule="auto"/>
        <w:ind w:left="708" w:hanging="708"/>
        <w:rPr>
          <w:rFonts w:ascii="Cambria" w:hAnsi="Cambria"/>
          <w:lang w:val="en-GB"/>
        </w:rPr>
      </w:pPr>
      <w:proofErr w:type="spellStart"/>
      <w:r w:rsidRPr="001E0E83">
        <w:rPr>
          <w:rFonts w:ascii="Cambria" w:hAnsi="Cambria"/>
          <w:lang w:val="en-GB"/>
        </w:rPr>
        <w:t>Matakos</w:t>
      </w:r>
      <w:proofErr w:type="spellEnd"/>
      <w:r w:rsidRPr="001E0E83">
        <w:rPr>
          <w:rFonts w:ascii="Cambria" w:hAnsi="Cambria"/>
          <w:lang w:val="en-GB"/>
        </w:rPr>
        <w:t xml:space="preserve">, K. – </w:t>
      </w:r>
      <w:proofErr w:type="spellStart"/>
      <w:r w:rsidRPr="001E0E83">
        <w:rPr>
          <w:rFonts w:ascii="Cambria" w:hAnsi="Cambria"/>
          <w:lang w:val="en-GB"/>
        </w:rPr>
        <w:t>Xefteris</w:t>
      </w:r>
      <w:proofErr w:type="spellEnd"/>
      <w:r w:rsidRPr="001E0E83">
        <w:rPr>
          <w:rFonts w:ascii="Cambria" w:hAnsi="Cambria"/>
          <w:lang w:val="en-GB"/>
        </w:rPr>
        <w:t>, D. (2020): Economic insecurity and political stability: a case for growth-targeting systemic vote</w:t>
      </w:r>
      <w:r w:rsidR="00EE19EC">
        <w:rPr>
          <w:rFonts w:ascii="Cambria" w:hAnsi="Cambria"/>
          <w:lang w:val="en-GB"/>
        </w:rPr>
        <w:t>.</w:t>
      </w:r>
      <w:r w:rsidRPr="001E0E83">
        <w:rPr>
          <w:rFonts w:ascii="Cambria" w:hAnsi="Cambria"/>
          <w:lang w:val="en-GB"/>
        </w:rPr>
        <w:t xml:space="preserve"> </w:t>
      </w:r>
      <w:r w:rsidRPr="001E0E83">
        <w:rPr>
          <w:rStyle w:val="Zdraznn"/>
          <w:rFonts w:ascii="Cambria" w:hAnsi="Cambria"/>
          <w:lang w:val="en-GB"/>
        </w:rPr>
        <w:t>Oxford Economic Papers</w:t>
      </w:r>
      <w:r w:rsidRPr="001E0E83">
        <w:rPr>
          <w:rFonts w:ascii="Cambria" w:hAnsi="Cambria"/>
          <w:lang w:val="en-GB"/>
        </w:rPr>
        <w:t>, 72(3), 829–862.</w:t>
      </w:r>
    </w:p>
    <w:p w14:paraId="01585DFA" w14:textId="74C51E8A"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McNally, R. (2020): Oil Market Black Swans: Covid-19, the Market-Share War, and Long-Term Risks of Oil Volatility, </w:t>
      </w:r>
      <w:proofErr w:type="spellStart"/>
      <w:r w:rsidRPr="001E0E83">
        <w:rPr>
          <w:rFonts w:ascii="Cambria" w:eastAsia="Times New Roman" w:hAnsi="Cambria"/>
          <w:i/>
          <w:lang w:val="en-GB" w:eastAsia="cs-CZ"/>
        </w:rPr>
        <w:t>Center</w:t>
      </w:r>
      <w:proofErr w:type="spellEnd"/>
      <w:r w:rsidRPr="001E0E83">
        <w:rPr>
          <w:rFonts w:ascii="Cambria" w:eastAsia="Times New Roman" w:hAnsi="Cambria"/>
          <w:i/>
          <w:lang w:val="en-GB" w:eastAsia="cs-CZ"/>
        </w:rPr>
        <w:t xml:space="preserve"> on Global Energy Policy</w:t>
      </w:r>
      <w:r w:rsidRPr="001E0E83">
        <w:rPr>
          <w:rFonts w:ascii="Cambria" w:eastAsia="Times New Roman" w:hAnsi="Cambria"/>
          <w:lang w:val="en-GB" w:eastAsia="cs-CZ"/>
        </w:rPr>
        <w:t xml:space="preserve">, </w:t>
      </w:r>
      <w:r w:rsidR="00EE19EC" w:rsidRPr="00EE19EC">
        <w:rPr>
          <w:rFonts w:ascii="Cambria" w:eastAsia="Times New Roman" w:hAnsi="Cambria"/>
          <w:lang w:val="en-GB" w:eastAsia="cs-CZ"/>
        </w:rPr>
        <w:t>https://www.energypolicy.columbia.edu/sites/default/files/file-uploads/Oil%20Market%20Black%20Swans_CGEP_Commentary_040220.pdf</w:t>
      </w:r>
      <w:r w:rsidR="00EE19EC">
        <w:rPr>
          <w:rFonts w:ascii="Cambria" w:eastAsia="Times New Roman" w:hAnsi="Cambria"/>
          <w:lang w:val="en-GB" w:eastAsia="cs-CZ"/>
        </w:rPr>
        <w:t xml:space="preserve"> </w:t>
      </w:r>
      <w:r w:rsidR="00EE19EC" w:rsidRPr="001E0E83">
        <w:rPr>
          <w:rFonts w:ascii="Cambria" w:hAnsi="Cambria"/>
          <w:color w:val="000000" w:themeColor="text1"/>
          <w:shd w:val="clear" w:color="auto" w:fill="FFFFFF"/>
          <w:lang w:val="en-US"/>
        </w:rPr>
        <w:t>(</w:t>
      </w:r>
      <w:proofErr w:type="spellStart"/>
      <w:r w:rsidR="00EE19EC">
        <w:rPr>
          <w:rFonts w:ascii="Cambria" w:hAnsi="Cambria"/>
          <w:color w:val="000000" w:themeColor="text1"/>
          <w:shd w:val="clear" w:color="auto" w:fill="FFFFFF"/>
          <w:lang w:val="en-US"/>
        </w:rPr>
        <w:t>staženo</w:t>
      </w:r>
      <w:proofErr w:type="spellEnd"/>
      <w:r w:rsidR="00EE19EC">
        <w:rPr>
          <w:rFonts w:ascii="Cambria" w:hAnsi="Cambria"/>
          <w:color w:val="000000" w:themeColor="text1"/>
          <w:shd w:val="clear" w:color="auto" w:fill="FFFFFF"/>
          <w:lang w:val="en-US"/>
        </w:rPr>
        <w:t xml:space="preserve"> 19. </w:t>
      </w:r>
      <w:proofErr w:type="spellStart"/>
      <w:r w:rsidR="00EE19EC">
        <w:rPr>
          <w:rFonts w:ascii="Cambria" w:hAnsi="Cambria"/>
          <w:color w:val="000000" w:themeColor="text1"/>
          <w:shd w:val="clear" w:color="auto" w:fill="FFFFFF"/>
          <w:lang w:val="en-US"/>
        </w:rPr>
        <w:t>října</w:t>
      </w:r>
      <w:proofErr w:type="spellEnd"/>
      <w:r w:rsidR="00EE19EC">
        <w:rPr>
          <w:rFonts w:ascii="Cambria" w:hAnsi="Cambria"/>
          <w:color w:val="000000" w:themeColor="text1"/>
          <w:shd w:val="clear" w:color="auto" w:fill="FFFFFF"/>
          <w:lang w:val="en-US"/>
        </w:rPr>
        <w:t xml:space="preserve"> 2020</w:t>
      </w:r>
      <w:r w:rsidR="00EE19EC" w:rsidRPr="001E0E83">
        <w:rPr>
          <w:rFonts w:ascii="Cambria" w:hAnsi="Cambria"/>
          <w:color w:val="000000" w:themeColor="text1"/>
          <w:shd w:val="clear" w:color="auto" w:fill="FFFFFF"/>
          <w:lang w:val="en-US"/>
        </w:rPr>
        <w:t>)</w:t>
      </w:r>
      <w:r w:rsidR="00EE19EC">
        <w:rPr>
          <w:rFonts w:ascii="Cambria" w:hAnsi="Cambria"/>
          <w:color w:val="000000" w:themeColor="text1"/>
          <w:shd w:val="clear" w:color="auto" w:fill="FFFFFF"/>
          <w:lang w:val="en-US"/>
        </w:rPr>
        <w:t>.</w:t>
      </w:r>
    </w:p>
    <w:p w14:paraId="3619FB50" w14:textId="76B10373"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t>Mikhailova</w:t>
      </w:r>
      <w:proofErr w:type="spellEnd"/>
      <w:r w:rsidRPr="001E0E83">
        <w:rPr>
          <w:rFonts w:ascii="Cambria" w:hAnsi="Cambria"/>
          <w:color w:val="000000" w:themeColor="text1"/>
          <w:shd w:val="clear" w:color="auto" w:fill="FFFFFF"/>
          <w:lang w:val="en-US"/>
        </w:rPr>
        <w:t>, A. (2017):</w:t>
      </w:r>
      <w:r w:rsidR="00F13524" w:rsidRPr="00F13524">
        <w:rPr>
          <w:color w:val="000000" w:themeColor="text1"/>
          <w:shd w:val="clear" w:color="auto" w:fill="FFFFFF"/>
          <w:lang w:val="en-US"/>
        </w:rPr>
        <w:t xml:space="preserve"> </w:t>
      </w:r>
      <w:proofErr w:type="spellStart"/>
      <w:r w:rsidR="00F13524" w:rsidRPr="00593C75">
        <w:rPr>
          <w:color w:val="000000" w:themeColor="text1"/>
          <w:shd w:val="clear" w:color="auto" w:fill="FFFFFF"/>
          <w:lang w:val="en-US"/>
        </w:rPr>
        <w:t>Межбюджетные</w:t>
      </w:r>
      <w:proofErr w:type="spellEnd"/>
      <w:r w:rsidR="00F13524" w:rsidRPr="00593C75">
        <w:rPr>
          <w:color w:val="000000" w:themeColor="text1"/>
          <w:shd w:val="clear" w:color="auto" w:fill="FFFFFF"/>
          <w:lang w:val="en-US"/>
        </w:rPr>
        <w:t xml:space="preserve"> </w:t>
      </w:r>
      <w:proofErr w:type="spellStart"/>
      <w:r w:rsidR="00F13524" w:rsidRPr="00593C75">
        <w:rPr>
          <w:color w:val="000000" w:themeColor="text1"/>
          <w:shd w:val="clear" w:color="auto" w:fill="FFFFFF"/>
          <w:lang w:val="en-US"/>
        </w:rPr>
        <w:t>трансферты</w:t>
      </w:r>
      <w:proofErr w:type="spellEnd"/>
      <w:r w:rsidR="00F13524" w:rsidRPr="00593C75">
        <w:rPr>
          <w:color w:val="000000" w:themeColor="text1"/>
          <w:shd w:val="clear" w:color="auto" w:fill="FFFFFF"/>
          <w:lang w:val="en-US"/>
        </w:rPr>
        <w:t xml:space="preserve"> </w:t>
      </w:r>
      <w:proofErr w:type="spellStart"/>
      <w:r w:rsidR="00F13524" w:rsidRPr="00593C75">
        <w:rPr>
          <w:color w:val="000000" w:themeColor="text1"/>
          <w:shd w:val="clear" w:color="auto" w:fill="FFFFFF"/>
          <w:lang w:val="en-US"/>
        </w:rPr>
        <w:t>как</w:t>
      </w:r>
      <w:proofErr w:type="spellEnd"/>
      <w:r w:rsidR="00F13524" w:rsidRPr="00593C75">
        <w:rPr>
          <w:color w:val="000000" w:themeColor="text1"/>
          <w:shd w:val="clear" w:color="auto" w:fill="FFFFFF"/>
          <w:lang w:val="en-US"/>
        </w:rPr>
        <w:t xml:space="preserve"> </w:t>
      </w:r>
      <w:proofErr w:type="spellStart"/>
      <w:r w:rsidR="00F13524" w:rsidRPr="00593C75">
        <w:rPr>
          <w:color w:val="000000" w:themeColor="text1"/>
          <w:shd w:val="clear" w:color="auto" w:fill="FFFFFF"/>
          <w:lang w:val="en-US"/>
        </w:rPr>
        <w:t>механизм</w:t>
      </w:r>
      <w:proofErr w:type="spellEnd"/>
      <w:r w:rsidR="00F13524" w:rsidRPr="00593C75">
        <w:rPr>
          <w:color w:val="000000" w:themeColor="text1"/>
          <w:shd w:val="clear" w:color="auto" w:fill="FFFFFF"/>
          <w:lang w:val="en-US"/>
        </w:rPr>
        <w:t xml:space="preserve"> </w:t>
      </w:r>
      <w:proofErr w:type="spellStart"/>
      <w:r w:rsidR="00F13524" w:rsidRPr="00593C75">
        <w:rPr>
          <w:color w:val="000000" w:themeColor="text1"/>
          <w:shd w:val="clear" w:color="auto" w:fill="FFFFFF"/>
          <w:lang w:val="en-US"/>
        </w:rPr>
        <w:t>стимулирования</w:t>
      </w:r>
      <w:proofErr w:type="spellEnd"/>
      <w:r w:rsidR="00F13524" w:rsidRPr="00593C75">
        <w:rPr>
          <w:color w:val="000000" w:themeColor="text1"/>
          <w:shd w:val="clear" w:color="auto" w:fill="FFFFFF"/>
          <w:lang w:val="en-US"/>
        </w:rPr>
        <w:t xml:space="preserve"> </w:t>
      </w:r>
      <w:proofErr w:type="spellStart"/>
      <w:r w:rsidR="00F13524" w:rsidRPr="00593C75">
        <w:rPr>
          <w:color w:val="000000" w:themeColor="text1"/>
          <w:shd w:val="clear" w:color="auto" w:fill="FFFFFF"/>
          <w:lang w:val="en-US"/>
        </w:rPr>
        <w:t>роста</w:t>
      </w:r>
      <w:proofErr w:type="spellEnd"/>
      <w:r w:rsidR="00F13524" w:rsidRPr="00593C75">
        <w:rPr>
          <w:color w:val="000000" w:themeColor="text1"/>
          <w:shd w:val="clear" w:color="auto" w:fill="FFFFFF"/>
          <w:lang w:val="en-US"/>
        </w:rPr>
        <w:t xml:space="preserve"> </w:t>
      </w:r>
      <w:proofErr w:type="spellStart"/>
      <w:r w:rsidR="00F13524" w:rsidRPr="00593C75">
        <w:rPr>
          <w:color w:val="000000" w:themeColor="text1"/>
          <w:shd w:val="clear" w:color="auto" w:fill="FFFFFF"/>
          <w:lang w:val="en-US"/>
        </w:rPr>
        <w:t>экономики</w:t>
      </w:r>
      <w:proofErr w:type="spellEnd"/>
      <w:r w:rsidR="00F13524" w:rsidRPr="00593C75">
        <w:rPr>
          <w:color w:val="000000" w:themeColor="text1"/>
          <w:shd w:val="clear" w:color="auto" w:fill="FFFFFF"/>
          <w:lang w:val="en-US"/>
        </w:rPr>
        <w:t xml:space="preserve"> </w:t>
      </w:r>
      <w:proofErr w:type="spellStart"/>
      <w:r w:rsidR="00F13524" w:rsidRPr="00593C75">
        <w:rPr>
          <w:color w:val="000000" w:themeColor="text1"/>
          <w:shd w:val="clear" w:color="auto" w:fill="FFFFFF"/>
          <w:lang w:val="en-US"/>
        </w:rPr>
        <w:t>регионов</w:t>
      </w:r>
      <w:proofErr w:type="spellEnd"/>
      <w:r w:rsidR="00F13524" w:rsidRPr="00593C75">
        <w:rPr>
          <w:color w:val="000000" w:themeColor="text1"/>
          <w:shd w:val="clear" w:color="auto" w:fill="FFFFFF"/>
          <w:lang w:val="en-US"/>
        </w:rPr>
        <w:t xml:space="preserve">. </w:t>
      </w:r>
      <w:r w:rsidRPr="001E0E83">
        <w:rPr>
          <w:rFonts w:ascii="Cambria" w:hAnsi="Cambria"/>
          <w:i/>
          <w:color w:val="000000" w:themeColor="text1"/>
          <w:shd w:val="clear" w:color="auto" w:fill="FFFFFF"/>
          <w:lang w:val="en-US"/>
        </w:rPr>
        <w:t>Financial Journal</w:t>
      </w:r>
      <w:r w:rsidRPr="001E0E83">
        <w:rPr>
          <w:rFonts w:ascii="Cambria" w:hAnsi="Cambria"/>
          <w:color w:val="000000" w:themeColor="text1"/>
          <w:shd w:val="clear" w:color="auto" w:fill="FFFFFF"/>
          <w:lang w:val="en-US"/>
        </w:rPr>
        <w:t>,</w:t>
      </w:r>
      <w:r w:rsidR="00EE19EC">
        <w:rPr>
          <w:rFonts w:ascii="Cambria" w:hAnsi="Cambria"/>
          <w:color w:val="000000" w:themeColor="text1"/>
          <w:shd w:val="clear" w:color="auto" w:fill="FFFFFF"/>
          <w:lang w:val="en-US"/>
        </w:rPr>
        <w:t xml:space="preserve"> No. </w:t>
      </w:r>
      <w:r w:rsidRPr="001E0E83">
        <w:rPr>
          <w:rFonts w:ascii="Cambria" w:hAnsi="Cambria"/>
          <w:color w:val="000000" w:themeColor="text1"/>
          <w:shd w:val="clear" w:color="auto" w:fill="FFFFFF"/>
          <w:lang w:val="en-US"/>
        </w:rPr>
        <w:t xml:space="preserve"> 3, 49–56.</w:t>
      </w:r>
    </w:p>
    <w:p w14:paraId="1DCB0E72" w14:textId="0114349E"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Ministry of Finance of the Russian Federation (2020): </w:t>
      </w:r>
      <w:proofErr w:type="spellStart"/>
      <w:r w:rsidRPr="001E0E83">
        <w:rPr>
          <w:rFonts w:ascii="Cambria" w:hAnsi="Cambria"/>
          <w:color w:val="000000" w:themeColor="text1"/>
          <w:shd w:val="clear" w:color="auto" w:fill="FFFFFF"/>
          <w:lang w:val="en-US"/>
        </w:rPr>
        <w:t>Объем</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Фонда</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национального</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благосостояния</w:t>
      </w:r>
      <w:proofErr w:type="spellEnd"/>
      <w:r w:rsidRPr="001E0E83">
        <w:rPr>
          <w:rFonts w:ascii="Cambria" w:hAnsi="Cambria"/>
          <w:color w:val="000000" w:themeColor="text1"/>
          <w:shd w:val="clear" w:color="auto" w:fill="FFFFFF"/>
          <w:lang w:val="en-US"/>
        </w:rPr>
        <w:t xml:space="preserve">, Ministry of Finance of the Russian Federation, </w:t>
      </w:r>
      <w:hyperlink r:id="rId38" w:history="1">
        <w:r w:rsidRPr="001E0E83">
          <w:rPr>
            <w:rFonts w:ascii="Cambria" w:hAnsi="Cambria"/>
            <w:color w:val="000000" w:themeColor="text1"/>
            <w:shd w:val="clear" w:color="auto" w:fill="FFFFFF"/>
            <w:lang w:val="en-US"/>
          </w:rPr>
          <w:t>https://minfin.gov.ru/ru/perfomance/nationalwealthfund/statistics/?id_65=27068-obem_fonda_natsionalnogo_blagosostoyaniya</w:t>
        </w:r>
      </w:hyperlink>
      <w:r w:rsidRPr="001E0E83">
        <w:rPr>
          <w:rFonts w:ascii="Cambria" w:hAnsi="Cambria"/>
          <w:color w:val="000000" w:themeColor="text1"/>
          <w:shd w:val="clear" w:color="auto" w:fill="FFFFFF"/>
          <w:lang w:val="en-US"/>
        </w:rPr>
        <w:t xml:space="preserve"> </w:t>
      </w:r>
      <w:r w:rsidR="00F13524" w:rsidRPr="001E0E83">
        <w:rPr>
          <w:rFonts w:ascii="Cambria" w:hAnsi="Cambria"/>
          <w:color w:val="000000" w:themeColor="text1"/>
          <w:shd w:val="clear" w:color="auto" w:fill="FFFFFF"/>
          <w:lang w:val="en-US"/>
        </w:rPr>
        <w:t>(</w:t>
      </w:r>
      <w:proofErr w:type="spellStart"/>
      <w:r w:rsidR="00F13524">
        <w:rPr>
          <w:rFonts w:ascii="Cambria" w:hAnsi="Cambria"/>
          <w:color w:val="000000" w:themeColor="text1"/>
          <w:shd w:val="clear" w:color="auto" w:fill="FFFFFF"/>
          <w:lang w:val="en-US"/>
        </w:rPr>
        <w:t>staženo</w:t>
      </w:r>
      <w:proofErr w:type="spellEnd"/>
      <w:r w:rsidR="00F13524">
        <w:rPr>
          <w:rFonts w:ascii="Cambria" w:hAnsi="Cambria"/>
          <w:color w:val="000000" w:themeColor="text1"/>
          <w:shd w:val="clear" w:color="auto" w:fill="FFFFFF"/>
          <w:lang w:val="en-US"/>
        </w:rPr>
        <w:t xml:space="preserve"> 19. </w:t>
      </w:r>
      <w:proofErr w:type="spellStart"/>
      <w:r w:rsidR="00F13524">
        <w:rPr>
          <w:rFonts w:ascii="Cambria" w:hAnsi="Cambria"/>
          <w:color w:val="000000" w:themeColor="text1"/>
          <w:shd w:val="clear" w:color="auto" w:fill="FFFFFF"/>
          <w:lang w:val="en-US"/>
        </w:rPr>
        <w:t>října</w:t>
      </w:r>
      <w:proofErr w:type="spellEnd"/>
      <w:r w:rsidR="00F13524">
        <w:rPr>
          <w:rFonts w:ascii="Cambria" w:hAnsi="Cambria"/>
          <w:color w:val="000000" w:themeColor="text1"/>
          <w:shd w:val="clear" w:color="auto" w:fill="FFFFFF"/>
          <w:lang w:val="en-US"/>
        </w:rPr>
        <w:t xml:space="preserve"> 2020</w:t>
      </w:r>
      <w:r w:rsidRPr="001E0E83">
        <w:rPr>
          <w:rFonts w:ascii="Cambria" w:hAnsi="Cambria"/>
          <w:color w:val="000000" w:themeColor="text1"/>
          <w:shd w:val="clear" w:color="auto" w:fill="FFFFFF"/>
          <w:lang w:val="en-US"/>
        </w:rPr>
        <w:t>).</w:t>
      </w:r>
    </w:p>
    <w:p w14:paraId="11F5FD50" w14:textId="77777777"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t>Mitrova</w:t>
      </w:r>
      <w:proofErr w:type="spellEnd"/>
      <w:r w:rsidRPr="001E0E83">
        <w:rPr>
          <w:rFonts w:ascii="Cambria" w:hAnsi="Cambria"/>
          <w:color w:val="000000" w:themeColor="text1"/>
          <w:shd w:val="clear" w:color="auto" w:fill="FFFFFF"/>
          <w:lang w:val="en-US"/>
        </w:rPr>
        <w:t xml:space="preserve">, T. – </w:t>
      </w:r>
      <w:proofErr w:type="spellStart"/>
      <w:r w:rsidRPr="001E0E83">
        <w:rPr>
          <w:rFonts w:ascii="Cambria" w:hAnsi="Cambria"/>
          <w:color w:val="000000" w:themeColor="text1"/>
          <w:shd w:val="clear" w:color="auto" w:fill="FFFFFF"/>
          <w:lang w:val="en-US"/>
        </w:rPr>
        <w:t>Kapitonov</w:t>
      </w:r>
      <w:proofErr w:type="spellEnd"/>
      <w:r w:rsidRPr="001E0E83">
        <w:rPr>
          <w:rFonts w:ascii="Cambria" w:hAnsi="Cambria"/>
          <w:color w:val="000000" w:themeColor="text1"/>
          <w:shd w:val="clear" w:color="auto" w:fill="FFFFFF"/>
          <w:lang w:val="en-US"/>
        </w:rPr>
        <w:t xml:space="preserve">, S. – Melnikov, Y. – </w:t>
      </w:r>
      <w:proofErr w:type="spellStart"/>
      <w:r w:rsidRPr="001E0E83">
        <w:rPr>
          <w:rFonts w:ascii="Cambria" w:hAnsi="Cambria"/>
          <w:color w:val="000000" w:themeColor="text1"/>
          <w:shd w:val="clear" w:color="auto" w:fill="FFFFFF"/>
          <w:lang w:val="en-US"/>
        </w:rPr>
        <w:t>Grushevenko</w:t>
      </w:r>
      <w:proofErr w:type="spellEnd"/>
      <w:r w:rsidRPr="001E0E83">
        <w:rPr>
          <w:rFonts w:ascii="Cambria" w:hAnsi="Cambria"/>
          <w:color w:val="000000" w:themeColor="text1"/>
          <w:shd w:val="clear" w:color="auto" w:fill="FFFFFF"/>
          <w:lang w:val="en-US"/>
        </w:rPr>
        <w:t xml:space="preserve">, E. – </w:t>
      </w:r>
      <w:proofErr w:type="spellStart"/>
      <w:r w:rsidRPr="001E0E83">
        <w:rPr>
          <w:rFonts w:ascii="Cambria" w:hAnsi="Cambria"/>
          <w:color w:val="000000" w:themeColor="text1"/>
          <w:shd w:val="clear" w:color="auto" w:fill="FFFFFF"/>
          <w:lang w:val="en-US"/>
        </w:rPr>
        <w:t>Perdereau</w:t>
      </w:r>
      <w:proofErr w:type="spellEnd"/>
      <w:r w:rsidRPr="001E0E83">
        <w:rPr>
          <w:rFonts w:ascii="Cambria" w:hAnsi="Cambria"/>
          <w:color w:val="000000" w:themeColor="text1"/>
          <w:shd w:val="clear" w:color="auto" w:fill="FFFFFF"/>
          <w:lang w:val="en-US"/>
        </w:rPr>
        <w:t xml:space="preserve">, A. – </w:t>
      </w:r>
      <w:proofErr w:type="spellStart"/>
      <w:r w:rsidRPr="001E0E83">
        <w:rPr>
          <w:rFonts w:ascii="Cambria" w:hAnsi="Cambria"/>
          <w:color w:val="000000" w:themeColor="text1"/>
          <w:shd w:val="clear" w:color="auto" w:fill="FFFFFF"/>
          <w:lang w:val="en-US"/>
        </w:rPr>
        <w:t>Dobroslavski</w:t>
      </w:r>
      <w:proofErr w:type="spellEnd"/>
      <w:r w:rsidRPr="001E0E83">
        <w:rPr>
          <w:rFonts w:ascii="Cambria" w:hAnsi="Cambria"/>
          <w:color w:val="000000" w:themeColor="text1"/>
          <w:shd w:val="clear" w:color="auto" w:fill="FFFFFF"/>
          <w:lang w:val="en-US"/>
        </w:rPr>
        <w:t xml:space="preserve">, N. (2020a): </w:t>
      </w:r>
      <w:proofErr w:type="spellStart"/>
      <w:r w:rsidRPr="001E0E83">
        <w:rPr>
          <w:rFonts w:ascii="Cambria" w:hAnsi="Cambria"/>
          <w:color w:val="000000" w:themeColor="text1"/>
          <w:shd w:val="clear" w:color="auto" w:fill="FFFFFF"/>
          <w:lang w:val="en-US"/>
        </w:rPr>
        <w:t>Коронакризис</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влияние</w:t>
      </w:r>
      <w:proofErr w:type="spellEnd"/>
      <w:r w:rsidRPr="001E0E83">
        <w:rPr>
          <w:rFonts w:ascii="Cambria" w:hAnsi="Cambria"/>
          <w:color w:val="000000" w:themeColor="text1"/>
          <w:shd w:val="clear" w:color="auto" w:fill="FFFFFF"/>
          <w:lang w:val="en-US"/>
        </w:rPr>
        <w:t xml:space="preserve"> COVID-19 </w:t>
      </w:r>
      <w:proofErr w:type="spellStart"/>
      <w:r w:rsidRPr="001E0E83">
        <w:rPr>
          <w:rFonts w:ascii="Cambria" w:hAnsi="Cambria"/>
          <w:color w:val="000000" w:themeColor="text1"/>
          <w:shd w:val="clear" w:color="auto" w:fill="FFFFFF"/>
          <w:lang w:val="en-US"/>
        </w:rPr>
        <w:t>на</w:t>
      </w:r>
      <w:proofErr w:type="spellEnd"/>
      <w:r w:rsidRPr="001E0E83">
        <w:rPr>
          <w:rFonts w:ascii="Cambria" w:hAnsi="Cambria"/>
          <w:color w:val="000000" w:themeColor="text1"/>
          <w:shd w:val="clear" w:color="auto" w:fill="FFFFFF"/>
          <w:lang w:val="en-US"/>
        </w:rPr>
        <w:t xml:space="preserve"> ТЭК в </w:t>
      </w:r>
      <w:proofErr w:type="spellStart"/>
      <w:r w:rsidRPr="001E0E83">
        <w:rPr>
          <w:rFonts w:ascii="Cambria" w:hAnsi="Cambria"/>
          <w:color w:val="000000" w:themeColor="text1"/>
          <w:shd w:val="clear" w:color="auto" w:fill="FFFFFF"/>
          <w:lang w:val="en-US"/>
        </w:rPr>
        <w:t>мире</w:t>
      </w:r>
      <w:proofErr w:type="spellEnd"/>
      <w:r w:rsidRPr="001E0E83">
        <w:rPr>
          <w:rFonts w:ascii="Cambria" w:hAnsi="Cambria"/>
          <w:color w:val="000000" w:themeColor="text1"/>
          <w:shd w:val="clear" w:color="auto" w:fill="FFFFFF"/>
          <w:lang w:val="en-US"/>
        </w:rPr>
        <w:t xml:space="preserve"> и в </w:t>
      </w:r>
      <w:proofErr w:type="spellStart"/>
      <w:r w:rsidRPr="001E0E83">
        <w:rPr>
          <w:rFonts w:ascii="Cambria" w:hAnsi="Cambria"/>
          <w:color w:val="000000" w:themeColor="text1"/>
          <w:shd w:val="clear" w:color="auto" w:fill="FFFFFF"/>
          <w:lang w:val="en-US"/>
        </w:rPr>
        <w:t>России</w:t>
      </w:r>
      <w:proofErr w:type="spellEnd"/>
      <w:r w:rsidRPr="001E0E83">
        <w:rPr>
          <w:rFonts w:ascii="Cambria" w:hAnsi="Cambria"/>
          <w:color w:val="000000" w:themeColor="text1"/>
          <w:shd w:val="clear" w:color="auto" w:fill="FFFFFF"/>
          <w:lang w:val="en-US"/>
        </w:rPr>
        <w:t>. Moscow: SKOLKOVO Energy Centre.</w:t>
      </w:r>
    </w:p>
    <w:p w14:paraId="2503ADFF" w14:textId="77777777" w:rsidR="00593C75" w:rsidRPr="001E0E83" w:rsidRDefault="00593C75" w:rsidP="001E0E83">
      <w:pPr>
        <w:spacing w:after="100" w:afterAutospacing="1" w:line="240" w:lineRule="auto"/>
        <w:ind w:left="708" w:hanging="708"/>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t>Mitrova</w:t>
      </w:r>
      <w:proofErr w:type="spellEnd"/>
      <w:r w:rsidRPr="001E0E83">
        <w:rPr>
          <w:rFonts w:ascii="Cambria" w:hAnsi="Cambria"/>
          <w:color w:val="000000" w:themeColor="text1"/>
          <w:shd w:val="clear" w:color="auto" w:fill="FFFFFF"/>
          <w:lang w:val="en-US"/>
        </w:rPr>
        <w:t xml:space="preserve">, T. – </w:t>
      </w:r>
      <w:proofErr w:type="spellStart"/>
      <w:r w:rsidRPr="001E0E83">
        <w:rPr>
          <w:rFonts w:ascii="Cambria" w:hAnsi="Cambria"/>
          <w:color w:val="000000" w:themeColor="text1"/>
          <w:shd w:val="clear" w:color="auto" w:fill="FFFFFF"/>
          <w:lang w:val="en-US"/>
        </w:rPr>
        <w:t>Kapitonov</w:t>
      </w:r>
      <w:proofErr w:type="spellEnd"/>
      <w:r w:rsidRPr="001E0E83">
        <w:rPr>
          <w:rFonts w:ascii="Cambria" w:hAnsi="Cambria"/>
          <w:color w:val="000000" w:themeColor="text1"/>
          <w:shd w:val="clear" w:color="auto" w:fill="FFFFFF"/>
          <w:lang w:val="en-US"/>
        </w:rPr>
        <w:t xml:space="preserve">, S. – Melnikov, Y. – </w:t>
      </w:r>
      <w:proofErr w:type="spellStart"/>
      <w:r w:rsidRPr="001E0E83">
        <w:rPr>
          <w:rFonts w:ascii="Cambria" w:hAnsi="Cambria"/>
          <w:color w:val="000000" w:themeColor="text1"/>
          <w:shd w:val="clear" w:color="auto" w:fill="FFFFFF"/>
          <w:lang w:val="en-US"/>
        </w:rPr>
        <w:t>Grushevenko</w:t>
      </w:r>
      <w:proofErr w:type="spellEnd"/>
      <w:r w:rsidRPr="001E0E83">
        <w:rPr>
          <w:rFonts w:ascii="Cambria" w:hAnsi="Cambria"/>
          <w:color w:val="000000" w:themeColor="text1"/>
          <w:shd w:val="clear" w:color="auto" w:fill="FFFFFF"/>
          <w:lang w:val="en-US"/>
        </w:rPr>
        <w:t xml:space="preserve">, E. – </w:t>
      </w:r>
      <w:proofErr w:type="spellStart"/>
      <w:r w:rsidRPr="001E0E83">
        <w:rPr>
          <w:rFonts w:ascii="Cambria" w:hAnsi="Cambria"/>
          <w:color w:val="000000" w:themeColor="text1"/>
          <w:shd w:val="clear" w:color="auto" w:fill="FFFFFF"/>
          <w:lang w:val="en-US"/>
        </w:rPr>
        <w:t>Perdereau</w:t>
      </w:r>
      <w:proofErr w:type="spellEnd"/>
      <w:r w:rsidRPr="001E0E83">
        <w:rPr>
          <w:rFonts w:ascii="Cambria" w:hAnsi="Cambria"/>
          <w:color w:val="000000" w:themeColor="text1"/>
          <w:shd w:val="clear" w:color="auto" w:fill="FFFFFF"/>
          <w:lang w:val="en-US"/>
        </w:rPr>
        <w:t xml:space="preserve">, A. – </w:t>
      </w:r>
      <w:proofErr w:type="spellStart"/>
      <w:r w:rsidRPr="001E0E83">
        <w:rPr>
          <w:rFonts w:ascii="Cambria" w:hAnsi="Cambria"/>
          <w:color w:val="000000" w:themeColor="text1"/>
          <w:shd w:val="clear" w:color="auto" w:fill="FFFFFF"/>
          <w:lang w:val="en-US"/>
        </w:rPr>
        <w:t>Dobroslavski</w:t>
      </w:r>
      <w:proofErr w:type="spellEnd"/>
      <w:r w:rsidRPr="001E0E83">
        <w:rPr>
          <w:rFonts w:ascii="Cambria" w:hAnsi="Cambria"/>
          <w:color w:val="000000" w:themeColor="text1"/>
          <w:shd w:val="clear" w:color="auto" w:fill="FFFFFF"/>
          <w:lang w:val="en-US"/>
        </w:rPr>
        <w:t>, N. (2020b): Global Climatic Threat and Russian economy: Searching for the way. Moscow: SKOLKOVO Energy Centre.</w:t>
      </w:r>
    </w:p>
    <w:p w14:paraId="1936D180" w14:textId="7F33483E"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Narayan, P. K. (2020): Oil price news and COVID-19-Is there any connection? </w:t>
      </w:r>
      <w:r w:rsidRPr="001E0E83">
        <w:rPr>
          <w:rFonts w:ascii="Cambria" w:eastAsia="Times New Roman" w:hAnsi="Cambria"/>
          <w:i/>
          <w:lang w:val="en-GB" w:eastAsia="cs-CZ"/>
        </w:rPr>
        <w:t>Energy Research Letters</w:t>
      </w:r>
      <w:r w:rsidRPr="001E0E83">
        <w:rPr>
          <w:rFonts w:ascii="Cambria" w:eastAsia="Times New Roman" w:hAnsi="Cambria"/>
          <w:lang w:val="en-GB" w:eastAsia="cs-CZ"/>
        </w:rPr>
        <w:t>, 1(1). https://doi.org/10.46557/001c.13176</w:t>
      </w:r>
      <w:r w:rsidR="00F13524">
        <w:rPr>
          <w:rFonts w:ascii="Cambria" w:eastAsia="Times New Roman" w:hAnsi="Cambria"/>
          <w:lang w:val="en-GB" w:eastAsia="cs-CZ"/>
        </w:rPr>
        <w:t>.</w:t>
      </w:r>
    </w:p>
    <w:p w14:paraId="670FE860" w14:textId="73E15AAD" w:rsidR="00593C75" w:rsidRPr="001E0E83" w:rsidRDefault="00593C75" w:rsidP="001E0E83">
      <w:pPr>
        <w:spacing w:after="100" w:afterAutospacing="1" w:line="240" w:lineRule="auto"/>
        <w:ind w:left="709" w:hanging="709"/>
        <w:rPr>
          <w:rFonts w:ascii="Cambria" w:eastAsia="Times New Roman" w:hAnsi="Cambria"/>
          <w:lang w:val="en-GB" w:eastAsia="cs-CZ"/>
        </w:rPr>
      </w:pPr>
      <w:proofErr w:type="spellStart"/>
      <w:r w:rsidRPr="001E0E83">
        <w:rPr>
          <w:rFonts w:ascii="Cambria" w:eastAsia="Times New Roman" w:hAnsi="Cambria"/>
          <w:lang w:val="en-GB" w:eastAsia="cs-CZ"/>
        </w:rPr>
        <w:t>Nazlioglu</w:t>
      </w:r>
      <w:proofErr w:type="spellEnd"/>
      <w:r w:rsidRPr="001E0E83">
        <w:rPr>
          <w:rFonts w:ascii="Cambria" w:eastAsia="Times New Roman" w:hAnsi="Cambria"/>
          <w:lang w:val="en-GB" w:eastAsia="cs-CZ"/>
        </w:rPr>
        <w:t xml:space="preserve">, S. – </w:t>
      </w:r>
      <w:proofErr w:type="spellStart"/>
      <w:r w:rsidRPr="001E0E83">
        <w:rPr>
          <w:rFonts w:ascii="Cambria" w:eastAsia="Times New Roman" w:hAnsi="Cambria"/>
          <w:lang w:val="en-GB" w:eastAsia="cs-CZ"/>
        </w:rPr>
        <w:t>Soytas</w:t>
      </w:r>
      <w:proofErr w:type="spellEnd"/>
      <w:r w:rsidRPr="001E0E83">
        <w:rPr>
          <w:rFonts w:ascii="Cambria" w:eastAsia="Times New Roman" w:hAnsi="Cambria"/>
          <w:lang w:val="en-GB" w:eastAsia="cs-CZ"/>
        </w:rPr>
        <w:t xml:space="preserve">, U. – Gupta, R. (2015): Oil prices and financial stress: A volatility </w:t>
      </w:r>
      <w:proofErr w:type="spellStart"/>
      <w:r w:rsidRPr="001E0E83">
        <w:rPr>
          <w:rFonts w:ascii="Cambria" w:eastAsia="Times New Roman" w:hAnsi="Cambria"/>
          <w:lang w:val="en-GB" w:eastAsia="cs-CZ"/>
        </w:rPr>
        <w:t>spillover</w:t>
      </w:r>
      <w:proofErr w:type="spellEnd"/>
      <w:r w:rsidRPr="001E0E83">
        <w:rPr>
          <w:rFonts w:ascii="Cambria" w:eastAsia="Times New Roman" w:hAnsi="Cambria"/>
          <w:lang w:val="en-GB" w:eastAsia="cs-CZ"/>
        </w:rPr>
        <w:t xml:space="preserve"> analysis. </w:t>
      </w:r>
      <w:r w:rsidRPr="001E0E83">
        <w:rPr>
          <w:rFonts w:ascii="Cambria" w:eastAsia="Times New Roman" w:hAnsi="Cambria"/>
          <w:i/>
          <w:lang w:val="en-GB" w:eastAsia="cs-CZ"/>
        </w:rPr>
        <w:t>Energy Policy</w:t>
      </w:r>
      <w:r w:rsidRPr="001E0E83">
        <w:rPr>
          <w:rFonts w:ascii="Cambria" w:eastAsia="Times New Roman" w:hAnsi="Cambria"/>
          <w:lang w:val="en-GB" w:eastAsia="cs-CZ"/>
        </w:rPr>
        <w:t>, 82, 278–288.</w:t>
      </w:r>
    </w:p>
    <w:p w14:paraId="685292A6" w14:textId="32429150" w:rsidR="00593C75" w:rsidRPr="001E0E83" w:rsidRDefault="00593C75" w:rsidP="001E0E83">
      <w:pPr>
        <w:spacing w:after="100" w:afterAutospacing="1" w:line="240" w:lineRule="auto"/>
        <w:ind w:left="709" w:hanging="709"/>
        <w:rPr>
          <w:rFonts w:ascii="Cambria" w:eastAsia="Times New Roman" w:hAnsi="Cambria"/>
          <w:lang w:val="en-GB" w:eastAsia="cs-CZ"/>
        </w:rPr>
      </w:pPr>
      <w:proofErr w:type="spellStart"/>
      <w:r w:rsidRPr="001E0E83">
        <w:rPr>
          <w:rFonts w:ascii="Cambria" w:eastAsia="Times New Roman" w:hAnsi="Cambria"/>
          <w:lang w:val="en-GB" w:eastAsia="cs-CZ"/>
        </w:rPr>
        <w:t>Nyangarika</w:t>
      </w:r>
      <w:proofErr w:type="spellEnd"/>
      <w:r w:rsidRPr="001E0E83">
        <w:rPr>
          <w:rFonts w:ascii="Cambria" w:eastAsia="Times New Roman" w:hAnsi="Cambria"/>
          <w:lang w:val="en-GB" w:eastAsia="cs-CZ"/>
        </w:rPr>
        <w:t xml:space="preserve">, A. M. – </w:t>
      </w:r>
      <w:proofErr w:type="spellStart"/>
      <w:r w:rsidRPr="001E0E83">
        <w:rPr>
          <w:rFonts w:ascii="Cambria" w:eastAsia="Times New Roman" w:hAnsi="Cambria"/>
          <w:lang w:val="en-GB" w:eastAsia="cs-CZ"/>
        </w:rPr>
        <w:t>Mikhaylov</w:t>
      </w:r>
      <w:proofErr w:type="spellEnd"/>
      <w:r w:rsidRPr="001E0E83">
        <w:rPr>
          <w:rFonts w:ascii="Cambria" w:eastAsia="Times New Roman" w:hAnsi="Cambria"/>
          <w:lang w:val="en-GB" w:eastAsia="cs-CZ"/>
        </w:rPr>
        <w:t>, A. Y. – Tang, B. (2018): Correlation of Oil Prices and Gross Domestic Product in Oil Producing Countries</w:t>
      </w:r>
      <w:r w:rsidR="00F13524">
        <w:rPr>
          <w:rFonts w:ascii="Cambria" w:eastAsia="Times New Roman" w:hAnsi="Cambria"/>
          <w:lang w:val="en-GB" w:eastAsia="cs-CZ"/>
        </w:rPr>
        <w:t>.</w:t>
      </w:r>
      <w:r w:rsidRPr="001E0E83">
        <w:rPr>
          <w:rFonts w:ascii="Cambria" w:eastAsia="Times New Roman" w:hAnsi="Cambria"/>
          <w:lang w:val="en-GB" w:eastAsia="cs-CZ"/>
        </w:rPr>
        <w:t xml:space="preserve"> </w:t>
      </w:r>
      <w:r w:rsidRPr="001E0E83">
        <w:rPr>
          <w:rFonts w:ascii="Cambria" w:eastAsia="Times New Roman" w:hAnsi="Cambria"/>
          <w:i/>
          <w:lang w:val="en-GB" w:eastAsia="cs-CZ"/>
        </w:rPr>
        <w:t>International Journal of Energy Economics and Policy</w:t>
      </w:r>
      <w:r w:rsidRPr="001E0E83">
        <w:rPr>
          <w:rFonts w:ascii="Cambria" w:eastAsia="Times New Roman" w:hAnsi="Cambria"/>
          <w:lang w:val="en-GB" w:eastAsia="cs-CZ"/>
        </w:rPr>
        <w:t>, 8(5), 42-48.</w:t>
      </w:r>
    </w:p>
    <w:p w14:paraId="42D0DA19" w14:textId="53158BE6" w:rsidR="00593C75" w:rsidRPr="001E0E83" w:rsidRDefault="00593C75" w:rsidP="001E0E83">
      <w:pPr>
        <w:spacing w:after="100" w:afterAutospacing="1" w:line="240" w:lineRule="auto"/>
        <w:ind w:left="709" w:hanging="709"/>
        <w:rPr>
          <w:rStyle w:val="Datum1"/>
          <w:rFonts w:ascii="Cambria" w:hAnsi="Cambria"/>
        </w:rPr>
      </w:pPr>
      <w:proofErr w:type="spellStart"/>
      <w:r w:rsidRPr="001E0E83">
        <w:rPr>
          <w:rStyle w:val="author"/>
          <w:rFonts w:ascii="Cambria" w:hAnsi="Cambria"/>
        </w:rPr>
        <w:t>O'Byrne</w:t>
      </w:r>
      <w:proofErr w:type="spellEnd"/>
      <w:r w:rsidRPr="001E0E83">
        <w:rPr>
          <w:rStyle w:val="author"/>
          <w:rFonts w:ascii="Cambria" w:hAnsi="Cambria"/>
        </w:rPr>
        <w:t xml:space="preserve">, David (2020): </w:t>
      </w:r>
      <w:proofErr w:type="spellStart"/>
      <w:r w:rsidRPr="001E0E83">
        <w:rPr>
          <w:rStyle w:val="author"/>
          <w:rFonts w:ascii="Cambria" w:hAnsi="Cambria"/>
        </w:rPr>
        <w:t>Azerbaijan</w:t>
      </w:r>
      <w:proofErr w:type="spellEnd"/>
      <w:r w:rsidRPr="001E0E83">
        <w:rPr>
          <w:rStyle w:val="author"/>
          <w:rFonts w:ascii="Cambria" w:hAnsi="Cambria"/>
        </w:rPr>
        <w:t xml:space="preserve"> </w:t>
      </w:r>
      <w:proofErr w:type="spellStart"/>
      <w:r w:rsidRPr="001E0E83">
        <w:rPr>
          <w:rStyle w:val="author"/>
          <w:rFonts w:ascii="Cambria" w:hAnsi="Cambria"/>
        </w:rPr>
        <w:t>looks</w:t>
      </w:r>
      <w:proofErr w:type="spellEnd"/>
      <w:r w:rsidRPr="001E0E83">
        <w:rPr>
          <w:rStyle w:val="author"/>
          <w:rFonts w:ascii="Cambria" w:hAnsi="Cambria"/>
        </w:rPr>
        <w:t xml:space="preserve"> to </w:t>
      </w:r>
      <w:proofErr w:type="spellStart"/>
      <w:r w:rsidRPr="001E0E83">
        <w:rPr>
          <w:rStyle w:val="author"/>
          <w:rFonts w:ascii="Cambria" w:hAnsi="Cambria"/>
        </w:rPr>
        <w:t>renewables</w:t>
      </w:r>
      <w:proofErr w:type="spellEnd"/>
      <w:r w:rsidRPr="001E0E83">
        <w:rPr>
          <w:rStyle w:val="author"/>
          <w:rFonts w:ascii="Cambria" w:hAnsi="Cambria"/>
        </w:rPr>
        <w:t xml:space="preserve"> to </w:t>
      </w:r>
      <w:proofErr w:type="spellStart"/>
      <w:r w:rsidRPr="001E0E83">
        <w:rPr>
          <w:rStyle w:val="author"/>
          <w:rFonts w:ascii="Cambria" w:hAnsi="Cambria"/>
        </w:rPr>
        <w:t>meet</w:t>
      </w:r>
      <w:proofErr w:type="spellEnd"/>
      <w:r w:rsidRPr="001E0E83">
        <w:rPr>
          <w:rStyle w:val="author"/>
          <w:rFonts w:ascii="Cambria" w:hAnsi="Cambria"/>
        </w:rPr>
        <w:t xml:space="preserve"> </w:t>
      </w:r>
      <w:proofErr w:type="spellStart"/>
      <w:r w:rsidRPr="001E0E83">
        <w:rPr>
          <w:rStyle w:val="author"/>
          <w:rFonts w:ascii="Cambria" w:hAnsi="Cambria"/>
        </w:rPr>
        <w:t>growing</w:t>
      </w:r>
      <w:proofErr w:type="spellEnd"/>
      <w:r w:rsidRPr="001E0E83">
        <w:rPr>
          <w:rStyle w:val="author"/>
          <w:rFonts w:ascii="Cambria" w:hAnsi="Cambria"/>
        </w:rPr>
        <w:t xml:space="preserve"> </w:t>
      </w:r>
      <w:proofErr w:type="spellStart"/>
      <w:r w:rsidRPr="001E0E83">
        <w:rPr>
          <w:rStyle w:val="author"/>
          <w:rFonts w:ascii="Cambria" w:hAnsi="Cambria"/>
        </w:rPr>
        <w:t>power</w:t>
      </w:r>
      <w:proofErr w:type="spellEnd"/>
      <w:r w:rsidRPr="001E0E83">
        <w:rPr>
          <w:rStyle w:val="author"/>
          <w:rFonts w:ascii="Cambria" w:hAnsi="Cambria"/>
        </w:rPr>
        <w:t xml:space="preserve"> </w:t>
      </w:r>
      <w:proofErr w:type="spellStart"/>
      <w:r w:rsidRPr="001E0E83">
        <w:rPr>
          <w:rStyle w:val="author"/>
          <w:rFonts w:ascii="Cambria" w:hAnsi="Cambria"/>
        </w:rPr>
        <w:t>demand</w:t>
      </w:r>
      <w:proofErr w:type="spellEnd"/>
      <w:r w:rsidRPr="001E0E83">
        <w:rPr>
          <w:rStyle w:val="author"/>
          <w:rFonts w:ascii="Cambria" w:hAnsi="Cambria"/>
        </w:rPr>
        <w:t xml:space="preserve">, </w:t>
      </w:r>
      <w:r w:rsidRPr="001E0E83">
        <w:rPr>
          <w:rStyle w:val="author"/>
          <w:rFonts w:ascii="Cambria" w:hAnsi="Cambria"/>
          <w:i/>
        </w:rPr>
        <w:t>Eurasianet.org</w:t>
      </w:r>
      <w:r w:rsidRPr="001E0E83">
        <w:rPr>
          <w:rStyle w:val="author"/>
          <w:rFonts w:ascii="Cambria" w:hAnsi="Cambria"/>
        </w:rPr>
        <w:t>,</w:t>
      </w:r>
      <w:r w:rsidRPr="001E0E83">
        <w:rPr>
          <w:rStyle w:val="Datum1"/>
          <w:rFonts w:ascii="Cambria" w:hAnsi="Cambria"/>
        </w:rPr>
        <w:t xml:space="preserve"> 9. 3. 2020,</w:t>
      </w:r>
      <w:r w:rsidRPr="001E0E83">
        <w:rPr>
          <w:rFonts w:ascii="Cambria" w:hAnsi="Cambria"/>
        </w:rPr>
        <w:t xml:space="preserve"> </w:t>
      </w:r>
      <w:r w:rsidRPr="00F13524">
        <w:rPr>
          <w:rFonts w:ascii="Cambria" w:hAnsi="Cambria"/>
        </w:rPr>
        <w:t>https://eurasianet.org/azerbaijan-looks-to-renewables-to-meet-growing-power-</w:t>
      </w:r>
      <w:r w:rsidRPr="00F13524">
        <w:rPr>
          <w:rFonts w:ascii="Cambria" w:hAnsi="Cambria"/>
          <w:color w:val="000000" w:themeColor="text1"/>
        </w:rPr>
        <w:t>demand</w:t>
      </w:r>
      <w:r w:rsidR="00F13524" w:rsidRPr="00F13524">
        <w:rPr>
          <w:rStyle w:val="Hypertextovodkaz"/>
          <w:rFonts w:ascii="Cambria" w:hAnsi="Cambria"/>
          <w:color w:val="000000" w:themeColor="text1"/>
          <w:u w:val="none"/>
        </w:rPr>
        <w:t xml:space="preserve"> (staženo 5. prosince 2020)</w:t>
      </w:r>
      <w:r w:rsidRPr="001E0E83">
        <w:rPr>
          <w:rStyle w:val="Datum1"/>
          <w:rFonts w:ascii="Cambria" w:hAnsi="Cambria"/>
        </w:rPr>
        <w:t>.</w:t>
      </w:r>
    </w:p>
    <w:p w14:paraId="614BCB38" w14:textId="2066AA9C" w:rsidR="00593C75" w:rsidRPr="001E0E83" w:rsidRDefault="00593C75" w:rsidP="001E0E83">
      <w:pPr>
        <w:spacing w:after="100" w:afterAutospacing="1" w:line="240" w:lineRule="auto"/>
        <w:ind w:left="709" w:hanging="709"/>
        <w:rPr>
          <w:rFonts w:ascii="Cambria" w:hAnsi="Cambria"/>
        </w:rPr>
      </w:pPr>
      <w:r w:rsidRPr="001E0E83">
        <w:rPr>
          <w:rFonts w:ascii="Cambria" w:hAnsi="Cambria"/>
        </w:rPr>
        <w:t xml:space="preserve">OEC (2020): </w:t>
      </w:r>
      <w:proofErr w:type="spellStart"/>
      <w:r w:rsidRPr="001E0E83">
        <w:rPr>
          <w:rFonts w:ascii="Cambria" w:hAnsi="Cambria"/>
        </w:rPr>
        <w:t>Azerbaijan</w:t>
      </w:r>
      <w:proofErr w:type="spellEnd"/>
      <w:r w:rsidRPr="001E0E83">
        <w:rPr>
          <w:rFonts w:ascii="Cambria" w:hAnsi="Cambria"/>
        </w:rPr>
        <w:t xml:space="preserve">, OEC, </w:t>
      </w:r>
      <w:r w:rsidR="00F13524" w:rsidRPr="00F13524">
        <w:rPr>
          <w:rFonts w:ascii="Cambria" w:hAnsi="Cambria"/>
        </w:rPr>
        <w:t>https://oec.world/en/profile/country/aze/</w:t>
      </w:r>
      <w:r w:rsidR="00F13524">
        <w:rPr>
          <w:rFonts w:ascii="Cambria" w:hAnsi="Cambria"/>
        </w:rPr>
        <w:t xml:space="preserve"> </w:t>
      </w:r>
      <w:r w:rsidR="00F13524" w:rsidRPr="00F13524">
        <w:rPr>
          <w:rStyle w:val="Hypertextovodkaz"/>
          <w:rFonts w:ascii="Cambria" w:hAnsi="Cambria"/>
          <w:color w:val="000000" w:themeColor="text1"/>
          <w:u w:val="none"/>
        </w:rPr>
        <w:t>(staženo 5. prosince 2020)</w:t>
      </w:r>
      <w:r w:rsidRPr="001E0E83">
        <w:rPr>
          <w:rFonts w:ascii="Cambria" w:hAnsi="Cambria"/>
        </w:rPr>
        <w:t>.</w:t>
      </w:r>
    </w:p>
    <w:p w14:paraId="33C010E4" w14:textId="11981C61"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lastRenderedPageBreak/>
        <w:t xml:space="preserve">OECD (2020a), Building back better: A sustainable, resilient recovery after COVID-19, http://www.oecd.org/coronavirus/policy-responses/building-back-better-a-sustainable-resilient-recovery-after-covid-19-52b869f5/ </w:t>
      </w:r>
      <w:r w:rsidR="00F13524" w:rsidRPr="00F13524">
        <w:rPr>
          <w:rStyle w:val="Hypertextovodkaz"/>
          <w:rFonts w:ascii="Cambria" w:hAnsi="Cambria"/>
          <w:color w:val="000000" w:themeColor="text1"/>
          <w:u w:val="none"/>
        </w:rPr>
        <w:t xml:space="preserve">(staženo </w:t>
      </w:r>
      <w:r w:rsidR="00F13524">
        <w:rPr>
          <w:rStyle w:val="Hypertextovodkaz"/>
          <w:rFonts w:ascii="Cambria" w:hAnsi="Cambria"/>
          <w:color w:val="000000" w:themeColor="text1"/>
          <w:u w:val="none"/>
        </w:rPr>
        <w:t>20</w:t>
      </w:r>
      <w:r w:rsidR="00F13524" w:rsidRPr="00F13524">
        <w:rPr>
          <w:rStyle w:val="Hypertextovodkaz"/>
          <w:rFonts w:ascii="Cambria" w:hAnsi="Cambria"/>
          <w:color w:val="000000" w:themeColor="text1"/>
          <w:u w:val="none"/>
        </w:rPr>
        <w:t xml:space="preserve">. </w:t>
      </w:r>
      <w:r w:rsidR="00F13524">
        <w:rPr>
          <w:rStyle w:val="Hypertextovodkaz"/>
          <w:rFonts w:ascii="Cambria" w:hAnsi="Cambria"/>
          <w:color w:val="000000" w:themeColor="text1"/>
          <w:u w:val="none"/>
        </w:rPr>
        <w:t>října</w:t>
      </w:r>
      <w:r w:rsidR="00F13524" w:rsidRPr="00F13524">
        <w:rPr>
          <w:rStyle w:val="Hypertextovodkaz"/>
          <w:rFonts w:ascii="Cambria" w:hAnsi="Cambria"/>
          <w:color w:val="000000" w:themeColor="text1"/>
          <w:u w:val="none"/>
        </w:rPr>
        <w:t xml:space="preserve"> 2020)</w:t>
      </w:r>
      <w:r w:rsidRPr="001E0E83">
        <w:rPr>
          <w:rFonts w:ascii="Cambria" w:hAnsi="Cambria"/>
          <w:color w:val="000000" w:themeColor="text1"/>
          <w:shd w:val="clear" w:color="auto" w:fill="FFFFFF"/>
          <w:lang w:val="en-US"/>
        </w:rPr>
        <w:t xml:space="preserve">. </w:t>
      </w:r>
    </w:p>
    <w:p w14:paraId="6A54C3BB" w14:textId="1DABF7F1"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OECD (2020b), "Main Economic Indicators - complete database," Main Economic Indicators (database) </w:t>
      </w:r>
      <w:hyperlink r:id="rId39" w:history="1">
        <w:r w:rsidRPr="001E0E83">
          <w:rPr>
            <w:rStyle w:val="Hypertextovodkaz"/>
            <w:rFonts w:ascii="Cambria" w:hAnsi="Cambria"/>
            <w:color w:val="000000" w:themeColor="text1"/>
            <w:lang w:val="en-US"/>
          </w:rPr>
          <w:t>https://doi.org/10.1787/data-00052-en</w:t>
        </w:r>
      </w:hyperlink>
      <w:r w:rsidRPr="001E0E83">
        <w:rPr>
          <w:rFonts w:ascii="Cambria" w:hAnsi="Cambria"/>
          <w:color w:val="000000" w:themeColor="text1"/>
          <w:shd w:val="clear" w:color="auto" w:fill="FFFFFF"/>
          <w:lang w:val="en-US"/>
        </w:rPr>
        <w:t> (</w:t>
      </w:r>
      <w:proofErr w:type="spellStart"/>
      <w:r w:rsidR="00F13524">
        <w:rPr>
          <w:rFonts w:ascii="Cambria" w:hAnsi="Cambria"/>
          <w:color w:val="000000" w:themeColor="text1"/>
          <w:shd w:val="clear" w:color="auto" w:fill="FFFFFF"/>
          <w:lang w:val="en-US"/>
        </w:rPr>
        <w:t>staženo</w:t>
      </w:r>
      <w:proofErr w:type="spellEnd"/>
      <w:r w:rsidR="00F13524">
        <w:rPr>
          <w:rFonts w:ascii="Cambria" w:hAnsi="Cambria"/>
          <w:color w:val="000000" w:themeColor="text1"/>
          <w:shd w:val="clear" w:color="auto" w:fill="FFFFFF"/>
          <w:lang w:val="en-US"/>
        </w:rPr>
        <w:t xml:space="preserve"> 19. </w:t>
      </w:r>
      <w:proofErr w:type="spellStart"/>
      <w:r w:rsidR="00F13524">
        <w:rPr>
          <w:rFonts w:ascii="Cambria" w:hAnsi="Cambria"/>
          <w:color w:val="000000" w:themeColor="text1"/>
          <w:shd w:val="clear" w:color="auto" w:fill="FFFFFF"/>
          <w:lang w:val="en-US"/>
        </w:rPr>
        <w:t>října</w:t>
      </w:r>
      <w:proofErr w:type="spellEnd"/>
      <w:r w:rsidRPr="001E0E83">
        <w:rPr>
          <w:rFonts w:ascii="Cambria" w:hAnsi="Cambria"/>
          <w:color w:val="000000" w:themeColor="text1"/>
          <w:shd w:val="clear" w:color="auto" w:fill="FFFFFF"/>
          <w:lang w:val="en-US"/>
        </w:rPr>
        <w:t xml:space="preserve"> 2020).</w:t>
      </w:r>
    </w:p>
    <w:p w14:paraId="50E5D305" w14:textId="11E2D924"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OECD (2020c): The impact of coronavirus (COVID-19) and the global oil price shock on the fiscal position of oil-exporting developing countries, </w:t>
      </w:r>
      <w:hyperlink r:id="rId40" w:history="1">
        <w:r w:rsidRPr="001E0E83">
          <w:rPr>
            <w:rFonts w:ascii="Cambria" w:hAnsi="Cambria"/>
            <w:color w:val="000000" w:themeColor="text1"/>
            <w:shd w:val="clear" w:color="auto" w:fill="FFFFFF"/>
            <w:lang w:val="en-US"/>
          </w:rPr>
          <w:t>https://read.oecd-ilibrary.org/view/?ref=136_136801-aw9nps8afk&amp;title=The-impact-of-Coronavirus-COVID-19-and-the-global-oil-price-shock-on-the-fiscal-position-of-oil-exporting-developing-countries</w:t>
        </w:r>
      </w:hyperlink>
      <w:r w:rsidRPr="001E0E83">
        <w:rPr>
          <w:rFonts w:ascii="Cambria" w:hAnsi="Cambria"/>
          <w:color w:val="000000" w:themeColor="text1"/>
          <w:shd w:val="clear" w:color="auto" w:fill="FFFFFF"/>
          <w:lang w:val="en-US"/>
        </w:rPr>
        <w:t xml:space="preserve"> </w:t>
      </w:r>
      <w:r w:rsidR="00F13524" w:rsidRPr="00F13524">
        <w:rPr>
          <w:rStyle w:val="Hypertextovodkaz"/>
          <w:rFonts w:ascii="Cambria" w:hAnsi="Cambria"/>
          <w:color w:val="000000" w:themeColor="text1"/>
          <w:u w:val="none"/>
        </w:rPr>
        <w:t xml:space="preserve">(staženo </w:t>
      </w:r>
      <w:r w:rsidR="00F13524">
        <w:rPr>
          <w:rStyle w:val="Hypertextovodkaz"/>
          <w:rFonts w:ascii="Cambria" w:hAnsi="Cambria"/>
          <w:color w:val="000000" w:themeColor="text1"/>
          <w:u w:val="none"/>
        </w:rPr>
        <w:t>20</w:t>
      </w:r>
      <w:r w:rsidR="00F13524" w:rsidRPr="00F13524">
        <w:rPr>
          <w:rStyle w:val="Hypertextovodkaz"/>
          <w:rFonts w:ascii="Cambria" w:hAnsi="Cambria"/>
          <w:color w:val="000000" w:themeColor="text1"/>
          <w:u w:val="none"/>
        </w:rPr>
        <w:t xml:space="preserve">. </w:t>
      </w:r>
      <w:r w:rsidR="00F13524">
        <w:rPr>
          <w:rStyle w:val="Hypertextovodkaz"/>
          <w:rFonts w:ascii="Cambria" w:hAnsi="Cambria"/>
          <w:color w:val="000000" w:themeColor="text1"/>
          <w:u w:val="none"/>
        </w:rPr>
        <w:t>října</w:t>
      </w:r>
      <w:r w:rsidR="00F13524" w:rsidRPr="00F13524">
        <w:rPr>
          <w:rStyle w:val="Hypertextovodkaz"/>
          <w:rFonts w:ascii="Cambria" w:hAnsi="Cambria"/>
          <w:color w:val="000000" w:themeColor="text1"/>
          <w:u w:val="none"/>
        </w:rPr>
        <w:t xml:space="preserve"> 2020)</w:t>
      </w:r>
      <w:r w:rsidRPr="001E0E83">
        <w:rPr>
          <w:rFonts w:ascii="Cambria" w:hAnsi="Cambria"/>
          <w:color w:val="000000" w:themeColor="text1"/>
          <w:shd w:val="clear" w:color="auto" w:fill="FFFFFF"/>
          <w:lang w:val="en-US"/>
        </w:rPr>
        <w:t>.</w:t>
      </w:r>
    </w:p>
    <w:p w14:paraId="1BDD4AD9" w14:textId="06F82424" w:rsidR="00593C75" w:rsidRPr="001E0E83" w:rsidRDefault="00593C75" w:rsidP="001E0E83">
      <w:pPr>
        <w:spacing w:after="100" w:afterAutospacing="1" w:line="240" w:lineRule="auto"/>
        <w:ind w:left="708" w:hanging="708"/>
        <w:rPr>
          <w:rFonts w:ascii="Cambria" w:eastAsia="Times New Roman" w:hAnsi="Cambria"/>
          <w:lang w:eastAsia="cs-CZ"/>
        </w:rPr>
      </w:pPr>
      <w:r w:rsidRPr="001E0E83">
        <w:rPr>
          <w:rFonts w:ascii="Cambria" w:eastAsia="Times New Roman" w:hAnsi="Cambria"/>
          <w:lang w:eastAsia="cs-CZ"/>
        </w:rPr>
        <w:t xml:space="preserve">Park, J. – </w:t>
      </w:r>
      <w:proofErr w:type="spellStart"/>
      <w:r w:rsidRPr="001E0E83">
        <w:rPr>
          <w:rFonts w:ascii="Cambria" w:eastAsia="Times New Roman" w:hAnsi="Cambria"/>
          <w:lang w:eastAsia="cs-CZ"/>
        </w:rPr>
        <w:t>Ratti</w:t>
      </w:r>
      <w:proofErr w:type="spellEnd"/>
      <w:r w:rsidRPr="001E0E83">
        <w:rPr>
          <w:rFonts w:ascii="Cambria" w:eastAsia="Times New Roman" w:hAnsi="Cambria"/>
          <w:lang w:eastAsia="cs-CZ"/>
        </w:rPr>
        <w:t xml:space="preserve">, R.A. (2008): </w:t>
      </w:r>
      <w:proofErr w:type="spellStart"/>
      <w:r w:rsidRPr="001E0E83">
        <w:rPr>
          <w:rFonts w:ascii="Cambria" w:eastAsia="Times New Roman" w:hAnsi="Cambria"/>
          <w:lang w:eastAsia="cs-CZ"/>
        </w:rPr>
        <w:t>Oil</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price</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shocks</w:t>
      </w:r>
      <w:proofErr w:type="spellEnd"/>
      <w:r w:rsidRPr="001E0E83">
        <w:rPr>
          <w:rFonts w:ascii="Cambria" w:eastAsia="Times New Roman" w:hAnsi="Cambria"/>
          <w:lang w:eastAsia="cs-CZ"/>
        </w:rPr>
        <w:t xml:space="preserve"> and </w:t>
      </w:r>
      <w:proofErr w:type="spellStart"/>
      <w:r w:rsidRPr="001E0E83">
        <w:rPr>
          <w:rFonts w:ascii="Cambria" w:eastAsia="Times New Roman" w:hAnsi="Cambria"/>
          <w:lang w:eastAsia="cs-CZ"/>
        </w:rPr>
        <w:t>stock</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markets</w:t>
      </w:r>
      <w:proofErr w:type="spellEnd"/>
      <w:r w:rsidRPr="001E0E83">
        <w:rPr>
          <w:rFonts w:ascii="Cambria" w:eastAsia="Times New Roman" w:hAnsi="Cambria"/>
          <w:lang w:eastAsia="cs-CZ"/>
        </w:rPr>
        <w:t xml:space="preserve"> in </w:t>
      </w:r>
      <w:proofErr w:type="spellStart"/>
      <w:r w:rsidRPr="001E0E83">
        <w:rPr>
          <w:rFonts w:ascii="Cambria" w:eastAsia="Times New Roman" w:hAnsi="Cambria"/>
          <w:lang w:eastAsia="cs-CZ"/>
        </w:rPr>
        <w:t>the</w:t>
      </w:r>
      <w:proofErr w:type="spellEnd"/>
      <w:r w:rsidRPr="001E0E83">
        <w:rPr>
          <w:rFonts w:ascii="Cambria" w:eastAsia="Times New Roman" w:hAnsi="Cambria"/>
          <w:lang w:eastAsia="cs-CZ"/>
        </w:rPr>
        <w:t xml:space="preserve"> US and 13 </w:t>
      </w:r>
      <w:proofErr w:type="spellStart"/>
      <w:r w:rsidRPr="001E0E83">
        <w:rPr>
          <w:rFonts w:ascii="Cambria" w:eastAsia="Times New Roman" w:hAnsi="Cambria"/>
          <w:lang w:eastAsia="cs-CZ"/>
        </w:rPr>
        <w:t>European</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countries</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i/>
          <w:lang w:eastAsia="cs-CZ"/>
        </w:rPr>
        <w:t>Energy</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Economics</w:t>
      </w:r>
      <w:proofErr w:type="spellEnd"/>
      <w:r w:rsidRPr="001E0E83">
        <w:rPr>
          <w:rFonts w:ascii="Cambria" w:eastAsia="Times New Roman" w:hAnsi="Cambria"/>
          <w:lang w:eastAsia="cs-CZ"/>
        </w:rPr>
        <w:t>, 30</w:t>
      </w:r>
      <w:r w:rsidR="00F13524">
        <w:rPr>
          <w:rFonts w:ascii="Cambria" w:eastAsia="Times New Roman" w:hAnsi="Cambria"/>
          <w:lang w:eastAsia="cs-CZ"/>
        </w:rPr>
        <w:t>(5)</w:t>
      </w:r>
      <w:r w:rsidRPr="001E0E83">
        <w:rPr>
          <w:rFonts w:ascii="Cambria" w:eastAsia="Times New Roman" w:hAnsi="Cambria"/>
          <w:lang w:eastAsia="cs-CZ"/>
        </w:rPr>
        <w:t>, 2587-2608.</w:t>
      </w:r>
    </w:p>
    <w:p w14:paraId="388B059F" w14:textId="77777777" w:rsidR="00F13524" w:rsidRDefault="00593C75" w:rsidP="00F13524">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Petroleum Economist (2020): Covid-19 puts African energy on pause, http://admin.petroleum-economist.com/articles/upstream/exploration-production/2020/covid-19-puts-african-energy-on-pause </w:t>
      </w:r>
      <w:r w:rsidR="00F13524" w:rsidRPr="00F13524">
        <w:rPr>
          <w:rStyle w:val="Hypertextovodkaz"/>
          <w:rFonts w:ascii="Cambria" w:hAnsi="Cambria"/>
          <w:color w:val="000000" w:themeColor="text1"/>
          <w:u w:val="none"/>
        </w:rPr>
        <w:t xml:space="preserve">(staženo </w:t>
      </w:r>
      <w:r w:rsidR="00F13524">
        <w:rPr>
          <w:rStyle w:val="Hypertextovodkaz"/>
          <w:rFonts w:ascii="Cambria" w:hAnsi="Cambria"/>
          <w:color w:val="000000" w:themeColor="text1"/>
          <w:u w:val="none"/>
        </w:rPr>
        <w:t>20</w:t>
      </w:r>
      <w:r w:rsidR="00F13524" w:rsidRPr="00F13524">
        <w:rPr>
          <w:rStyle w:val="Hypertextovodkaz"/>
          <w:rFonts w:ascii="Cambria" w:hAnsi="Cambria"/>
          <w:color w:val="000000" w:themeColor="text1"/>
          <w:u w:val="none"/>
        </w:rPr>
        <w:t xml:space="preserve">. </w:t>
      </w:r>
      <w:r w:rsidR="00F13524">
        <w:rPr>
          <w:rStyle w:val="Hypertextovodkaz"/>
          <w:rFonts w:ascii="Cambria" w:hAnsi="Cambria"/>
          <w:color w:val="000000" w:themeColor="text1"/>
          <w:u w:val="none"/>
        </w:rPr>
        <w:t>října</w:t>
      </w:r>
      <w:r w:rsidR="00F13524" w:rsidRPr="00F13524">
        <w:rPr>
          <w:rStyle w:val="Hypertextovodkaz"/>
          <w:rFonts w:ascii="Cambria" w:hAnsi="Cambria"/>
          <w:color w:val="000000" w:themeColor="text1"/>
          <w:u w:val="none"/>
        </w:rPr>
        <w:t xml:space="preserve"> 2020)</w:t>
      </w:r>
      <w:r w:rsidR="00F13524" w:rsidRPr="001E0E83">
        <w:rPr>
          <w:rFonts w:ascii="Cambria" w:hAnsi="Cambria"/>
          <w:color w:val="000000" w:themeColor="text1"/>
          <w:shd w:val="clear" w:color="auto" w:fill="FFFFFF"/>
          <w:lang w:val="en-US"/>
        </w:rPr>
        <w:t>.</w:t>
      </w:r>
    </w:p>
    <w:p w14:paraId="2A0899E9" w14:textId="29BDC57C" w:rsidR="00593C75" w:rsidRPr="001E0E83" w:rsidRDefault="00593C75" w:rsidP="00F13524">
      <w:pPr>
        <w:autoSpaceDE w:val="0"/>
        <w:autoSpaceDN w:val="0"/>
        <w:adjustRightInd w:val="0"/>
        <w:spacing w:after="100" w:afterAutospacing="1" w:line="240" w:lineRule="auto"/>
        <w:ind w:left="284" w:right="-46" w:hanging="284"/>
        <w:rPr>
          <w:rFonts w:ascii="Cambria" w:hAnsi="Cambria"/>
        </w:rPr>
      </w:pPr>
      <w:r w:rsidRPr="001E0E83">
        <w:rPr>
          <w:rFonts w:ascii="Cambria" w:hAnsi="Cambria"/>
        </w:rPr>
        <w:t>Pirani, S</w:t>
      </w:r>
      <w:r w:rsidR="00F13524">
        <w:rPr>
          <w:rFonts w:ascii="Cambria" w:hAnsi="Cambria"/>
        </w:rPr>
        <w:t>.</w:t>
      </w:r>
      <w:r w:rsidRPr="001E0E83">
        <w:rPr>
          <w:rFonts w:ascii="Cambria" w:hAnsi="Cambria"/>
        </w:rPr>
        <w:t xml:space="preserve"> (2018): </w:t>
      </w:r>
      <w:proofErr w:type="spellStart"/>
      <w:r w:rsidRPr="001E0E83">
        <w:rPr>
          <w:rFonts w:ascii="Cambria" w:hAnsi="Cambria"/>
          <w:i/>
          <w:iCs/>
        </w:rPr>
        <w:t>Let’s</w:t>
      </w:r>
      <w:proofErr w:type="spellEnd"/>
      <w:r w:rsidRPr="001E0E83">
        <w:rPr>
          <w:rFonts w:ascii="Cambria" w:hAnsi="Cambria"/>
          <w:i/>
          <w:iCs/>
        </w:rPr>
        <w:t xml:space="preserve"> not </w:t>
      </w:r>
      <w:proofErr w:type="spellStart"/>
      <w:r w:rsidRPr="001E0E83">
        <w:rPr>
          <w:rFonts w:ascii="Cambria" w:hAnsi="Cambria"/>
          <w:i/>
          <w:iCs/>
        </w:rPr>
        <w:t>exaggerate</w:t>
      </w:r>
      <w:proofErr w:type="spellEnd"/>
      <w:r w:rsidRPr="001E0E83">
        <w:rPr>
          <w:rFonts w:ascii="Cambria" w:hAnsi="Cambria"/>
          <w:i/>
          <w:iCs/>
        </w:rPr>
        <w:t xml:space="preserve">: </w:t>
      </w:r>
      <w:proofErr w:type="spellStart"/>
      <w:r w:rsidRPr="001E0E83">
        <w:rPr>
          <w:rFonts w:ascii="Cambria" w:hAnsi="Cambria"/>
          <w:i/>
          <w:iCs/>
        </w:rPr>
        <w:t>Southern</w:t>
      </w:r>
      <w:proofErr w:type="spellEnd"/>
      <w:r w:rsidRPr="001E0E83">
        <w:rPr>
          <w:rFonts w:ascii="Cambria" w:hAnsi="Cambria"/>
          <w:i/>
          <w:iCs/>
        </w:rPr>
        <w:t xml:space="preserve"> </w:t>
      </w:r>
      <w:proofErr w:type="spellStart"/>
      <w:r w:rsidRPr="001E0E83">
        <w:rPr>
          <w:rFonts w:ascii="Cambria" w:hAnsi="Cambria"/>
          <w:i/>
          <w:iCs/>
        </w:rPr>
        <w:t>Gas</w:t>
      </w:r>
      <w:proofErr w:type="spellEnd"/>
      <w:r w:rsidRPr="001E0E83">
        <w:rPr>
          <w:rFonts w:ascii="Cambria" w:hAnsi="Cambria"/>
          <w:i/>
          <w:iCs/>
        </w:rPr>
        <w:t xml:space="preserve"> </w:t>
      </w:r>
      <w:proofErr w:type="spellStart"/>
      <w:r w:rsidRPr="001E0E83">
        <w:rPr>
          <w:rFonts w:ascii="Cambria" w:hAnsi="Cambria"/>
          <w:i/>
          <w:iCs/>
        </w:rPr>
        <w:t>Corridor</w:t>
      </w:r>
      <w:proofErr w:type="spellEnd"/>
      <w:r w:rsidRPr="001E0E83">
        <w:rPr>
          <w:rFonts w:ascii="Cambria" w:hAnsi="Cambria"/>
          <w:i/>
          <w:iCs/>
        </w:rPr>
        <w:t xml:space="preserve"> </w:t>
      </w:r>
      <w:proofErr w:type="spellStart"/>
      <w:r w:rsidRPr="001E0E83">
        <w:rPr>
          <w:rFonts w:ascii="Cambria" w:hAnsi="Cambria"/>
          <w:i/>
          <w:iCs/>
        </w:rPr>
        <w:t>prospects</w:t>
      </w:r>
      <w:proofErr w:type="spellEnd"/>
      <w:r w:rsidRPr="001E0E83">
        <w:rPr>
          <w:rFonts w:ascii="Cambria" w:hAnsi="Cambria"/>
          <w:i/>
          <w:iCs/>
        </w:rPr>
        <w:t xml:space="preserve"> to 2030</w:t>
      </w:r>
      <w:r w:rsidRPr="001E0E83">
        <w:rPr>
          <w:rFonts w:ascii="Cambria" w:hAnsi="Cambria"/>
        </w:rPr>
        <w:t xml:space="preserve">. Oxford Institute </w:t>
      </w:r>
      <w:proofErr w:type="spellStart"/>
      <w:r w:rsidRPr="001E0E83">
        <w:rPr>
          <w:rFonts w:ascii="Cambria" w:hAnsi="Cambria"/>
        </w:rPr>
        <w:t>for</w:t>
      </w:r>
      <w:proofErr w:type="spellEnd"/>
      <w:r w:rsidRPr="001E0E83">
        <w:rPr>
          <w:rFonts w:ascii="Cambria" w:hAnsi="Cambria"/>
        </w:rPr>
        <w:t xml:space="preserve"> </w:t>
      </w:r>
      <w:proofErr w:type="spellStart"/>
      <w:r w:rsidRPr="001E0E83">
        <w:rPr>
          <w:rFonts w:ascii="Cambria" w:hAnsi="Cambria"/>
        </w:rPr>
        <w:t>Energy</w:t>
      </w:r>
      <w:proofErr w:type="spellEnd"/>
      <w:r w:rsidRPr="001E0E83">
        <w:rPr>
          <w:rFonts w:ascii="Cambria" w:hAnsi="Cambria"/>
        </w:rPr>
        <w:t xml:space="preserve"> </w:t>
      </w:r>
      <w:proofErr w:type="spellStart"/>
      <w:r w:rsidRPr="001E0E83">
        <w:rPr>
          <w:rFonts w:ascii="Cambria" w:hAnsi="Cambria"/>
        </w:rPr>
        <w:t>Studies</w:t>
      </w:r>
      <w:proofErr w:type="spellEnd"/>
      <w:r w:rsidR="002D75BD" w:rsidRPr="001E0E83">
        <w:rPr>
          <w:rFonts w:ascii="Cambria" w:hAnsi="Cambria"/>
        </w:rPr>
        <w:t>.</w:t>
      </w:r>
    </w:p>
    <w:p w14:paraId="579A1D46" w14:textId="1FD51BE8" w:rsidR="002D75BD" w:rsidRPr="001E0E83" w:rsidRDefault="002D75BD" w:rsidP="001E0E83">
      <w:pPr>
        <w:spacing w:after="100" w:afterAutospacing="1" w:line="240" w:lineRule="auto"/>
        <w:ind w:left="708" w:hanging="708"/>
        <w:rPr>
          <w:rFonts w:ascii="Cambria" w:eastAsia="Times New Roman" w:hAnsi="Cambria"/>
          <w:lang w:val="en-GB" w:eastAsia="cs-CZ"/>
        </w:rPr>
      </w:pPr>
      <w:proofErr w:type="spellStart"/>
      <w:r w:rsidRPr="001E0E83">
        <w:rPr>
          <w:rFonts w:ascii="Cambria" w:hAnsi="Cambria"/>
          <w:shd w:val="clear" w:color="auto" w:fill="FFFFFF"/>
          <w:lang w:val="en-US"/>
        </w:rPr>
        <w:t>Pospíšilová</w:t>
      </w:r>
      <w:proofErr w:type="spellEnd"/>
      <w:r w:rsidRPr="001E0E83">
        <w:rPr>
          <w:rFonts w:ascii="Cambria" w:hAnsi="Cambria"/>
          <w:shd w:val="clear" w:color="auto" w:fill="FFFFFF"/>
          <w:lang w:val="en-US"/>
        </w:rPr>
        <w:t>, E</w:t>
      </w:r>
      <w:r w:rsidR="00F13524">
        <w:rPr>
          <w:rFonts w:ascii="Cambria" w:hAnsi="Cambria"/>
          <w:shd w:val="clear" w:color="auto" w:fill="FFFFFF"/>
          <w:lang w:val="en-US"/>
        </w:rPr>
        <w:t>.</w:t>
      </w:r>
      <w:r w:rsidRPr="001E0E83">
        <w:rPr>
          <w:rFonts w:ascii="Cambria" w:hAnsi="Cambria"/>
          <w:shd w:val="clear" w:color="auto" w:fill="FFFFFF"/>
          <w:lang w:val="en-US"/>
        </w:rPr>
        <w:t xml:space="preserve"> (2020), </w:t>
      </w:r>
      <w:proofErr w:type="spellStart"/>
      <w:r w:rsidRPr="001E0E83">
        <w:rPr>
          <w:rFonts w:ascii="Cambria" w:hAnsi="Cambria"/>
          <w:shd w:val="clear" w:color="auto" w:fill="FFFFFF"/>
          <w:lang w:val="en-US"/>
        </w:rPr>
        <w:t>Máme</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nulový</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rozpočet</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na</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nové</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zásoby</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potravin</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řekl</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předseda</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hmotných</w:t>
      </w:r>
      <w:proofErr w:type="spellEnd"/>
      <w:r w:rsidRPr="001E0E83">
        <w:rPr>
          <w:rFonts w:ascii="Cambria" w:hAnsi="Cambria"/>
          <w:shd w:val="clear" w:color="auto" w:fill="FFFFFF"/>
          <w:lang w:val="en-US"/>
        </w:rPr>
        <w:t xml:space="preserve"> </w:t>
      </w:r>
      <w:proofErr w:type="spellStart"/>
      <w:r w:rsidRPr="001E0E83">
        <w:rPr>
          <w:rFonts w:ascii="Cambria" w:hAnsi="Cambria"/>
          <w:shd w:val="clear" w:color="auto" w:fill="FFFFFF"/>
          <w:lang w:val="en-US"/>
        </w:rPr>
        <w:t>rezerv</w:t>
      </w:r>
      <w:proofErr w:type="spellEnd"/>
      <w:r w:rsidRPr="001E0E83">
        <w:rPr>
          <w:rFonts w:ascii="Cambria" w:hAnsi="Cambria"/>
          <w:shd w:val="clear" w:color="auto" w:fill="FFFFFF"/>
          <w:lang w:val="en-US"/>
        </w:rPr>
        <w:t xml:space="preserve">, </w:t>
      </w:r>
      <w:r w:rsidRPr="001E0E83">
        <w:rPr>
          <w:rFonts w:ascii="Cambria" w:hAnsi="Cambria"/>
          <w:i/>
          <w:iCs/>
          <w:shd w:val="clear" w:color="auto" w:fill="FFFFFF"/>
          <w:lang w:val="en-US"/>
        </w:rPr>
        <w:t>idnes.cz</w:t>
      </w:r>
      <w:r w:rsidRPr="001E0E83">
        <w:rPr>
          <w:rFonts w:ascii="Cambria" w:hAnsi="Cambria"/>
          <w:shd w:val="clear" w:color="auto" w:fill="FFFFFF"/>
          <w:lang w:val="en-US"/>
        </w:rPr>
        <w:t xml:space="preserve">, </w:t>
      </w:r>
      <w:r w:rsidRPr="001E0E83">
        <w:rPr>
          <w:rFonts w:ascii="Cambria" w:eastAsia="Times New Roman" w:hAnsi="Cambria"/>
          <w:lang w:val="en-GB" w:eastAsia="cs-CZ"/>
        </w:rPr>
        <w:t xml:space="preserve">https://www.idnes.cz/zpravy/domaci/sprava-statnich-hmotnych-rezerv-nakup-zasoby-potraviny-tendr-pavel-svagr-rozhovor.A200310_183945_domaci_kane </w:t>
      </w:r>
      <w:r w:rsidR="00F13524" w:rsidRPr="00F13524">
        <w:rPr>
          <w:rStyle w:val="Hypertextovodkaz"/>
          <w:rFonts w:ascii="Cambria" w:hAnsi="Cambria"/>
          <w:color w:val="000000" w:themeColor="text1"/>
          <w:u w:val="none"/>
        </w:rPr>
        <w:t xml:space="preserve">(staženo </w:t>
      </w:r>
      <w:r w:rsidR="00F13524">
        <w:rPr>
          <w:rStyle w:val="Hypertextovodkaz"/>
          <w:rFonts w:ascii="Cambria" w:hAnsi="Cambria"/>
          <w:color w:val="000000" w:themeColor="text1"/>
          <w:u w:val="none"/>
        </w:rPr>
        <w:t>5. prosince</w:t>
      </w:r>
      <w:r w:rsidR="00F13524" w:rsidRPr="00F13524">
        <w:rPr>
          <w:rStyle w:val="Hypertextovodkaz"/>
          <w:rFonts w:ascii="Cambria" w:hAnsi="Cambria"/>
          <w:color w:val="000000" w:themeColor="text1"/>
          <w:u w:val="none"/>
        </w:rPr>
        <w:t xml:space="preserve"> 2020)</w:t>
      </w:r>
      <w:r w:rsidRPr="001E0E83">
        <w:rPr>
          <w:rFonts w:ascii="Cambria" w:eastAsia="Times New Roman" w:hAnsi="Cambria"/>
          <w:lang w:val="en-GB" w:eastAsia="cs-CZ"/>
        </w:rPr>
        <w:t>.</w:t>
      </w:r>
    </w:p>
    <w:p w14:paraId="27055A76" w14:textId="77777777" w:rsidR="00593C75" w:rsidRPr="001E0E83" w:rsidRDefault="00593C75" w:rsidP="001E0E83">
      <w:pPr>
        <w:spacing w:after="100" w:afterAutospacing="1" w:line="240" w:lineRule="auto"/>
        <w:ind w:left="709" w:hanging="709"/>
        <w:rPr>
          <w:rFonts w:ascii="Cambria" w:eastAsia="Times New Roman" w:hAnsi="Cambria"/>
          <w:lang w:val="en-GB" w:eastAsia="cs-CZ"/>
        </w:rPr>
      </w:pPr>
      <w:proofErr w:type="spellStart"/>
      <w:r w:rsidRPr="001E0E83">
        <w:rPr>
          <w:rFonts w:ascii="Cambria" w:eastAsia="Times New Roman" w:hAnsi="Cambria"/>
          <w:lang w:val="en-GB" w:eastAsia="cs-CZ"/>
        </w:rPr>
        <w:t>Prabheesh</w:t>
      </w:r>
      <w:proofErr w:type="spellEnd"/>
      <w:r w:rsidRPr="001E0E83">
        <w:rPr>
          <w:rFonts w:ascii="Cambria" w:eastAsia="Times New Roman" w:hAnsi="Cambria"/>
          <w:lang w:val="en-GB" w:eastAsia="cs-CZ"/>
        </w:rPr>
        <w:t xml:space="preserve">, K. P. – </w:t>
      </w:r>
      <w:proofErr w:type="spellStart"/>
      <w:r w:rsidRPr="001E0E83">
        <w:rPr>
          <w:rFonts w:ascii="Cambria" w:eastAsia="Times New Roman" w:hAnsi="Cambria"/>
          <w:lang w:val="en-GB" w:eastAsia="cs-CZ"/>
        </w:rPr>
        <w:t>Padhan</w:t>
      </w:r>
      <w:proofErr w:type="spellEnd"/>
      <w:r w:rsidRPr="001E0E83">
        <w:rPr>
          <w:rFonts w:ascii="Cambria" w:eastAsia="Times New Roman" w:hAnsi="Cambria"/>
          <w:lang w:val="en-GB" w:eastAsia="cs-CZ"/>
        </w:rPr>
        <w:t xml:space="preserve">, R. – Garg, B. (2020): COVID-19 and the Oil Price – Stock Market Nexus: Evidence </w:t>
      </w:r>
      <w:proofErr w:type="gramStart"/>
      <w:r w:rsidRPr="001E0E83">
        <w:rPr>
          <w:rFonts w:ascii="Cambria" w:eastAsia="Times New Roman" w:hAnsi="Cambria"/>
          <w:lang w:val="en-GB" w:eastAsia="cs-CZ"/>
        </w:rPr>
        <w:t>From</w:t>
      </w:r>
      <w:proofErr w:type="gramEnd"/>
      <w:r w:rsidRPr="001E0E83">
        <w:rPr>
          <w:rFonts w:ascii="Cambria" w:eastAsia="Times New Roman" w:hAnsi="Cambria"/>
          <w:lang w:val="en-GB" w:eastAsia="cs-CZ"/>
        </w:rPr>
        <w:t xml:space="preserve"> Net Oil-Importing Countries. </w:t>
      </w:r>
      <w:r w:rsidRPr="001E0E83">
        <w:rPr>
          <w:rFonts w:ascii="Cambria" w:eastAsia="Times New Roman" w:hAnsi="Cambria"/>
          <w:i/>
          <w:lang w:val="en-GB" w:eastAsia="cs-CZ"/>
        </w:rPr>
        <w:t>Energy. Research Letters</w:t>
      </w:r>
      <w:r w:rsidRPr="001E0E83">
        <w:rPr>
          <w:rFonts w:ascii="Cambria" w:eastAsia="Times New Roman" w:hAnsi="Cambria"/>
          <w:lang w:val="en-GB" w:eastAsia="cs-CZ"/>
        </w:rPr>
        <w:t>, 1(2). https://doi.org/10.46557/001c.13745.</w:t>
      </w:r>
    </w:p>
    <w:p w14:paraId="136C1A0A" w14:textId="7F0B7561"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Putin, V. (2020): </w:t>
      </w:r>
      <w:proofErr w:type="spellStart"/>
      <w:r w:rsidRPr="001E0E83">
        <w:rPr>
          <w:rFonts w:ascii="Cambria" w:hAnsi="Cambria"/>
          <w:color w:val="000000" w:themeColor="text1"/>
          <w:shd w:val="clear" w:color="auto" w:fill="FFFFFF"/>
          <w:lang w:val="en-US"/>
        </w:rPr>
        <w:t>Заседание</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дискуссионного</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клуба</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Валдай</w:t>
      </w:r>
      <w:proofErr w:type="spellEnd"/>
      <w:r w:rsidRPr="001E0E83">
        <w:rPr>
          <w:rFonts w:ascii="Cambria" w:hAnsi="Cambria"/>
          <w:color w:val="000000" w:themeColor="text1"/>
          <w:shd w:val="clear" w:color="auto" w:fill="FFFFFF"/>
          <w:lang w:val="en-US"/>
        </w:rPr>
        <w:t xml:space="preserve">», Kremlin.ru, 22. 10. 2020, </w:t>
      </w:r>
      <w:hyperlink r:id="rId41" w:history="1">
        <w:r w:rsidRPr="001E0E83">
          <w:rPr>
            <w:rFonts w:ascii="Cambria" w:hAnsi="Cambria"/>
            <w:color w:val="000000" w:themeColor="text1"/>
            <w:shd w:val="clear" w:color="auto" w:fill="FFFFFF"/>
            <w:lang w:val="en-US"/>
          </w:rPr>
          <w:t>http://kremlin.ru/events/president/news/64261</w:t>
        </w:r>
      </w:hyperlink>
      <w:r w:rsidRPr="001E0E83">
        <w:rPr>
          <w:rFonts w:ascii="Cambria" w:hAnsi="Cambria"/>
          <w:color w:val="000000" w:themeColor="text1"/>
          <w:shd w:val="clear" w:color="auto" w:fill="FFFFFF"/>
          <w:lang w:val="en-US"/>
        </w:rPr>
        <w:t xml:space="preserve"> </w:t>
      </w:r>
      <w:r w:rsidR="00F13524" w:rsidRPr="00F13524">
        <w:rPr>
          <w:rStyle w:val="Hypertextovodkaz"/>
          <w:rFonts w:ascii="Cambria" w:hAnsi="Cambria"/>
          <w:color w:val="000000" w:themeColor="text1"/>
          <w:u w:val="none"/>
        </w:rPr>
        <w:t xml:space="preserve">(staženo </w:t>
      </w:r>
      <w:r w:rsidR="00F13524">
        <w:rPr>
          <w:rStyle w:val="Hypertextovodkaz"/>
          <w:rFonts w:ascii="Cambria" w:hAnsi="Cambria"/>
          <w:color w:val="000000" w:themeColor="text1"/>
          <w:u w:val="none"/>
        </w:rPr>
        <w:t>20</w:t>
      </w:r>
      <w:r w:rsidR="00F13524" w:rsidRPr="00F13524">
        <w:rPr>
          <w:rStyle w:val="Hypertextovodkaz"/>
          <w:rFonts w:ascii="Cambria" w:hAnsi="Cambria"/>
          <w:color w:val="000000" w:themeColor="text1"/>
          <w:u w:val="none"/>
        </w:rPr>
        <w:t xml:space="preserve">. </w:t>
      </w:r>
      <w:r w:rsidR="00F13524">
        <w:rPr>
          <w:rStyle w:val="Hypertextovodkaz"/>
          <w:rFonts w:ascii="Cambria" w:hAnsi="Cambria"/>
          <w:color w:val="000000" w:themeColor="text1"/>
          <w:u w:val="none"/>
        </w:rPr>
        <w:t>října</w:t>
      </w:r>
      <w:r w:rsidR="00F13524" w:rsidRPr="00F13524">
        <w:rPr>
          <w:rStyle w:val="Hypertextovodkaz"/>
          <w:rFonts w:ascii="Cambria" w:hAnsi="Cambria"/>
          <w:color w:val="000000" w:themeColor="text1"/>
          <w:u w:val="none"/>
        </w:rPr>
        <w:t xml:space="preserve"> 2020)</w:t>
      </w:r>
      <w:r w:rsidRPr="001E0E83">
        <w:rPr>
          <w:rFonts w:ascii="Cambria" w:hAnsi="Cambria"/>
          <w:color w:val="000000" w:themeColor="text1"/>
          <w:shd w:val="clear" w:color="auto" w:fill="FFFFFF"/>
          <w:lang w:val="en-US"/>
        </w:rPr>
        <w:t>.</w:t>
      </w:r>
    </w:p>
    <w:p w14:paraId="352FBBD0" w14:textId="7167264E"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RIA Novosti (2020): </w:t>
      </w:r>
      <w:proofErr w:type="spellStart"/>
      <w:r w:rsidRPr="001E0E83">
        <w:rPr>
          <w:rFonts w:ascii="Cambria" w:hAnsi="Cambria"/>
          <w:color w:val="000000" w:themeColor="text1"/>
          <w:shd w:val="clear" w:color="auto" w:fill="FFFFFF"/>
          <w:lang w:val="en-US"/>
        </w:rPr>
        <w:t>Правительство</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выделит</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средства</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на</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поддержку</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региональных</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бюджетов</w:t>
      </w:r>
      <w:proofErr w:type="spellEnd"/>
      <w:r w:rsidRPr="001E0E83">
        <w:rPr>
          <w:rFonts w:ascii="Cambria" w:hAnsi="Cambria"/>
          <w:color w:val="000000" w:themeColor="text1"/>
          <w:shd w:val="clear" w:color="auto" w:fill="FFFFFF"/>
          <w:lang w:val="en-US"/>
        </w:rPr>
        <w:t xml:space="preserve">, RIA Novosti, 21. 11. 2020, </w:t>
      </w:r>
      <w:hyperlink r:id="rId42" w:history="1">
        <w:r w:rsidRPr="001E0E83">
          <w:rPr>
            <w:rFonts w:ascii="Cambria" w:hAnsi="Cambria"/>
            <w:color w:val="000000" w:themeColor="text1"/>
            <w:shd w:val="clear" w:color="auto" w:fill="FFFFFF"/>
            <w:lang w:val="en-US"/>
          </w:rPr>
          <w:t>https://ria.ru/20201121/podderzhka-1585667468.html</w:t>
        </w:r>
      </w:hyperlink>
      <w:r w:rsidRPr="001E0E83">
        <w:rPr>
          <w:rFonts w:ascii="Cambria" w:hAnsi="Cambria"/>
          <w:color w:val="000000" w:themeColor="text1"/>
          <w:shd w:val="clear" w:color="auto" w:fill="FFFFFF"/>
          <w:lang w:val="en-US"/>
        </w:rPr>
        <w:t xml:space="preserve"> </w:t>
      </w:r>
      <w:r w:rsidR="00F13524" w:rsidRPr="00F13524">
        <w:rPr>
          <w:rStyle w:val="Hypertextovodkaz"/>
          <w:rFonts w:ascii="Cambria" w:hAnsi="Cambria"/>
          <w:color w:val="000000" w:themeColor="text1"/>
          <w:u w:val="none"/>
        </w:rPr>
        <w:t xml:space="preserve">(staženo </w:t>
      </w:r>
      <w:r w:rsidR="00F13524">
        <w:rPr>
          <w:rStyle w:val="Hypertextovodkaz"/>
          <w:rFonts w:ascii="Cambria" w:hAnsi="Cambria"/>
          <w:color w:val="000000" w:themeColor="text1"/>
          <w:u w:val="none"/>
        </w:rPr>
        <w:t>20</w:t>
      </w:r>
      <w:r w:rsidR="00F13524" w:rsidRPr="00F13524">
        <w:rPr>
          <w:rStyle w:val="Hypertextovodkaz"/>
          <w:rFonts w:ascii="Cambria" w:hAnsi="Cambria"/>
          <w:color w:val="000000" w:themeColor="text1"/>
          <w:u w:val="none"/>
        </w:rPr>
        <w:t xml:space="preserve">. </w:t>
      </w:r>
      <w:r w:rsidR="00F13524">
        <w:rPr>
          <w:rStyle w:val="Hypertextovodkaz"/>
          <w:rFonts w:ascii="Cambria" w:hAnsi="Cambria"/>
          <w:color w:val="000000" w:themeColor="text1"/>
          <w:u w:val="none"/>
        </w:rPr>
        <w:t>října</w:t>
      </w:r>
      <w:r w:rsidR="00F13524" w:rsidRPr="00F13524">
        <w:rPr>
          <w:rStyle w:val="Hypertextovodkaz"/>
          <w:rFonts w:ascii="Cambria" w:hAnsi="Cambria"/>
          <w:color w:val="000000" w:themeColor="text1"/>
          <w:u w:val="none"/>
        </w:rPr>
        <w:t xml:space="preserve"> 2020)</w:t>
      </w:r>
      <w:r w:rsidRPr="001E0E83">
        <w:rPr>
          <w:rFonts w:ascii="Cambria" w:hAnsi="Cambria"/>
          <w:color w:val="000000" w:themeColor="text1"/>
          <w:shd w:val="clear" w:color="auto" w:fill="FFFFFF"/>
          <w:lang w:val="en-US"/>
        </w:rPr>
        <w:t>.</w:t>
      </w:r>
    </w:p>
    <w:p w14:paraId="0344EDA9" w14:textId="08F45853"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Ross, M. (2012)</w:t>
      </w:r>
      <w:r w:rsidR="00F13524">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xml:space="preserve"> </w:t>
      </w:r>
      <w:r w:rsidRPr="00F13524">
        <w:rPr>
          <w:rFonts w:ascii="Cambria" w:hAnsi="Cambria"/>
          <w:i/>
          <w:iCs/>
          <w:color w:val="000000" w:themeColor="text1"/>
          <w:shd w:val="clear" w:color="auto" w:fill="FFFFFF"/>
          <w:lang w:val="en-US"/>
        </w:rPr>
        <w:t xml:space="preserve">The Oil Curse: How Petroleum Wealth Shapes the Development of Nations. </w:t>
      </w:r>
      <w:r w:rsidRPr="001E0E83">
        <w:rPr>
          <w:rFonts w:ascii="Cambria" w:hAnsi="Cambria"/>
          <w:color w:val="000000" w:themeColor="text1"/>
          <w:shd w:val="clear" w:color="auto" w:fill="FFFFFF"/>
          <w:lang w:val="en-US"/>
        </w:rPr>
        <w:t>Princeton University Press.</w:t>
      </w:r>
    </w:p>
    <w:p w14:paraId="065E30BC" w14:textId="16CEFC83" w:rsidR="00593C75" w:rsidRPr="001E0E83" w:rsidRDefault="00593C75" w:rsidP="001E0E83">
      <w:pPr>
        <w:spacing w:after="100" w:afterAutospacing="1" w:line="240" w:lineRule="auto"/>
        <w:ind w:left="709" w:hanging="709"/>
        <w:rPr>
          <w:rFonts w:ascii="Cambria" w:hAnsi="Cambria"/>
        </w:rPr>
      </w:pPr>
      <w:proofErr w:type="spellStart"/>
      <w:r w:rsidRPr="001E0E83">
        <w:rPr>
          <w:rStyle w:val="author"/>
          <w:rFonts w:ascii="Cambria" w:hAnsi="Cambria"/>
        </w:rPr>
        <w:t>Safarova</w:t>
      </w:r>
      <w:proofErr w:type="spellEnd"/>
      <w:r w:rsidRPr="001E0E83">
        <w:rPr>
          <w:rStyle w:val="author"/>
          <w:rFonts w:ascii="Cambria" w:hAnsi="Cambria"/>
        </w:rPr>
        <w:t>, D</w:t>
      </w:r>
      <w:r w:rsidR="00F13524">
        <w:rPr>
          <w:rStyle w:val="author"/>
          <w:rFonts w:ascii="Cambria" w:hAnsi="Cambria"/>
        </w:rPr>
        <w:t>.</w:t>
      </w:r>
      <w:r w:rsidRPr="001E0E83">
        <w:rPr>
          <w:rStyle w:val="author"/>
          <w:rFonts w:ascii="Cambria" w:hAnsi="Cambria"/>
        </w:rPr>
        <w:t xml:space="preserve"> (</w:t>
      </w:r>
      <w:r w:rsidRPr="001E0E83">
        <w:rPr>
          <w:rStyle w:val="Datum1"/>
          <w:rFonts w:ascii="Cambria" w:hAnsi="Cambria"/>
        </w:rPr>
        <w:t xml:space="preserve">2020): </w:t>
      </w:r>
      <w:proofErr w:type="spellStart"/>
      <w:r w:rsidRPr="001E0E83">
        <w:rPr>
          <w:rStyle w:val="Datum1"/>
          <w:rFonts w:ascii="Cambria" w:hAnsi="Cambria"/>
        </w:rPr>
        <w:t>Azerbaijan’s</w:t>
      </w:r>
      <w:proofErr w:type="spellEnd"/>
      <w:r w:rsidRPr="001E0E83">
        <w:rPr>
          <w:rStyle w:val="Datum1"/>
          <w:rFonts w:ascii="Cambria" w:hAnsi="Cambria"/>
        </w:rPr>
        <w:t xml:space="preserve"> </w:t>
      </w:r>
      <w:proofErr w:type="spellStart"/>
      <w:r w:rsidRPr="001E0E83">
        <w:rPr>
          <w:rStyle w:val="Datum1"/>
          <w:rFonts w:ascii="Cambria" w:hAnsi="Cambria"/>
        </w:rPr>
        <w:t>notorious</w:t>
      </w:r>
      <w:proofErr w:type="spellEnd"/>
      <w:r w:rsidRPr="001E0E83">
        <w:rPr>
          <w:rStyle w:val="Datum1"/>
          <w:rFonts w:ascii="Cambria" w:hAnsi="Cambria"/>
        </w:rPr>
        <w:t xml:space="preserve"> </w:t>
      </w:r>
      <w:proofErr w:type="spellStart"/>
      <w:r w:rsidRPr="001E0E83">
        <w:rPr>
          <w:rStyle w:val="Datum1"/>
          <w:rFonts w:ascii="Cambria" w:hAnsi="Cambria"/>
        </w:rPr>
        <w:t>ideologue</w:t>
      </w:r>
      <w:proofErr w:type="spellEnd"/>
      <w:r w:rsidRPr="001E0E83">
        <w:rPr>
          <w:rStyle w:val="Datum1"/>
          <w:rFonts w:ascii="Cambria" w:hAnsi="Cambria"/>
        </w:rPr>
        <w:t xml:space="preserve"> </w:t>
      </w:r>
      <w:proofErr w:type="spellStart"/>
      <w:r w:rsidRPr="001E0E83">
        <w:rPr>
          <w:rStyle w:val="Datum1"/>
          <w:rFonts w:ascii="Cambria" w:hAnsi="Cambria"/>
        </w:rPr>
        <w:t>suffers</w:t>
      </w:r>
      <w:proofErr w:type="spellEnd"/>
      <w:r w:rsidRPr="001E0E83">
        <w:rPr>
          <w:rStyle w:val="Datum1"/>
          <w:rFonts w:ascii="Cambria" w:hAnsi="Cambria"/>
        </w:rPr>
        <w:t xml:space="preserve"> </w:t>
      </w:r>
      <w:proofErr w:type="spellStart"/>
      <w:r w:rsidRPr="001E0E83">
        <w:rPr>
          <w:rStyle w:val="Datum1"/>
          <w:rFonts w:ascii="Cambria" w:hAnsi="Cambria"/>
        </w:rPr>
        <w:t>precipitous</w:t>
      </w:r>
      <w:proofErr w:type="spellEnd"/>
      <w:r w:rsidRPr="001E0E83">
        <w:rPr>
          <w:rStyle w:val="Datum1"/>
          <w:rFonts w:ascii="Cambria" w:hAnsi="Cambria"/>
        </w:rPr>
        <w:t xml:space="preserve"> </w:t>
      </w:r>
      <w:proofErr w:type="spellStart"/>
      <w:r w:rsidRPr="001E0E83">
        <w:rPr>
          <w:rStyle w:val="Datum1"/>
          <w:rFonts w:ascii="Cambria" w:hAnsi="Cambria"/>
        </w:rPr>
        <w:t>fall</w:t>
      </w:r>
      <w:proofErr w:type="spellEnd"/>
      <w:r w:rsidRPr="001E0E83">
        <w:rPr>
          <w:rStyle w:val="Datum1"/>
          <w:rFonts w:ascii="Cambria" w:hAnsi="Cambria"/>
        </w:rPr>
        <w:t xml:space="preserve">, </w:t>
      </w:r>
      <w:r w:rsidRPr="001E0E83">
        <w:rPr>
          <w:rStyle w:val="author"/>
          <w:rFonts w:ascii="Cambria" w:hAnsi="Cambria"/>
          <w:i/>
        </w:rPr>
        <w:t>Eurasianet.org</w:t>
      </w:r>
      <w:r w:rsidRPr="001E0E83">
        <w:rPr>
          <w:rStyle w:val="author"/>
          <w:rFonts w:ascii="Cambria" w:hAnsi="Cambria"/>
        </w:rPr>
        <w:t xml:space="preserve">, </w:t>
      </w:r>
      <w:r w:rsidRPr="001E0E83">
        <w:rPr>
          <w:rStyle w:val="Datum1"/>
          <w:rFonts w:ascii="Cambria" w:hAnsi="Cambria"/>
        </w:rPr>
        <w:t xml:space="preserve">17.01.2020, </w:t>
      </w:r>
      <w:r w:rsidR="00F13524" w:rsidRPr="00F13524">
        <w:rPr>
          <w:rStyle w:val="Datum1"/>
          <w:rFonts w:ascii="Cambria" w:hAnsi="Cambria"/>
        </w:rPr>
        <w:t>https://eurasianet.org/azerbaijans-notorious-ideologue-suffers-precipitous-fall</w:t>
      </w:r>
      <w:r w:rsidR="00F13524">
        <w:rPr>
          <w:rStyle w:val="Datum1"/>
          <w:rFonts w:ascii="Cambria" w:hAnsi="Cambria"/>
        </w:rPr>
        <w:t xml:space="preserve"> </w:t>
      </w:r>
      <w:r w:rsidR="00F13524" w:rsidRPr="00F13524">
        <w:rPr>
          <w:rStyle w:val="Hypertextovodkaz"/>
          <w:rFonts w:ascii="Cambria" w:hAnsi="Cambria"/>
          <w:color w:val="000000" w:themeColor="text1"/>
          <w:u w:val="none"/>
        </w:rPr>
        <w:t xml:space="preserve">(staženo </w:t>
      </w:r>
      <w:r w:rsidR="00F13524">
        <w:rPr>
          <w:rStyle w:val="Hypertextovodkaz"/>
          <w:rFonts w:ascii="Cambria" w:hAnsi="Cambria"/>
          <w:color w:val="000000" w:themeColor="text1"/>
          <w:u w:val="none"/>
        </w:rPr>
        <w:t>20</w:t>
      </w:r>
      <w:r w:rsidR="00F13524" w:rsidRPr="00F13524">
        <w:rPr>
          <w:rStyle w:val="Hypertextovodkaz"/>
          <w:rFonts w:ascii="Cambria" w:hAnsi="Cambria"/>
          <w:color w:val="000000" w:themeColor="text1"/>
          <w:u w:val="none"/>
        </w:rPr>
        <w:t xml:space="preserve">. </w:t>
      </w:r>
      <w:r w:rsidR="00F13524">
        <w:rPr>
          <w:rStyle w:val="Hypertextovodkaz"/>
          <w:rFonts w:ascii="Cambria" w:hAnsi="Cambria"/>
          <w:color w:val="000000" w:themeColor="text1"/>
          <w:u w:val="none"/>
        </w:rPr>
        <w:t>října</w:t>
      </w:r>
      <w:r w:rsidR="00F13524" w:rsidRPr="00F13524">
        <w:rPr>
          <w:rStyle w:val="Hypertextovodkaz"/>
          <w:rFonts w:ascii="Cambria" w:hAnsi="Cambria"/>
          <w:color w:val="000000" w:themeColor="text1"/>
          <w:u w:val="none"/>
        </w:rPr>
        <w:t xml:space="preserve"> 2020)</w:t>
      </w:r>
      <w:r w:rsidRPr="001E0E83">
        <w:rPr>
          <w:rStyle w:val="Datum1"/>
          <w:rFonts w:ascii="Cambria" w:hAnsi="Cambria"/>
        </w:rPr>
        <w:t>.</w:t>
      </w:r>
    </w:p>
    <w:p w14:paraId="66804296" w14:textId="77777777"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Sachs, J. D., – Warner, A. M. (1995). Natural resource abundance and economic growth (No. w5398). National Bureau of Economic Research.</w:t>
      </w:r>
    </w:p>
    <w:p w14:paraId="61875E5B" w14:textId="532A1382" w:rsidR="00593C75" w:rsidRPr="001E0E83" w:rsidRDefault="00593C75" w:rsidP="001E0E83">
      <w:pPr>
        <w:spacing w:after="100" w:afterAutospacing="1" w:line="240" w:lineRule="auto"/>
        <w:ind w:left="708" w:hanging="708"/>
        <w:rPr>
          <w:rFonts w:ascii="Cambria" w:eastAsia="Times New Roman" w:hAnsi="Cambria"/>
          <w:lang w:val="en-GB" w:eastAsia="cs-CZ"/>
        </w:rPr>
      </w:pPr>
      <w:proofErr w:type="spellStart"/>
      <w:r w:rsidRPr="001E0E83">
        <w:rPr>
          <w:rFonts w:ascii="Cambria" w:eastAsia="Times New Roman" w:hAnsi="Cambria"/>
          <w:lang w:val="en-GB" w:eastAsia="cs-CZ"/>
        </w:rPr>
        <w:lastRenderedPageBreak/>
        <w:t>Salisu</w:t>
      </w:r>
      <w:proofErr w:type="spellEnd"/>
      <w:r w:rsidRPr="001E0E83">
        <w:rPr>
          <w:rFonts w:ascii="Cambria" w:eastAsia="Times New Roman" w:hAnsi="Cambria"/>
          <w:lang w:val="en-GB" w:eastAsia="cs-CZ"/>
        </w:rPr>
        <w:t xml:space="preserve">, A. A. - </w:t>
      </w:r>
      <w:proofErr w:type="spellStart"/>
      <w:r w:rsidRPr="001E0E83">
        <w:rPr>
          <w:rFonts w:ascii="Cambria" w:eastAsia="Times New Roman" w:hAnsi="Cambria"/>
          <w:lang w:val="en-GB" w:eastAsia="cs-CZ"/>
        </w:rPr>
        <w:t>Ebuh</w:t>
      </w:r>
      <w:proofErr w:type="spellEnd"/>
      <w:r w:rsidRPr="001E0E83">
        <w:rPr>
          <w:rFonts w:ascii="Cambria" w:eastAsia="Times New Roman" w:hAnsi="Cambria"/>
          <w:lang w:val="en-GB" w:eastAsia="cs-CZ"/>
        </w:rPr>
        <w:t xml:space="preserve">, G. U. – Usman, N. (2020): Revisiting oil-stock nexus during COVID-19 pandemic: Some preliminary results. </w:t>
      </w:r>
      <w:r w:rsidRPr="001E0E83">
        <w:rPr>
          <w:rFonts w:ascii="Cambria" w:eastAsia="Times New Roman" w:hAnsi="Cambria"/>
          <w:i/>
          <w:lang w:val="en-GB" w:eastAsia="cs-CZ"/>
        </w:rPr>
        <w:t>International Review of Economics &amp; Finance</w:t>
      </w:r>
      <w:r w:rsidRPr="001E0E83">
        <w:rPr>
          <w:rFonts w:ascii="Cambria" w:eastAsia="Times New Roman" w:hAnsi="Cambria"/>
          <w:lang w:val="en-GB" w:eastAsia="cs-CZ"/>
        </w:rPr>
        <w:t>, 69</w:t>
      </w:r>
      <w:r w:rsidR="00F13524">
        <w:rPr>
          <w:rFonts w:ascii="Cambria" w:eastAsia="Times New Roman" w:hAnsi="Cambria"/>
          <w:lang w:val="en-GB" w:eastAsia="cs-CZ"/>
        </w:rPr>
        <w:t>(C)</w:t>
      </w:r>
      <w:r w:rsidRPr="001E0E83">
        <w:rPr>
          <w:rFonts w:ascii="Cambria" w:eastAsia="Times New Roman" w:hAnsi="Cambria"/>
          <w:lang w:val="en-GB" w:eastAsia="cs-CZ"/>
        </w:rPr>
        <w:t>, 280-294.</w:t>
      </w:r>
    </w:p>
    <w:p w14:paraId="213BACDE" w14:textId="59AFF093" w:rsidR="00593C75" w:rsidRPr="001E0E83" w:rsidRDefault="00593C75" w:rsidP="001E0E83">
      <w:pPr>
        <w:spacing w:after="100" w:afterAutospacing="1" w:line="240" w:lineRule="auto"/>
        <w:ind w:left="708" w:hanging="708"/>
        <w:rPr>
          <w:rFonts w:ascii="Cambria" w:hAnsi="Cambria"/>
          <w:lang w:val="en-GB"/>
        </w:rPr>
      </w:pPr>
      <w:proofErr w:type="spellStart"/>
      <w:r w:rsidRPr="001E0E83">
        <w:rPr>
          <w:rFonts w:ascii="Cambria" w:hAnsi="Cambria"/>
          <w:lang w:val="en-GB"/>
        </w:rPr>
        <w:t>Selmi</w:t>
      </w:r>
      <w:proofErr w:type="spellEnd"/>
      <w:r w:rsidRPr="001E0E83">
        <w:rPr>
          <w:rFonts w:ascii="Cambria" w:hAnsi="Cambria"/>
          <w:lang w:val="en-GB"/>
        </w:rPr>
        <w:t xml:space="preserve">, R. – </w:t>
      </w:r>
      <w:proofErr w:type="spellStart"/>
      <w:r w:rsidRPr="001E0E83">
        <w:rPr>
          <w:rFonts w:ascii="Cambria" w:hAnsi="Cambria"/>
          <w:lang w:val="en-GB"/>
        </w:rPr>
        <w:t>Bouoiyour</w:t>
      </w:r>
      <w:proofErr w:type="spellEnd"/>
      <w:r w:rsidRPr="001E0E83">
        <w:rPr>
          <w:rFonts w:ascii="Cambria" w:hAnsi="Cambria"/>
          <w:lang w:val="en-GB"/>
        </w:rPr>
        <w:t>, J. – Miftah, A. (2020): Oil price jumps and the uncertainty of oil supplies in a geopolitical perspective: The role of OPEC’s spare capacity</w:t>
      </w:r>
      <w:r w:rsidR="00812EE4">
        <w:rPr>
          <w:rFonts w:ascii="Cambria" w:hAnsi="Cambria"/>
          <w:lang w:val="en-GB"/>
        </w:rPr>
        <w:t>,</w:t>
      </w:r>
      <w:r w:rsidRPr="001E0E83">
        <w:rPr>
          <w:rFonts w:ascii="Cambria" w:hAnsi="Cambria"/>
          <w:lang w:val="en-GB"/>
        </w:rPr>
        <w:t xml:space="preserve"> </w:t>
      </w:r>
      <w:r w:rsidRPr="001E0E83">
        <w:rPr>
          <w:rFonts w:ascii="Cambria" w:hAnsi="Cambria"/>
          <w:i/>
          <w:lang w:val="en-GB"/>
        </w:rPr>
        <w:t>International Economics</w:t>
      </w:r>
      <w:r w:rsidRPr="001E0E83">
        <w:rPr>
          <w:rFonts w:ascii="Cambria" w:hAnsi="Cambria"/>
          <w:lang w:val="en-GB"/>
        </w:rPr>
        <w:t>, 164, 18-35.</w:t>
      </w:r>
    </w:p>
    <w:p w14:paraId="09637208" w14:textId="4D2E3BCE"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SIPRI (2020): Military expenditure, https://www.sipri.org/research/armament-and-disarmament/arms-and-military-expenditure/military-expenditure (</w:t>
      </w:r>
      <w:proofErr w:type="spellStart"/>
      <w:r w:rsidR="00F13524">
        <w:rPr>
          <w:rFonts w:ascii="Cambria" w:hAnsi="Cambria"/>
          <w:color w:val="000000" w:themeColor="text1"/>
          <w:shd w:val="clear" w:color="auto" w:fill="FFFFFF"/>
          <w:lang w:val="en-US"/>
        </w:rPr>
        <w:t>staženo</w:t>
      </w:r>
      <w:proofErr w:type="spellEnd"/>
      <w:r w:rsidR="00F13524">
        <w:rPr>
          <w:rFonts w:ascii="Cambria" w:hAnsi="Cambria"/>
          <w:color w:val="000000" w:themeColor="text1"/>
          <w:shd w:val="clear" w:color="auto" w:fill="FFFFFF"/>
          <w:lang w:val="en-US"/>
        </w:rPr>
        <w:t xml:space="preserve"> 20. </w:t>
      </w:r>
      <w:proofErr w:type="spellStart"/>
      <w:r w:rsidR="00F13524">
        <w:rPr>
          <w:rFonts w:ascii="Cambria" w:hAnsi="Cambria"/>
          <w:color w:val="000000" w:themeColor="text1"/>
          <w:shd w:val="clear" w:color="auto" w:fill="FFFFFF"/>
          <w:lang w:val="en-US"/>
        </w:rPr>
        <w:t>října</w:t>
      </w:r>
      <w:proofErr w:type="spellEnd"/>
      <w:r w:rsidRPr="001E0E83">
        <w:rPr>
          <w:rFonts w:ascii="Cambria" w:hAnsi="Cambria"/>
          <w:color w:val="000000" w:themeColor="text1"/>
          <w:shd w:val="clear" w:color="auto" w:fill="FFFFFF"/>
          <w:lang w:val="en-US"/>
        </w:rPr>
        <w:t xml:space="preserve"> 2020).</w:t>
      </w:r>
    </w:p>
    <w:p w14:paraId="471A44EB" w14:textId="766ABA27" w:rsidR="00593C75" w:rsidRPr="001E0E83" w:rsidRDefault="00593C75" w:rsidP="001E0E83">
      <w:pPr>
        <w:spacing w:after="100" w:afterAutospacing="1" w:line="240" w:lineRule="auto"/>
        <w:ind w:left="708" w:hanging="708"/>
        <w:rPr>
          <w:rFonts w:ascii="Cambria" w:eastAsia="Times New Roman" w:hAnsi="Cambria"/>
          <w:lang w:val="en-GB" w:eastAsia="cs-CZ"/>
        </w:rPr>
      </w:pPr>
      <w:proofErr w:type="spellStart"/>
      <w:r w:rsidRPr="001E0E83">
        <w:rPr>
          <w:rFonts w:ascii="Cambria" w:eastAsia="Times New Roman" w:hAnsi="Cambria"/>
          <w:lang w:val="en-GB" w:eastAsia="cs-CZ"/>
        </w:rPr>
        <w:t>Skalamera</w:t>
      </w:r>
      <w:proofErr w:type="spellEnd"/>
      <w:r w:rsidRPr="001E0E83">
        <w:rPr>
          <w:rFonts w:ascii="Cambria" w:eastAsia="Times New Roman" w:hAnsi="Cambria"/>
          <w:lang w:val="en-GB" w:eastAsia="cs-CZ"/>
        </w:rPr>
        <w:t xml:space="preserve">, M. (2020): The 2020 Oil Price Dive in a Carbon-Constrained Era: Strategies for Energy Exporters in Central Asia. </w:t>
      </w:r>
      <w:r w:rsidRPr="001E0E83">
        <w:rPr>
          <w:rFonts w:ascii="Cambria" w:eastAsia="Times New Roman" w:hAnsi="Cambria"/>
          <w:i/>
          <w:lang w:val="en-GB" w:eastAsia="cs-CZ"/>
        </w:rPr>
        <w:t>International Affairs</w:t>
      </w:r>
      <w:r w:rsidR="00812EE4">
        <w:rPr>
          <w:rFonts w:ascii="Cambria" w:eastAsia="Times New Roman" w:hAnsi="Cambria"/>
          <w:lang w:val="en-GB" w:eastAsia="cs-CZ"/>
        </w:rPr>
        <w:t>, 96(6), 1623-1642,</w:t>
      </w:r>
      <w:r w:rsidRPr="001E0E83">
        <w:rPr>
          <w:rFonts w:ascii="Cambria" w:eastAsia="Times New Roman" w:hAnsi="Cambria"/>
          <w:lang w:val="en-GB" w:eastAsia="cs-CZ"/>
        </w:rPr>
        <w:t xml:space="preserve"> </w:t>
      </w:r>
      <w:proofErr w:type="spellStart"/>
      <w:r w:rsidRPr="001E0E83">
        <w:rPr>
          <w:rFonts w:ascii="Cambria" w:eastAsia="Times New Roman" w:hAnsi="Cambria"/>
          <w:lang w:val="en-GB" w:eastAsia="cs-CZ"/>
        </w:rPr>
        <w:t>doi</w:t>
      </w:r>
      <w:proofErr w:type="spellEnd"/>
      <w:r w:rsidRPr="001E0E83">
        <w:rPr>
          <w:rFonts w:ascii="Cambria" w:eastAsia="Times New Roman" w:hAnsi="Cambria"/>
          <w:lang w:val="en-GB" w:eastAsia="cs-CZ"/>
        </w:rPr>
        <w:t>: 10.1093/</w:t>
      </w:r>
      <w:proofErr w:type="spellStart"/>
      <w:r w:rsidRPr="001E0E83">
        <w:rPr>
          <w:rFonts w:ascii="Cambria" w:eastAsia="Times New Roman" w:hAnsi="Cambria"/>
          <w:lang w:val="en-GB" w:eastAsia="cs-CZ"/>
        </w:rPr>
        <w:t>ia</w:t>
      </w:r>
      <w:proofErr w:type="spellEnd"/>
      <w:r w:rsidRPr="001E0E83">
        <w:rPr>
          <w:rFonts w:ascii="Cambria" w:eastAsia="Times New Roman" w:hAnsi="Cambria"/>
          <w:lang w:val="en-GB" w:eastAsia="cs-CZ"/>
        </w:rPr>
        <w:t>/iiaa164.</w:t>
      </w:r>
    </w:p>
    <w:p w14:paraId="55D2C50F" w14:textId="442C942A" w:rsidR="00593C75" w:rsidRPr="001E0E83" w:rsidRDefault="00593C75" w:rsidP="001E0E83">
      <w:pPr>
        <w:spacing w:after="100" w:afterAutospacing="1" w:line="240" w:lineRule="auto"/>
        <w:ind w:left="709" w:hanging="709"/>
        <w:rPr>
          <w:rFonts w:ascii="Cambria" w:hAnsi="Cambria"/>
        </w:rPr>
      </w:pPr>
      <w:r w:rsidRPr="001E0E83">
        <w:rPr>
          <w:rFonts w:ascii="Cambria" w:hAnsi="Cambria"/>
        </w:rPr>
        <w:t xml:space="preserve">SOFAZ (2020): </w:t>
      </w:r>
      <w:proofErr w:type="spellStart"/>
      <w:r w:rsidRPr="001E0E83">
        <w:rPr>
          <w:rFonts w:ascii="Cambria" w:hAnsi="Cambria"/>
        </w:rPr>
        <w:t>Reports</w:t>
      </w:r>
      <w:proofErr w:type="spellEnd"/>
      <w:r w:rsidRPr="001E0E83">
        <w:rPr>
          <w:rFonts w:ascii="Cambria" w:hAnsi="Cambria"/>
        </w:rPr>
        <w:t xml:space="preserve"> and </w:t>
      </w:r>
      <w:proofErr w:type="spellStart"/>
      <w:r w:rsidRPr="001E0E83">
        <w:rPr>
          <w:rFonts w:ascii="Cambria" w:hAnsi="Cambria"/>
        </w:rPr>
        <w:t>statistics</w:t>
      </w:r>
      <w:proofErr w:type="spellEnd"/>
      <w:r w:rsidRPr="001E0E83">
        <w:rPr>
          <w:rFonts w:ascii="Cambria" w:hAnsi="Cambria"/>
        </w:rPr>
        <w:t xml:space="preserve">, </w:t>
      </w:r>
      <w:proofErr w:type="spellStart"/>
      <w:r w:rsidRPr="001E0E83">
        <w:rPr>
          <w:rFonts w:ascii="Cambria" w:hAnsi="Cambria"/>
        </w:rPr>
        <w:t>State</w:t>
      </w:r>
      <w:proofErr w:type="spellEnd"/>
      <w:r w:rsidRPr="001E0E83">
        <w:rPr>
          <w:rFonts w:ascii="Cambria" w:hAnsi="Cambria"/>
        </w:rPr>
        <w:t xml:space="preserve"> </w:t>
      </w:r>
      <w:proofErr w:type="spellStart"/>
      <w:r w:rsidRPr="001E0E83">
        <w:rPr>
          <w:rFonts w:ascii="Cambria" w:hAnsi="Cambria"/>
        </w:rPr>
        <w:t>Oil</w:t>
      </w:r>
      <w:proofErr w:type="spellEnd"/>
      <w:r w:rsidRPr="001E0E83">
        <w:rPr>
          <w:rFonts w:ascii="Cambria" w:hAnsi="Cambria"/>
        </w:rPr>
        <w:t xml:space="preserve"> </w:t>
      </w:r>
      <w:proofErr w:type="spellStart"/>
      <w:r w:rsidRPr="001E0E83">
        <w:rPr>
          <w:rFonts w:ascii="Cambria" w:hAnsi="Cambria"/>
        </w:rPr>
        <w:t>Fund</w:t>
      </w:r>
      <w:proofErr w:type="spellEnd"/>
      <w:r w:rsidRPr="001E0E83">
        <w:rPr>
          <w:rFonts w:ascii="Cambria" w:hAnsi="Cambria"/>
        </w:rPr>
        <w:t xml:space="preserve">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the</w:t>
      </w:r>
      <w:proofErr w:type="spellEnd"/>
      <w:r w:rsidRPr="001E0E83">
        <w:rPr>
          <w:rFonts w:ascii="Cambria" w:hAnsi="Cambria"/>
        </w:rPr>
        <w:t xml:space="preserve"> Republic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Azerbaijan</w:t>
      </w:r>
      <w:proofErr w:type="spellEnd"/>
      <w:r w:rsidRPr="001E0E83">
        <w:rPr>
          <w:rFonts w:ascii="Cambria" w:hAnsi="Cambria"/>
        </w:rPr>
        <w:t xml:space="preserve">, </w:t>
      </w:r>
      <w:r w:rsidR="00812EE4" w:rsidRPr="00812EE4">
        <w:rPr>
          <w:rFonts w:ascii="Cambria" w:hAnsi="Cambria"/>
        </w:rPr>
        <w:t>https://www.oilfund.az/en/report-and-statistics/recent-figures</w:t>
      </w:r>
      <w:r w:rsidR="00812EE4">
        <w:rPr>
          <w:rFonts w:ascii="Cambria" w:hAnsi="Cambria"/>
        </w:rPr>
        <w:t xml:space="preserve"> </w:t>
      </w:r>
      <w:r w:rsidR="00812EE4" w:rsidRPr="001E0E83">
        <w:rPr>
          <w:rFonts w:ascii="Cambria" w:hAnsi="Cambria"/>
          <w:color w:val="000000" w:themeColor="text1"/>
          <w:shd w:val="clear" w:color="auto" w:fill="FFFFFF"/>
          <w:lang w:val="en-US"/>
        </w:rPr>
        <w:t>(</w:t>
      </w:r>
      <w:proofErr w:type="spellStart"/>
      <w:r w:rsidR="00812EE4">
        <w:rPr>
          <w:rFonts w:ascii="Cambria" w:hAnsi="Cambria"/>
          <w:color w:val="000000" w:themeColor="text1"/>
          <w:shd w:val="clear" w:color="auto" w:fill="FFFFFF"/>
          <w:lang w:val="en-US"/>
        </w:rPr>
        <w:t>staženo</w:t>
      </w:r>
      <w:proofErr w:type="spellEnd"/>
      <w:r w:rsidR="00812EE4">
        <w:rPr>
          <w:rFonts w:ascii="Cambria" w:hAnsi="Cambria"/>
          <w:color w:val="000000" w:themeColor="text1"/>
          <w:shd w:val="clear" w:color="auto" w:fill="FFFFFF"/>
          <w:lang w:val="en-US"/>
        </w:rPr>
        <w:t xml:space="preserve"> 20. </w:t>
      </w:r>
      <w:proofErr w:type="spellStart"/>
      <w:r w:rsidR="00812EE4">
        <w:rPr>
          <w:rFonts w:ascii="Cambria" w:hAnsi="Cambria"/>
          <w:color w:val="000000" w:themeColor="text1"/>
          <w:shd w:val="clear" w:color="auto" w:fill="FFFFFF"/>
          <w:lang w:val="en-US"/>
        </w:rPr>
        <w:t>října</w:t>
      </w:r>
      <w:proofErr w:type="spellEnd"/>
      <w:r w:rsidR="00812EE4" w:rsidRPr="001E0E83">
        <w:rPr>
          <w:rFonts w:ascii="Cambria" w:hAnsi="Cambria"/>
          <w:color w:val="000000" w:themeColor="text1"/>
          <w:shd w:val="clear" w:color="auto" w:fill="FFFFFF"/>
          <w:lang w:val="en-US"/>
        </w:rPr>
        <w:t xml:space="preserve"> 2020)</w:t>
      </w:r>
      <w:r w:rsidRPr="001E0E83">
        <w:rPr>
          <w:rFonts w:ascii="Cambria" w:hAnsi="Cambria"/>
        </w:rPr>
        <w:t>.</w:t>
      </w:r>
    </w:p>
    <w:p w14:paraId="11DEBA8D" w14:textId="1BC5AA35" w:rsidR="00593C75" w:rsidRPr="001E0E83" w:rsidRDefault="00593C75" w:rsidP="001E0E83">
      <w:pPr>
        <w:spacing w:after="100" w:afterAutospacing="1" w:line="240" w:lineRule="auto"/>
        <w:ind w:left="709" w:hanging="709"/>
        <w:rPr>
          <w:rFonts w:ascii="Cambria" w:hAnsi="Cambria"/>
        </w:rPr>
      </w:pPr>
      <w:r w:rsidRPr="001E0E83">
        <w:rPr>
          <w:rFonts w:ascii="Cambria" w:hAnsi="Cambria"/>
        </w:rPr>
        <w:t xml:space="preserve">Sputnik </w:t>
      </w:r>
      <w:proofErr w:type="spellStart"/>
      <w:r w:rsidRPr="001E0E83">
        <w:rPr>
          <w:rFonts w:ascii="Cambria" w:hAnsi="Cambria"/>
        </w:rPr>
        <w:t>Azerbaijani</w:t>
      </w:r>
      <w:proofErr w:type="spellEnd"/>
      <w:r w:rsidRPr="001E0E83">
        <w:rPr>
          <w:rFonts w:ascii="Cambria" w:hAnsi="Cambria"/>
        </w:rPr>
        <w:t xml:space="preserve"> (</w:t>
      </w:r>
      <w:proofErr w:type="gramStart"/>
      <w:r w:rsidRPr="001E0E83">
        <w:rPr>
          <w:rFonts w:ascii="Cambria" w:hAnsi="Cambria"/>
        </w:rPr>
        <w:t>2020a</w:t>
      </w:r>
      <w:proofErr w:type="gramEnd"/>
      <w:r w:rsidRPr="001E0E83">
        <w:rPr>
          <w:rFonts w:ascii="Cambria" w:hAnsi="Cambria"/>
        </w:rPr>
        <w:t xml:space="preserve">): </w:t>
      </w:r>
      <w:proofErr w:type="spellStart"/>
      <w:r w:rsidRPr="001E0E83">
        <w:rPr>
          <w:rFonts w:ascii="Cambria" w:hAnsi="Cambria"/>
        </w:rPr>
        <w:t>Бюджет</w:t>
      </w:r>
      <w:proofErr w:type="spellEnd"/>
      <w:r w:rsidRPr="001E0E83">
        <w:rPr>
          <w:rFonts w:ascii="Cambria" w:hAnsi="Cambria"/>
        </w:rPr>
        <w:t xml:space="preserve"> </w:t>
      </w:r>
      <w:proofErr w:type="spellStart"/>
      <w:r w:rsidRPr="001E0E83">
        <w:rPr>
          <w:rFonts w:ascii="Cambria" w:hAnsi="Cambria"/>
        </w:rPr>
        <w:t>Азербайджана</w:t>
      </w:r>
      <w:proofErr w:type="spellEnd"/>
      <w:r w:rsidRPr="001E0E83">
        <w:rPr>
          <w:rFonts w:ascii="Cambria" w:hAnsi="Cambria"/>
        </w:rPr>
        <w:t xml:space="preserve"> </w:t>
      </w:r>
      <w:proofErr w:type="spellStart"/>
      <w:r w:rsidRPr="001E0E83">
        <w:rPr>
          <w:rFonts w:ascii="Cambria" w:hAnsi="Cambria"/>
        </w:rPr>
        <w:t>на</w:t>
      </w:r>
      <w:proofErr w:type="spellEnd"/>
      <w:r w:rsidRPr="001E0E83">
        <w:rPr>
          <w:rFonts w:ascii="Cambria" w:hAnsi="Cambria"/>
        </w:rPr>
        <w:t xml:space="preserve"> 2020 и 2021 </w:t>
      </w:r>
      <w:proofErr w:type="spellStart"/>
      <w:r w:rsidRPr="001E0E83">
        <w:rPr>
          <w:rFonts w:ascii="Cambria" w:hAnsi="Cambria"/>
        </w:rPr>
        <w:t>годы</w:t>
      </w:r>
      <w:proofErr w:type="spellEnd"/>
      <w:r w:rsidRPr="001E0E83">
        <w:rPr>
          <w:rFonts w:ascii="Cambria" w:hAnsi="Cambria"/>
        </w:rPr>
        <w:t xml:space="preserve">, </w:t>
      </w:r>
      <w:r w:rsidRPr="001E0E83">
        <w:rPr>
          <w:rFonts w:ascii="Cambria" w:hAnsi="Cambria"/>
          <w:i/>
        </w:rPr>
        <w:t>Sputnik</w:t>
      </w:r>
      <w:r w:rsidRPr="001E0E83">
        <w:rPr>
          <w:rFonts w:ascii="Cambria" w:hAnsi="Cambria"/>
        </w:rPr>
        <w:t xml:space="preserve"> </w:t>
      </w:r>
      <w:proofErr w:type="spellStart"/>
      <w:r w:rsidRPr="001E0E83">
        <w:rPr>
          <w:rFonts w:ascii="Cambria" w:hAnsi="Cambria"/>
          <w:i/>
        </w:rPr>
        <w:t>Azerbaijani</w:t>
      </w:r>
      <w:proofErr w:type="spellEnd"/>
      <w:r w:rsidRPr="001E0E83">
        <w:rPr>
          <w:rFonts w:ascii="Cambria" w:hAnsi="Cambria"/>
        </w:rPr>
        <w:t>, 15.10.2020,</w:t>
      </w:r>
      <w:r w:rsidRPr="001E0E83">
        <w:rPr>
          <w:rStyle w:val="Nadpis1Char"/>
          <w:rFonts w:ascii="Cambria" w:hAnsi="Cambria"/>
          <w:sz w:val="22"/>
          <w:szCs w:val="22"/>
        </w:rPr>
        <w:t xml:space="preserve"> </w:t>
      </w:r>
      <w:r w:rsidRPr="00812EE4">
        <w:rPr>
          <w:rFonts w:ascii="Cambria" w:hAnsi="Cambria"/>
        </w:rPr>
        <w:t>https://sptnkne.ws/EB5Z</w:t>
      </w:r>
      <w:r w:rsidR="00812EE4" w:rsidRPr="00812EE4">
        <w:rPr>
          <w:rStyle w:val="Hypertextovodkaz"/>
          <w:rFonts w:ascii="Cambria" w:hAnsi="Cambria"/>
          <w:u w:val="none"/>
        </w:rPr>
        <w:t xml:space="preserve"> </w:t>
      </w:r>
      <w:r w:rsidR="00812EE4" w:rsidRPr="00812EE4">
        <w:rPr>
          <w:rFonts w:ascii="Cambria" w:hAnsi="Cambria"/>
          <w:color w:val="000000" w:themeColor="text1"/>
          <w:shd w:val="clear" w:color="auto" w:fill="FFFFFF"/>
          <w:lang w:val="en-US"/>
        </w:rPr>
        <w:t>(</w:t>
      </w:r>
      <w:proofErr w:type="spellStart"/>
      <w:r w:rsidR="00812EE4">
        <w:rPr>
          <w:rFonts w:ascii="Cambria" w:hAnsi="Cambria"/>
          <w:color w:val="000000" w:themeColor="text1"/>
          <w:shd w:val="clear" w:color="auto" w:fill="FFFFFF"/>
          <w:lang w:val="en-US"/>
        </w:rPr>
        <w:t>staženo</w:t>
      </w:r>
      <w:proofErr w:type="spellEnd"/>
      <w:r w:rsidR="00812EE4">
        <w:rPr>
          <w:rFonts w:ascii="Cambria" w:hAnsi="Cambria"/>
          <w:color w:val="000000" w:themeColor="text1"/>
          <w:shd w:val="clear" w:color="auto" w:fill="FFFFFF"/>
          <w:lang w:val="en-US"/>
        </w:rPr>
        <w:t xml:space="preserve"> 20. </w:t>
      </w:r>
      <w:proofErr w:type="spellStart"/>
      <w:r w:rsidR="00812EE4">
        <w:rPr>
          <w:rFonts w:ascii="Cambria" w:hAnsi="Cambria"/>
          <w:color w:val="000000" w:themeColor="text1"/>
          <w:shd w:val="clear" w:color="auto" w:fill="FFFFFF"/>
          <w:lang w:val="en-US"/>
        </w:rPr>
        <w:t>října</w:t>
      </w:r>
      <w:proofErr w:type="spellEnd"/>
      <w:r w:rsidR="00812EE4" w:rsidRPr="001E0E83">
        <w:rPr>
          <w:rFonts w:ascii="Cambria" w:hAnsi="Cambria"/>
          <w:color w:val="000000" w:themeColor="text1"/>
          <w:shd w:val="clear" w:color="auto" w:fill="FFFFFF"/>
          <w:lang w:val="en-US"/>
        </w:rPr>
        <w:t xml:space="preserve"> 2020)</w:t>
      </w:r>
      <w:r w:rsidR="00812EE4">
        <w:rPr>
          <w:rFonts w:ascii="Cambria" w:hAnsi="Cambria"/>
          <w:color w:val="000000" w:themeColor="text1"/>
          <w:shd w:val="clear" w:color="auto" w:fill="FFFFFF"/>
          <w:lang w:val="en-US"/>
        </w:rPr>
        <w:t>.</w:t>
      </w:r>
    </w:p>
    <w:p w14:paraId="28A76E7E" w14:textId="69CC7179" w:rsidR="00593C75" w:rsidRPr="001E0E83" w:rsidRDefault="00593C75" w:rsidP="00812EE4">
      <w:pPr>
        <w:spacing w:after="100" w:afterAutospacing="1" w:line="240" w:lineRule="auto"/>
        <w:ind w:left="709" w:hanging="709"/>
        <w:rPr>
          <w:rFonts w:ascii="Cambria" w:hAnsi="Cambria"/>
        </w:rPr>
      </w:pPr>
      <w:r w:rsidRPr="001E0E83">
        <w:rPr>
          <w:rFonts w:ascii="Cambria" w:hAnsi="Cambria"/>
        </w:rPr>
        <w:t xml:space="preserve">Sputnik </w:t>
      </w:r>
      <w:proofErr w:type="spellStart"/>
      <w:r w:rsidRPr="001E0E83">
        <w:rPr>
          <w:rFonts w:ascii="Cambria" w:hAnsi="Cambria"/>
        </w:rPr>
        <w:t>Azerbaijani</w:t>
      </w:r>
      <w:proofErr w:type="spellEnd"/>
      <w:r w:rsidRPr="001E0E83">
        <w:rPr>
          <w:rFonts w:ascii="Cambria" w:hAnsi="Cambria"/>
        </w:rPr>
        <w:t xml:space="preserve"> (</w:t>
      </w:r>
      <w:proofErr w:type="gramStart"/>
      <w:r w:rsidRPr="001E0E83">
        <w:rPr>
          <w:rFonts w:ascii="Cambria" w:hAnsi="Cambria"/>
        </w:rPr>
        <w:t>2020b</w:t>
      </w:r>
      <w:proofErr w:type="gramEnd"/>
      <w:r w:rsidRPr="001E0E83">
        <w:rPr>
          <w:rFonts w:ascii="Cambria" w:hAnsi="Cambria"/>
        </w:rPr>
        <w:t xml:space="preserve">): </w:t>
      </w:r>
      <w:proofErr w:type="spellStart"/>
      <w:r w:rsidRPr="001E0E83">
        <w:rPr>
          <w:rFonts w:ascii="Cambria" w:hAnsi="Cambria"/>
        </w:rPr>
        <w:t>Бюджет</w:t>
      </w:r>
      <w:proofErr w:type="spellEnd"/>
      <w:r w:rsidRPr="001E0E83">
        <w:rPr>
          <w:rFonts w:ascii="Cambria" w:hAnsi="Cambria"/>
        </w:rPr>
        <w:t xml:space="preserve"> </w:t>
      </w:r>
      <w:proofErr w:type="spellStart"/>
      <w:r w:rsidRPr="001E0E83">
        <w:rPr>
          <w:rFonts w:ascii="Cambria" w:hAnsi="Cambria"/>
        </w:rPr>
        <w:t>на</w:t>
      </w:r>
      <w:proofErr w:type="spellEnd"/>
      <w:r w:rsidRPr="001E0E83">
        <w:rPr>
          <w:rFonts w:ascii="Cambria" w:hAnsi="Cambria"/>
        </w:rPr>
        <w:t xml:space="preserve"> 2021 </w:t>
      </w:r>
      <w:proofErr w:type="spellStart"/>
      <w:r w:rsidRPr="001E0E83">
        <w:rPr>
          <w:rFonts w:ascii="Cambria" w:hAnsi="Cambria"/>
        </w:rPr>
        <w:t>год</w:t>
      </w:r>
      <w:proofErr w:type="spellEnd"/>
      <w:r w:rsidRPr="001E0E83">
        <w:rPr>
          <w:rFonts w:ascii="Cambria" w:hAnsi="Cambria"/>
        </w:rPr>
        <w:t xml:space="preserve"> </w:t>
      </w:r>
      <w:proofErr w:type="spellStart"/>
      <w:r w:rsidRPr="001E0E83">
        <w:rPr>
          <w:rFonts w:ascii="Cambria" w:hAnsi="Cambria"/>
        </w:rPr>
        <w:t>не</w:t>
      </w:r>
      <w:proofErr w:type="spellEnd"/>
      <w:r w:rsidRPr="001E0E83">
        <w:rPr>
          <w:rFonts w:ascii="Cambria" w:hAnsi="Cambria"/>
        </w:rPr>
        <w:t xml:space="preserve"> </w:t>
      </w:r>
      <w:proofErr w:type="spellStart"/>
      <w:r w:rsidRPr="001E0E83">
        <w:rPr>
          <w:rFonts w:ascii="Cambria" w:hAnsi="Cambria"/>
        </w:rPr>
        <w:t>поступил</w:t>
      </w:r>
      <w:proofErr w:type="spellEnd"/>
      <w:r w:rsidRPr="001E0E83">
        <w:rPr>
          <w:rFonts w:ascii="Cambria" w:hAnsi="Cambria"/>
        </w:rPr>
        <w:t xml:space="preserve"> в </w:t>
      </w:r>
      <w:proofErr w:type="spellStart"/>
      <w:r w:rsidRPr="001E0E83">
        <w:rPr>
          <w:rFonts w:ascii="Cambria" w:hAnsi="Cambria"/>
        </w:rPr>
        <w:t>Милли</w:t>
      </w:r>
      <w:proofErr w:type="spellEnd"/>
      <w:r w:rsidRPr="001E0E83">
        <w:rPr>
          <w:rFonts w:ascii="Cambria" w:hAnsi="Cambria"/>
        </w:rPr>
        <w:t xml:space="preserve"> </w:t>
      </w:r>
      <w:proofErr w:type="spellStart"/>
      <w:r w:rsidRPr="001E0E83">
        <w:rPr>
          <w:rFonts w:ascii="Cambria" w:hAnsi="Cambria"/>
        </w:rPr>
        <w:t>Меджлис</w:t>
      </w:r>
      <w:proofErr w:type="spellEnd"/>
      <w:r w:rsidRPr="001E0E83">
        <w:rPr>
          <w:rFonts w:ascii="Cambria" w:hAnsi="Cambria"/>
        </w:rPr>
        <w:t xml:space="preserve">: </w:t>
      </w:r>
      <w:proofErr w:type="spellStart"/>
      <w:r w:rsidRPr="001E0E83">
        <w:rPr>
          <w:rFonts w:ascii="Cambria" w:hAnsi="Cambria"/>
        </w:rPr>
        <w:t>требуются</w:t>
      </w:r>
      <w:proofErr w:type="spellEnd"/>
      <w:r w:rsidRPr="001E0E83">
        <w:rPr>
          <w:rFonts w:ascii="Cambria" w:hAnsi="Cambria"/>
        </w:rPr>
        <w:t xml:space="preserve"> </w:t>
      </w:r>
      <w:proofErr w:type="spellStart"/>
      <w:r w:rsidRPr="001E0E83">
        <w:rPr>
          <w:rFonts w:ascii="Cambria" w:hAnsi="Cambria"/>
        </w:rPr>
        <w:t>поправки</w:t>
      </w:r>
      <w:proofErr w:type="spellEnd"/>
      <w:r w:rsidRPr="001E0E83">
        <w:rPr>
          <w:rFonts w:ascii="Cambria" w:hAnsi="Cambria"/>
        </w:rPr>
        <w:t xml:space="preserve"> - </w:t>
      </w:r>
      <w:proofErr w:type="spellStart"/>
      <w:r w:rsidRPr="001E0E83">
        <w:rPr>
          <w:rFonts w:ascii="Cambria" w:hAnsi="Cambria"/>
        </w:rPr>
        <w:t>министр</w:t>
      </w:r>
      <w:proofErr w:type="spellEnd"/>
      <w:r w:rsidRPr="001E0E83">
        <w:rPr>
          <w:rFonts w:ascii="Cambria" w:hAnsi="Cambria"/>
        </w:rPr>
        <w:t xml:space="preserve"> </w:t>
      </w:r>
      <w:proofErr w:type="spellStart"/>
      <w:r w:rsidRPr="001E0E83">
        <w:rPr>
          <w:rFonts w:ascii="Cambria" w:hAnsi="Cambria"/>
        </w:rPr>
        <w:t>финансов</w:t>
      </w:r>
      <w:proofErr w:type="spellEnd"/>
      <w:r w:rsidRPr="001E0E83">
        <w:rPr>
          <w:rFonts w:ascii="Cambria" w:hAnsi="Cambria"/>
        </w:rPr>
        <w:t xml:space="preserve">, </w:t>
      </w:r>
      <w:r w:rsidRPr="001E0E83">
        <w:rPr>
          <w:rFonts w:ascii="Cambria" w:hAnsi="Cambria"/>
          <w:i/>
        </w:rPr>
        <w:t xml:space="preserve">Sputnik </w:t>
      </w:r>
      <w:proofErr w:type="spellStart"/>
      <w:r w:rsidRPr="001E0E83">
        <w:rPr>
          <w:rFonts w:ascii="Cambria" w:hAnsi="Cambria"/>
          <w:i/>
        </w:rPr>
        <w:t>Azerbaijani</w:t>
      </w:r>
      <w:proofErr w:type="spellEnd"/>
      <w:r w:rsidRPr="001E0E83">
        <w:rPr>
          <w:rFonts w:ascii="Cambria" w:hAnsi="Cambria"/>
        </w:rPr>
        <w:t xml:space="preserve">, 23.11.2020, </w:t>
      </w:r>
      <w:r w:rsidR="00812EE4" w:rsidRPr="00812EE4">
        <w:rPr>
          <w:rStyle w:val="b-articlerefs-getshorturl"/>
          <w:rFonts w:ascii="Cambria" w:hAnsi="Cambria"/>
        </w:rPr>
        <w:t>https://sptnkne.ws/EB6a</w:t>
      </w:r>
      <w:r w:rsidR="00812EE4">
        <w:rPr>
          <w:rStyle w:val="b-articlerefs-getshorturl"/>
          <w:rFonts w:ascii="Cambria" w:hAnsi="Cambria"/>
        </w:rPr>
        <w:t xml:space="preserve"> </w:t>
      </w:r>
      <w:r w:rsidR="00812EE4" w:rsidRPr="00812EE4">
        <w:rPr>
          <w:rFonts w:ascii="Cambria" w:hAnsi="Cambria"/>
          <w:color w:val="000000" w:themeColor="text1"/>
          <w:shd w:val="clear" w:color="auto" w:fill="FFFFFF"/>
          <w:lang w:val="en-US"/>
        </w:rPr>
        <w:t>(</w:t>
      </w:r>
      <w:proofErr w:type="spellStart"/>
      <w:r w:rsidR="00812EE4">
        <w:rPr>
          <w:rFonts w:ascii="Cambria" w:hAnsi="Cambria"/>
          <w:color w:val="000000" w:themeColor="text1"/>
          <w:shd w:val="clear" w:color="auto" w:fill="FFFFFF"/>
          <w:lang w:val="en-US"/>
        </w:rPr>
        <w:t>staženo</w:t>
      </w:r>
      <w:proofErr w:type="spellEnd"/>
      <w:r w:rsidR="00812EE4">
        <w:rPr>
          <w:rFonts w:ascii="Cambria" w:hAnsi="Cambria"/>
          <w:color w:val="000000" w:themeColor="text1"/>
          <w:shd w:val="clear" w:color="auto" w:fill="FFFFFF"/>
          <w:lang w:val="en-US"/>
        </w:rPr>
        <w:t xml:space="preserve"> 5. </w:t>
      </w:r>
      <w:proofErr w:type="spellStart"/>
      <w:r w:rsidR="00812EE4">
        <w:rPr>
          <w:rFonts w:ascii="Cambria" w:hAnsi="Cambria"/>
          <w:color w:val="000000" w:themeColor="text1"/>
          <w:shd w:val="clear" w:color="auto" w:fill="FFFFFF"/>
          <w:lang w:val="en-US"/>
        </w:rPr>
        <w:t>prosince</w:t>
      </w:r>
      <w:proofErr w:type="spellEnd"/>
      <w:r w:rsidR="00812EE4" w:rsidRPr="001E0E83">
        <w:rPr>
          <w:rFonts w:ascii="Cambria" w:hAnsi="Cambria"/>
          <w:color w:val="000000" w:themeColor="text1"/>
          <w:shd w:val="clear" w:color="auto" w:fill="FFFFFF"/>
          <w:lang w:val="en-US"/>
        </w:rPr>
        <w:t xml:space="preserve"> 2020)</w:t>
      </w:r>
      <w:r w:rsidR="00812EE4" w:rsidRPr="001E0E83">
        <w:rPr>
          <w:rStyle w:val="b-articlerefs-getshorturl"/>
          <w:rFonts w:ascii="Cambria" w:hAnsi="Cambria"/>
        </w:rPr>
        <w:t>.</w:t>
      </w:r>
    </w:p>
    <w:p w14:paraId="3A46A540" w14:textId="7F561685" w:rsidR="00593C75" w:rsidRPr="001E0E83" w:rsidRDefault="00593C75" w:rsidP="001E0E83">
      <w:pPr>
        <w:spacing w:after="100" w:afterAutospacing="1" w:line="240" w:lineRule="auto"/>
        <w:ind w:left="709" w:hanging="709"/>
        <w:rPr>
          <w:rStyle w:val="b-articlerefs-getshorturl"/>
          <w:rFonts w:ascii="Cambria" w:hAnsi="Cambria"/>
        </w:rPr>
      </w:pPr>
      <w:r w:rsidRPr="001E0E83">
        <w:rPr>
          <w:rFonts w:ascii="Cambria" w:hAnsi="Cambria"/>
        </w:rPr>
        <w:t xml:space="preserve">Sputnik </w:t>
      </w:r>
      <w:proofErr w:type="spellStart"/>
      <w:r w:rsidRPr="001E0E83">
        <w:rPr>
          <w:rFonts w:ascii="Cambria" w:hAnsi="Cambria"/>
        </w:rPr>
        <w:t>Azerbaijani</w:t>
      </w:r>
      <w:proofErr w:type="spellEnd"/>
      <w:r w:rsidRPr="001E0E83">
        <w:rPr>
          <w:rFonts w:ascii="Cambria" w:hAnsi="Cambria"/>
        </w:rPr>
        <w:t xml:space="preserve"> (2020c): </w:t>
      </w:r>
      <w:proofErr w:type="spellStart"/>
      <w:r w:rsidRPr="001E0E83">
        <w:rPr>
          <w:rFonts w:ascii="Cambria" w:hAnsi="Cambria"/>
        </w:rPr>
        <w:t>Для</w:t>
      </w:r>
      <w:proofErr w:type="spellEnd"/>
      <w:r w:rsidRPr="001E0E83">
        <w:rPr>
          <w:rFonts w:ascii="Cambria" w:hAnsi="Cambria"/>
        </w:rPr>
        <w:t xml:space="preserve"> </w:t>
      </w:r>
      <w:proofErr w:type="spellStart"/>
      <w:r w:rsidRPr="001E0E83">
        <w:rPr>
          <w:rFonts w:ascii="Cambria" w:hAnsi="Cambria"/>
        </w:rPr>
        <w:t>удержания</w:t>
      </w:r>
      <w:proofErr w:type="spellEnd"/>
      <w:r w:rsidRPr="001E0E83">
        <w:rPr>
          <w:rFonts w:ascii="Cambria" w:hAnsi="Cambria"/>
        </w:rPr>
        <w:t xml:space="preserve"> </w:t>
      </w:r>
      <w:proofErr w:type="spellStart"/>
      <w:r w:rsidRPr="001E0E83">
        <w:rPr>
          <w:rFonts w:ascii="Cambria" w:hAnsi="Cambria"/>
        </w:rPr>
        <w:t>курса</w:t>
      </w:r>
      <w:proofErr w:type="spellEnd"/>
      <w:r w:rsidRPr="001E0E83">
        <w:rPr>
          <w:rFonts w:ascii="Cambria" w:hAnsi="Cambria"/>
        </w:rPr>
        <w:t xml:space="preserve"> </w:t>
      </w:r>
      <w:proofErr w:type="spellStart"/>
      <w:r w:rsidRPr="001E0E83">
        <w:rPr>
          <w:rFonts w:ascii="Cambria" w:hAnsi="Cambria"/>
        </w:rPr>
        <w:t>маната</w:t>
      </w:r>
      <w:proofErr w:type="spellEnd"/>
      <w:r w:rsidRPr="001E0E83">
        <w:rPr>
          <w:rFonts w:ascii="Cambria" w:hAnsi="Cambria"/>
        </w:rPr>
        <w:t xml:space="preserve"> к </w:t>
      </w:r>
      <w:proofErr w:type="spellStart"/>
      <w:r w:rsidRPr="001E0E83">
        <w:rPr>
          <w:rFonts w:ascii="Cambria" w:hAnsi="Cambria"/>
        </w:rPr>
        <w:t>доллару</w:t>
      </w:r>
      <w:proofErr w:type="spellEnd"/>
      <w:r w:rsidRPr="001E0E83">
        <w:rPr>
          <w:rFonts w:ascii="Cambria" w:hAnsi="Cambria"/>
        </w:rPr>
        <w:t xml:space="preserve"> в </w:t>
      </w:r>
      <w:proofErr w:type="spellStart"/>
      <w:r w:rsidRPr="001E0E83">
        <w:rPr>
          <w:rFonts w:ascii="Cambria" w:hAnsi="Cambria"/>
        </w:rPr>
        <w:t>Азербайджане</w:t>
      </w:r>
      <w:proofErr w:type="spellEnd"/>
      <w:r w:rsidRPr="001E0E83">
        <w:rPr>
          <w:rFonts w:ascii="Cambria" w:hAnsi="Cambria"/>
        </w:rPr>
        <w:t xml:space="preserve"> </w:t>
      </w:r>
      <w:proofErr w:type="spellStart"/>
      <w:r w:rsidRPr="001E0E83">
        <w:rPr>
          <w:rFonts w:ascii="Cambria" w:hAnsi="Cambria"/>
        </w:rPr>
        <w:t>валюты</w:t>
      </w:r>
      <w:proofErr w:type="spellEnd"/>
      <w:r w:rsidRPr="001E0E83">
        <w:rPr>
          <w:rFonts w:ascii="Cambria" w:hAnsi="Cambria"/>
        </w:rPr>
        <w:t xml:space="preserve"> </w:t>
      </w:r>
      <w:proofErr w:type="spellStart"/>
      <w:r w:rsidRPr="001E0E83">
        <w:rPr>
          <w:rFonts w:ascii="Cambria" w:hAnsi="Cambria"/>
        </w:rPr>
        <w:t>хватит</w:t>
      </w:r>
      <w:proofErr w:type="spellEnd"/>
      <w:r w:rsidRPr="001E0E83">
        <w:rPr>
          <w:rFonts w:ascii="Cambria" w:hAnsi="Cambria"/>
        </w:rPr>
        <w:t xml:space="preserve"> </w:t>
      </w:r>
      <w:r w:rsidR="00812EE4">
        <w:rPr>
          <w:rFonts w:ascii="Cambria" w:hAnsi="Cambria"/>
        </w:rPr>
        <w:t>–</w:t>
      </w:r>
      <w:r w:rsidRPr="001E0E83">
        <w:rPr>
          <w:rFonts w:ascii="Cambria" w:hAnsi="Cambria"/>
        </w:rPr>
        <w:t xml:space="preserve"> </w:t>
      </w:r>
      <w:proofErr w:type="spellStart"/>
      <w:r w:rsidRPr="001E0E83">
        <w:rPr>
          <w:rFonts w:ascii="Cambria" w:hAnsi="Cambria"/>
        </w:rPr>
        <w:t>Fitch</w:t>
      </w:r>
      <w:proofErr w:type="spellEnd"/>
      <w:r w:rsidRPr="001E0E83">
        <w:rPr>
          <w:rFonts w:ascii="Cambria" w:hAnsi="Cambria"/>
        </w:rPr>
        <w:t xml:space="preserve"> </w:t>
      </w:r>
      <w:proofErr w:type="spellStart"/>
      <w:r w:rsidRPr="001E0E83">
        <w:rPr>
          <w:rFonts w:ascii="Cambria" w:hAnsi="Cambria"/>
        </w:rPr>
        <w:t>Ratings</w:t>
      </w:r>
      <w:proofErr w:type="spellEnd"/>
      <w:r w:rsidRPr="001E0E83">
        <w:rPr>
          <w:rFonts w:ascii="Cambria" w:hAnsi="Cambria"/>
        </w:rPr>
        <w:t xml:space="preserve">, </w:t>
      </w:r>
      <w:r w:rsidRPr="001E0E83">
        <w:rPr>
          <w:rFonts w:ascii="Cambria" w:hAnsi="Cambria"/>
          <w:i/>
        </w:rPr>
        <w:t xml:space="preserve">Sputnik </w:t>
      </w:r>
      <w:proofErr w:type="spellStart"/>
      <w:r w:rsidRPr="001E0E83">
        <w:rPr>
          <w:rFonts w:ascii="Cambria" w:hAnsi="Cambria"/>
          <w:i/>
        </w:rPr>
        <w:t>Azerbaijani</w:t>
      </w:r>
      <w:proofErr w:type="spellEnd"/>
      <w:r w:rsidRPr="001E0E83">
        <w:rPr>
          <w:rFonts w:ascii="Cambria" w:hAnsi="Cambria"/>
        </w:rPr>
        <w:t xml:space="preserve">, 29.11.2020, </w:t>
      </w:r>
      <w:r w:rsidRPr="00812EE4">
        <w:rPr>
          <w:rFonts w:ascii="Cambria" w:hAnsi="Cambria"/>
        </w:rPr>
        <w:t>https://sptnkne.ws/E5kp</w:t>
      </w:r>
      <w:r w:rsidR="00812EE4" w:rsidRPr="00812EE4">
        <w:rPr>
          <w:rStyle w:val="Hypertextovodkaz"/>
          <w:rFonts w:ascii="Cambria" w:hAnsi="Cambria"/>
          <w:u w:val="none"/>
        </w:rPr>
        <w:t xml:space="preserve"> </w:t>
      </w:r>
      <w:r w:rsidR="00812EE4" w:rsidRPr="00812EE4">
        <w:rPr>
          <w:rFonts w:ascii="Cambria" w:hAnsi="Cambria"/>
          <w:color w:val="000000" w:themeColor="text1"/>
          <w:shd w:val="clear" w:color="auto" w:fill="FFFFFF"/>
          <w:lang w:val="en-US"/>
        </w:rPr>
        <w:t>(</w:t>
      </w:r>
      <w:proofErr w:type="spellStart"/>
      <w:r w:rsidR="00812EE4">
        <w:rPr>
          <w:rFonts w:ascii="Cambria" w:hAnsi="Cambria"/>
          <w:color w:val="000000" w:themeColor="text1"/>
          <w:shd w:val="clear" w:color="auto" w:fill="FFFFFF"/>
          <w:lang w:val="en-US"/>
        </w:rPr>
        <w:t>staženo</w:t>
      </w:r>
      <w:proofErr w:type="spellEnd"/>
      <w:r w:rsidR="00812EE4">
        <w:rPr>
          <w:rFonts w:ascii="Cambria" w:hAnsi="Cambria"/>
          <w:color w:val="000000" w:themeColor="text1"/>
          <w:shd w:val="clear" w:color="auto" w:fill="FFFFFF"/>
          <w:lang w:val="en-US"/>
        </w:rPr>
        <w:t xml:space="preserve"> 5. </w:t>
      </w:r>
      <w:proofErr w:type="spellStart"/>
      <w:r w:rsidR="00812EE4">
        <w:rPr>
          <w:rFonts w:ascii="Cambria" w:hAnsi="Cambria"/>
          <w:color w:val="000000" w:themeColor="text1"/>
          <w:shd w:val="clear" w:color="auto" w:fill="FFFFFF"/>
          <w:lang w:val="en-US"/>
        </w:rPr>
        <w:t>prosince</w:t>
      </w:r>
      <w:proofErr w:type="spellEnd"/>
      <w:r w:rsidR="00812EE4" w:rsidRPr="001E0E83">
        <w:rPr>
          <w:rFonts w:ascii="Cambria" w:hAnsi="Cambria"/>
          <w:color w:val="000000" w:themeColor="text1"/>
          <w:shd w:val="clear" w:color="auto" w:fill="FFFFFF"/>
          <w:lang w:val="en-US"/>
        </w:rPr>
        <w:t xml:space="preserve"> 2020)</w:t>
      </w:r>
      <w:r w:rsidRPr="001E0E83">
        <w:rPr>
          <w:rStyle w:val="b-articlerefs-getshorturl"/>
          <w:rFonts w:ascii="Cambria" w:hAnsi="Cambria"/>
        </w:rPr>
        <w:t>.</w:t>
      </w:r>
    </w:p>
    <w:p w14:paraId="433E5B0C" w14:textId="7EA4EDD6" w:rsidR="00593C75" w:rsidRPr="001E0E83" w:rsidRDefault="00593C75" w:rsidP="00812EE4">
      <w:pPr>
        <w:spacing w:after="100" w:afterAutospacing="1" w:line="240" w:lineRule="auto"/>
        <w:ind w:left="709" w:hanging="709"/>
        <w:rPr>
          <w:rFonts w:ascii="Cambria" w:hAnsi="Cambria"/>
        </w:rPr>
      </w:pPr>
      <w:proofErr w:type="spellStart"/>
      <w:r w:rsidRPr="001E0E83">
        <w:rPr>
          <w:rFonts w:ascii="Cambria" w:hAnsi="Cambria"/>
        </w:rPr>
        <w:t>State</w:t>
      </w:r>
      <w:proofErr w:type="spellEnd"/>
      <w:r w:rsidRPr="001E0E83">
        <w:rPr>
          <w:rFonts w:ascii="Cambria" w:hAnsi="Cambria"/>
        </w:rPr>
        <w:t xml:space="preserve"> </w:t>
      </w:r>
      <w:proofErr w:type="spellStart"/>
      <w:r w:rsidRPr="001E0E83">
        <w:rPr>
          <w:rFonts w:ascii="Cambria" w:hAnsi="Cambria"/>
        </w:rPr>
        <w:t>Statistical</w:t>
      </w:r>
      <w:proofErr w:type="spellEnd"/>
      <w:r w:rsidRPr="001E0E83">
        <w:rPr>
          <w:rFonts w:ascii="Cambria" w:hAnsi="Cambria"/>
        </w:rPr>
        <w:t xml:space="preserve"> </w:t>
      </w:r>
      <w:proofErr w:type="spellStart"/>
      <w:r w:rsidRPr="001E0E83">
        <w:rPr>
          <w:rFonts w:ascii="Cambria" w:hAnsi="Cambria"/>
        </w:rPr>
        <w:t>Committee</w:t>
      </w:r>
      <w:proofErr w:type="spellEnd"/>
      <w:r w:rsidRPr="001E0E83">
        <w:rPr>
          <w:rFonts w:ascii="Cambria" w:hAnsi="Cambria"/>
        </w:rPr>
        <w:t xml:space="preserve">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the</w:t>
      </w:r>
      <w:proofErr w:type="spellEnd"/>
      <w:r w:rsidRPr="001E0E83">
        <w:rPr>
          <w:rFonts w:ascii="Cambria" w:hAnsi="Cambria"/>
        </w:rPr>
        <w:t xml:space="preserve"> Republic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Azerbaijan</w:t>
      </w:r>
      <w:proofErr w:type="spellEnd"/>
      <w:r w:rsidRPr="001E0E83">
        <w:rPr>
          <w:rFonts w:ascii="Cambria" w:hAnsi="Cambria"/>
        </w:rPr>
        <w:t xml:space="preserve"> (2020): </w:t>
      </w:r>
      <w:proofErr w:type="spellStart"/>
      <w:r w:rsidRPr="001E0E83">
        <w:rPr>
          <w:rFonts w:ascii="Cambria" w:hAnsi="Cambria"/>
        </w:rPr>
        <w:t>Macro-economic</w:t>
      </w:r>
      <w:proofErr w:type="spellEnd"/>
      <w:r w:rsidRPr="001E0E83">
        <w:rPr>
          <w:rFonts w:ascii="Cambria" w:hAnsi="Cambria"/>
        </w:rPr>
        <w:t xml:space="preserve"> </w:t>
      </w:r>
      <w:proofErr w:type="spellStart"/>
      <w:r w:rsidRPr="001E0E83">
        <w:rPr>
          <w:rFonts w:ascii="Cambria" w:hAnsi="Cambria"/>
        </w:rPr>
        <w:t>indicators</w:t>
      </w:r>
      <w:proofErr w:type="spellEnd"/>
      <w:r w:rsidRPr="001E0E83">
        <w:rPr>
          <w:rFonts w:ascii="Cambria" w:hAnsi="Cambria"/>
        </w:rPr>
        <w:t xml:space="preserve"> and </w:t>
      </w:r>
      <w:proofErr w:type="spellStart"/>
      <w:r w:rsidRPr="001E0E83">
        <w:rPr>
          <w:rFonts w:ascii="Cambria" w:hAnsi="Cambria"/>
        </w:rPr>
        <w:t>social</w:t>
      </w:r>
      <w:proofErr w:type="spellEnd"/>
      <w:r w:rsidRPr="001E0E83">
        <w:rPr>
          <w:rFonts w:ascii="Cambria" w:hAnsi="Cambria"/>
        </w:rPr>
        <w:t xml:space="preserve"> </w:t>
      </w:r>
      <w:proofErr w:type="spellStart"/>
      <w:r w:rsidRPr="001E0E83">
        <w:rPr>
          <w:rFonts w:ascii="Cambria" w:hAnsi="Cambria"/>
        </w:rPr>
        <w:t>development</w:t>
      </w:r>
      <w:proofErr w:type="spellEnd"/>
      <w:r w:rsidRPr="001E0E83">
        <w:rPr>
          <w:rFonts w:ascii="Cambria" w:hAnsi="Cambria"/>
        </w:rPr>
        <w:t xml:space="preserve">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the</w:t>
      </w:r>
      <w:proofErr w:type="spellEnd"/>
      <w:r w:rsidRPr="001E0E83">
        <w:rPr>
          <w:rFonts w:ascii="Cambria" w:hAnsi="Cambria"/>
        </w:rPr>
        <w:t xml:space="preserve"> country (</w:t>
      </w:r>
      <w:proofErr w:type="spellStart"/>
      <w:r w:rsidRPr="001E0E83">
        <w:rPr>
          <w:rFonts w:ascii="Cambria" w:hAnsi="Cambria"/>
        </w:rPr>
        <w:t>January-October</w:t>
      </w:r>
      <w:proofErr w:type="spellEnd"/>
      <w:r w:rsidRPr="001E0E83">
        <w:rPr>
          <w:rFonts w:ascii="Cambria" w:hAnsi="Cambria"/>
        </w:rPr>
        <w:t xml:space="preserve">, 2020), </w:t>
      </w:r>
      <w:proofErr w:type="spellStart"/>
      <w:r w:rsidRPr="001E0E83">
        <w:rPr>
          <w:rFonts w:ascii="Cambria" w:hAnsi="Cambria"/>
        </w:rPr>
        <w:t>State</w:t>
      </w:r>
      <w:proofErr w:type="spellEnd"/>
      <w:r w:rsidRPr="001E0E83">
        <w:rPr>
          <w:rFonts w:ascii="Cambria" w:hAnsi="Cambria"/>
        </w:rPr>
        <w:t xml:space="preserve"> </w:t>
      </w:r>
      <w:proofErr w:type="spellStart"/>
      <w:r w:rsidRPr="001E0E83">
        <w:rPr>
          <w:rFonts w:ascii="Cambria" w:hAnsi="Cambria"/>
        </w:rPr>
        <w:t>Statistical</w:t>
      </w:r>
      <w:proofErr w:type="spellEnd"/>
      <w:r w:rsidRPr="001E0E83">
        <w:rPr>
          <w:rFonts w:ascii="Cambria" w:hAnsi="Cambria"/>
        </w:rPr>
        <w:t xml:space="preserve"> </w:t>
      </w:r>
      <w:proofErr w:type="spellStart"/>
      <w:r w:rsidRPr="001E0E83">
        <w:rPr>
          <w:rFonts w:ascii="Cambria" w:hAnsi="Cambria"/>
        </w:rPr>
        <w:t>Committee</w:t>
      </w:r>
      <w:proofErr w:type="spellEnd"/>
      <w:r w:rsidRPr="001E0E83">
        <w:rPr>
          <w:rFonts w:ascii="Cambria" w:hAnsi="Cambria"/>
        </w:rPr>
        <w:t xml:space="preserve">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the</w:t>
      </w:r>
      <w:proofErr w:type="spellEnd"/>
      <w:r w:rsidRPr="001E0E83">
        <w:rPr>
          <w:rFonts w:ascii="Cambria" w:hAnsi="Cambria"/>
        </w:rPr>
        <w:t xml:space="preserve"> Republic </w:t>
      </w:r>
      <w:proofErr w:type="spellStart"/>
      <w:r w:rsidRPr="001E0E83">
        <w:rPr>
          <w:rFonts w:ascii="Cambria" w:hAnsi="Cambria"/>
        </w:rPr>
        <w:t>of</w:t>
      </w:r>
      <w:proofErr w:type="spellEnd"/>
      <w:r w:rsidRPr="001E0E83">
        <w:rPr>
          <w:rFonts w:ascii="Cambria" w:hAnsi="Cambria"/>
        </w:rPr>
        <w:t xml:space="preserve"> </w:t>
      </w:r>
      <w:proofErr w:type="spellStart"/>
      <w:r w:rsidRPr="001E0E83">
        <w:rPr>
          <w:rFonts w:ascii="Cambria" w:hAnsi="Cambria"/>
        </w:rPr>
        <w:t>Azerbaijan</w:t>
      </w:r>
      <w:proofErr w:type="spellEnd"/>
      <w:r w:rsidRPr="001E0E83">
        <w:rPr>
          <w:rFonts w:ascii="Cambria" w:hAnsi="Cambria"/>
        </w:rPr>
        <w:t xml:space="preserve">, </w:t>
      </w:r>
      <w:r w:rsidRPr="00812EE4">
        <w:rPr>
          <w:rFonts w:ascii="Cambria" w:hAnsi="Cambria"/>
        </w:rPr>
        <w:t>https://www.stat.gov.az/news/macroeconomy.php?page=1?lang=en</w:t>
      </w:r>
      <w:r w:rsidR="00812EE4">
        <w:rPr>
          <w:rStyle w:val="Hypertextovodkaz"/>
          <w:rFonts w:ascii="Cambria" w:hAnsi="Cambria"/>
        </w:rPr>
        <w:t xml:space="preserve"> </w:t>
      </w:r>
      <w:r w:rsidR="00812EE4" w:rsidRPr="00812EE4">
        <w:rPr>
          <w:rFonts w:ascii="Cambria" w:hAnsi="Cambria"/>
          <w:color w:val="000000" w:themeColor="text1"/>
          <w:shd w:val="clear" w:color="auto" w:fill="FFFFFF"/>
          <w:lang w:val="en-US"/>
        </w:rPr>
        <w:t>(</w:t>
      </w:r>
      <w:proofErr w:type="spellStart"/>
      <w:r w:rsidR="00812EE4">
        <w:rPr>
          <w:rFonts w:ascii="Cambria" w:hAnsi="Cambria"/>
          <w:color w:val="000000" w:themeColor="text1"/>
          <w:shd w:val="clear" w:color="auto" w:fill="FFFFFF"/>
          <w:lang w:val="en-US"/>
        </w:rPr>
        <w:t>staženo</w:t>
      </w:r>
      <w:proofErr w:type="spellEnd"/>
      <w:r w:rsidR="00812EE4">
        <w:rPr>
          <w:rFonts w:ascii="Cambria" w:hAnsi="Cambria"/>
          <w:color w:val="000000" w:themeColor="text1"/>
          <w:shd w:val="clear" w:color="auto" w:fill="FFFFFF"/>
          <w:lang w:val="en-US"/>
        </w:rPr>
        <w:t xml:space="preserve"> 5. </w:t>
      </w:r>
      <w:proofErr w:type="spellStart"/>
      <w:r w:rsidR="00812EE4">
        <w:rPr>
          <w:rFonts w:ascii="Cambria" w:hAnsi="Cambria"/>
          <w:color w:val="000000" w:themeColor="text1"/>
          <w:shd w:val="clear" w:color="auto" w:fill="FFFFFF"/>
          <w:lang w:val="en-US"/>
        </w:rPr>
        <w:t>prosince</w:t>
      </w:r>
      <w:proofErr w:type="spellEnd"/>
      <w:r w:rsidR="00812EE4" w:rsidRPr="001E0E83">
        <w:rPr>
          <w:rFonts w:ascii="Cambria" w:hAnsi="Cambria"/>
          <w:color w:val="000000" w:themeColor="text1"/>
          <w:shd w:val="clear" w:color="auto" w:fill="FFFFFF"/>
          <w:lang w:val="en-US"/>
        </w:rPr>
        <w:t xml:space="preserve"> 2020)</w:t>
      </w:r>
      <w:r w:rsidR="00812EE4" w:rsidRPr="001E0E83">
        <w:rPr>
          <w:rStyle w:val="b-articlerefs-getshorturl"/>
          <w:rFonts w:ascii="Cambria" w:hAnsi="Cambria"/>
        </w:rPr>
        <w:t>.</w:t>
      </w:r>
    </w:p>
    <w:p w14:paraId="4A37AA2F" w14:textId="370CF5FD" w:rsidR="00593C75" w:rsidRPr="001E0E83" w:rsidRDefault="00593C75" w:rsidP="001E0E83">
      <w:pPr>
        <w:spacing w:after="100" w:afterAutospacing="1" w:line="240" w:lineRule="auto"/>
        <w:ind w:left="708" w:hanging="708"/>
        <w:rPr>
          <w:rFonts w:ascii="Cambria" w:hAnsi="Cambria"/>
          <w:lang w:val="en-GB"/>
        </w:rPr>
      </w:pPr>
      <w:proofErr w:type="spellStart"/>
      <w:r w:rsidRPr="001E0E83">
        <w:rPr>
          <w:rFonts w:ascii="Cambria" w:hAnsi="Cambria"/>
          <w:lang w:val="en-GB"/>
        </w:rPr>
        <w:t>Tsui</w:t>
      </w:r>
      <w:proofErr w:type="spellEnd"/>
      <w:r w:rsidRPr="001E0E83">
        <w:rPr>
          <w:rFonts w:ascii="Cambria" w:hAnsi="Cambria"/>
          <w:lang w:val="en-GB"/>
        </w:rPr>
        <w:t>, K.</w:t>
      </w:r>
      <w:r w:rsidR="00812EE4">
        <w:rPr>
          <w:rFonts w:ascii="Cambria" w:hAnsi="Cambria"/>
          <w:lang w:val="en-GB"/>
        </w:rPr>
        <w:t xml:space="preserve"> </w:t>
      </w:r>
      <w:r w:rsidRPr="001E0E83">
        <w:rPr>
          <w:rFonts w:ascii="Cambria" w:hAnsi="Cambria"/>
          <w:lang w:val="en-GB"/>
        </w:rPr>
        <w:t xml:space="preserve">K. (2011): More oil, less democracy: Evidence from worldwide crude oil discoveries. </w:t>
      </w:r>
      <w:r w:rsidRPr="001E0E83">
        <w:rPr>
          <w:rFonts w:ascii="Cambria" w:hAnsi="Cambria"/>
          <w:i/>
          <w:lang w:val="en-GB"/>
        </w:rPr>
        <w:t>Economic Journal</w:t>
      </w:r>
      <w:r w:rsidRPr="001E0E83">
        <w:rPr>
          <w:rFonts w:ascii="Cambria" w:hAnsi="Cambria"/>
          <w:lang w:val="en-GB"/>
        </w:rPr>
        <w:t>, 121(551), 89–115.</w:t>
      </w:r>
    </w:p>
    <w:p w14:paraId="5488AA36" w14:textId="5C4ACDBC" w:rsidR="00593C75" w:rsidRPr="001E0E83" w:rsidRDefault="00593C75" w:rsidP="001E0E83">
      <w:pPr>
        <w:spacing w:after="100" w:afterAutospacing="1" w:line="240" w:lineRule="auto"/>
        <w:ind w:left="708" w:hanging="708"/>
        <w:rPr>
          <w:rFonts w:ascii="Cambria" w:hAnsi="Cambria"/>
          <w:lang w:val="en-GB"/>
        </w:rPr>
      </w:pPr>
      <w:proofErr w:type="spellStart"/>
      <w:r w:rsidRPr="001E0E83">
        <w:rPr>
          <w:rFonts w:ascii="Cambria" w:hAnsi="Cambria"/>
          <w:lang w:val="en-GB"/>
        </w:rPr>
        <w:t>Turovskiy</w:t>
      </w:r>
      <w:proofErr w:type="spellEnd"/>
      <w:r w:rsidRPr="001E0E83">
        <w:rPr>
          <w:rFonts w:ascii="Cambria" w:hAnsi="Cambria"/>
          <w:lang w:val="en-GB"/>
        </w:rPr>
        <w:t xml:space="preserve">, R. – </w:t>
      </w:r>
      <w:proofErr w:type="spellStart"/>
      <w:r w:rsidRPr="001E0E83">
        <w:rPr>
          <w:rFonts w:ascii="Cambria" w:hAnsi="Cambria"/>
          <w:lang w:val="en-GB"/>
        </w:rPr>
        <w:t>Dzhavatova</w:t>
      </w:r>
      <w:proofErr w:type="spellEnd"/>
      <w:r w:rsidRPr="001E0E83">
        <w:rPr>
          <w:rFonts w:ascii="Cambria" w:hAnsi="Cambria"/>
          <w:lang w:val="en-GB"/>
        </w:rPr>
        <w:t xml:space="preserve">, K. (2019): Regional disparity in Russia: Can centralization become a remedy? </w:t>
      </w:r>
      <w:r w:rsidRPr="00812EE4">
        <w:rPr>
          <w:rFonts w:ascii="Cambria" w:hAnsi="Cambria"/>
          <w:i/>
          <w:iCs/>
          <w:lang w:val="en-GB"/>
        </w:rPr>
        <w:t>Political Science</w:t>
      </w:r>
      <w:r w:rsidRPr="001E0E83">
        <w:rPr>
          <w:rFonts w:ascii="Cambria" w:hAnsi="Cambria"/>
          <w:lang w:val="en-GB"/>
        </w:rPr>
        <w:t xml:space="preserve"> (RU), No. 2, 48–73.</w:t>
      </w:r>
    </w:p>
    <w:p w14:paraId="19F6AAFE" w14:textId="4A628D71" w:rsidR="00593C75" w:rsidRPr="00812EE4" w:rsidRDefault="00593C75" w:rsidP="00812EE4">
      <w:pPr>
        <w:spacing w:after="100" w:afterAutospacing="1" w:line="240" w:lineRule="auto"/>
        <w:ind w:left="709" w:hanging="709"/>
        <w:rPr>
          <w:rFonts w:ascii="Cambria" w:hAnsi="Cambria"/>
        </w:rPr>
      </w:pPr>
      <w:proofErr w:type="spellStart"/>
      <w:r w:rsidRPr="001E0E83">
        <w:rPr>
          <w:rFonts w:ascii="Cambria" w:hAnsi="Cambria"/>
          <w:lang w:val="en-GB"/>
        </w:rPr>
        <w:t>Valori</w:t>
      </w:r>
      <w:proofErr w:type="spellEnd"/>
      <w:r w:rsidRPr="001E0E83">
        <w:rPr>
          <w:rFonts w:ascii="Cambria" w:hAnsi="Cambria"/>
          <w:lang w:val="en-GB"/>
        </w:rPr>
        <w:t xml:space="preserve">, G. E. (2020): Oil and gas geopolitics and its end, </w:t>
      </w:r>
      <w:hyperlink r:id="rId43" w:history="1">
        <w:r w:rsidRPr="001E0E83">
          <w:rPr>
            <w:rFonts w:ascii="Cambria" w:hAnsi="Cambria"/>
            <w:lang w:val="en-GB"/>
          </w:rPr>
          <w:t>https://moderndiplomacy.eu/2020/05/29/oil-and-gas-geopolitics-and-its-end/</w:t>
        </w:r>
      </w:hyperlink>
      <w:r w:rsidRPr="001E0E83">
        <w:rPr>
          <w:rFonts w:ascii="Cambria" w:hAnsi="Cambria"/>
          <w:lang w:val="en-GB"/>
        </w:rPr>
        <w:t xml:space="preserve"> </w:t>
      </w:r>
      <w:r w:rsidR="00812EE4" w:rsidRPr="00812EE4">
        <w:rPr>
          <w:rFonts w:ascii="Cambria" w:hAnsi="Cambria"/>
          <w:color w:val="000000" w:themeColor="text1"/>
          <w:shd w:val="clear" w:color="auto" w:fill="FFFFFF"/>
          <w:lang w:val="en-US"/>
        </w:rPr>
        <w:t>(</w:t>
      </w:r>
      <w:proofErr w:type="spellStart"/>
      <w:r w:rsidR="00812EE4">
        <w:rPr>
          <w:rFonts w:ascii="Cambria" w:hAnsi="Cambria"/>
          <w:color w:val="000000" w:themeColor="text1"/>
          <w:shd w:val="clear" w:color="auto" w:fill="FFFFFF"/>
          <w:lang w:val="en-US"/>
        </w:rPr>
        <w:t>staženo</w:t>
      </w:r>
      <w:proofErr w:type="spellEnd"/>
      <w:r w:rsidR="00812EE4">
        <w:rPr>
          <w:rFonts w:ascii="Cambria" w:hAnsi="Cambria"/>
          <w:color w:val="000000" w:themeColor="text1"/>
          <w:shd w:val="clear" w:color="auto" w:fill="FFFFFF"/>
          <w:lang w:val="en-US"/>
        </w:rPr>
        <w:t xml:space="preserve"> 20. </w:t>
      </w:r>
      <w:proofErr w:type="spellStart"/>
      <w:r w:rsidR="00812EE4">
        <w:rPr>
          <w:rFonts w:ascii="Cambria" w:hAnsi="Cambria"/>
          <w:color w:val="000000" w:themeColor="text1"/>
          <w:shd w:val="clear" w:color="auto" w:fill="FFFFFF"/>
          <w:lang w:val="en-US"/>
        </w:rPr>
        <w:t>října</w:t>
      </w:r>
      <w:proofErr w:type="spellEnd"/>
      <w:r w:rsidR="00812EE4" w:rsidRPr="001E0E83">
        <w:rPr>
          <w:rFonts w:ascii="Cambria" w:hAnsi="Cambria"/>
          <w:color w:val="000000" w:themeColor="text1"/>
          <w:shd w:val="clear" w:color="auto" w:fill="FFFFFF"/>
          <w:lang w:val="en-US"/>
        </w:rPr>
        <w:t xml:space="preserve"> 2020)</w:t>
      </w:r>
      <w:r w:rsidR="00812EE4">
        <w:rPr>
          <w:rFonts w:ascii="Cambria" w:hAnsi="Cambria"/>
          <w:color w:val="000000" w:themeColor="text1"/>
          <w:shd w:val="clear" w:color="auto" w:fill="FFFFFF"/>
          <w:lang w:val="en-US"/>
        </w:rPr>
        <w:t>.</w:t>
      </w:r>
    </w:p>
    <w:p w14:paraId="270A8FCB" w14:textId="5934EF53" w:rsidR="00593C75" w:rsidRPr="001E0E83" w:rsidRDefault="00593C75" w:rsidP="001E0E83">
      <w:pPr>
        <w:spacing w:after="100" w:afterAutospacing="1" w:line="240" w:lineRule="auto"/>
        <w:ind w:left="708" w:hanging="708"/>
        <w:rPr>
          <w:rFonts w:ascii="Cambria" w:hAnsi="Cambria"/>
          <w:lang w:val="en-GB"/>
        </w:rPr>
      </w:pPr>
      <w:r w:rsidRPr="001E0E83">
        <w:rPr>
          <w:rFonts w:ascii="Cambria" w:hAnsi="Cambria"/>
          <w:lang w:val="en-GB"/>
        </w:rPr>
        <w:t xml:space="preserve">Van de Graaf, T. – Overland, I. – Scholten, D. – Westphal, K. (2020): The new oil? The geopolitics and international governance of hydrogen. </w:t>
      </w:r>
      <w:r w:rsidRPr="00812EE4">
        <w:rPr>
          <w:rFonts w:ascii="Cambria" w:hAnsi="Cambria"/>
          <w:i/>
          <w:iCs/>
          <w:lang w:val="en-GB"/>
        </w:rPr>
        <w:t xml:space="preserve">Energy Research &amp; Social </w:t>
      </w:r>
      <w:proofErr w:type="gramStart"/>
      <w:r w:rsidRPr="00812EE4">
        <w:rPr>
          <w:rFonts w:ascii="Cambria" w:hAnsi="Cambria"/>
          <w:i/>
          <w:iCs/>
          <w:lang w:val="en-GB"/>
        </w:rPr>
        <w:t>Science</w:t>
      </w:r>
      <w:r w:rsidRPr="001E0E83">
        <w:rPr>
          <w:rFonts w:ascii="Cambria" w:hAnsi="Cambria"/>
          <w:lang w:val="en-GB"/>
        </w:rPr>
        <w:t>,  70</w:t>
      </w:r>
      <w:proofErr w:type="gramEnd"/>
      <w:r w:rsidRPr="001E0E83">
        <w:rPr>
          <w:rFonts w:ascii="Cambria" w:hAnsi="Cambria"/>
          <w:lang w:val="en-GB"/>
        </w:rPr>
        <w:t>,</w:t>
      </w:r>
      <w:r w:rsidR="00812EE4">
        <w:rPr>
          <w:rFonts w:ascii="Cambria" w:hAnsi="Cambria"/>
          <w:lang w:val="en-GB"/>
        </w:rPr>
        <w:t xml:space="preserve"> </w:t>
      </w:r>
      <w:r w:rsidRPr="001E0E83">
        <w:rPr>
          <w:rFonts w:ascii="Cambria" w:hAnsi="Cambria"/>
          <w:lang w:val="en-GB"/>
        </w:rPr>
        <w:t>101667.</w:t>
      </w:r>
    </w:p>
    <w:p w14:paraId="5B3B1717" w14:textId="3EAEED55" w:rsidR="00593C75" w:rsidRPr="001E0E83" w:rsidRDefault="00593C75" w:rsidP="001E0E83">
      <w:pPr>
        <w:spacing w:after="100" w:afterAutospacing="1" w:line="240" w:lineRule="auto"/>
        <w:ind w:left="708" w:hanging="708"/>
        <w:rPr>
          <w:rFonts w:ascii="Cambria" w:hAnsi="Cambria"/>
          <w:lang w:val="en-GB"/>
        </w:rPr>
      </w:pPr>
      <w:r w:rsidRPr="001E0E83">
        <w:rPr>
          <w:rFonts w:ascii="Cambria" w:hAnsi="Cambria"/>
          <w:lang w:val="en-GB"/>
        </w:rPr>
        <w:t xml:space="preserve">Van der Ploeg, F. – </w:t>
      </w:r>
      <w:proofErr w:type="spellStart"/>
      <w:r w:rsidRPr="001E0E83">
        <w:rPr>
          <w:rFonts w:ascii="Cambria" w:hAnsi="Cambria"/>
          <w:lang w:val="en-GB"/>
        </w:rPr>
        <w:t>Rohner</w:t>
      </w:r>
      <w:proofErr w:type="spellEnd"/>
      <w:r w:rsidRPr="001E0E83">
        <w:rPr>
          <w:rFonts w:ascii="Cambria" w:hAnsi="Cambria"/>
          <w:lang w:val="en-GB"/>
        </w:rPr>
        <w:t xml:space="preserve">, D. (2012): War and natural resource exploitation. </w:t>
      </w:r>
      <w:r w:rsidRPr="001E0E83">
        <w:rPr>
          <w:rFonts w:ascii="Cambria" w:hAnsi="Cambria"/>
          <w:i/>
          <w:lang w:val="en-GB"/>
        </w:rPr>
        <w:t>European Economic Review</w:t>
      </w:r>
      <w:r w:rsidRPr="001E0E83">
        <w:rPr>
          <w:rFonts w:ascii="Cambria" w:hAnsi="Cambria"/>
          <w:lang w:val="en-GB"/>
        </w:rPr>
        <w:t>, 56 (8), 1714–1729.</w:t>
      </w:r>
    </w:p>
    <w:p w14:paraId="04F1BDFA" w14:textId="27131D0F" w:rsidR="00593C75" w:rsidRPr="001E0E83" w:rsidRDefault="00593C75" w:rsidP="001E0E83">
      <w:pPr>
        <w:spacing w:after="100" w:afterAutospacing="1" w:line="240" w:lineRule="auto"/>
        <w:ind w:left="708" w:hanging="708"/>
        <w:rPr>
          <w:rFonts w:ascii="Cambria" w:hAnsi="Cambria"/>
          <w:lang w:val="en-GB"/>
        </w:rPr>
      </w:pPr>
      <w:proofErr w:type="spellStart"/>
      <w:r w:rsidRPr="001E0E83">
        <w:rPr>
          <w:rFonts w:ascii="Cambria" w:hAnsi="Cambria"/>
          <w:lang w:val="en-GB"/>
        </w:rPr>
        <w:t>Vartapetov</w:t>
      </w:r>
      <w:proofErr w:type="spellEnd"/>
      <w:r w:rsidRPr="001E0E83">
        <w:rPr>
          <w:rFonts w:ascii="Cambria" w:hAnsi="Cambria"/>
          <w:lang w:val="en-GB"/>
        </w:rPr>
        <w:t xml:space="preserve">, K. (2011): Russian fiscal federalism under stress: Federal support of regions during the global financial crisis. </w:t>
      </w:r>
      <w:r w:rsidRPr="00812EE4">
        <w:rPr>
          <w:rFonts w:ascii="Cambria" w:hAnsi="Cambria"/>
          <w:i/>
          <w:iCs/>
          <w:lang w:val="en-GB"/>
        </w:rPr>
        <w:t>Eurasian Geography and Economics</w:t>
      </w:r>
      <w:r w:rsidRPr="001E0E83">
        <w:rPr>
          <w:rFonts w:ascii="Cambria" w:hAnsi="Cambria"/>
          <w:lang w:val="en-GB"/>
        </w:rPr>
        <w:t>, 52(4), 529–542.</w:t>
      </w:r>
    </w:p>
    <w:p w14:paraId="4911D385" w14:textId="4D5FE998" w:rsidR="00593C75" w:rsidRPr="001E0E83" w:rsidRDefault="00593C75" w:rsidP="001E0E83">
      <w:pPr>
        <w:spacing w:after="100" w:afterAutospacing="1" w:line="240" w:lineRule="auto"/>
        <w:ind w:left="708" w:hanging="708"/>
        <w:rPr>
          <w:rFonts w:ascii="Cambria" w:eastAsia="Times New Roman" w:hAnsi="Cambria"/>
          <w:lang w:val="en-GB" w:eastAsia="cs-CZ"/>
        </w:rPr>
      </w:pPr>
      <w:proofErr w:type="spellStart"/>
      <w:r w:rsidRPr="001E0E83">
        <w:rPr>
          <w:rFonts w:ascii="Cambria" w:eastAsia="Times New Roman" w:hAnsi="Cambria"/>
          <w:lang w:val="en-GB" w:eastAsia="cs-CZ"/>
        </w:rPr>
        <w:lastRenderedPageBreak/>
        <w:t>Vatansever</w:t>
      </w:r>
      <w:proofErr w:type="spellEnd"/>
      <w:r w:rsidRPr="001E0E83">
        <w:rPr>
          <w:rFonts w:ascii="Cambria" w:eastAsia="Times New Roman" w:hAnsi="Cambria"/>
          <w:lang w:val="en-GB" w:eastAsia="cs-CZ"/>
        </w:rPr>
        <w:t xml:space="preserve">, A. (2020): Taxing the Golden Goose: Reforming Taxation of the Oil Sector in Putin’s Russia. </w:t>
      </w:r>
      <w:r w:rsidRPr="001E0E83">
        <w:rPr>
          <w:rFonts w:ascii="Cambria" w:eastAsia="Times New Roman" w:hAnsi="Cambria"/>
          <w:i/>
          <w:iCs/>
          <w:lang w:val="en-GB" w:eastAsia="cs-CZ"/>
        </w:rPr>
        <w:t>Europe-Asia Studies</w:t>
      </w:r>
      <w:r w:rsidRPr="00812EE4">
        <w:rPr>
          <w:rFonts w:ascii="Cambria" w:eastAsia="Times New Roman" w:hAnsi="Cambria"/>
          <w:lang w:val="en-GB" w:eastAsia="cs-CZ"/>
        </w:rPr>
        <w:t>,</w:t>
      </w:r>
      <w:r w:rsidR="00812EE4" w:rsidRPr="00812EE4">
        <w:rPr>
          <w:rFonts w:ascii="Cambria" w:eastAsia="Times New Roman" w:hAnsi="Cambria"/>
          <w:lang w:val="en-GB" w:eastAsia="cs-CZ"/>
        </w:rPr>
        <w:t xml:space="preserve"> 72(10),</w:t>
      </w:r>
      <w:r w:rsidRPr="001E0E83">
        <w:rPr>
          <w:rFonts w:ascii="Cambria" w:eastAsia="Times New Roman" w:hAnsi="Cambria"/>
          <w:lang w:val="en-GB" w:eastAsia="cs-CZ"/>
        </w:rPr>
        <w:t xml:space="preserve"> </w:t>
      </w:r>
      <w:r w:rsidR="00812EE4">
        <w:rPr>
          <w:rFonts w:ascii="Cambria" w:eastAsia="Times New Roman" w:hAnsi="Cambria"/>
          <w:lang w:val="en-GB" w:eastAsia="cs-CZ"/>
        </w:rPr>
        <w:t>703-1728</w:t>
      </w:r>
      <w:r w:rsidRPr="001E0E83">
        <w:rPr>
          <w:rFonts w:ascii="Cambria" w:eastAsia="Times New Roman" w:hAnsi="Cambria"/>
          <w:lang w:val="en-GB" w:eastAsia="cs-CZ"/>
        </w:rPr>
        <w:t>.</w:t>
      </w:r>
    </w:p>
    <w:p w14:paraId="4BEC7BE5" w14:textId="79A34AE1" w:rsidR="00593C75" w:rsidRPr="001E0E83" w:rsidRDefault="00593C75" w:rsidP="001E0E83">
      <w:pPr>
        <w:pStyle w:val="Normlnweb"/>
        <w:spacing w:before="0" w:beforeAutospacing="0"/>
        <w:ind w:left="709" w:hanging="709"/>
        <w:rPr>
          <w:rFonts w:ascii="Cambria" w:hAnsi="Cambria"/>
          <w:sz w:val="22"/>
          <w:szCs w:val="22"/>
          <w:lang w:val="en-GB"/>
        </w:rPr>
      </w:pPr>
      <w:proofErr w:type="spellStart"/>
      <w:r w:rsidRPr="001E0E83">
        <w:rPr>
          <w:rFonts w:ascii="Cambria" w:hAnsi="Cambria"/>
          <w:sz w:val="22"/>
          <w:szCs w:val="22"/>
          <w:lang w:val="en-GB"/>
        </w:rPr>
        <w:t>Vidadili</w:t>
      </w:r>
      <w:proofErr w:type="spellEnd"/>
      <w:r w:rsidRPr="001E0E83">
        <w:rPr>
          <w:rFonts w:ascii="Cambria" w:hAnsi="Cambria"/>
          <w:sz w:val="22"/>
          <w:szCs w:val="22"/>
          <w:lang w:val="en-GB"/>
        </w:rPr>
        <w:t xml:space="preserve">, N. et al. (2017): Transition to renewable energy and sustainable energy development in Azerbaijan. </w:t>
      </w:r>
      <w:r w:rsidRPr="001E0E83">
        <w:rPr>
          <w:rFonts w:ascii="Cambria" w:hAnsi="Cambria"/>
          <w:i/>
          <w:iCs/>
          <w:sz w:val="22"/>
          <w:szCs w:val="22"/>
          <w:lang w:val="en-GB"/>
        </w:rPr>
        <w:t>Renewable and Sustainable Energy Reviews,</w:t>
      </w:r>
      <w:r w:rsidRPr="001E0E83">
        <w:rPr>
          <w:rFonts w:ascii="Cambria" w:hAnsi="Cambria"/>
          <w:sz w:val="22"/>
          <w:szCs w:val="22"/>
          <w:lang w:val="en-GB"/>
        </w:rPr>
        <w:t xml:space="preserve"> 80, 1153-1161. </w:t>
      </w:r>
    </w:p>
    <w:p w14:paraId="4A59CD38" w14:textId="71227AD6" w:rsidR="00593C75" w:rsidRPr="001E0E83" w:rsidRDefault="00593C75" w:rsidP="001E0E83">
      <w:pPr>
        <w:spacing w:after="100" w:afterAutospacing="1" w:line="240" w:lineRule="auto"/>
        <w:ind w:left="709" w:hanging="709"/>
        <w:rPr>
          <w:rFonts w:ascii="Cambria" w:eastAsia="Times New Roman" w:hAnsi="Cambria"/>
          <w:lang w:val="en-GB" w:eastAsia="cs-CZ"/>
        </w:rPr>
      </w:pPr>
      <w:proofErr w:type="spellStart"/>
      <w:r w:rsidRPr="001E0E83">
        <w:rPr>
          <w:rFonts w:ascii="Cambria" w:eastAsia="Times New Roman" w:hAnsi="Cambria"/>
          <w:lang w:val="en-GB" w:eastAsia="cs-CZ"/>
        </w:rPr>
        <w:t>Vrontisi</w:t>
      </w:r>
      <w:proofErr w:type="spellEnd"/>
      <w:r w:rsidRPr="001E0E83">
        <w:rPr>
          <w:rFonts w:ascii="Cambria" w:eastAsia="Times New Roman" w:hAnsi="Cambria"/>
          <w:lang w:val="en-GB" w:eastAsia="cs-CZ"/>
        </w:rPr>
        <w:t xml:space="preserve">, Z. – </w:t>
      </w:r>
      <w:proofErr w:type="spellStart"/>
      <w:r w:rsidRPr="001E0E83">
        <w:rPr>
          <w:rFonts w:ascii="Cambria" w:eastAsia="Times New Roman" w:hAnsi="Cambria"/>
          <w:lang w:val="en-GB" w:eastAsia="cs-CZ"/>
        </w:rPr>
        <w:t>Kitous</w:t>
      </w:r>
      <w:proofErr w:type="spellEnd"/>
      <w:r w:rsidRPr="001E0E83">
        <w:rPr>
          <w:rFonts w:ascii="Cambria" w:eastAsia="Times New Roman" w:hAnsi="Cambria"/>
          <w:lang w:val="en-GB" w:eastAsia="cs-CZ"/>
        </w:rPr>
        <w:t xml:space="preserve">, A. – </w:t>
      </w:r>
      <w:proofErr w:type="spellStart"/>
      <w:r w:rsidRPr="001E0E83">
        <w:rPr>
          <w:rFonts w:ascii="Cambria" w:eastAsia="Times New Roman" w:hAnsi="Cambria"/>
          <w:lang w:val="en-GB" w:eastAsia="cs-CZ"/>
        </w:rPr>
        <w:t>Saveyn</w:t>
      </w:r>
      <w:proofErr w:type="spellEnd"/>
      <w:r w:rsidRPr="001E0E83">
        <w:rPr>
          <w:rFonts w:ascii="Cambria" w:eastAsia="Times New Roman" w:hAnsi="Cambria"/>
          <w:lang w:val="en-GB" w:eastAsia="cs-CZ"/>
        </w:rPr>
        <w:t xml:space="preserve">, B. – </w:t>
      </w:r>
      <w:proofErr w:type="spellStart"/>
      <w:r w:rsidRPr="001E0E83">
        <w:rPr>
          <w:rFonts w:ascii="Cambria" w:eastAsia="Times New Roman" w:hAnsi="Cambria"/>
          <w:lang w:val="en-GB" w:eastAsia="cs-CZ"/>
        </w:rPr>
        <w:t>Vandyck</w:t>
      </w:r>
      <w:proofErr w:type="spellEnd"/>
      <w:r w:rsidRPr="001E0E83">
        <w:rPr>
          <w:rFonts w:ascii="Cambria" w:eastAsia="Times New Roman" w:hAnsi="Cambria"/>
          <w:lang w:val="en-GB" w:eastAsia="cs-CZ"/>
        </w:rPr>
        <w:t xml:space="preserve">, T. (2015): Impact of low oil prices on the EU economy. </w:t>
      </w:r>
      <w:r w:rsidRPr="001E0E83">
        <w:rPr>
          <w:rFonts w:ascii="Cambria" w:eastAsia="Times New Roman" w:hAnsi="Cambria"/>
          <w:i/>
          <w:lang w:val="en-GB" w:eastAsia="cs-CZ"/>
        </w:rPr>
        <w:t>JRC Technical Reports</w:t>
      </w:r>
      <w:r w:rsidRPr="001E0E83">
        <w:rPr>
          <w:rFonts w:ascii="Cambria" w:eastAsia="Times New Roman" w:hAnsi="Cambria"/>
          <w:lang w:val="en-GB" w:eastAsia="cs-CZ"/>
        </w:rPr>
        <w:t>, https://publications.jrc.ec.europa.eu/repository/bitstream/JRC98188/jrc98188%20%20impact%20of%20international%20low%20oil%20prices%20with%20identifiers_final5.pdf</w:t>
      </w:r>
      <w:r w:rsidR="00812EE4">
        <w:rPr>
          <w:rFonts w:ascii="Cambria" w:eastAsia="Times New Roman" w:hAnsi="Cambria"/>
          <w:lang w:val="en-GB" w:eastAsia="cs-CZ"/>
        </w:rPr>
        <w:t xml:space="preserve"> (</w:t>
      </w:r>
      <w:proofErr w:type="spellStart"/>
      <w:r w:rsidR="00812EE4">
        <w:rPr>
          <w:rFonts w:ascii="Cambria" w:eastAsia="Times New Roman" w:hAnsi="Cambria"/>
          <w:lang w:val="en-GB" w:eastAsia="cs-CZ"/>
        </w:rPr>
        <w:t>staženo</w:t>
      </w:r>
      <w:proofErr w:type="spellEnd"/>
      <w:r w:rsidR="00812EE4">
        <w:rPr>
          <w:rFonts w:ascii="Cambria" w:eastAsia="Times New Roman" w:hAnsi="Cambria"/>
          <w:lang w:val="en-GB" w:eastAsia="cs-CZ"/>
        </w:rPr>
        <w:t xml:space="preserve"> 20. </w:t>
      </w:r>
      <w:proofErr w:type="spellStart"/>
      <w:r w:rsidR="00812EE4">
        <w:rPr>
          <w:rFonts w:ascii="Cambria" w:eastAsia="Times New Roman" w:hAnsi="Cambria"/>
          <w:lang w:val="en-GB" w:eastAsia="cs-CZ"/>
        </w:rPr>
        <w:t>října</w:t>
      </w:r>
      <w:proofErr w:type="spellEnd"/>
      <w:r w:rsidR="00812EE4">
        <w:rPr>
          <w:rFonts w:ascii="Cambria" w:eastAsia="Times New Roman" w:hAnsi="Cambria"/>
          <w:lang w:val="en-GB" w:eastAsia="cs-CZ"/>
        </w:rPr>
        <w:t xml:space="preserve"> 2020)</w:t>
      </w:r>
      <w:r w:rsidRPr="001E0E83">
        <w:rPr>
          <w:rFonts w:ascii="Cambria" w:eastAsia="Times New Roman" w:hAnsi="Cambria"/>
          <w:lang w:val="en-GB" w:eastAsia="cs-CZ"/>
        </w:rPr>
        <w:t>.</w:t>
      </w:r>
    </w:p>
    <w:p w14:paraId="7222ACB1" w14:textId="252BFD9D" w:rsidR="00593C75" w:rsidRPr="00812EE4" w:rsidRDefault="00593C75" w:rsidP="00812EE4">
      <w:pPr>
        <w:spacing w:after="100" w:afterAutospacing="1" w:line="240" w:lineRule="auto"/>
        <w:ind w:left="709" w:hanging="709"/>
        <w:rPr>
          <w:rFonts w:ascii="Cambria" w:eastAsia="Times New Roman" w:hAnsi="Cambria"/>
          <w:lang w:val="en-GB" w:eastAsia="cs-CZ"/>
        </w:rPr>
      </w:pPr>
      <w:bookmarkStart w:id="69" w:name="_Hlk57293490"/>
      <w:r w:rsidRPr="001E0E83">
        <w:rPr>
          <w:rFonts w:ascii="Cambria" w:hAnsi="Cambria"/>
          <w:color w:val="000000" w:themeColor="text1"/>
          <w:shd w:val="clear" w:color="auto" w:fill="FFFFFF"/>
          <w:lang w:val="en-US"/>
        </w:rPr>
        <w:t>Watkins, S. (2020</w:t>
      </w:r>
      <w:bookmarkEnd w:id="69"/>
      <w:r w:rsidRPr="001E0E83">
        <w:rPr>
          <w:rFonts w:ascii="Cambria" w:hAnsi="Cambria"/>
          <w:color w:val="000000" w:themeColor="text1"/>
          <w:shd w:val="clear" w:color="auto" w:fill="FFFFFF"/>
          <w:lang w:val="en-US"/>
        </w:rPr>
        <w:t xml:space="preserve">): How Kurdistan Is Taking Advantage Of Iraq’s Oil Crisis, </w:t>
      </w:r>
      <w:hyperlink r:id="rId44" w:history="1">
        <w:r w:rsidRPr="001E0E83">
          <w:rPr>
            <w:rFonts w:ascii="Cambria" w:hAnsi="Cambria"/>
            <w:color w:val="000000" w:themeColor="text1"/>
            <w:shd w:val="clear" w:color="auto" w:fill="FFFFFF"/>
            <w:lang w:val="en-US"/>
          </w:rPr>
          <w:t>https://oilprice.com/Geopolitics/Middle-East/How-Kurdistan-Is-Taking-Advantage-Of-Iraqs-Oil-Crisis.html</w:t>
        </w:r>
      </w:hyperlink>
      <w:r w:rsidRPr="001E0E83">
        <w:rPr>
          <w:rFonts w:ascii="Cambria" w:hAnsi="Cambria"/>
          <w:color w:val="000000" w:themeColor="text1"/>
          <w:shd w:val="clear" w:color="auto" w:fill="FFFFFF"/>
          <w:lang w:val="en-US"/>
        </w:rPr>
        <w:t xml:space="preserve"> </w:t>
      </w:r>
      <w:r w:rsidR="00812EE4">
        <w:rPr>
          <w:rFonts w:ascii="Cambria" w:eastAsia="Times New Roman" w:hAnsi="Cambria"/>
          <w:lang w:val="en-GB" w:eastAsia="cs-CZ"/>
        </w:rPr>
        <w:t>(</w:t>
      </w:r>
      <w:proofErr w:type="spellStart"/>
      <w:r w:rsidR="00812EE4">
        <w:rPr>
          <w:rFonts w:ascii="Cambria" w:eastAsia="Times New Roman" w:hAnsi="Cambria"/>
          <w:lang w:val="en-GB" w:eastAsia="cs-CZ"/>
        </w:rPr>
        <w:t>staženo</w:t>
      </w:r>
      <w:proofErr w:type="spellEnd"/>
      <w:r w:rsidR="00812EE4">
        <w:rPr>
          <w:rFonts w:ascii="Cambria" w:eastAsia="Times New Roman" w:hAnsi="Cambria"/>
          <w:lang w:val="en-GB" w:eastAsia="cs-CZ"/>
        </w:rPr>
        <w:t xml:space="preserve"> 20. </w:t>
      </w:r>
      <w:proofErr w:type="spellStart"/>
      <w:r w:rsidR="00812EE4">
        <w:rPr>
          <w:rFonts w:ascii="Cambria" w:eastAsia="Times New Roman" w:hAnsi="Cambria"/>
          <w:lang w:val="en-GB" w:eastAsia="cs-CZ"/>
        </w:rPr>
        <w:t>října</w:t>
      </w:r>
      <w:proofErr w:type="spellEnd"/>
      <w:r w:rsidR="00812EE4">
        <w:rPr>
          <w:rFonts w:ascii="Cambria" w:eastAsia="Times New Roman" w:hAnsi="Cambria"/>
          <w:lang w:val="en-GB" w:eastAsia="cs-CZ"/>
        </w:rPr>
        <w:t xml:space="preserve"> 2020)</w:t>
      </w:r>
      <w:r w:rsidR="00812EE4" w:rsidRPr="001E0E83">
        <w:rPr>
          <w:rFonts w:ascii="Cambria" w:eastAsia="Times New Roman" w:hAnsi="Cambria"/>
          <w:lang w:val="en-GB" w:eastAsia="cs-CZ"/>
        </w:rPr>
        <w:t>.</w:t>
      </w:r>
    </w:p>
    <w:p w14:paraId="3747E9DA" w14:textId="773C8936" w:rsidR="00593C75" w:rsidRPr="00812EE4" w:rsidRDefault="00593C75" w:rsidP="00812EE4">
      <w:pPr>
        <w:spacing w:after="100" w:afterAutospacing="1" w:line="240" w:lineRule="auto"/>
        <w:ind w:left="709" w:hanging="709"/>
        <w:rPr>
          <w:rFonts w:ascii="Cambria" w:eastAsia="Times New Roman" w:hAnsi="Cambria"/>
          <w:lang w:val="en-GB" w:eastAsia="cs-CZ"/>
        </w:rPr>
      </w:pPr>
      <w:bookmarkStart w:id="70" w:name="_Hlk57294977"/>
      <w:proofErr w:type="spellStart"/>
      <w:r w:rsidRPr="001E0E83">
        <w:rPr>
          <w:rFonts w:ascii="Cambria" w:hAnsi="Cambria"/>
          <w:color w:val="000000" w:themeColor="text1"/>
          <w:shd w:val="clear" w:color="auto" w:fill="FFFFFF"/>
          <w:lang w:val="en-US"/>
        </w:rPr>
        <w:t>Widdershoven</w:t>
      </w:r>
      <w:bookmarkEnd w:id="70"/>
      <w:proofErr w:type="spellEnd"/>
      <w:r w:rsidRPr="001E0E83">
        <w:rPr>
          <w:rFonts w:ascii="Cambria" w:hAnsi="Cambria"/>
          <w:color w:val="000000" w:themeColor="text1"/>
          <w:shd w:val="clear" w:color="auto" w:fill="FFFFFF"/>
          <w:lang w:val="en-US"/>
        </w:rPr>
        <w:t xml:space="preserve">, C. (2020): Turkey’s Latest Geopolitical Gamble Could Result In Catastrophe, </w:t>
      </w:r>
      <w:hyperlink r:id="rId45" w:history="1">
        <w:r w:rsidRPr="001E0E83">
          <w:rPr>
            <w:rFonts w:ascii="Cambria" w:hAnsi="Cambria"/>
            <w:color w:val="000000" w:themeColor="text1"/>
            <w:shd w:val="clear" w:color="auto" w:fill="FFFFFF"/>
            <w:lang w:val="en-US"/>
          </w:rPr>
          <w:t>https://oilprice.com/Geopolitics/Middle-East/Turkeys-Latest-Geopolitical-Gamble-Could-Result-In-Catastrophe.html</w:t>
        </w:r>
      </w:hyperlink>
      <w:r w:rsidRPr="001E0E83">
        <w:rPr>
          <w:rFonts w:ascii="Cambria" w:hAnsi="Cambria"/>
          <w:color w:val="000000" w:themeColor="text1"/>
          <w:shd w:val="clear" w:color="auto" w:fill="FFFFFF"/>
          <w:lang w:val="en-US"/>
        </w:rPr>
        <w:t xml:space="preserve"> </w:t>
      </w:r>
      <w:r w:rsidR="00812EE4">
        <w:rPr>
          <w:rFonts w:ascii="Cambria" w:eastAsia="Times New Roman" w:hAnsi="Cambria"/>
          <w:lang w:val="en-GB" w:eastAsia="cs-CZ"/>
        </w:rPr>
        <w:t>(</w:t>
      </w:r>
      <w:proofErr w:type="spellStart"/>
      <w:r w:rsidR="00812EE4">
        <w:rPr>
          <w:rFonts w:ascii="Cambria" w:eastAsia="Times New Roman" w:hAnsi="Cambria"/>
          <w:lang w:val="en-GB" w:eastAsia="cs-CZ"/>
        </w:rPr>
        <w:t>staženo</w:t>
      </w:r>
      <w:proofErr w:type="spellEnd"/>
      <w:r w:rsidR="00812EE4">
        <w:rPr>
          <w:rFonts w:ascii="Cambria" w:eastAsia="Times New Roman" w:hAnsi="Cambria"/>
          <w:lang w:val="en-GB" w:eastAsia="cs-CZ"/>
        </w:rPr>
        <w:t xml:space="preserve"> 20. </w:t>
      </w:r>
      <w:proofErr w:type="spellStart"/>
      <w:r w:rsidR="00812EE4">
        <w:rPr>
          <w:rFonts w:ascii="Cambria" w:eastAsia="Times New Roman" w:hAnsi="Cambria"/>
          <w:lang w:val="en-GB" w:eastAsia="cs-CZ"/>
        </w:rPr>
        <w:t>října</w:t>
      </w:r>
      <w:proofErr w:type="spellEnd"/>
      <w:r w:rsidR="00812EE4">
        <w:rPr>
          <w:rFonts w:ascii="Cambria" w:eastAsia="Times New Roman" w:hAnsi="Cambria"/>
          <w:lang w:val="en-GB" w:eastAsia="cs-CZ"/>
        </w:rPr>
        <w:t xml:space="preserve"> 2020)</w:t>
      </w:r>
      <w:r w:rsidR="00812EE4" w:rsidRPr="001E0E83">
        <w:rPr>
          <w:rFonts w:ascii="Cambria" w:eastAsia="Times New Roman" w:hAnsi="Cambria"/>
          <w:lang w:val="en-GB" w:eastAsia="cs-CZ"/>
        </w:rPr>
        <w:t>.</w:t>
      </w:r>
    </w:p>
    <w:p w14:paraId="5CE32B3B" w14:textId="18C1437D" w:rsidR="00593C75" w:rsidRPr="001E0E83" w:rsidRDefault="00593C75" w:rsidP="001E0E83">
      <w:pPr>
        <w:autoSpaceDE w:val="0"/>
        <w:autoSpaceDN w:val="0"/>
        <w:adjustRightInd w:val="0"/>
        <w:spacing w:after="100" w:afterAutospacing="1" w:line="240" w:lineRule="auto"/>
        <w:ind w:left="-284" w:right="-613" w:firstLine="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Wooldridge, J. M. (2010)</w:t>
      </w:r>
      <w:r w:rsidR="00812EE4">
        <w:rPr>
          <w:rFonts w:ascii="Cambria" w:hAnsi="Cambria"/>
          <w:color w:val="000000" w:themeColor="text1"/>
          <w:shd w:val="clear" w:color="auto" w:fill="FFFFFF"/>
          <w:lang w:val="en-US"/>
        </w:rPr>
        <w:t>:</w:t>
      </w:r>
      <w:r w:rsidRPr="001E0E83">
        <w:rPr>
          <w:rFonts w:ascii="Cambria" w:hAnsi="Cambria"/>
          <w:color w:val="000000" w:themeColor="text1"/>
          <w:lang w:val="en-US"/>
        </w:rPr>
        <w:t> </w:t>
      </w:r>
      <w:r w:rsidRPr="00812EE4">
        <w:rPr>
          <w:rFonts w:ascii="Cambria" w:hAnsi="Cambria"/>
          <w:i/>
          <w:iCs/>
          <w:color w:val="000000" w:themeColor="text1"/>
          <w:shd w:val="clear" w:color="auto" w:fill="FFFFFF"/>
          <w:lang w:val="en-US"/>
        </w:rPr>
        <w:t>Econometric analysis of cross-section and panel data</w:t>
      </w:r>
      <w:r w:rsidRPr="001E0E83">
        <w:rPr>
          <w:rFonts w:ascii="Cambria" w:hAnsi="Cambria"/>
          <w:color w:val="000000" w:themeColor="text1"/>
          <w:shd w:val="clear" w:color="auto" w:fill="FFFFFF"/>
          <w:lang w:val="en-US"/>
        </w:rPr>
        <w:t>. MIT press.</w:t>
      </w:r>
    </w:p>
    <w:p w14:paraId="11FE6AE0" w14:textId="454A759F" w:rsidR="00593C75" w:rsidRPr="00812EE4" w:rsidRDefault="00593C75" w:rsidP="00812EE4">
      <w:pPr>
        <w:spacing w:after="100" w:afterAutospacing="1" w:line="240" w:lineRule="auto"/>
        <w:ind w:left="709" w:hanging="709"/>
        <w:rPr>
          <w:rFonts w:ascii="Cambria" w:eastAsia="Times New Roman" w:hAnsi="Cambria"/>
          <w:lang w:val="en-GB" w:eastAsia="cs-CZ"/>
        </w:rPr>
      </w:pPr>
      <w:r w:rsidRPr="001E0E83">
        <w:rPr>
          <w:rFonts w:ascii="Cambria" w:hAnsi="Cambria"/>
          <w:color w:val="000000" w:themeColor="text1"/>
          <w:shd w:val="clear" w:color="auto" w:fill="FFFFFF"/>
          <w:lang w:val="en-US"/>
        </w:rPr>
        <w:t>World Bank (2011)</w:t>
      </w:r>
      <w:r w:rsidR="00812EE4">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xml:space="preserve"> World Development Report: Conflict, Security and Development, https://openknowledge.worldbank.org/handle/10986/4389 </w:t>
      </w:r>
      <w:r w:rsidR="00812EE4">
        <w:rPr>
          <w:rFonts w:ascii="Cambria" w:eastAsia="Times New Roman" w:hAnsi="Cambria"/>
          <w:lang w:val="en-GB" w:eastAsia="cs-CZ"/>
        </w:rPr>
        <w:t>(</w:t>
      </w:r>
      <w:proofErr w:type="spellStart"/>
      <w:r w:rsidR="00812EE4">
        <w:rPr>
          <w:rFonts w:ascii="Cambria" w:eastAsia="Times New Roman" w:hAnsi="Cambria"/>
          <w:lang w:val="en-GB" w:eastAsia="cs-CZ"/>
        </w:rPr>
        <w:t>staženo</w:t>
      </w:r>
      <w:proofErr w:type="spellEnd"/>
      <w:r w:rsidR="00812EE4">
        <w:rPr>
          <w:rFonts w:ascii="Cambria" w:eastAsia="Times New Roman" w:hAnsi="Cambria"/>
          <w:lang w:val="en-GB" w:eastAsia="cs-CZ"/>
        </w:rPr>
        <w:t xml:space="preserve"> 20. </w:t>
      </w:r>
      <w:proofErr w:type="spellStart"/>
      <w:r w:rsidR="00812EE4">
        <w:rPr>
          <w:rFonts w:ascii="Cambria" w:eastAsia="Times New Roman" w:hAnsi="Cambria"/>
          <w:lang w:val="en-GB" w:eastAsia="cs-CZ"/>
        </w:rPr>
        <w:t>října</w:t>
      </w:r>
      <w:proofErr w:type="spellEnd"/>
      <w:r w:rsidR="00812EE4">
        <w:rPr>
          <w:rFonts w:ascii="Cambria" w:eastAsia="Times New Roman" w:hAnsi="Cambria"/>
          <w:lang w:val="en-GB" w:eastAsia="cs-CZ"/>
        </w:rPr>
        <w:t xml:space="preserve"> 2020)</w:t>
      </w:r>
      <w:r w:rsidR="00812EE4" w:rsidRPr="001E0E83">
        <w:rPr>
          <w:rFonts w:ascii="Cambria" w:eastAsia="Times New Roman" w:hAnsi="Cambria"/>
          <w:lang w:val="en-GB" w:eastAsia="cs-CZ"/>
        </w:rPr>
        <w:t>.</w:t>
      </w:r>
      <w:r w:rsidRPr="001E0E83">
        <w:rPr>
          <w:rFonts w:ascii="Cambria" w:hAnsi="Cambria"/>
          <w:color w:val="000000" w:themeColor="text1"/>
          <w:shd w:val="clear" w:color="auto" w:fill="FFFFFF"/>
          <w:lang w:val="en-US"/>
        </w:rPr>
        <w:t xml:space="preserve"> </w:t>
      </w:r>
    </w:p>
    <w:p w14:paraId="6856D130" w14:textId="746D83B6" w:rsidR="00593C75" w:rsidRPr="00812EE4" w:rsidRDefault="00593C75" w:rsidP="00812EE4">
      <w:pPr>
        <w:spacing w:after="100" w:afterAutospacing="1" w:line="240" w:lineRule="auto"/>
        <w:ind w:left="709" w:hanging="709"/>
        <w:rPr>
          <w:rFonts w:ascii="Cambria" w:eastAsia="Times New Roman" w:hAnsi="Cambria"/>
          <w:lang w:val="en-GB" w:eastAsia="cs-CZ"/>
        </w:rPr>
      </w:pPr>
      <w:r w:rsidRPr="001E0E83">
        <w:rPr>
          <w:rFonts w:ascii="Cambria" w:hAnsi="Cambria"/>
          <w:color w:val="000000" w:themeColor="text1"/>
          <w:shd w:val="clear" w:color="auto" w:fill="FFFFFF"/>
          <w:lang w:val="en-US"/>
        </w:rPr>
        <w:t>World Bank (2020</w:t>
      </w:r>
      <w:r w:rsidR="002D75BD" w:rsidRPr="001E0E83">
        <w:rPr>
          <w:rFonts w:ascii="Cambria" w:hAnsi="Cambria"/>
          <w:color w:val="000000" w:themeColor="text1"/>
          <w:shd w:val="clear" w:color="auto" w:fill="FFFFFF"/>
          <w:lang w:val="en-US"/>
        </w:rPr>
        <w:t>a</w:t>
      </w:r>
      <w:r w:rsidRPr="001E0E83">
        <w:rPr>
          <w:rFonts w:ascii="Cambria" w:hAnsi="Cambria"/>
          <w:color w:val="000000" w:themeColor="text1"/>
          <w:shd w:val="clear" w:color="auto" w:fill="FFFFFF"/>
          <w:lang w:val="en-US"/>
        </w:rPr>
        <w:t xml:space="preserve">): Coping with a Dual Shock: COVID-19 and Oil Prices, https://www.worldbank.org/en/region/mena/brief/coping-with-a-dual-shock-coronavirus-covid-19-and-oil-prices </w:t>
      </w:r>
      <w:r w:rsidR="00812EE4">
        <w:rPr>
          <w:rFonts w:ascii="Cambria" w:eastAsia="Times New Roman" w:hAnsi="Cambria"/>
          <w:lang w:val="en-GB" w:eastAsia="cs-CZ"/>
        </w:rPr>
        <w:t>(</w:t>
      </w:r>
      <w:proofErr w:type="spellStart"/>
      <w:r w:rsidR="00812EE4">
        <w:rPr>
          <w:rFonts w:ascii="Cambria" w:eastAsia="Times New Roman" w:hAnsi="Cambria"/>
          <w:lang w:val="en-GB" w:eastAsia="cs-CZ"/>
        </w:rPr>
        <w:t>staženo</w:t>
      </w:r>
      <w:proofErr w:type="spellEnd"/>
      <w:r w:rsidR="00812EE4">
        <w:rPr>
          <w:rFonts w:ascii="Cambria" w:eastAsia="Times New Roman" w:hAnsi="Cambria"/>
          <w:lang w:val="en-GB" w:eastAsia="cs-CZ"/>
        </w:rPr>
        <w:t xml:space="preserve"> 20. </w:t>
      </w:r>
      <w:proofErr w:type="spellStart"/>
      <w:r w:rsidR="00812EE4">
        <w:rPr>
          <w:rFonts w:ascii="Cambria" w:eastAsia="Times New Roman" w:hAnsi="Cambria"/>
          <w:lang w:val="en-GB" w:eastAsia="cs-CZ"/>
        </w:rPr>
        <w:t>října</w:t>
      </w:r>
      <w:proofErr w:type="spellEnd"/>
      <w:r w:rsidR="00812EE4">
        <w:rPr>
          <w:rFonts w:ascii="Cambria" w:eastAsia="Times New Roman" w:hAnsi="Cambria"/>
          <w:lang w:val="en-GB" w:eastAsia="cs-CZ"/>
        </w:rPr>
        <w:t xml:space="preserve"> 2020)</w:t>
      </w:r>
      <w:r w:rsidR="00812EE4" w:rsidRPr="001E0E83">
        <w:rPr>
          <w:rFonts w:ascii="Cambria" w:eastAsia="Times New Roman" w:hAnsi="Cambria"/>
          <w:lang w:val="en-GB" w:eastAsia="cs-CZ"/>
        </w:rPr>
        <w:t>.</w:t>
      </w:r>
    </w:p>
    <w:p w14:paraId="65A41905" w14:textId="72B8A4D6" w:rsidR="00593C75" w:rsidRPr="00812EE4" w:rsidRDefault="00593C75" w:rsidP="00812EE4">
      <w:pPr>
        <w:spacing w:after="100" w:afterAutospacing="1" w:line="240" w:lineRule="auto"/>
        <w:ind w:left="709" w:hanging="709"/>
        <w:rPr>
          <w:rFonts w:ascii="Cambria" w:eastAsia="Times New Roman" w:hAnsi="Cambria"/>
          <w:lang w:val="en-GB" w:eastAsia="cs-CZ"/>
        </w:rPr>
      </w:pPr>
      <w:r w:rsidRPr="001E0E83">
        <w:rPr>
          <w:rFonts w:ascii="Cambria" w:hAnsi="Cambria"/>
          <w:color w:val="000000" w:themeColor="text1"/>
          <w:shd w:val="clear" w:color="auto" w:fill="FFFFFF"/>
          <w:lang w:val="en-US"/>
        </w:rPr>
        <w:t>World Bank. (2020b)</w:t>
      </w:r>
      <w:r w:rsidR="00812EE4">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xml:space="preserve"> World Bank East Asia and Pacific Economic Update, October 2020: From Containment to Recover/</w:t>
      </w:r>
      <w:r w:rsidR="00F650E6">
        <w:rPr>
          <w:rFonts w:ascii="Cambria" w:hAnsi="Cambria"/>
          <w:color w:val="000000" w:themeColor="text1"/>
          <w:shd w:val="clear" w:color="auto" w:fill="FFFFFF"/>
          <w:lang w:val="en-US"/>
        </w:rPr>
        <w:t>,</w:t>
      </w:r>
      <w:r w:rsidRPr="001E0E83">
        <w:rPr>
          <w:rFonts w:ascii="Cambria" w:hAnsi="Cambria"/>
          <w:color w:val="000000" w:themeColor="text1"/>
          <w:shd w:val="clear" w:color="auto" w:fill="FFFFFF"/>
          <w:lang w:val="en-US"/>
        </w:rPr>
        <w:t xml:space="preserve"> </w:t>
      </w:r>
      <w:r w:rsidR="00812EE4">
        <w:rPr>
          <w:rFonts w:ascii="Cambria" w:eastAsia="Times New Roman" w:hAnsi="Cambria"/>
          <w:lang w:val="en-GB" w:eastAsia="cs-CZ"/>
        </w:rPr>
        <w:t>(</w:t>
      </w:r>
      <w:proofErr w:type="spellStart"/>
      <w:r w:rsidR="00812EE4">
        <w:rPr>
          <w:rFonts w:ascii="Cambria" w:eastAsia="Times New Roman" w:hAnsi="Cambria"/>
          <w:lang w:val="en-GB" w:eastAsia="cs-CZ"/>
        </w:rPr>
        <w:t>staženo</w:t>
      </w:r>
      <w:proofErr w:type="spellEnd"/>
      <w:r w:rsidR="00812EE4">
        <w:rPr>
          <w:rFonts w:ascii="Cambria" w:eastAsia="Times New Roman" w:hAnsi="Cambria"/>
          <w:lang w:val="en-GB" w:eastAsia="cs-CZ"/>
        </w:rPr>
        <w:t xml:space="preserve"> 20. </w:t>
      </w:r>
      <w:proofErr w:type="spellStart"/>
      <w:r w:rsidR="00812EE4">
        <w:rPr>
          <w:rFonts w:ascii="Cambria" w:eastAsia="Times New Roman" w:hAnsi="Cambria"/>
          <w:lang w:val="en-GB" w:eastAsia="cs-CZ"/>
        </w:rPr>
        <w:t>října</w:t>
      </w:r>
      <w:proofErr w:type="spellEnd"/>
      <w:r w:rsidR="00812EE4">
        <w:rPr>
          <w:rFonts w:ascii="Cambria" w:eastAsia="Times New Roman" w:hAnsi="Cambria"/>
          <w:lang w:val="en-GB" w:eastAsia="cs-CZ"/>
        </w:rPr>
        <w:t xml:space="preserve"> 2020)</w:t>
      </w:r>
      <w:r w:rsidR="00812EE4" w:rsidRPr="001E0E83">
        <w:rPr>
          <w:rFonts w:ascii="Cambria" w:eastAsia="Times New Roman" w:hAnsi="Cambria"/>
          <w:lang w:val="en-GB" w:eastAsia="cs-CZ"/>
        </w:rPr>
        <w:t>.</w:t>
      </w:r>
    </w:p>
    <w:p w14:paraId="5C67E6A6" w14:textId="42B32068" w:rsidR="002D75BD" w:rsidRPr="001E0E83" w:rsidRDefault="002D75BD"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shd w:val="clear" w:color="auto" w:fill="FFFFFF"/>
          <w:lang w:val="en-US"/>
        </w:rPr>
        <w:t>World Bank (2020c)</w:t>
      </w:r>
      <w:r w:rsidR="00812EE4">
        <w:rPr>
          <w:rFonts w:ascii="Cambria" w:hAnsi="Cambria"/>
          <w:shd w:val="clear" w:color="auto" w:fill="FFFFFF"/>
          <w:lang w:val="en-US"/>
        </w:rPr>
        <w:t>:</w:t>
      </w:r>
      <w:r w:rsidRPr="001E0E83">
        <w:rPr>
          <w:rFonts w:ascii="Cambria" w:hAnsi="Cambria"/>
          <w:shd w:val="clear" w:color="auto" w:fill="FFFFFF"/>
          <w:lang w:val="en-US"/>
        </w:rPr>
        <w:t xml:space="preserve"> World Bank Commodities Price Forecast, </w:t>
      </w:r>
      <w:r w:rsidRPr="001E0E83">
        <w:rPr>
          <w:rFonts w:ascii="Cambria" w:eastAsia="Times New Roman" w:hAnsi="Cambria"/>
          <w:lang w:val="en-GB" w:eastAsia="cs-CZ"/>
        </w:rPr>
        <w:t>http://pubdocs.worldbank.org/en/633541587395091108/CMO-April-2020-Forecasts.pdf (accessed on 5th December 2020).</w:t>
      </w:r>
    </w:p>
    <w:p w14:paraId="6360B4F3" w14:textId="0B2FD6CD" w:rsidR="00593C75" w:rsidRPr="001E0E83" w:rsidRDefault="00593C75" w:rsidP="001E0E83">
      <w:pPr>
        <w:autoSpaceDE w:val="0"/>
        <w:autoSpaceDN w:val="0"/>
        <w:adjustRightInd w:val="0"/>
        <w:spacing w:after="100" w:afterAutospacing="1" w:line="240" w:lineRule="auto"/>
        <w:ind w:left="-284" w:right="-613" w:firstLine="284"/>
        <w:rPr>
          <w:rFonts w:ascii="Cambria" w:hAnsi="Cambria"/>
          <w:color w:val="FF0000"/>
          <w:shd w:val="clear" w:color="auto" w:fill="FFFFFF"/>
          <w:lang w:val="en-US"/>
        </w:rPr>
      </w:pPr>
      <w:proofErr w:type="spellStart"/>
      <w:r w:rsidRPr="001E0E83">
        <w:rPr>
          <w:rFonts w:ascii="Cambria" w:eastAsia="Times New Roman" w:hAnsi="Cambria"/>
          <w:lang w:val="en-GB" w:eastAsia="cs-CZ"/>
        </w:rPr>
        <w:t>Xiaoyi</w:t>
      </w:r>
      <w:proofErr w:type="spellEnd"/>
      <w:r w:rsidRPr="001E0E83">
        <w:rPr>
          <w:rFonts w:ascii="Cambria" w:eastAsia="Times New Roman" w:hAnsi="Cambria"/>
          <w:lang w:val="en-GB" w:eastAsia="cs-CZ"/>
        </w:rPr>
        <w:t xml:space="preserve">, M. (2020): </w:t>
      </w:r>
      <w:r w:rsidRPr="001E0E83">
        <w:rPr>
          <w:rFonts w:ascii="Cambria" w:eastAsia="Times New Roman" w:hAnsi="Cambria"/>
          <w:i/>
          <w:iCs/>
          <w:lang w:val="en-GB" w:eastAsia="cs-CZ"/>
        </w:rPr>
        <w:t>The</w:t>
      </w:r>
      <w:r w:rsidRPr="001E0E83">
        <w:rPr>
          <w:rFonts w:ascii="Cambria" w:eastAsia="Times New Roman" w:hAnsi="Cambria"/>
          <w:lang w:val="en-GB" w:eastAsia="cs-CZ"/>
        </w:rPr>
        <w:t xml:space="preserve"> </w:t>
      </w:r>
      <w:r w:rsidRPr="001E0E83">
        <w:rPr>
          <w:rFonts w:ascii="Cambria" w:eastAsia="Times New Roman" w:hAnsi="Cambria"/>
          <w:i/>
          <w:lang w:val="en-GB" w:eastAsia="cs-CZ"/>
        </w:rPr>
        <w:t>Economics of Oil and Gas</w:t>
      </w:r>
      <w:r w:rsidR="00812EE4">
        <w:rPr>
          <w:rFonts w:ascii="Cambria" w:eastAsia="Times New Roman" w:hAnsi="Cambria"/>
          <w:lang w:val="en-GB" w:eastAsia="cs-CZ"/>
        </w:rPr>
        <w:t>.</w:t>
      </w:r>
      <w:r w:rsidRPr="001E0E83">
        <w:rPr>
          <w:rFonts w:ascii="Cambria" w:eastAsia="Times New Roman" w:hAnsi="Cambria"/>
          <w:lang w:val="en-GB" w:eastAsia="cs-CZ"/>
        </w:rPr>
        <w:t xml:space="preserve"> Agenda publishing.</w:t>
      </w:r>
    </w:p>
    <w:p w14:paraId="100AA9D8" w14:textId="2FE1BB64" w:rsidR="00593C75" w:rsidRPr="001E0E83" w:rsidRDefault="00593C75" w:rsidP="001E0E83">
      <w:pPr>
        <w:spacing w:after="100" w:afterAutospacing="1" w:line="240" w:lineRule="auto"/>
        <w:ind w:left="708" w:hanging="708"/>
        <w:rPr>
          <w:rFonts w:ascii="Cambria" w:eastAsia="Times New Roman" w:hAnsi="Cambria"/>
          <w:lang w:eastAsia="cs-CZ"/>
        </w:rPr>
      </w:pPr>
      <w:proofErr w:type="spellStart"/>
      <w:r w:rsidRPr="001E0E83">
        <w:rPr>
          <w:rFonts w:ascii="Cambria" w:eastAsia="Times New Roman" w:hAnsi="Cambria"/>
          <w:lang w:eastAsia="cs-CZ"/>
        </w:rPr>
        <w:t>Yergin</w:t>
      </w:r>
      <w:proofErr w:type="spellEnd"/>
      <w:r w:rsidRPr="001E0E83">
        <w:rPr>
          <w:rFonts w:ascii="Cambria" w:eastAsia="Times New Roman" w:hAnsi="Cambria"/>
          <w:lang w:eastAsia="cs-CZ"/>
        </w:rPr>
        <w:t xml:space="preserve">, D. (2020): </w:t>
      </w:r>
      <w:proofErr w:type="spellStart"/>
      <w:r w:rsidRPr="001E0E83">
        <w:rPr>
          <w:rFonts w:ascii="Cambria" w:eastAsia="Times New Roman" w:hAnsi="Cambria"/>
          <w:i/>
          <w:lang w:eastAsia="cs-CZ"/>
        </w:rPr>
        <w:t>The</w:t>
      </w:r>
      <w:proofErr w:type="spellEnd"/>
      <w:r w:rsidRPr="001E0E83">
        <w:rPr>
          <w:rFonts w:ascii="Cambria" w:eastAsia="Times New Roman" w:hAnsi="Cambria"/>
          <w:i/>
          <w:lang w:eastAsia="cs-CZ"/>
        </w:rPr>
        <w:t xml:space="preserve"> New Map: </w:t>
      </w:r>
      <w:proofErr w:type="spellStart"/>
      <w:r w:rsidRPr="001E0E83">
        <w:rPr>
          <w:rFonts w:ascii="Cambria" w:eastAsia="Times New Roman" w:hAnsi="Cambria"/>
          <w:i/>
          <w:lang w:eastAsia="cs-CZ"/>
        </w:rPr>
        <w:t>Energy</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Climate</w:t>
      </w:r>
      <w:proofErr w:type="spellEnd"/>
      <w:r w:rsidRPr="001E0E83">
        <w:rPr>
          <w:rFonts w:ascii="Cambria" w:eastAsia="Times New Roman" w:hAnsi="Cambria"/>
          <w:i/>
          <w:lang w:eastAsia="cs-CZ"/>
        </w:rPr>
        <w:t xml:space="preserve">, and </w:t>
      </w:r>
      <w:proofErr w:type="spellStart"/>
      <w:r w:rsidRPr="001E0E83">
        <w:rPr>
          <w:rFonts w:ascii="Cambria" w:eastAsia="Times New Roman" w:hAnsi="Cambria"/>
          <w:i/>
          <w:lang w:eastAsia="cs-CZ"/>
        </w:rPr>
        <w:t>the</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Clash</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of</w:t>
      </w:r>
      <w:proofErr w:type="spellEnd"/>
      <w:r w:rsidRPr="001E0E83">
        <w:rPr>
          <w:rFonts w:ascii="Cambria" w:eastAsia="Times New Roman" w:hAnsi="Cambria"/>
          <w:i/>
          <w:lang w:eastAsia="cs-CZ"/>
        </w:rPr>
        <w:t xml:space="preserve"> </w:t>
      </w:r>
      <w:proofErr w:type="spellStart"/>
      <w:r w:rsidRPr="001E0E83">
        <w:rPr>
          <w:rFonts w:ascii="Cambria" w:eastAsia="Times New Roman" w:hAnsi="Cambria"/>
          <w:i/>
          <w:lang w:eastAsia="cs-CZ"/>
        </w:rPr>
        <w:t>Nations</w:t>
      </w:r>
      <w:proofErr w:type="spellEnd"/>
      <w:r w:rsidR="00812EE4">
        <w:rPr>
          <w:rFonts w:ascii="Cambria" w:eastAsia="Times New Roman" w:hAnsi="Cambria"/>
          <w:lang w:eastAsia="cs-CZ"/>
        </w:rPr>
        <w:t>.</w:t>
      </w:r>
      <w:r w:rsidRPr="001E0E83">
        <w:rPr>
          <w:rFonts w:ascii="Cambria" w:eastAsia="Times New Roman" w:hAnsi="Cambria"/>
          <w:lang w:eastAsia="cs-CZ"/>
        </w:rPr>
        <w:t xml:space="preserve"> </w:t>
      </w:r>
      <w:proofErr w:type="spellStart"/>
      <w:r w:rsidRPr="001E0E83">
        <w:rPr>
          <w:rFonts w:ascii="Cambria" w:eastAsia="Times New Roman" w:hAnsi="Cambria"/>
          <w:lang w:eastAsia="cs-CZ"/>
        </w:rPr>
        <w:t>Penguin</w:t>
      </w:r>
      <w:proofErr w:type="spellEnd"/>
      <w:r w:rsidRPr="001E0E83">
        <w:rPr>
          <w:rFonts w:ascii="Cambria" w:eastAsia="Times New Roman" w:hAnsi="Cambria"/>
          <w:lang w:eastAsia="cs-CZ"/>
        </w:rPr>
        <w:t xml:space="preserve"> </w:t>
      </w:r>
      <w:proofErr w:type="spellStart"/>
      <w:r w:rsidRPr="001E0E83">
        <w:rPr>
          <w:rFonts w:ascii="Cambria" w:eastAsia="Times New Roman" w:hAnsi="Cambria"/>
          <w:lang w:eastAsia="cs-CZ"/>
        </w:rPr>
        <w:t>Press</w:t>
      </w:r>
      <w:proofErr w:type="spellEnd"/>
      <w:r w:rsidRPr="001E0E83">
        <w:rPr>
          <w:rFonts w:ascii="Cambria" w:eastAsia="Times New Roman" w:hAnsi="Cambria"/>
          <w:lang w:eastAsia="cs-CZ"/>
        </w:rPr>
        <w:t>.</w:t>
      </w:r>
    </w:p>
    <w:p w14:paraId="0422759A" w14:textId="67E0580B" w:rsidR="00593C75" w:rsidRPr="001E0E83" w:rsidRDefault="00593C75" w:rsidP="001E0E83">
      <w:pPr>
        <w:spacing w:after="100" w:afterAutospacing="1" w:line="240" w:lineRule="auto"/>
        <w:ind w:left="709" w:hanging="709"/>
        <w:rPr>
          <w:rFonts w:ascii="Cambria" w:eastAsia="Times New Roman" w:hAnsi="Cambria"/>
          <w:lang w:val="en-GB" w:eastAsia="cs-CZ"/>
        </w:rPr>
      </w:pPr>
      <w:r w:rsidRPr="001E0E83">
        <w:rPr>
          <w:rFonts w:ascii="Cambria" w:eastAsia="Times New Roman" w:hAnsi="Cambria"/>
          <w:lang w:val="en-GB" w:eastAsia="cs-CZ"/>
        </w:rPr>
        <w:t xml:space="preserve">Youngs, R. (2020): EU foreign policy and energy strategy: bounded contestation. </w:t>
      </w:r>
      <w:r w:rsidRPr="001E0E83">
        <w:rPr>
          <w:rFonts w:ascii="Cambria" w:eastAsia="Times New Roman" w:hAnsi="Cambria"/>
          <w:i/>
          <w:lang w:val="en-GB" w:eastAsia="cs-CZ"/>
        </w:rPr>
        <w:t>Journal of European Integration</w:t>
      </w:r>
      <w:r w:rsidRPr="001E0E83">
        <w:rPr>
          <w:rFonts w:ascii="Cambria" w:eastAsia="Times New Roman" w:hAnsi="Cambria"/>
          <w:lang w:val="en-GB" w:eastAsia="cs-CZ"/>
        </w:rPr>
        <w:t>, 42(1), 147-162.</w:t>
      </w:r>
    </w:p>
    <w:p w14:paraId="390635EA" w14:textId="11FB671A"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Zhao, Y. – Liu, X. – Wang, S. – Ge, Y. (2019): Energy relations between China and the countries along the Belt and Road: An analysis of the distribution of energy resources and interdependence Relationships. </w:t>
      </w:r>
      <w:r w:rsidRPr="001E0E83">
        <w:rPr>
          <w:rFonts w:ascii="Cambria" w:hAnsi="Cambria"/>
          <w:i/>
          <w:color w:val="000000" w:themeColor="text1"/>
          <w:shd w:val="clear" w:color="auto" w:fill="FFFFFF"/>
          <w:lang w:val="en-US"/>
        </w:rPr>
        <w:t>Renewable and Sustainable Energy Reviews</w:t>
      </w:r>
      <w:r w:rsidRPr="001E0E83">
        <w:rPr>
          <w:rFonts w:ascii="Cambria" w:hAnsi="Cambria"/>
          <w:color w:val="000000" w:themeColor="text1"/>
          <w:shd w:val="clear" w:color="auto" w:fill="FFFFFF"/>
          <w:lang w:val="en-US"/>
        </w:rPr>
        <w:t>, 107, 133–144.</w:t>
      </w:r>
    </w:p>
    <w:p w14:paraId="3E4F28DA" w14:textId="5C17CD15"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r w:rsidRPr="001E0E83">
        <w:rPr>
          <w:rFonts w:ascii="Cambria" w:hAnsi="Cambria"/>
          <w:color w:val="000000" w:themeColor="text1"/>
          <w:shd w:val="clear" w:color="auto" w:fill="FFFFFF"/>
          <w:lang w:val="en-US"/>
        </w:rPr>
        <w:t xml:space="preserve">Zhao, Y. – Shi, X. – Song, F. (2020): Has Chinese outward foreign direct investment in energy enhanced China’s energy security? </w:t>
      </w:r>
      <w:r w:rsidRPr="001E0E83">
        <w:rPr>
          <w:rFonts w:ascii="Cambria" w:hAnsi="Cambria"/>
          <w:i/>
          <w:color w:val="000000" w:themeColor="text1"/>
          <w:shd w:val="clear" w:color="auto" w:fill="FFFFFF"/>
          <w:lang w:val="en-US"/>
        </w:rPr>
        <w:t>Energy Policy</w:t>
      </w:r>
      <w:r w:rsidRPr="001E0E83">
        <w:rPr>
          <w:rFonts w:ascii="Cambria" w:hAnsi="Cambria"/>
          <w:color w:val="000000" w:themeColor="text1"/>
          <w:shd w:val="clear" w:color="auto" w:fill="FFFFFF"/>
          <w:lang w:val="en-US"/>
        </w:rPr>
        <w:t>, 146, 111803.</w:t>
      </w:r>
    </w:p>
    <w:p w14:paraId="7DDEFAAC" w14:textId="77777777" w:rsidR="00593C75" w:rsidRPr="001E0E83"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lastRenderedPageBreak/>
        <w:t>Указ</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Президента</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Российской</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Федерации</w:t>
      </w:r>
      <w:proofErr w:type="spellEnd"/>
      <w:r w:rsidRPr="001E0E83">
        <w:rPr>
          <w:rFonts w:ascii="Cambria" w:hAnsi="Cambria"/>
          <w:color w:val="000000" w:themeColor="text1"/>
          <w:shd w:val="clear" w:color="auto" w:fill="FFFFFF"/>
          <w:lang w:val="en-US"/>
        </w:rPr>
        <w:t xml:space="preserve"> (2019): </w:t>
      </w:r>
      <w:proofErr w:type="spellStart"/>
      <w:r w:rsidRPr="001E0E83">
        <w:rPr>
          <w:rFonts w:ascii="Cambria" w:hAnsi="Cambria"/>
          <w:color w:val="000000" w:themeColor="text1"/>
          <w:shd w:val="clear" w:color="auto" w:fill="FFFFFF"/>
          <w:lang w:val="en-US"/>
        </w:rPr>
        <w:t>Доктрина</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энергетической</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безопасности</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Российской</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Федерации</w:t>
      </w:r>
      <w:proofErr w:type="spellEnd"/>
      <w:r w:rsidRPr="001E0E83">
        <w:rPr>
          <w:rFonts w:ascii="Cambria" w:hAnsi="Cambria"/>
          <w:color w:val="000000" w:themeColor="text1"/>
          <w:shd w:val="clear" w:color="auto" w:fill="FFFFFF"/>
          <w:lang w:val="en-US"/>
        </w:rPr>
        <w:t>, Moscow: Kremlin.</w:t>
      </w:r>
    </w:p>
    <w:p w14:paraId="6E43A3A0" w14:textId="2594B476" w:rsidR="00C44560" w:rsidRDefault="00593C75"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proofErr w:type="spellStart"/>
      <w:r w:rsidRPr="001E0E83">
        <w:rPr>
          <w:rFonts w:ascii="Cambria" w:hAnsi="Cambria"/>
          <w:color w:val="000000" w:themeColor="text1"/>
          <w:shd w:val="clear" w:color="auto" w:fill="FFFFFF"/>
          <w:lang w:val="en-US"/>
        </w:rPr>
        <w:t>Электронный</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бюджет</w:t>
      </w:r>
      <w:proofErr w:type="spellEnd"/>
      <w:r w:rsidRPr="001E0E83">
        <w:rPr>
          <w:rFonts w:ascii="Cambria" w:hAnsi="Cambria"/>
          <w:color w:val="000000" w:themeColor="text1"/>
          <w:shd w:val="clear" w:color="auto" w:fill="FFFFFF"/>
          <w:lang w:val="en-US"/>
        </w:rPr>
        <w:t xml:space="preserve"> (2020): </w:t>
      </w:r>
      <w:proofErr w:type="spellStart"/>
      <w:r w:rsidRPr="001E0E83">
        <w:rPr>
          <w:rFonts w:ascii="Cambria" w:hAnsi="Cambria"/>
          <w:color w:val="000000" w:themeColor="text1"/>
          <w:shd w:val="clear" w:color="auto" w:fill="FFFFFF"/>
          <w:lang w:val="en-US"/>
        </w:rPr>
        <w:t>Формы</w:t>
      </w:r>
      <w:proofErr w:type="spellEnd"/>
      <w:r w:rsidRPr="001E0E83">
        <w:rPr>
          <w:rFonts w:ascii="Cambria" w:hAnsi="Cambria"/>
          <w:color w:val="000000" w:themeColor="text1"/>
          <w:shd w:val="clear" w:color="auto" w:fill="FFFFFF"/>
          <w:lang w:val="en-US"/>
        </w:rPr>
        <w:t xml:space="preserve"> и </w:t>
      </w:r>
      <w:proofErr w:type="spellStart"/>
      <w:r w:rsidRPr="001E0E83">
        <w:rPr>
          <w:rFonts w:ascii="Cambria" w:hAnsi="Cambria"/>
          <w:color w:val="000000" w:themeColor="text1"/>
          <w:shd w:val="clear" w:color="auto" w:fill="FFFFFF"/>
          <w:lang w:val="en-US"/>
        </w:rPr>
        <w:t>условия</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предоставления</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межбюджетных</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трансфертов</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бюджетам</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из</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федерального</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бюджета</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Единый</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портал</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бюджетной</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системы</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Российской</w:t>
      </w:r>
      <w:proofErr w:type="spellEnd"/>
      <w:r w:rsidRPr="001E0E83">
        <w:rPr>
          <w:rFonts w:ascii="Cambria" w:hAnsi="Cambria"/>
          <w:color w:val="000000" w:themeColor="text1"/>
          <w:shd w:val="clear" w:color="auto" w:fill="FFFFFF"/>
          <w:lang w:val="en-US"/>
        </w:rPr>
        <w:t xml:space="preserve"> </w:t>
      </w:r>
      <w:proofErr w:type="spellStart"/>
      <w:r w:rsidRPr="001E0E83">
        <w:rPr>
          <w:rFonts w:ascii="Cambria" w:hAnsi="Cambria"/>
          <w:color w:val="000000" w:themeColor="text1"/>
          <w:shd w:val="clear" w:color="auto" w:fill="FFFFFF"/>
          <w:lang w:val="en-US"/>
        </w:rPr>
        <w:t>Федерации</w:t>
      </w:r>
      <w:proofErr w:type="spellEnd"/>
      <w:r w:rsidRPr="001E0E83">
        <w:rPr>
          <w:rFonts w:ascii="Cambria" w:hAnsi="Cambria"/>
          <w:color w:val="000000" w:themeColor="text1"/>
          <w:shd w:val="clear" w:color="auto" w:fill="FFFFFF"/>
          <w:lang w:val="en-US"/>
        </w:rPr>
        <w:t xml:space="preserve">, shorturl.at/rxFS7 </w:t>
      </w:r>
      <w:r w:rsidR="00103A2E">
        <w:rPr>
          <w:rFonts w:ascii="Cambria" w:hAnsi="Cambria"/>
          <w:color w:val="000000" w:themeColor="text1"/>
          <w:shd w:val="clear" w:color="auto" w:fill="FFFFFF"/>
          <w:lang w:val="en-US"/>
        </w:rPr>
        <w:t>(</w:t>
      </w:r>
      <w:proofErr w:type="spellStart"/>
      <w:r w:rsidR="00103A2E">
        <w:rPr>
          <w:rFonts w:ascii="Cambria" w:hAnsi="Cambria"/>
          <w:color w:val="000000" w:themeColor="text1"/>
          <w:shd w:val="clear" w:color="auto" w:fill="FFFFFF"/>
          <w:lang w:val="en-US"/>
        </w:rPr>
        <w:t>staženo</w:t>
      </w:r>
      <w:proofErr w:type="spellEnd"/>
      <w:r w:rsidR="00103A2E">
        <w:rPr>
          <w:rFonts w:ascii="Cambria" w:hAnsi="Cambria"/>
          <w:color w:val="000000" w:themeColor="text1"/>
          <w:shd w:val="clear" w:color="auto" w:fill="FFFFFF"/>
          <w:lang w:val="en-US"/>
        </w:rPr>
        <w:t xml:space="preserve"> 20. </w:t>
      </w:r>
      <w:proofErr w:type="spellStart"/>
      <w:r w:rsidR="00103A2E">
        <w:rPr>
          <w:rFonts w:ascii="Cambria" w:hAnsi="Cambria"/>
          <w:color w:val="000000" w:themeColor="text1"/>
          <w:shd w:val="clear" w:color="auto" w:fill="FFFFFF"/>
          <w:lang w:val="en-US"/>
        </w:rPr>
        <w:t>října</w:t>
      </w:r>
      <w:proofErr w:type="spellEnd"/>
      <w:r w:rsidR="00103A2E">
        <w:rPr>
          <w:rFonts w:ascii="Cambria" w:hAnsi="Cambria"/>
          <w:color w:val="000000" w:themeColor="text1"/>
          <w:shd w:val="clear" w:color="auto" w:fill="FFFFFF"/>
          <w:lang w:val="en-US"/>
        </w:rPr>
        <w:t xml:space="preserve"> 2020)</w:t>
      </w:r>
      <w:r w:rsidRPr="001E0E83">
        <w:rPr>
          <w:rFonts w:ascii="Cambria" w:hAnsi="Cambria"/>
          <w:color w:val="000000" w:themeColor="text1"/>
          <w:shd w:val="clear" w:color="auto" w:fill="FFFFFF"/>
          <w:lang w:val="en-US"/>
        </w:rPr>
        <w:t>.</w:t>
      </w:r>
    </w:p>
    <w:p w14:paraId="54DBC73E" w14:textId="77777777" w:rsidR="00C44560" w:rsidRDefault="00C44560">
      <w:pPr>
        <w:rPr>
          <w:rFonts w:ascii="Cambria" w:hAnsi="Cambria"/>
          <w:color w:val="000000" w:themeColor="text1"/>
          <w:shd w:val="clear" w:color="auto" w:fill="FFFFFF"/>
          <w:lang w:val="en-US"/>
        </w:rPr>
      </w:pPr>
      <w:r>
        <w:rPr>
          <w:rFonts w:ascii="Cambria" w:hAnsi="Cambria"/>
          <w:color w:val="000000" w:themeColor="text1"/>
          <w:shd w:val="clear" w:color="auto" w:fill="FFFFFF"/>
          <w:lang w:val="en-US"/>
        </w:rPr>
        <w:br w:type="page"/>
      </w:r>
    </w:p>
    <w:p w14:paraId="596F802A" w14:textId="20AFE0B2" w:rsidR="00593C75" w:rsidRDefault="00C44560" w:rsidP="00C44560">
      <w:pPr>
        <w:pStyle w:val="Nadpis2"/>
        <w:rPr>
          <w:shd w:val="clear" w:color="auto" w:fill="FFFFFF"/>
          <w:lang w:val="en-US"/>
        </w:rPr>
      </w:pPr>
      <w:bookmarkStart w:id="71" w:name="_Toc61259195"/>
      <w:bookmarkStart w:id="72" w:name="_Toc61261173"/>
      <w:bookmarkStart w:id="73" w:name="_Toc61261295"/>
      <w:bookmarkStart w:id="74" w:name="_Toc61262045"/>
      <w:bookmarkStart w:id="75" w:name="_Toc61262169"/>
      <w:proofErr w:type="spellStart"/>
      <w:r>
        <w:rPr>
          <w:shd w:val="clear" w:color="auto" w:fill="FFFFFF"/>
          <w:lang w:val="en-US"/>
        </w:rPr>
        <w:lastRenderedPageBreak/>
        <w:t>Příloha</w:t>
      </w:r>
      <w:bookmarkEnd w:id="71"/>
      <w:bookmarkEnd w:id="72"/>
      <w:bookmarkEnd w:id="73"/>
      <w:bookmarkEnd w:id="74"/>
      <w:bookmarkEnd w:id="75"/>
      <w:proofErr w:type="spellEnd"/>
    </w:p>
    <w:p w14:paraId="07464F0B" w14:textId="41C15999" w:rsidR="00311D9D" w:rsidRPr="006128E2" w:rsidRDefault="00311D9D" w:rsidP="006128E2">
      <w:pPr>
        <w:pStyle w:val="Obsah2"/>
        <w:rPr>
          <w:rFonts w:asciiTheme="minorHAnsi" w:eastAsiaTheme="minorEastAsia" w:hAnsiTheme="minorHAnsi"/>
          <w:color w:val="auto"/>
          <w:sz w:val="24"/>
          <w:szCs w:val="24"/>
          <w:lang w:eastAsia="cs-CZ"/>
        </w:rPr>
      </w:pPr>
      <w:r>
        <w:fldChar w:fldCharType="begin"/>
      </w:r>
      <w:r>
        <w:instrText xml:space="preserve"> TOC \o "1-3" \h \z \u </w:instrText>
      </w:r>
      <w:r>
        <w:fldChar w:fldCharType="separate"/>
      </w:r>
      <w:r>
        <w:rPr>
          <w:rStyle w:val="Hypertextovodkaz"/>
          <w:b w:val="0"/>
          <w:bCs w:val="0"/>
        </w:rPr>
        <w:fldChar w:fldCharType="begin"/>
      </w:r>
      <w:r>
        <w:rPr>
          <w:rStyle w:val="Hypertextovodkaz"/>
          <w:b w:val="0"/>
          <w:bCs w:val="0"/>
        </w:rPr>
        <w:instrText xml:space="preserve"> TOC \o "1-3" \u </w:instrText>
      </w:r>
      <w:r>
        <w:rPr>
          <w:rStyle w:val="Hypertextovodkaz"/>
          <w:b w:val="0"/>
          <w:bCs w:val="0"/>
        </w:rPr>
        <w:fldChar w:fldCharType="separate"/>
      </w:r>
    </w:p>
    <w:p w14:paraId="2F53153D" w14:textId="658EC33E" w:rsidR="00311D9D" w:rsidRDefault="00311D9D" w:rsidP="006128E2">
      <w:pPr>
        <w:pStyle w:val="Obsah2"/>
        <w:rPr>
          <w:rFonts w:asciiTheme="minorHAnsi" w:eastAsiaTheme="minorEastAsia" w:hAnsiTheme="minorHAnsi"/>
          <w:color w:val="auto"/>
          <w:sz w:val="24"/>
          <w:szCs w:val="24"/>
          <w:lang w:eastAsia="cs-CZ"/>
        </w:rPr>
      </w:pPr>
      <w:r>
        <w:t>Příloha 1 – vývoj vybraných makroekonomických veličin – Saúdská Arábie</w:t>
      </w:r>
      <w:r>
        <w:tab/>
      </w:r>
      <w:r>
        <w:fldChar w:fldCharType="begin"/>
      </w:r>
      <w:r>
        <w:instrText xml:space="preserve"> PAGEREF _Toc61262170 \h </w:instrText>
      </w:r>
      <w:r>
        <w:fldChar w:fldCharType="separate"/>
      </w:r>
      <w:r w:rsidR="00F650E6">
        <w:t>60</w:t>
      </w:r>
      <w:r>
        <w:fldChar w:fldCharType="end"/>
      </w:r>
    </w:p>
    <w:p w14:paraId="2162A080" w14:textId="5BC56DDE" w:rsidR="00311D9D" w:rsidRDefault="00311D9D" w:rsidP="006128E2">
      <w:pPr>
        <w:pStyle w:val="Obsah3"/>
        <w:ind w:left="284" w:hanging="78"/>
        <w:rPr>
          <w:rFonts w:asciiTheme="minorHAnsi" w:eastAsiaTheme="minorEastAsia" w:hAnsiTheme="minorHAnsi"/>
          <w:noProof/>
          <w:sz w:val="24"/>
          <w:szCs w:val="24"/>
          <w:lang w:eastAsia="cs-CZ"/>
        </w:rPr>
      </w:pPr>
      <w:r>
        <w:rPr>
          <w:noProof/>
        </w:rPr>
        <w:t>Graf 1-1: Míry růstu reálného HDP a sezónně očištěné HDP v Saúdské Arábii, 2018-2020</w:t>
      </w:r>
      <w:r>
        <w:rPr>
          <w:noProof/>
        </w:rPr>
        <w:tab/>
      </w:r>
      <w:r>
        <w:rPr>
          <w:noProof/>
        </w:rPr>
        <w:fldChar w:fldCharType="begin"/>
      </w:r>
      <w:r>
        <w:rPr>
          <w:noProof/>
        </w:rPr>
        <w:instrText xml:space="preserve"> PAGEREF _Toc61262171 \h </w:instrText>
      </w:r>
      <w:r>
        <w:rPr>
          <w:noProof/>
        </w:rPr>
      </w:r>
      <w:r>
        <w:rPr>
          <w:noProof/>
        </w:rPr>
        <w:fldChar w:fldCharType="separate"/>
      </w:r>
      <w:r w:rsidR="00F650E6">
        <w:rPr>
          <w:noProof/>
        </w:rPr>
        <w:t>60</w:t>
      </w:r>
      <w:r>
        <w:rPr>
          <w:noProof/>
        </w:rPr>
        <w:fldChar w:fldCharType="end"/>
      </w:r>
    </w:p>
    <w:p w14:paraId="5FB41215" w14:textId="7AA41078" w:rsidR="00311D9D" w:rsidRDefault="00311D9D" w:rsidP="006128E2">
      <w:pPr>
        <w:pStyle w:val="Obsah3"/>
        <w:ind w:left="284" w:hanging="78"/>
        <w:rPr>
          <w:rFonts w:asciiTheme="minorHAnsi" w:eastAsiaTheme="minorEastAsia" w:hAnsiTheme="minorHAnsi"/>
          <w:noProof/>
          <w:sz w:val="24"/>
          <w:szCs w:val="24"/>
          <w:lang w:eastAsia="cs-CZ"/>
        </w:rPr>
      </w:pPr>
      <w:r>
        <w:rPr>
          <w:noProof/>
        </w:rPr>
        <w:t>Graf 1-2: Index spotřebitelských cen. Meziroční srovnání míry změny v jednotlivých měsících v Saúdské Arábii, říjen 2019 – říjen 2020</w:t>
      </w:r>
      <w:r w:rsidR="006128E2">
        <w:rPr>
          <w:noProof/>
        </w:rPr>
        <w:t xml:space="preserve"> </w:t>
      </w:r>
      <w:r>
        <w:rPr>
          <w:noProof/>
        </w:rPr>
        <w:tab/>
      </w:r>
      <w:r>
        <w:rPr>
          <w:noProof/>
        </w:rPr>
        <w:fldChar w:fldCharType="begin"/>
      </w:r>
      <w:r>
        <w:rPr>
          <w:noProof/>
        </w:rPr>
        <w:instrText xml:space="preserve"> PAGEREF _Toc61262172 \h </w:instrText>
      </w:r>
      <w:r>
        <w:rPr>
          <w:noProof/>
        </w:rPr>
      </w:r>
      <w:r>
        <w:rPr>
          <w:noProof/>
        </w:rPr>
        <w:fldChar w:fldCharType="separate"/>
      </w:r>
      <w:r w:rsidR="00F650E6">
        <w:rPr>
          <w:noProof/>
        </w:rPr>
        <w:t>60</w:t>
      </w:r>
      <w:r>
        <w:rPr>
          <w:noProof/>
        </w:rPr>
        <w:fldChar w:fldCharType="end"/>
      </w:r>
    </w:p>
    <w:p w14:paraId="5DCDF874" w14:textId="77777777" w:rsidR="006128E2" w:rsidRDefault="006128E2" w:rsidP="006128E2">
      <w:pPr>
        <w:pStyle w:val="Obsah2"/>
        <w:rPr>
          <w:shd w:val="clear" w:color="auto" w:fill="FFFFFF"/>
        </w:rPr>
      </w:pPr>
    </w:p>
    <w:p w14:paraId="1A26A9B1" w14:textId="6824304E" w:rsidR="00311D9D" w:rsidRDefault="00311D9D" w:rsidP="006128E2">
      <w:pPr>
        <w:pStyle w:val="Obsah2"/>
        <w:rPr>
          <w:rFonts w:asciiTheme="minorHAnsi" w:eastAsiaTheme="minorEastAsia" w:hAnsiTheme="minorHAnsi"/>
          <w:color w:val="auto"/>
          <w:sz w:val="24"/>
          <w:szCs w:val="24"/>
          <w:lang w:eastAsia="cs-CZ"/>
        </w:rPr>
      </w:pPr>
      <w:r w:rsidRPr="004360DB">
        <w:rPr>
          <w:shd w:val="clear" w:color="auto" w:fill="FFFFFF"/>
        </w:rPr>
        <w:t>Příloha 2 – Vývoj vybraných makroekonomických ukazatelů – Ruská federace</w:t>
      </w:r>
      <w:r>
        <w:tab/>
      </w:r>
      <w:r>
        <w:fldChar w:fldCharType="begin"/>
      </w:r>
      <w:r>
        <w:instrText xml:space="preserve"> PAGEREF _Toc61262173 \h </w:instrText>
      </w:r>
      <w:r>
        <w:fldChar w:fldCharType="separate"/>
      </w:r>
      <w:r w:rsidR="00F650E6">
        <w:t>61</w:t>
      </w:r>
      <w:r>
        <w:fldChar w:fldCharType="end"/>
      </w:r>
    </w:p>
    <w:p w14:paraId="58489AA8" w14:textId="654A8263" w:rsidR="00311D9D" w:rsidRDefault="00311D9D" w:rsidP="006128E2">
      <w:pPr>
        <w:pStyle w:val="Obsah3"/>
        <w:ind w:left="284" w:hanging="78"/>
        <w:rPr>
          <w:rFonts w:asciiTheme="minorHAnsi" w:eastAsiaTheme="minorEastAsia" w:hAnsiTheme="minorHAnsi"/>
          <w:noProof/>
          <w:sz w:val="24"/>
          <w:szCs w:val="24"/>
          <w:lang w:eastAsia="cs-CZ"/>
        </w:rPr>
      </w:pPr>
      <w:r w:rsidRPr="004360DB">
        <w:rPr>
          <w:noProof/>
          <w:shd w:val="clear" w:color="auto" w:fill="FFFFFF"/>
        </w:rPr>
        <w:t>Graf 2-1: Tempo růstu HDP v Ruské federaci, 2018-2020 (čtvrtletně)</w:t>
      </w:r>
      <w:r>
        <w:rPr>
          <w:noProof/>
        </w:rPr>
        <w:tab/>
      </w:r>
      <w:r>
        <w:rPr>
          <w:noProof/>
        </w:rPr>
        <w:fldChar w:fldCharType="begin"/>
      </w:r>
      <w:r>
        <w:rPr>
          <w:noProof/>
        </w:rPr>
        <w:instrText xml:space="preserve"> PAGEREF _Toc61262174 \h </w:instrText>
      </w:r>
      <w:r>
        <w:rPr>
          <w:noProof/>
        </w:rPr>
      </w:r>
      <w:r>
        <w:rPr>
          <w:noProof/>
        </w:rPr>
        <w:fldChar w:fldCharType="separate"/>
      </w:r>
      <w:r w:rsidR="00F650E6">
        <w:rPr>
          <w:noProof/>
        </w:rPr>
        <w:t>61</w:t>
      </w:r>
      <w:r>
        <w:rPr>
          <w:noProof/>
        </w:rPr>
        <w:fldChar w:fldCharType="end"/>
      </w:r>
    </w:p>
    <w:p w14:paraId="7461F113" w14:textId="1D291666" w:rsidR="00311D9D" w:rsidRDefault="00311D9D" w:rsidP="006128E2">
      <w:pPr>
        <w:pStyle w:val="Obsah3"/>
        <w:ind w:left="284" w:hanging="78"/>
        <w:rPr>
          <w:rFonts w:asciiTheme="minorHAnsi" w:eastAsiaTheme="minorEastAsia" w:hAnsiTheme="minorHAnsi"/>
          <w:noProof/>
          <w:sz w:val="24"/>
          <w:szCs w:val="24"/>
          <w:lang w:eastAsia="cs-CZ"/>
        </w:rPr>
      </w:pPr>
      <w:r>
        <w:rPr>
          <w:noProof/>
        </w:rPr>
        <w:t>Graf 2-2: Míra jádrové inflace v Rusku, listopad 2019 – listopad 2020 (měsíčně)</w:t>
      </w:r>
      <w:r>
        <w:rPr>
          <w:noProof/>
        </w:rPr>
        <w:tab/>
      </w:r>
      <w:r>
        <w:rPr>
          <w:noProof/>
        </w:rPr>
        <w:fldChar w:fldCharType="begin"/>
      </w:r>
      <w:r>
        <w:rPr>
          <w:noProof/>
        </w:rPr>
        <w:instrText xml:space="preserve"> PAGEREF _Toc61262175 \h </w:instrText>
      </w:r>
      <w:r>
        <w:rPr>
          <w:noProof/>
        </w:rPr>
      </w:r>
      <w:r>
        <w:rPr>
          <w:noProof/>
        </w:rPr>
        <w:fldChar w:fldCharType="separate"/>
      </w:r>
      <w:r w:rsidR="00F650E6">
        <w:rPr>
          <w:noProof/>
        </w:rPr>
        <w:t>61</w:t>
      </w:r>
      <w:r>
        <w:rPr>
          <w:noProof/>
        </w:rPr>
        <w:fldChar w:fldCharType="end"/>
      </w:r>
    </w:p>
    <w:p w14:paraId="6C6A6222" w14:textId="437B5F51" w:rsidR="00311D9D" w:rsidRDefault="00311D9D" w:rsidP="006128E2">
      <w:pPr>
        <w:pStyle w:val="Obsah3"/>
        <w:ind w:left="284" w:hanging="78"/>
        <w:rPr>
          <w:rFonts w:asciiTheme="minorHAnsi" w:eastAsiaTheme="minorEastAsia" w:hAnsiTheme="minorHAnsi"/>
          <w:noProof/>
          <w:sz w:val="24"/>
          <w:szCs w:val="24"/>
          <w:lang w:eastAsia="cs-CZ"/>
        </w:rPr>
      </w:pPr>
      <w:r>
        <w:rPr>
          <w:noProof/>
        </w:rPr>
        <w:t>Graf 2-3: Počet domácích měnových jednotek za USD pro Ruskou federaci, 2020 (měsíčně)</w:t>
      </w:r>
      <w:r>
        <w:rPr>
          <w:noProof/>
        </w:rPr>
        <w:tab/>
      </w:r>
      <w:r>
        <w:rPr>
          <w:noProof/>
        </w:rPr>
        <w:fldChar w:fldCharType="begin"/>
      </w:r>
      <w:r>
        <w:rPr>
          <w:noProof/>
        </w:rPr>
        <w:instrText xml:space="preserve"> PAGEREF _Toc61262176 \h </w:instrText>
      </w:r>
      <w:r>
        <w:rPr>
          <w:noProof/>
        </w:rPr>
      </w:r>
      <w:r>
        <w:rPr>
          <w:noProof/>
        </w:rPr>
        <w:fldChar w:fldCharType="separate"/>
      </w:r>
      <w:r w:rsidR="00F650E6">
        <w:rPr>
          <w:noProof/>
        </w:rPr>
        <w:t>62</w:t>
      </w:r>
      <w:r>
        <w:rPr>
          <w:noProof/>
        </w:rPr>
        <w:fldChar w:fldCharType="end"/>
      </w:r>
    </w:p>
    <w:p w14:paraId="735F703E" w14:textId="77777777" w:rsidR="006128E2" w:rsidRDefault="006128E2" w:rsidP="006128E2">
      <w:pPr>
        <w:pStyle w:val="Obsah2"/>
        <w:rPr>
          <w:shd w:val="clear" w:color="auto" w:fill="FFFFFF"/>
        </w:rPr>
      </w:pPr>
    </w:p>
    <w:p w14:paraId="4843927C" w14:textId="188BDB78" w:rsidR="00311D9D" w:rsidRDefault="00311D9D" w:rsidP="006128E2">
      <w:pPr>
        <w:pStyle w:val="Obsah2"/>
        <w:rPr>
          <w:rFonts w:asciiTheme="minorHAnsi" w:eastAsiaTheme="minorEastAsia" w:hAnsiTheme="minorHAnsi"/>
          <w:color w:val="auto"/>
          <w:sz w:val="24"/>
          <w:szCs w:val="24"/>
          <w:lang w:eastAsia="cs-CZ"/>
        </w:rPr>
      </w:pPr>
      <w:r w:rsidRPr="004360DB">
        <w:rPr>
          <w:shd w:val="clear" w:color="auto" w:fill="FFFFFF"/>
        </w:rPr>
        <w:t>Příloha 3 – Vývoj vybraných makroekonomických ukazatelů – Ázerbájdžán</w:t>
      </w:r>
      <w:r>
        <w:tab/>
      </w:r>
      <w:r>
        <w:fldChar w:fldCharType="begin"/>
      </w:r>
      <w:r>
        <w:instrText xml:space="preserve"> PAGEREF _Toc61262177 \h </w:instrText>
      </w:r>
      <w:r>
        <w:fldChar w:fldCharType="separate"/>
      </w:r>
      <w:r w:rsidR="00F650E6">
        <w:t>63</w:t>
      </w:r>
      <w:r>
        <w:fldChar w:fldCharType="end"/>
      </w:r>
    </w:p>
    <w:p w14:paraId="2E0A6B09" w14:textId="6DB01597" w:rsidR="00311D9D" w:rsidRPr="006128E2" w:rsidRDefault="00311D9D" w:rsidP="006128E2">
      <w:pPr>
        <w:pStyle w:val="Obsah3"/>
        <w:ind w:left="284" w:hanging="78"/>
        <w:rPr>
          <w:rFonts w:asciiTheme="minorHAnsi" w:eastAsiaTheme="minorEastAsia" w:hAnsiTheme="minorHAnsi"/>
          <w:noProof/>
          <w:sz w:val="24"/>
          <w:szCs w:val="24"/>
          <w:lang w:eastAsia="cs-CZ"/>
        </w:rPr>
      </w:pPr>
      <w:r w:rsidRPr="004360DB">
        <w:rPr>
          <w:noProof/>
          <w:shd w:val="clear" w:color="auto" w:fill="FFFFFF"/>
          <w:lang w:val="en-US"/>
        </w:rPr>
        <w:t xml:space="preserve">Graf 3-1: </w:t>
      </w:r>
      <w:r w:rsidRPr="004360DB">
        <w:rPr>
          <w:noProof/>
          <w:shd w:val="clear" w:color="auto" w:fill="FFFFFF"/>
        </w:rPr>
        <w:t>Tempo růstu HDP v Ázerbájdžánu, 2018-2020 (čtvrtletně)</w:t>
      </w:r>
      <w:r>
        <w:rPr>
          <w:noProof/>
        </w:rPr>
        <w:tab/>
      </w:r>
      <w:r>
        <w:rPr>
          <w:noProof/>
        </w:rPr>
        <w:fldChar w:fldCharType="begin"/>
      </w:r>
      <w:r>
        <w:rPr>
          <w:noProof/>
        </w:rPr>
        <w:instrText xml:space="preserve"> PAGEREF _Toc61262178 \h </w:instrText>
      </w:r>
      <w:r>
        <w:rPr>
          <w:noProof/>
        </w:rPr>
      </w:r>
      <w:r>
        <w:rPr>
          <w:noProof/>
        </w:rPr>
        <w:fldChar w:fldCharType="separate"/>
      </w:r>
      <w:r w:rsidR="00F650E6">
        <w:rPr>
          <w:noProof/>
        </w:rPr>
        <w:t>63</w:t>
      </w:r>
      <w:r>
        <w:rPr>
          <w:noProof/>
        </w:rPr>
        <w:fldChar w:fldCharType="end"/>
      </w:r>
    </w:p>
    <w:p w14:paraId="339474E7" w14:textId="0771F030" w:rsidR="00311D9D" w:rsidRPr="006128E2" w:rsidRDefault="00311D9D" w:rsidP="006128E2">
      <w:pPr>
        <w:pStyle w:val="Obsah3"/>
        <w:ind w:left="284" w:hanging="78"/>
        <w:rPr>
          <w:rFonts w:asciiTheme="minorHAnsi" w:eastAsiaTheme="minorEastAsia" w:hAnsiTheme="minorHAnsi"/>
          <w:noProof/>
          <w:sz w:val="24"/>
          <w:szCs w:val="24"/>
          <w:lang w:eastAsia="cs-CZ"/>
        </w:rPr>
      </w:pPr>
      <w:r w:rsidRPr="004360DB">
        <w:rPr>
          <w:noProof/>
          <w:shd w:val="clear" w:color="auto" w:fill="FFFFFF"/>
          <w:lang w:val="en-US"/>
        </w:rPr>
        <w:t xml:space="preserve">Graf 3-2: </w:t>
      </w:r>
      <w:r w:rsidRPr="004360DB">
        <w:rPr>
          <w:noProof/>
          <w:shd w:val="clear" w:color="auto" w:fill="FFFFFF"/>
        </w:rPr>
        <w:t xml:space="preserve">Míra inflace v Ázerbájdžánu, listopad 2019 </w:t>
      </w:r>
      <w:r w:rsidR="006128E2">
        <w:rPr>
          <w:noProof/>
          <w:shd w:val="clear" w:color="auto" w:fill="FFFFFF"/>
        </w:rPr>
        <w:t>–</w:t>
      </w:r>
      <w:r w:rsidRPr="004360DB">
        <w:rPr>
          <w:noProof/>
          <w:shd w:val="clear" w:color="auto" w:fill="FFFFFF"/>
        </w:rPr>
        <w:t xml:space="preserve"> říjen 2020 (měsíčně)</w:t>
      </w:r>
      <w:r>
        <w:rPr>
          <w:noProof/>
        </w:rPr>
        <w:tab/>
      </w:r>
      <w:r>
        <w:rPr>
          <w:noProof/>
        </w:rPr>
        <w:fldChar w:fldCharType="begin"/>
      </w:r>
      <w:r>
        <w:rPr>
          <w:noProof/>
        </w:rPr>
        <w:instrText xml:space="preserve"> PAGEREF _Toc61262180 \h </w:instrText>
      </w:r>
      <w:r>
        <w:rPr>
          <w:noProof/>
        </w:rPr>
      </w:r>
      <w:r>
        <w:rPr>
          <w:noProof/>
        </w:rPr>
        <w:fldChar w:fldCharType="separate"/>
      </w:r>
      <w:r w:rsidR="00F650E6">
        <w:rPr>
          <w:noProof/>
        </w:rPr>
        <w:t>63</w:t>
      </w:r>
      <w:r>
        <w:rPr>
          <w:noProof/>
        </w:rPr>
        <w:fldChar w:fldCharType="end"/>
      </w:r>
    </w:p>
    <w:p w14:paraId="0511025E" w14:textId="77777777" w:rsidR="006128E2" w:rsidRDefault="006128E2" w:rsidP="006128E2">
      <w:pPr>
        <w:pStyle w:val="Obsah2"/>
        <w:rPr>
          <w:shd w:val="clear" w:color="auto" w:fill="FFFFFF"/>
        </w:rPr>
      </w:pPr>
    </w:p>
    <w:p w14:paraId="615585E0" w14:textId="6B490DCA" w:rsidR="00311D9D" w:rsidRDefault="00311D9D" w:rsidP="006128E2">
      <w:pPr>
        <w:pStyle w:val="Obsah2"/>
        <w:rPr>
          <w:rFonts w:asciiTheme="minorHAnsi" w:eastAsiaTheme="minorEastAsia" w:hAnsiTheme="minorHAnsi"/>
          <w:color w:val="auto"/>
          <w:sz w:val="24"/>
          <w:szCs w:val="24"/>
          <w:lang w:eastAsia="cs-CZ"/>
        </w:rPr>
      </w:pPr>
      <w:r w:rsidRPr="004360DB">
        <w:rPr>
          <w:shd w:val="clear" w:color="auto" w:fill="FFFFFF"/>
        </w:rPr>
        <w:t>Příloha 4 – Vývoj vybraných makroekonomických ukazatelů – ČR</w:t>
      </w:r>
      <w:r>
        <w:tab/>
      </w:r>
      <w:r>
        <w:fldChar w:fldCharType="begin"/>
      </w:r>
      <w:r>
        <w:instrText xml:space="preserve"> PAGEREF _Toc61262182 \h </w:instrText>
      </w:r>
      <w:r>
        <w:fldChar w:fldCharType="separate"/>
      </w:r>
      <w:r w:rsidR="00F650E6">
        <w:t>64</w:t>
      </w:r>
      <w:r>
        <w:fldChar w:fldCharType="end"/>
      </w:r>
    </w:p>
    <w:p w14:paraId="28FDD8EA" w14:textId="4375392B" w:rsidR="00311D9D" w:rsidRDefault="00311D9D" w:rsidP="006128E2">
      <w:pPr>
        <w:pStyle w:val="Obsah3"/>
        <w:ind w:left="284" w:hanging="78"/>
        <w:rPr>
          <w:rFonts w:asciiTheme="minorHAnsi" w:eastAsiaTheme="minorEastAsia" w:hAnsiTheme="minorHAnsi"/>
          <w:noProof/>
          <w:sz w:val="24"/>
          <w:szCs w:val="24"/>
          <w:lang w:eastAsia="cs-CZ"/>
        </w:rPr>
      </w:pPr>
      <w:r>
        <w:rPr>
          <w:noProof/>
        </w:rPr>
        <w:t xml:space="preserve">Graf 4-1: </w:t>
      </w:r>
      <w:r w:rsidRPr="004360DB">
        <w:rPr>
          <w:noProof/>
          <w:shd w:val="clear" w:color="auto" w:fill="FFFFFF"/>
        </w:rPr>
        <w:t>Míra růstu HDP v České republice, 2018–2020</w:t>
      </w:r>
      <w:r>
        <w:rPr>
          <w:noProof/>
        </w:rPr>
        <w:tab/>
      </w:r>
      <w:r>
        <w:rPr>
          <w:noProof/>
        </w:rPr>
        <w:fldChar w:fldCharType="begin"/>
      </w:r>
      <w:r>
        <w:rPr>
          <w:noProof/>
        </w:rPr>
        <w:instrText xml:space="preserve"> PAGEREF _Toc61262183 \h </w:instrText>
      </w:r>
      <w:r>
        <w:rPr>
          <w:noProof/>
        </w:rPr>
      </w:r>
      <w:r>
        <w:rPr>
          <w:noProof/>
        </w:rPr>
        <w:fldChar w:fldCharType="separate"/>
      </w:r>
      <w:r w:rsidR="00F650E6">
        <w:rPr>
          <w:noProof/>
        </w:rPr>
        <w:t>64</w:t>
      </w:r>
      <w:r>
        <w:rPr>
          <w:noProof/>
        </w:rPr>
        <w:fldChar w:fldCharType="end"/>
      </w:r>
    </w:p>
    <w:p w14:paraId="2D774A1F" w14:textId="57A67D6F" w:rsidR="00311D9D" w:rsidRDefault="00311D9D" w:rsidP="006128E2">
      <w:pPr>
        <w:pStyle w:val="Obsah3"/>
        <w:ind w:left="284" w:hanging="78"/>
        <w:rPr>
          <w:rFonts w:asciiTheme="minorHAnsi" w:eastAsiaTheme="minorEastAsia" w:hAnsiTheme="minorHAnsi"/>
          <w:noProof/>
          <w:sz w:val="24"/>
          <w:szCs w:val="24"/>
          <w:lang w:eastAsia="cs-CZ"/>
        </w:rPr>
      </w:pPr>
      <w:r w:rsidRPr="004360DB">
        <w:rPr>
          <w:noProof/>
          <w:shd w:val="clear" w:color="auto" w:fill="FFFFFF"/>
          <w:lang w:val="en-US"/>
        </w:rPr>
        <w:t>Graf 4-2</w:t>
      </w:r>
      <w:r w:rsidRPr="004360DB">
        <w:rPr>
          <w:noProof/>
          <w:shd w:val="clear" w:color="auto" w:fill="FFFFFF"/>
        </w:rPr>
        <w:t>: Míra inflace v České republice, 2020 (měsíčně)</w:t>
      </w:r>
      <w:r>
        <w:rPr>
          <w:noProof/>
        </w:rPr>
        <w:tab/>
      </w:r>
      <w:r>
        <w:rPr>
          <w:noProof/>
        </w:rPr>
        <w:fldChar w:fldCharType="begin"/>
      </w:r>
      <w:r>
        <w:rPr>
          <w:noProof/>
        </w:rPr>
        <w:instrText xml:space="preserve"> PAGEREF _Toc61262184 \h </w:instrText>
      </w:r>
      <w:r>
        <w:rPr>
          <w:noProof/>
        </w:rPr>
      </w:r>
      <w:r>
        <w:rPr>
          <w:noProof/>
        </w:rPr>
        <w:fldChar w:fldCharType="separate"/>
      </w:r>
      <w:r w:rsidR="00F650E6">
        <w:rPr>
          <w:noProof/>
        </w:rPr>
        <w:t>64</w:t>
      </w:r>
      <w:r>
        <w:rPr>
          <w:noProof/>
        </w:rPr>
        <w:fldChar w:fldCharType="end"/>
      </w:r>
    </w:p>
    <w:p w14:paraId="54635B2E" w14:textId="568E09C6" w:rsidR="00311D9D" w:rsidRDefault="00311D9D" w:rsidP="006128E2">
      <w:pPr>
        <w:pStyle w:val="Obsah3"/>
        <w:ind w:left="284" w:hanging="78"/>
        <w:rPr>
          <w:rFonts w:asciiTheme="minorHAnsi" w:eastAsiaTheme="minorEastAsia" w:hAnsiTheme="minorHAnsi"/>
          <w:noProof/>
          <w:sz w:val="24"/>
          <w:szCs w:val="24"/>
          <w:lang w:eastAsia="cs-CZ"/>
        </w:rPr>
      </w:pPr>
      <w:r w:rsidRPr="004360DB">
        <w:rPr>
          <w:noProof/>
          <w:shd w:val="clear" w:color="auto" w:fill="FFFFFF"/>
        </w:rPr>
        <w:t>Graf 4-3: Počet domácích měnových jednotek za USD pro Českou republiku, 2020 (měsíčně)</w:t>
      </w:r>
      <w:r>
        <w:rPr>
          <w:noProof/>
        </w:rPr>
        <w:tab/>
      </w:r>
      <w:r>
        <w:rPr>
          <w:noProof/>
        </w:rPr>
        <w:fldChar w:fldCharType="begin"/>
      </w:r>
      <w:r>
        <w:rPr>
          <w:noProof/>
        </w:rPr>
        <w:instrText xml:space="preserve"> PAGEREF _Toc61262185 \h </w:instrText>
      </w:r>
      <w:r>
        <w:rPr>
          <w:noProof/>
        </w:rPr>
      </w:r>
      <w:r>
        <w:rPr>
          <w:noProof/>
        </w:rPr>
        <w:fldChar w:fldCharType="separate"/>
      </w:r>
      <w:r w:rsidR="00F650E6">
        <w:rPr>
          <w:noProof/>
        </w:rPr>
        <w:t>65</w:t>
      </w:r>
      <w:r>
        <w:rPr>
          <w:noProof/>
        </w:rPr>
        <w:fldChar w:fldCharType="end"/>
      </w:r>
    </w:p>
    <w:p w14:paraId="0569F2A4" w14:textId="77777777" w:rsidR="006128E2" w:rsidRDefault="006128E2" w:rsidP="006128E2">
      <w:pPr>
        <w:pStyle w:val="Obsah2"/>
        <w:rPr>
          <w:shd w:val="clear" w:color="auto" w:fill="FFFFFF"/>
        </w:rPr>
      </w:pPr>
    </w:p>
    <w:p w14:paraId="02ADDE57" w14:textId="53A14C6F" w:rsidR="00311D9D" w:rsidRDefault="00311D9D" w:rsidP="006128E2">
      <w:pPr>
        <w:pStyle w:val="Obsah2"/>
        <w:rPr>
          <w:rFonts w:asciiTheme="minorHAnsi" w:eastAsiaTheme="minorEastAsia" w:hAnsiTheme="minorHAnsi"/>
          <w:color w:val="auto"/>
          <w:sz w:val="24"/>
          <w:szCs w:val="24"/>
          <w:lang w:eastAsia="cs-CZ"/>
        </w:rPr>
      </w:pPr>
      <w:r w:rsidRPr="004360DB">
        <w:rPr>
          <w:shd w:val="clear" w:color="auto" w:fill="FFFFFF"/>
        </w:rPr>
        <w:t>Příloha 5 – VAR model</w:t>
      </w:r>
      <w:r>
        <w:tab/>
      </w:r>
      <w:r>
        <w:fldChar w:fldCharType="begin"/>
      </w:r>
      <w:r>
        <w:instrText xml:space="preserve"> PAGEREF _Toc61262186 \h </w:instrText>
      </w:r>
      <w:r>
        <w:fldChar w:fldCharType="separate"/>
      </w:r>
      <w:r w:rsidR="00F650E6">
        <w:t>66</w:t>
      </w:r>
      <w:r>
        <w:fldChar w:fldCharType="end"/>
      </w:r>
    </w:p>
    <w:p w14:paraId="63374EEC" w14:textId="49FA1D85" w:rsidR="00311D9D" w:rsidRDefault="00311D9D" w:rsidP="006128E2">
      <w:pPr>
        <w:pStyle w:val="Obsah3"/>
        <w:ind w:left="284" w:hanging="78"/>
        <w:rPr>
          <w:rFonts w:asciiTheme="minorHAnsi" w:eastAsiaTheme="minorEastAsia" w:hAnsiTheme="minorHAnsi"/>
          <w:noProof/>
          <w:sz w:val="24"/>
          <w:szCs w:val="24"/>
          <w:lang w:eastAsia="cs-CZ"/>
        </w:rPr>
      </w:pPr>
      <w:r w:rsidRPr="004360DB">
        <w:rPr>
          <w:noProof/>
          <w:shd w:val="clear" w:color="auto" w:fill="FFFFFF"/>
        </w:rPr>
        <w:t>Graf 5-1: Funkce impulsní odezvy na jednotkový šok v ceně ropy v HDP</w:t>
      </w:r>
      <w:r>
        <w:rPr>
          <w:noProof/>
        </w:rPr>
        <w:tab/>
      </w:r>
      <w:r>
        <w:rPr>
          <w:noProof/>
        </w:rPr>
        <w:fldChar w:fldCharType="begin"/>
      </w:r>
      <w:r>
        <w:rPr>
          <w:noProof/>
        </w:rPr>
        <w:instrText xml:space="preserve"> PAGEREF _Toc61262187 \h </w:instrText>
      </w:r>
      <w:r>
        <w:rPr>
          <w:noProof/>
        </w:rPr>
      </w:r>
      <w:r>
        <w:rPr>
          <w:noProof/>
        </w:rPr>
        <w:fldChar w:fldCharType="separate"/>
      </w:r>
      <w:r w:rsidR="00F650E6">
        <w:rPr>
          <w:noProof/>
        </w:rPr>
        <w:t>66</w:t>
      </w:r>
      <w:r>
        <w:rPr>
          <w:noProof/>
        </w:rPr>
        <w:fldChar w:fldCharType="end"/>
      </w:r>
    </w:p>
    <w:p w14:paraId="1625ABC8" w14:textId="369A18FE" w:rsidR="00311D9D" w:rsidRDefault="00311D9D" w:rsidP="006128E2">
      <w:pPr>
        <w:pStyle w:val="Obsah3"/>
        <w:ind w:left="284" w:hanging="78"/>
        <w:rPr>
          <w:rFonts w:asciiTheme="minorHAnsi" w:eastAsiaTheme="minorEastAsia" w:hAnsiTheme="minorHAnsi"/>
          <w:noProof/>
          <w:sz w:val="24"/>
          <w:szCs w:val="24"/>
          <w:lang w:eastAsia="cs-CZ"/>
        </w:rPr>
      </w:pPr>
      <w:r w:rsidRPr="004360DB">
        <w:rPr>
          <w:noProof/>
          <w:shd w:val="clear" w:color="auto" w:fill="FFFFFF"/>
        </w:rPr>
        <w:t>Graf 5-2: Funkce impulsní odezvy na jednotkový šok v ceně ropy</w:t>
      </w:r>
      <w:r w:rsidR="006128E2">
        <w:rPr>
          <w:noProof/>
        </w:rPr>
        <w:t xml:space="preserve"> </w:t>
      </w:r>
      <w:r w:rsidRPr="004360DB">
        <w:rPr>
          <w:noProof/>
          <w:shd w:val="clear" w:color="auto" w:fill="FFFFFF"/>
        </w:rPr>
        <w:t>v indexu spotřebitelských cen</w:t>
      </w:r>
      <w:r>
        <w:rPr>
          <w:noProof/>
        </w:rPr>
        <w:tab/>
      </w:r>
      <w:r>
        <w:rPr>
          <w:noProof/>
        </w:rPr>
        <w:fldChar w:fldCharType="begin"/>
      </w:r>
      <w:r>
        <w:rPr>
          <w:noProof/>
        </w:rPr>
        <w:instrText xml:space="preserve"> PAGEREF _Toc61262189 \h </w:instrText>
      </w:r>
      <w:r>
        <w:rPr>
          <w:noProof/>
        </w:rPr>
      </w:r>
      <w:r>
        <w:rPr>
          <w:noProof/>
        </w:rPr>
        <w:fldChar w:fldCharType="separate"/>
      </w:r>
      <w:r w:rsidR="00F650E6">
        <w:rPr>
          <w:noProof/>
        </w:rPr>
        <w:t>66</w:t>
      </w:r>
      <w:r>
        <w:rPr>
          <w:noProof/>
        </w:rPr>
        <w:fldChar w:fldCharType="end"/>
      </w:r>
    </w:p>
    <w:p w14:paraId="13B69429" w14:textId="3E3BC4C3" w:rsidR="00C44560" w:rsidRPr="00C44560" w:rsidRDefault="00311D9D" w:rsidP="006128E2">
      <w:pPr>
        <w:ind w:left="284" w:hanging="78"/>
        <w:rPr>
          <w:lang w:val="en-US"/>
        </w:rPr>
      </w:pPr>
      <w:r>
        <w:rPr>
          <w:rStyle w:val="Hypertextovodkaz"/>
          <w:b/>
          <w:bCs/>
          <w:noProof/>
        </w:rPr>
        <w:fldChar w:fldCharType="end"/>
      </w:r>
      <w:r>
        <w:rPr>
          <w:noProof/>
          <w:color w:val="000000" w:themeColor="text1"/>
        </w:rPr>
        <w:fldChar w:fldCharType="end"/>
      </w:r>
    </w:p>
    <w:p w14:paraId="2FEBBA97" w14:textId="016205CE" w:rsidR="00C44560" w:rsidRDefault="00C44560"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p>
    <w:p w14:paraId="2885663C" w14:textId="77777777" w:rsidR="00C44560" w:rsidRPr="001E0E83" w:rsidRDefault="00C44560" w:rsidP="001E0E83">
      <w:pPr>
        <w:autoSpaceDE w:val="0"/>
        <w:autoSpaceDN w:val="0"/>
        <w:adjustRightInd w:val="0"/>
        <w:spacing w:after="100" w:afterAutospacing="1" w:line="240" w:lineRule="auto"/>
        <w:ind w:left="284" w:right="-46" w:hanging="284"/>
        <w:rPr>
          <w:rFonts w:ascii="Cambria" w:hAnsi="Cambria"/>
          <w:color w:val="000000" w:themeColor="text1"/>
          <w:shd w:val="clear" w:color="auto" w:fill="FFFFFF"/>
          <w:lang w:val="en-US"/>
        </w:rPr>
      </w:pPr>
    </w:p>
    <w:p w14:paraId="0EFB39DD" w14:textId="77777777" w:rsidR="00B67184" w:rsidRDefault="00B67184">
      <w:pPr>
        <w:rPr>
          <w:rFonts w:eastAsiaTheme="majorEastAsia" w:cstheme="majorBidi"/>
          <w:b/>
          <w:bCs/>
          <w:color w:val="000000" w:themeColor="text1"/>
          <w:sz w:val="24"/>
          <w:szCs w:val="26"/>
        </w:rPr>
      </w:pPr>
      <w:r>
        <w:br w:type="page"/>
      </w:r>
    </w:p>
    <w:p w14:paraId="3F060FD1" w14:textId="2BB662DB" w:rsidR="000F3F02" w:rsidRDefault="000F3F02" w:rsidP="00FA1EAF">
      <w:pPr>
        <w:pStyle w:val="Nadpis2"/>
      </w:pPr>
      <w:bookmarkStart w:id="76" w:name="_Toc61259196"/>
      <w:bookmarkStart w:id="77" w:name="_Toc61261174"/>
      <w:bookmarkStart w:id="78" w:name="_Toc61262046"/>
      <w:bookmarkStart w:id="79" w:name="_Toc61262170"/>
      <w:r>
        <w:lastRenderedPageBreak/>
        <w:t xml:space="preserve">Příloha </w:t>
      </w:r>
      <w:r w:rsidR="00FA1EAF">
        <w:t>1</w:t>
      </w:r>
      <w:r>
        <w:t xml:space="preserve"> – vývoj vybraných makroekonomických veličin – Saúdská Arábie</w:t>
      </w:r>
      <w:bookmarkEnd w:id="76"/>
      <w:bookmarkEnd w:id="77"/>
      <w:bookmarkEnd w:id="78"/>
      <w:bookmarkEnd w:id="79"/>
    </w:p>
    <w:p w14:paraId="2FA8C8A7" w14:textId="21AAA667" w:rsidR="000F3F02" w:rsidRDefault="000F3F02" w:rsidP="000F3F02">
      <w:pPr>
        <w:autoSpaceDE w:val="0"/>
        <w:autoSpaceDN w:val="0"/>
        <w:adjustRightInd w:val="0"/>
        <w:spacing w:after="0" w:line="240" w:lineRule="auto"/>
        <w:jc w:val="both"/>
        <w:rPr>
          <w:sz w:val="24"/>
          <w:szCs w:val="24"/>
        </w:rPr>
      </w:pPr>
    </w:p>
    <w:p w14:paraId="2ABE7C49" w14:textId="77777777" w:rsidR="00FA1EAF" w:rsidRDefault="00FA1EAF" w:rsidP="000F3F02">
      <w:pPr>
        <w:autoSpaceDE w:val="0"/>
        <w:autoSpaceDN w:val="0"/>
        <w:adjustRightInd w:val="0"/>
        <w:spacing w:after="0" w:line="240" w:lineRule="auto"/>
        <w:jc w:val="both"/>
        <w:rPr>
          <w:sz w:val="24"/>
          <w:szCs w:val="24"/>
        </w:rPr>
      </w:pPr>
    </w:p>
    <w:p w14:paraId="0CDCA418" w14:textId="21C83B13" w:rsidR="000F3F02" w:rsidRDefault="000F3F02" w:rsidP="00FA1EAF">
      <w:pPr>
        <w:autoSpaceDE w:val="0"/>
        <w:autoSpaceDN w:val="0"/>
        <w:adjustRightInd w:val="0"/>
        <w:spacing w:after="0" w:line="240" w:lineRule="auto"/>
        <w:jc w:val="center"/>
        <w:rPr>
          <w:color w:val="000000" w:themeColor="text1"/>
          <w:sz w:val="24"/>
          <w:szCs w:val="24"/>
          <w:shd w:val="clear" w:color="auto" w:fill="FFFFFF"/>
        </w:rPr>
      </w:pPr>
      <w:bookmarkStart w:id="80" w:name="_Toc61262047"/>
      <w:bookmarkStart w:id="81" w:name="_Toc61262171"/>
      <w:r w:rsidRPr="00103A2E">
        <w:rPr>
          <w:rStyle w:val="Nadpis3Char"/>
        </w:rPr>
        <w:t xml:space="preserve">Graf </w:t>
      </w:r>
      <w:r w:rsidR="00FA1EAF" w:rsidRPr="00103A2E">
        <w:rPr>
          <w:rStyle w:val="Nadpis3Char"/>
        </w:rPr>
        <w:t>1-1</w:t>
      </w:r>
      <w:r w:rsidRPr="00103A2E">
        <w:rPr>
          <w:rStyle w:val="Nadpis3Char"/>
        </w:rPr>
        <w:t>: Míry růstu reálného HDP a sezónně očištěné HDP v Saúdské Arábii, 2018-2020</w:t>
      </w:r>
      <w:bookmarkEnd w:id="80"/>
      <w:bookmarkEnd w:id="81"/>
      <w:r w:rsidRPr="00FA1EAF">
        <w:rPr>
          <w:rStyle w:val="Nadpis3Char"/>
        </w:rPr>
        <w:t xml:space="preserve"> </w:t>
      </w:r>
      <w:r>
        <w:rPr>
          <w:noProof/>
          <w:lang w:eastAsia="cs-CZ"/>
        </w:rPr>
        <w:drawing>
          <wp:inline distT="0" distB="0" distL="0" distR="0" wp14:anchorId="35455396" wp14:editId="3FA47F4E">
            <wp:extent cx="5676900" cy="2522220"/>
            <wp:effectExtent l="0" t="0" r="0" b="11430"/>
            <wp:docPr id="18" name="Graf 18">
              <a:extLst xmlns:a="http://schemas.openxmlformats.org/drawingml/2006/main">
                <a:ext uri="{FF2B5EF4-FFF2-40B4-BE49-F238E27FC236}">
                  <a16:creationId xmlns:a16="http://schemas.microsoft.com/office/drawing/2014/main" id="{3FFB7AF4-C993-4742-95FD-EFDE9FCFFC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78FDE06" w14:textId="6AFAF21D" w:rsidR="000F3F02" w:rsidRPr="00FA1EAF" w:rsidRDefault="000F3F02" w:rsidP="00F650E6">
      <w:pPr>
        <w:autoSpaceDE w:val="0"/>
        <w:autoSpaceDN w:val="0"/>
        <w:adjustRightInd w:val="0"/>
        <w:spacing w:before="120" w:after="100" w:afterAutospacing="1" w:line="240" w:lineRule="auto"/>
        <w:jc w:val="center"/>
        <w:rPr>
          <w:color w:val="000000" w:themeColor="text1"/>
          <w:sz w:val="20"/>
          <w:szCs w:val="20"/>
          <w:shd w:val="clear" w:color="auto" w:fill="FFFFFF"/>
        </w:rPr>
      </w:pPr>
      <w:r w:rsidRPr="00FA1EAF">
        <w:rPr>
          <w:color w:val="000000" w:themeColor="text1"/>
          <w:sz w:val="20"/>
          <w:szCs w:val="20"/>
          <w:shd w:val="clear" w:color="auto" w:fill="FFFFFF"/>
        </w:rPr>
        <w:t>Zdroj:</w:t>
      </w:r>
      <w:r w:rsidRPr="00FA1EAF">
        <w:rPr>
          <w:color w:val="000000" w:themeColor="text1"/>
          <w:sz w:val="20"/>
          <w:szCs w:val="20"/>
          <w:shd w:val="clear" w:color="auto" w:fill="FFFFFF"/>
          <w:lang w:val="en-US"/>
        </w:rPr>
        <w:t xml:space="preserve"> </w:t>
      </w:r>
      <w:r w:rsidRPr="00FA1EAF">
        <w:rPr>
          <w:color w:val="000000" w:themeColor="text1"/>
          <w:sz w:val="20"/>
          <w:szCs w:val="20"/>
          <w:shd w:val="clear" w:color="auto" w:fill="FFFFFF"/>
        </w:rPr>
        <w:t>General </w:t>
      </w:r>
      <w:proofErr w:type="spellStart"/>
      <w:r w:rsidRPr="00FA1EAF">
        <w:rPr>
          <w:color w:val="000000" w:themeColor="text1"/>
          <w:sz w:val="20"/>
          <w:szCs w:val="20"/>
          <w:shd w:val="clear" w:color="auto" w:fill="FFFFFF"/>
        </w:rPr>
        <w:t>Authority</w:t>
      </w:r>
      <w:proofErr w:type="spellEnd"/>
      <w:r w:rsidRPr="00FA1EAF">
        <w:rPr>
          <w:color w:val="000000" w:themeColor="text1"/>
          <w:sz w:val="20"/>
          <w:szCs w:val="20"/>
          <w:shd w:val="clear" w:color="auto" w:fill="FFFFFF"/>
        </w:rPr>
        <w:t> </w:t>
      </w:r>
      <w:proofErr w:type="spellStart"/>
      <w:r w:rsidRPr="00FA1EAF">
        <w:rPr>
          <w:color w:val="000000" w:themeColor="text1"/>
          <w:sz w:val="20"/>
          <w:szCs w:val="20"/>
          <w:shd w:val="clear" w:color="auto" w:fill="FFFFFF"/>
        </w:rPr>
        <w:t>for</w:t>
      </w:r>
      <w:proofErr w:type="spellEnd"/>
      <w:r w:rsidRPr="00FA1EAF">
        <w:rPr>
          <w:color w:val="000000" w:themeColor="text1"/>
          <w:sz w:val="20"/>
          <w:szCs w:val="20"/>
          <w:shd w:val="clear" w:color="auto" w:fill="FFFFFF"/>
        </w:rPr>
        <w:t> </w:t>
      </w:r>
      <w:proofErr w:type="spellStart"/>
      <w:r w:rsidRPr="00FA1EAF">
        <w:rPr>
          <w:color w:val="000000" w:themeColor="text1"/>
          <w:sz w:val="20"/>
          <w:szCs w:val="20"/>
          <w:shd w:val="clear" w:color="auto" w:fill="FFFFFF"/>
        </w:rPr>
        <w:t>Statistics</w:t>
      </w:r>
      <w:proofErr w:type="spellEnd"/>
      <w:r w:rsidR="00FA1EAF">
        <w:rPr>
          <w:color w:val="000000" w:themeColor="text1"/>
          <w:sz w:val="20"/>
          <w:szCs w:val="20"/>
          <w:shd w:val="clear" w:color="auto" w:fill="FFFFFF"/>
        </w:rPr>
        <w:t xml:space="preserve"> 2020.</w:t>
      </w:r>
    </w:p>
    <w:p w14:paraId="50DC40C1" w14:textId="4FE90D78" w:rsidR="000F3F02" w:rsidRDefault="000F3F02" w:rsidP="00F650E6">
      <w:pPr>
        <w:spacing w:before="120" w:after="100" w:afterAutospacing="1" w:line="240" w:lineRule="auto"/>
        <w:rPr>
          <w:rFonts w:asciiTheme="minorHAnsi" w:hAnsiTheme="minorHAnsi" w:cstheme="minorHAnsi"/>
          <w:color w:val="000000" w:themeColor="text1"/>
          <w:shd w:val="clear" w:color="auto" w:fill="FFFFFF"/>
        </w:rPr>
      </w:pPr>
    </w:p>
    <w:p w14:paraId="3AB68A50" w14:textId="77777777" w:rsidR="00103A2E" w:rsidRDefault="00103A2E">
      <w:pPr>
        <w:rPr>
          <w:rFonts w:asciiTheme="minorHAnsi" w:hAnsiTheme="minorHAnsi" w:cstheme="minorHAnsi"/>
          <w:color w:val="000000" w:themeColor="text1"/>
          <w:shd w:val="clear" w:color="auto" w:fill="FFFFFF"/>
        </w:rPr>
      </w:pPr>
    </w:p>
    <w:p w14:paraId="2CAD12EB" w14:textId="18B37724" w:rsidR="000F3F02" w:rsidRPr="00CF5874" w:rsidRDefault="000F3F02" w:rsidP="00FA1EAF">
      <w:pPr>
        <w:autoSpaceDE w:val="0"/>
        <w:autoSpaceDN w:val="0"/>
        <w:adjustRightInd w:val="0"/>
        <w:spacing w:after="0" w:line="240" w:lineRule="auto"/>
        <w:jc w:val="center"/>
        <w:rPr>
          <w:color w:val="000000" w:themeColor="text1"/>
          <w:sz w:val="24"/>
          <w:szCs w:val="24"/>
          <w:shd w:val="clear" w:color="auto" w:fill="FFFFFF"/>
        </w:rPr>
      </w:pPr>
      <w:bookmarkStart w:id="82" w:name="_Toc61262048"/>
      <w:bookmarkStart w:id="83" w:name="_Toc61262172"/>
      <w:r w:rsidRPr="00FA1EAF">
        <w:rPr>
          <w:rStyle w:val="Nadpis3Char"/>
        </w:rPr>
        <w:t xml:space="preserve">Graf </w:t>
      </w:r>
      <w:r w:rsidR="00FA1EAF" w:rsidRPr="00FA1EAF">
        <w:rPr>
          <w:rStyle w:val="Nadpis3Char"/>
        </w:rPr>
        <w:t>1-2</w:t>
      </w:r>
      <w:r w:rsidRPr="00FA1EAF">
        <w:rPr>
          <w:rStyle w:val="Nadpis3Char"/>
        </w:rPr>
        <w:t xml:space="preserve">: Index spotřebitelských cen. Meziroční srovnání míry změny v jednotlivých měsících v Saúdské Arábii, říjen </w:t>
      </w:r>
      <w:proofErr w:type="gramStart"/>
      <w:r w:rsidRPr="00FA1EAF">
        <w:rPr>
          <w:rStyle w:val="Nadpis3Char"/>
        </w:rPr>
        <w:t>2019 – říjen</w:t>
      </w:r>
      <w:proofErr w:type="gramEnd"/>
      <w:r w:rsidRPr="00FA1EAF">
        <w:rPr>
          <w:rStyle w:val="Nadpis3Char"/>
        </w:rPr>
        <w:t xml:space="preserve"> 2020 (2018 = 100)</w:t>
      </w:r>
      <w:bookmarkEnd w:id="82"/>
      <w:bookmarkEnd w:id="83"/>
      <w:r w:rsidRPr="00FA1EAF">
        <w:rPr>
          <w:rStyle w:val="Nadpis3Char"/>
        </w:rPr>
        <w:t xml:space="preserve"> </w:t>
      </w:r>
      <w:r>
        <w:rPr>
          <w:noProof/>
          <w:lang w:eastAsia="cs-CZ"/>
        </w:rPr>
        <w:drawing>
          <wp:inline distT="0" distB="0" distL="0" distR="0" wp14:anchorId="61B4EC89" wp14:editId="74E32C71">
            <wp:extent cx="5753100" cy="2750820"/>
            <wp:effectExtent l="0" t="0" r="0" b="11430"/>
            <wp:docPr id="20" name="Graf 20">
              <a:extLst xmlns:a="http://schemas.openxmlformats.org/drawingml/2006/main">
                <a:ext uri="{FF2B5EF4-FFF2-40B4-BE49-F238E27FC236}">
                  <a16:creationId xmlns:a16="http://schemas.microsoft.com/office/drawing/2014/main" id="{C83F3238-1410-7843-B802-728AEE93E7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6BB7CF1" w14:textId="06434213" w:rsidR="000F3F02" w:rsidRPr="00FA1EAF" w:rsidRDefault="000F3F02" w:rsidP="00F650E6">
      <w:pPr>
        <w:autoSpaceDE w:val="0"/>
        <w:autoSpaceDN w:val="0"/>
        <w:adjustRightInd w:val="0"/>
        <w:spacing w:before="120" w:after="0" w:line="240" w:lineRule="auto"/>
        <w:jc w:val="center"/>
        <w:rPr>
          <w:color w:val="000000" w:themeColor="text1"/>
          <w:sz w:val="20"/>
          <w:szCs w:val="20"/>
          <w:shd w:val="clear" w:color="auto" w:fill="FFFFFF"/>
        </w:rPr>
      </w:pPr>
      <w:r w:rsidRPr="00FA1EAF">
        <w:rPr>
          <w:color w:val="000000" w:themeColor="text1"/>
          <w:sz w:val="20"/>
          <w:szCs w:val="20"/>
          <w:shd w:val="clear" w:color="auto" w:fill="FFFFFF"/>
        </w:rPr>
        <w:t>Zdroj:</w:t>
      </w:r>
      <w:r w:rsidRPr="00FA1EAF">
        <w:rPr>
          <w:color w:val="000000" w:themeColor="text1"/>
          <w:sz w:val="20"/>
          <w:szCs w:val="20"/>
          <w:shd w:val="clear" w:color="auto" w:fill="FFFFFF"/>
          <w:lang w:val="en-US"/>
        </w:rPr>
        <w:t xml:space="preserve"> </w:t>
      </w:r>
      <w:r w:rsidRPr="00FA1EAF">
        <w:rPr>
          <w:color w:val="000000" w:themeColor="text1"/>
          <w:sz w:val="20"/>
          <w:szCs w:val="20"/>
          <w:shd w:val="clear" w:color="auto" w:fill="FFFFFF"/>
        </w:rPr>
        <w:t>General </w:t>
      </w:r>
      <w:proofErr w:type="spellStart"/>
      <w:r w:rsidRPr="00FA1EAF">
        <w:rPr>
          <w:color w:val="000000" w:themeColor="text1"/>
          <w:sz w:val="20"/>
          <w:szCs w:val="20"/>
          <w:shd w:val="clear" w:color="auto" w:fill="FFFFFF"/>
        </w:rPr>
        <w:t>Authority</w:t>
      </w:r>
      <w:proofErr w:type="spellEnd"/>
      <w:r w:rsidRPr="00FA1EAF">
        <w:rPr>
          <w:color w:val="000000" w:themeColor="text1"/>
          <w:sz w:val="20"/>
          <w:szCs w:val="20"/>
          <w:shd w:val="clear" w:color="auto" w:fill="FFFFFF"/>
        </w:rPr>
        <w:t> </w:t>
      </w:r>
      <w:proofErr w:type="spellStart"/>
      <w:r w:rsidRPr="00FA1EAF">
        <w:rPr>
          <w:color w:val="000000" w:themeColor="text1"/>
          <w:sz w:val="20"/>
          <w:szCs w:val="20"/>
          <w:shd w:val="clear" w:color="auto" w:fill="FFFFFF"/>
        </w:rPr>
        <w:t>for</w:t>
      </w:r>
      <w:proofErr w:type="spellEnd"/>
      <w:r w:rsidRPr="00FA1EAF">
        <w:rPr>
          <w:color w:val="000000" w:themeColor="text1"/>
          <w:sz w:val="20"/>
          <w:szCs w:val="20"/>
          <w:shd w:val="clear" w:color="auto" w:fill="FFFFFF"/>
        </w:rPr>
        <w:t> </w:t>
      </w:r>
      <w:proofErr w:type="spellStart"/>
      <w:r w:rsidRPr="00FA1EAF">
        <w:rPr>
          <w:color w:val="000000" w:themeColor="text1"/>
          <w:sz w:val="20"/>
          <w:szCs w:val="20"/>
          <w:shd w:val="clear" w:color="auto" w:fill="FFFFFF"/>
        </w:rPr>
        <w:t>Statistics</w:t>
      </w:r>
      <w:proofErr w:type="spellEnd"/>
      <w:r w:rsidR="00FA1EAF">
        <w:rPr>
          <w:color w:val="000000" w:themeColor="text1"/>
          <w:sz w:val="20"/>
          <w:szCs w:val="20"/>
          <w:shd w:val="clear" w:color="auto" w:fill="FFFFFF"/>
        </w:rPr>
        <w:t xml:space="preserve"> 2020.</w:t>
      </w:r>
    </w:p>
    <w:p w14:paraId="0DADAF60" w14:textId="1932E733" w:rsidR="000F3F02" w:rsidRDefault="000F3F02">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br w:type="page"/>
      </w:r>
    </w:p>
    <w:p w14:paraId="6FC0672B" w14:textId="58902A07" w:rsidR="008457EE" w:rsidRDefault="008457EE" w:rsidP="00FA1EAF">
      <w:pPr>
        <w:pStyle w:val="Nadpis2"/>
        <w:rPr>
          <w:shd w:val="clear" w:color="auto" w:fill="FFFFFF"/>
        </w:rPr>
      </w:pPr>
      <w:bookmarkStart w:id="84" w:name="_Toc61259197"/>
      <w:bookmarkStart w:id="85" w:name="_Toc61261175"/>
      <w:bookmarkStart w:id="86" w:name="_Toc61262049"/>
      <w:bookmarkStart w:id="87" w:name="_Toc61262173"/>
      <w:r>
        <w:rPr>
          <w:shd w:val="clear" w:color="auto" w:fill="FFFFFF"/>
        </w:rPr>
        <w:lastRenderedPageBreak/>
        <w:t xml:space="preserve">Příloha </w:t>
      </w:r>
      <w:r w:rsidR="00FA1EAF">
        <w:rPr>
          <w:shd w:val="clear" w:color="auto" w:fill="FFFFFF"/>
        </w:rPr>
        <w:t>2</w:t>
      </w:r>
      <w:r>
        <w:rPr>
          <w:shd w:val="clear" w:color="auto" w:fill="FFFFFF"/>
        </w:rPr>
        <w:t xml:space="preserve"> – </w:t>
      </w:r>
      <w:r w:rsidR="00FA1EAF">
        <w:rPr>
          <w:shd w:val="clear" w:color="auto" w:fill="FFFFFF"/>
        </w:rPr>
        <w:t>V</w:t>
      </w:r>
      <w:r>
        <w:rPr>
          <w:shd w:val="clear" w:color="auto" w:fill="FFFFFF"/>
        </w:rPr>
        <w:t>ývoj vybraných makroekonomických ukazatelů – Ruská federace</w:t>
      </w:r>
      <w:bookmarkEnd w:id="84"/>
      <w:bookmarkEnd w:id="85"/>
      <w:bookmarkEnd w:id="86"/>
      <w:bookmarkEnd w:id="87"/>
    </w:p>
    <w:p w14:paraId="2DA9387E" w14:textId="77777777" w:rsidR="00103A2E" w:rsidRPr="00103A2E" w:rsidRDefault="00103A2E" w:rsidP="00103A2E"/>
    <w:p w14:paraId="4342C8AB" w14:textId="77777777" w:rsidR="008457EE" w:rsidRPr="00ED2112" w:rsidRDefault="008457EE" w:rsidP="008457EE">
      <w:pPr>
        <w:spacing w:after="0" w:line="240" w:lineRule="auto"/>
        <w:ind w:firstLine="567"/>
        <w:jc w:val="both"/>
        <w:rPr>
          <w:rFonts w:asciiTheme="minorHAnsi" w:hAnsiTheme="minorHAnsi" w:cstheme="minorHAnsi"/>
          <w:color w:val="000000" w:themeColor="text1"/>
          <w:shd w:val="clear" w:color="auto" w:fill="FFFFFF"/>
        </w:rPr>
      </w:pPr>
    </w:p>
    <w:p w14:paraId="74191F43" w14:textId="0556172D" w:rsidR="008457EE" w:rsidRPr="00ED2112" w:rsidRDefault="008457EE" w:rsidP="0012130D">
      <w:pPr>
        <w:pStyle w:val="Nadpis3"/>
        <w:jc w:val="center"/>
        <w:rPr>
          <w:shd w:val="clear" w:color="auto" w:fill="FFFFFF"/>
        </w:rPr>
      </w:pPr>
      <w:bookmarkStart w:id="88" w:name="_Toc61262050"/>
      <w:bookmarkStart w:id="89" w:name="_Toc61262174"/>
      <w:r w:rsidRPr="00ED2112">
        <w:rPr>
          <w:shd w:val="clear" w:color="auto" w:fill="FFFFFF"/>
        </w:rPr>
        <w:t xml:space="preserve">Graf </w:t>
      </w:r>
      <w:r w:rsidR="00FA1EAF">
        <w:rPr>
          <w:shd w:val="clear" w:color="auto" w:fill="FFFFFF"/>
        </w:rPr>
        <w:t>2-1</w:t>
      </w:r>
      <w:r w:rsidRPr="00ED2112">
        <w:rPr>
          <w:shd w:val="clear" w:color="auto" w:fill="FFFFFF"/>
        </w:rPr>
        <w:t xml:space="preserve">: </w:t>
      </w:r>
      <w:r w:rsidRPr="00914AB1">
        <w:rPr>
          <w:color w:val="auto"/>
          <w:shd w:val="clear" w:color="auto" w:fill="FFFFFF"/>
        </w:rPr>
        <w:t>Tempo</w:t>
      </w:r>
      <w:r w:rsidRPr="00ED2112">
        <w:rPr>
          <w:shd w:val="clear" w:color="auto" w:fill="FFFFFF"/>
        </w:rPr>
        <w:t xml:space="preserve"> růstu HDP v Ruské federaci, 2018-2020 (čtvrtletně)</w:t>
      </w:r>
      <w:bookmarkEnd w:id="88"/>
      <w:bookmarkEnd w:id="89"/>
    </w:p>
    <w:p w14:paraId="462A1C65" w14:textId="77777777" w:rsidR="00103A2E" w:rsidRDefault="008457EE" w:rsidP="00103A2E">
      <w:pPr>
        <w:spacing w:line="240" w:lineRule="auto"/>
        <w:jc w:val="center"/>
        <w:rPr>
          <w:rFonts w:asciiTheme="minorHAnsi" w:hAnsiTheme="minorHAnsi" w:cstheme="minorHAnsi"/>
          <w:color w:val="000000" w:themeColor="text1"/>
          <w:shd w:val="clear" w:color="auto" w:fill="FFFFFF"/>
          <w:lang w:val="en-US"/>
        </w:rPr>
      </w:pPr>
      <w:r w:rsidRPr="00ED2112">
        <w:rPr>
          <w:rFonts w:asciiTheme="minorHAnsi" w:hAnsiTheme="minorHAnsi" w:cstheme="minorHAnsi"/>
          <w:noProof/>
          <w:lang w:eastAsia="cs-CZ"/>
        </w:rPr>
        <w:drawing>
          <wp:inline distT="0" distB="0" distL="0" distR="0" wp14:anchorId="4F2B2265" wp14:editId="7F773592">
            <wp:extent cx="5731510" cy="2426447"/>
            <wp:effectExtent l="0" t="0" r="8890" b="12065"/>
            <wp:docPr id="13" name="Chart 4">
              <a:extLst xmlns:a="http://schemas.openxmlformats.org/drawingml/2006/main">
                <a:ext uri="{FF2B5EF4-FFF2-40B4-BE49-F238E27FC236}">
                  <a16:creationId xmlns:a16="http://schemas.microsoft.com/office/drawing/2014/main" id="{6146B9FD-437C-AA42-BA82-11800FDEC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E45F11C" w14:textId="4665B052" w:rsidR="008457EE" w:rsidRPr="00103A2E" w:rsidRDefault="008457EE" w:rsidP="00103A2E">
      <w:pPr>
        <w:spacing w:line="240" w:lineRule="auto"/>
        <w:jc w:val="center"/>
        <w:rPr>
          <w:rFonts w:asciiTheme="minorHAnsi" w:hAnsiTheme="minorHAnsi" w:cstheme="minorHAnsi"/>
          <w:color w:val="000000" w:themeColor="text1"/>
          <w:shd w:val="clear" w:color="auto" w:fill="FFFFFF"/>
          <w:lang w:val="en-US"/>
        </w:rPr>
      </w:pPr>
      <w:r w:rsidRPr="00103A2E">
        <w:rPr>
          <w:rFonts w:cstheme="minorHAnsi"/>
          <w:sz w:val="20"/>
          <w:szCs w:val="20"/>
        </w:rPr>
        <w:t xml:space="preserve">Zdroj: </w:t>
      </w:r>
      <w:proofErr w:type="spellStart"/>
      <w:r w:rsidRPr="00103A2E">
        <w:rPr>
          <w:rFonts w:cstheme="minorHAnsi"/>
          <w:sz w:val="20"/>
          <w:szCs w:val="20"/>
        </w:rPr>
        <w:t>Federal</w:t>
      </w:r>
      <w:proofErr w:type="spellEnd"/>
      <w:r w:rsidRPr="00103A2E">
        <w:rPr>
          <w:rFonts w:cstheme="minorHAnsi"/>
          <w:sz w:val="20"/>
          <w:szCs w:val="20"/>
        </w:rPr>
        <w:t xml:space="preserve"> </w:t>
      </w:r>
      <w:proofErr w:type="spellStart"/>
      <w:r w:rsidRPr="00103A2E">
        <w:rPr>
          <w:rFonts w:cstheme="minorHAnsi"/>
          <w:sz w:val="20"/>
          <w:szCs w:val="20"/>
        </w:rPr>
        <w:t>State</w:t>
      </w:r>
      <w:proofErr w:type="spellEnd"/>
      <w:r w:rsidRPr="00103A2E">
        <w:rPr>
          <w:rFonts w:cstheme="minorHAnsi"/>
          <w:sz w:val="20"/>
          <w:szCs w:val="20"/>
        </w:rPr>
        <w:t xml:space="preserve"> </w:t>
      </w:r>
      <w:proofErr w:type="spellStart"/>
      <w:r w:rsidRPr="00103A2E">
        <w:rPr>
          <w:rFonts w:cstheme="minorHAnsi"/>
          <w:sz w:val="20"/>
          <w:szCs w:val="20"/>
        </w:rPr>
        <w:t>Statistics</w:t>
      </w:r>
      <w:proofErr w:type="spellEnd"/>
      <w:r w:rsidRPr="00103A2E">
        <w:rPr>
          <w:rFonts w:cstheme="minorHAnsi"/>
          <w:sz w:val="20"/>
          <w:szCs w:val="20"/>
        </w:rPr>
        <w:t xml:space="preserve"> </w:t>
      </w:r>
      <w:proofErr w:type="spellStart"/>
      <w:r w:rsidRPr="00103A2E">
        <w:rPr>
          <w:rFonts w:cstheme="minorHAnsi"/>
          <w:sz w:val="20"/>
          <w:szCs w:val="20"/>
        </w:rPr>
        <w:t>Service</w:t>
      </w:r>
      <w:proofErr w:type="spellEnd"/>
      <w:r w:rsidR="00FA1EAF" w:rsidRPr="00103A2E">
        <w:rPr>
          <w:rFonts w:cstheme="minorHAnsi"/>
          <w:sz w:val="20"/>
          <w:szCs w:val="20"/>
        </w:rPr>
        <w:t xml:space="preserve"> 2020.</w:t>
      </w:r>
    </w:p>
    <w:p w14:paraId="4C3F8DD9" w14:textId="77777777" w:rsidR="008457EE" w:rsidRPr="00ED2112" w:rsidRDefault="008457EE" w:rsidP="0012130D">
      <w:pPr>
        <w:spacing w:after="0" w:line="240" w:lineRule="auto"/>
        <w:ind w:firstLine="567"/>
        <w:jc w:val="center"/>
        <w:rPr>
          <w:rFonts w:asciiTheme="minorHAnsi" w:hAnsiTheme="minorHAnsi" w:cstheme="minorHAnsi"/>
        </w:rPr>
      </w:pPr>
    </w:p>
    <w:p w14:paraId="3D31A409" w14:textId="77777777" w:rsidR="008457EE" w:rsidRPr="00ED2112" w:rsidRDefault="008457EE" w:rsidP="0012130D">
      <w:pPr>
        <w:spacing w:after="0" w:line="240" w:lineRule="auto"/>
        <w:ind w:firstLine="567"/>
        <w:jc w:val="center"/>
        <w:rPr>
          <w:rFonts w:asciiTheme="minorHAnsi" w:hAnsiTheme="minorHAnsi" w:cstheme="minorHAnsi"/>
        </w:rPr>
      </w:pPr>
    </w:p>
    <w:p w14:paraId="346EBDD2" w14:textId="77777777" w:rsidR="008457EE" w:rsidRPr="00ED2112" w:rsidRDefault="008457EE" w:rsidP="0012130D">
      <w:pPr>
        <w:spacing w:after="0" w:line="240" w:lineRule="auto"/>
        <w:ind w:firstLine="567"/>
        <w:jc w:val="center"/>
        <w:rPr>
          <w:rFonts w:asciiTheme="minorHAnsi" w:hAnsiTheme="minorHAnsi" w:cstheme="minorHAnsi"/>
        </w:rPr>
      </w:pPr>
    </w:p>
    <w:p w14:paraId="1774DEE2" w14:textId="77777777" w:rsidR="008457EE" w:rsidRPr="00ED2112" w:rsidRDefault="008457EE" w:rsidP="0012130D">
      <w:pPr>
        <w:spacing w:after="0" w:line="240" w:lineRule="auto"/>
        <w:ind w:firstLine="567"/>
        <w:jc w:val="center"/>
        <w:rPr>
          <w:rFonts w:asciiTheme="minorHAnsi" w:hAnsiTheme="minorHAnsi" w:cstheme="minorHAnsi"/>
        </w:rPr>
      </w:pPr>
    </w:p>
    <w:p w14:paraId="7997436A" w14:textId="50CB8759" w:rsidR="008457EE" w:rsidRPr="00ED2112" w:rsidRDefault="008457EE" w:rsidP="0012130D">
      <w:pPr>
        <w:pStyle w:val="Nadpis3"/>
        <w:jc w:val="center"/>
      </w:pPr>
      <w:bookmarkStart w:id="90" w:name="_Toc61262051"/>
      <w:bookmarkStart w:id="91" w:name="_Toc61262175"/>
      <w:r w:rsidRPr="00ED2112">
        <w:t xml:space="preserve">Graf </w:t>
      </w:r>
      <w:r w:rsidR="00FA1EAF">
        <w:t>2-2</w:t>
      </w:r>
      <w:r w:rsidRPr="00ED2112">
        <w:t xml:space="preserve">: Míra jádrové inflace v Rusku, listopad </w:t>
      </w:r>
      <w:proofErr w:type="gramStart"/>
      <w:r w:rsidRPr="00ED2112">
        <w:t>2019 – listopad</w:t>
      </w:r>
      <w:proofErr w:type="gramEnd"/>
      <w:r w:rsidRPr="00ED2112">
        <w:t xml:space="preserve"> 2020 (měsíčně)</w:t>
      </w:r>
      <w:bookmarkEnd w:id="90"/>
      <w:bookmarkEnd w:id="91"/>
    </w:p>
    <w:p w14:paraId="3B022601" w14:textId="77777777" w:rsidR="008457EE" w:rsidRPr="00ED2112" w:rsidRDefault="008457EE" w:rsidP="0012130D">
      <w:pPr>
        <w:spacing w:after="0" w:line="240" w:lineRule="auto"/>
        <w:jc w:val="center"/>
        <w:rPr>
          <w:rFonts w:asciiTheme="minorHAnsi" w:hAnsiTheme="minorHAnsi" w:cstheme="minorHAnsi"/>
        </w:rPr>
      </w:pPr>
      <w:r w:rsidRPr="00ED2112">
        <w:rPr>
          <w:rFonts w:asciiTheme="minorHAnsi" w:hAnsiTheme="minorHAnsi" w:cstheme="minorHAnsi"/>
          <w:noProof/>
          <w:lang w:eastAsia="cs-CZ"/>
        </w:rPr>
        <w:drawing>
          <wp:inline distT="0" distB="0" distL="0" distR="0" wp14:anchorId="7DF88B0E" wp14:editId="42FB8183">
            <wp:extent cx="5989320" cy="2159000"/>
            <wp:effectExtent l="0" t="0" r="11430" b="12700"/>
            <wp:docPr id="15" name="Graf 15">
              <a:extLst xmlns:a="http://schemas.openxmlformats.org/drawingml/2006/main">
                <a:ext uri="{FF2B5EF4-FFF2-40B4-BE49-F238E27FC236}">
                  <a16:creationId xmlns:a16="http://schemas.microsoft.com/office/drawing/2014/main" id="{FD28DD50-3CF4-6B4D-8FDC-72B4D2C3B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C78CECD" w14:textId="75BB06B2" w:rsidR="008457EE" w:rsidRPr="00103A2E" w:rsidRDefault="008457EE" w:rsidP="00F650E6">
      <w:pPr>
        <w:spacing w:before="120" w:line="240" w:lineRule="auto"/>
        <w:jc w:val="center"/>
        <w:rPr>
          <w:rFonts w:cstheme="minorHAnsi"/>
          <w:sz w:val="20"/>
          <w:szCs w:val="20"/>
        </w:rPr>
      </w:pPr>
      <w:r w:rsidRPr="00103A2E">
        <w:rPr>
          <w:rFonts w:cstheme="minorHAnsi"/>
          <w:sz w:val="20"/>
          <w:szCs w:val="20"/>
        </w:rPr>
        <w:t xml:space="preserve">Zdroj: </w:t>
      </w:r>
      <w:proofErr w:type="spellStart"/>
      <w:r w:rsidRPr="00103A2E">
        <w:rPr>
          <w:rFonts w:cstheme="minorHAnsi"/>
          <w:sz w:val="20"/>
          <w:szCs w:val="20"/>
        </w:rPr>
        <w:t>Federal</w:t>
      </w:r>
      <w:proofErr w:type="spellEnd"/>
      <w:r w:rsidRPr="00103A2E">
        <w:rPr>
          <w:rFonts w:cstheme="minorHAnsi"/>
          <w:sz w:val="20"/>
          <w:szCs w:val="20"/>
        </w:rPr>
        <w:t xml:space="preserve"> </w:t>
      </w:r>
      <w:proofErr w:type="spellStart"/>
      <w:r w:rsidRPr="00103A2E">
        <w:rPr>
          <w:rFonts w:cstheme="minorHAnsi"/>
          <w:sz w:val="20"/>
          <w:szCs w:val="20"/>
        </w:rPr>
        <w:t>State</w:t>
      </w:r>
      <w:proofErr w:type="spellEnd"/>
      <w:r w:rsidRPr="00103A2E">
        <w:rPr>
          <w:rFonts w:cstheme="minorHAnsi"/>
          <w:sz w:val="20"/>
          <w:szCs w:val="20"/>
        </w:rPr>
        <w:t xml:space="preserve"> </w:t>
      </w:r>
      <w:proofErr w:type="spellStart"/>
      <w:r w:rsidRPr="00103A2E">
        <w:rPr>
          <w:rFonts w:cstheme="minorHAnsi"/>
          <w:sz w:val="20"/>
          <w:szCs w:val="20"/>
        </w:rPr>
        <w:t>Statistics</w:t>
      </w:r>
      <w:proofErr w:type="spellEnd"/>
      <w:r w:rsidRPr="00103A2E">
        <w:rPr>
          <w:rFonts w:cstheme="minorHAnsi"/>
          <w:sz w:val="20"/>
          <w:szCs w:val="20"/>
        </w:rPr>
        <w:t xml:space="preserve"> </w:t>
      </w:r>
      <w:proofErr w:type="spellStart"/>
      <w:r w:rsidRPr="00103A2E">
        <w:rPr>
          <w:rFonts w:cstheme="minorHAnsi"/>
          <w:sz w:val="20"/>
          <w:szCs w:val="20"/>
        </w:rPr>
        <w:t>Service</w:t>
      </w:r>
      <w:proofErr w:type="spellEnd"/>
      <w:r w:rsidR="00FA1EAF" w:rsidRPr="00103A2E">
        <w:rPr>
          <w:rFonts w:cstheme="minorHAnsi"/>
          <w:sz w:val="20"/>
          <w:szCs w:val="20"/>
        </w:rPr>
        <w:t xml:space="preserve"> 2020.</w:t>
      </w:r>
    </w:p>
    <w:p w14:paraId="21A27188" w14:textId="77777777" w:rsidR="008457EE" w:rsidRPr="00ED2112" w:rsidRDefault="008457EE" w:rsidP="0012130D">
      <w:pPr>
        <w:spacing w:line="240" w:lineRule="auto"/>
        <w:jc w:val="center"/>
        <w:rPr>
          <w:rFonts w:asciiTheme="minorHAnsi" w:hAnsiTheme="minorHAnsi" w:cstheme="minorHAnsi"/>
        </w:rPr>
      </w:pPr>
    </w:p>
    <w:p w14:paraId="6FEA26D3" w14:textId="0176EC40" w:rsidR="008457EE" w:rsidRPr="00ED2112" w:rsidRDefault="008457EE" w:rsidP="0012130D">
      <w:pPr>
        <w:spacing w:after="0" w:line="240" w:lineRule="auto"/>
        <w:ind w:firstLine="567"/>
        <w:jc w:val="center"/>
        <w:rPr>
          <w:rFonts w:asciiTheme="minorHAnsi" w:hAnsiTheme="minorHAnsi" w:cstheme="minorHAnsi"/>
        </w:rPr>
      </w:pPr>
    </w:p>
    <w:p w14:paraId="59A1A59A" w14:textId="77777777" w:rsidR="00FA1EAF" w:rsidRDefault="00FA1EAF" w:rsidP="0012130D">
      <w:pPr>
        <w:jc w:val="center"/>
        <w:rPr>
          <w:rFonts w:asciiTheme="minorHAnsi" w:hAnsiTheme="minorHAnsi" w:cstheme="minorHAnsi"/>
        </w:rPr>
      </w:pPr>
      <w:r>
        <w:rPr>
          <w:rFonts w:asciiTheme="minorHAnsi" w:hAnsiTheme="minorHAnsi" w:cstheme="minorHAnsi"/>
        </w:rPr>
        <w:br w:type="page"/>
      </w:r>
    </w:p>
    <w:p w14:paraId="07F6F886" w14:textId="3E628B2B" w:rsidR="008457EE" w:rsidRDefault="008457EE" w:rsidP="0012130D">
      <w:pPr>
        <w:pStyle w:val="Nadpis3"/>
        <w:jc w:val="center"/>
      </w:pPr>
      <w:bookmarkStart w:id="92" w:name="_Toc61262052"/>
      <w:bookmarkStart w:id="93" w:name="_Toc61262176"/>
      <w:r w:rsidRPr="00ED2112">
        <w:lastRenderedPageBreak/>
        <w:t xml:space="preserve">Graf </w:t>
      </w:r>
      <w:r w:rsidR="00FA1EAF">
        <w:t>2-3</w:t>
      </w:r>
      <w:r w:rsidRPr="00ED2112">
        <w:t>: Počet domácích měnových jednotek za USD pro Ruskou federaci, 2020 (měsíčně)</w:t>
      </w:r>
      <w:bookmarkEnd w:id="92"/>
      <w:bookmarkEnd w:id="93"/>
    </w:p>
    <w:p w14:paraId="4C8DF924" w14:textId="6581D300" w:rsidR="008457EE" w:rsidRDefault="008457EE" w:rsidP="0012130D">
      <w:pPr>
        <w:spacing w:after="0" w:line="240" w:lineRule="auto"/>
        <w:jc w:val="center"/>
        <w:rPr>
          <w:rFonts w:asciiTheme="minorHAnsi" w:hAnsiTheme="minorHAnsi" w:cstheme="minorHAnsi"/>
        </w:rPr>
      </w:pPr>
      <w:r w:rsidRPr="00ED2112">
        <w:rPr>
          <w:rFonts w:asciiTheme="minorHAnsi" w:hAnsiTheme="minorHAnsi" w:cstheme="minorHAnsi"/>
          <w:noProof/>
          <w:lang w:eastAsia="cs-CZ"/>
        </w:rPr>
        <w:drawing>
          <wp:inline distT="0" distB="0" distL="0" distR="0" wp14:anchorId="45A447F2" wp14:editId="4A68E216">
            <wp:extent cx="5760720" cy="2590800"/>
            <wp:effectExtent l="0" t="0" r="11430" b="0"/>
            <wp:docPr id="16" name="Graf 16">
              <a:extLst xmlns:a="http://schemas.openxmlformats.org/drawingml/2006/main">
                <a:ext uri="{FF2B5EF4-FFF2-40B4-BE49-F238E27FC236}">
                  <a16:creationId xmlns:a16="http://schemas.microsoft.com/office/drawing/2014/main" id="{4245D45F-08D2-6645-B2A4-78A0A354E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4D238DB" w14:textId="77777777" w:rsidR="000A76F0" w:rsidRPr="00103A2E" w:rsidRDefault="008457EE" w:rsidP="00FA1EAF">
      <w:pPr>
        <w:spacing w:line="240" w:lineRule="auto"/>
        <w:jc w:val="center"/>
        <w:rPr>
          <w:rFonts w:cstheme="minorHAnsi"/>
          <w:color w:val="000000" w:themeColor="text1"/>
          <w:sz w:val="20"/>
          <w:szCs w:val="20"/>
        </w:rPr>
        <w:sectPr w:rsidR="000A76F0" w:rsidRPr="00103A2E" w:rsidSect="006B69B0">
          <w:pgSz w:w="11906" w:h="16838"/>
          <w:pgMar w:top="681" w:right="1134" w:bottom="1134" w:left="1134" w:header="2438" w:footer="567" w:gutter="0"/>
          <w:cols w:space="708"/>
          <w:titlePg/>
          <w:docGrid w:linePitch="360"/>
        </w:sectPr>
      </w:pPr>
      <w:r w:rsidRPr="00103A2E">
        <w:rPr>
          <w:rFonts w:cstheme="minorHAnsi"/>
          <w:color w:val="000000" w:themeColor="text1"/>
          <w:sz w:val="20"/>
          <w:szCs w:val="20"/>
        </w:rPr>
        <w:t xml:space="preserve">Zdroj: </w:t>
      </w:r>
      <w:proofErr w:type="spellStart"/>
      <w:r w:rsidRPr="00103A2E">
        <w:rPr>
          <w:rFonts w:cstheme="minorHAnsi"/>
          <w:color w:val="000000" w:themeColor="text1"/>
          <w:sz w:val="20"/>
          <w:szCs w:val="20"/>
        </w:rPr>
        <w:t>Federal</w:t>
      </w:r>
      <w:proofErr w:type="spellEnd"/>
      <w:r w:rsidRPr="00103A2E">
        <w:rPr>
          <w:rFonts w:cstheme="minorHAnsi"/>
          <w:color w:val="000000" w:themeColor="text1"/>
          <w:sz w:val="20"/>
          <w:szCs w:val="20"/>
        </w:rPr>
        <w:t xml:space="preserve"> </w:t>
      </w:r>
      <w:proofErr w:type="spellStart"/>
      <w:r w:rsidRPr="00103A2E">
        <w:rPr>
          <w:rFonts w:cstheme="minorHAnsi"/>
          <w:color w:val="000000" w:themeColor="text1"/>
          <w:sz w:val="20"/>
          <w:szCs w:val="20"/>
        </w:rPr>
        <w:t>State</w:t>
      </w:r>
      <w:proofErr w:type="spellEnd"/>
      <w:r w:rsidRPr="00103A2E">
        <w:rPr>
          <w:rFonts w:cstheme="minorHAnsi"/>
          <w:color w:val="000000" w:themeColor="text1"/>
          <w:sz w:val="20"/>
          <w:szCs w:val="20"/>
        </w:rPr>
        <w:t xml:space="preserve"> </w:t>
      </w:r>
      <w:proofErr w:type="spellStart"/>
      <w:r w:rsidRPr="00103A2E">
        <w:rPr>
          <w:rFonts w:cstheme="minorHAnsi"/>
          <w:color w:val="000000" w:themeColor="text1"/>
          <w:sz w:val="20"/>
          <w:szCs w:val="20"/>
        </w:rPr>
        <w:t>Statistics</w:t>
      </w:r>
      <w:proofErr w:type="spellEnd"/>
      <w:r w:rsidRPr="00103A2E">
        <w:rPr>
          <w:rFonts w:cstheme="minorHAnsi"/>
          <w:color w:val="000000" w:themeColor="text1"/>
          <w:sz w:val="20"/>
          <w:szCs w:val="20"/>
        </w:rPr>
        <w:t xml:space="preserve"> </w:t>
      </w:r>
      <w:proofErr w:type="spellStart"/>
      <w:r w:rsidRPr="00103A2E">
        <w:rPr>
          <w:rFonts w:cstheme="minorHAnsi"/>
          <w:color w:val="000000" w:themeColor="text1"/>
          <w:sz w:val="20"/>
          <w:szCs w:val="20"/>
        </w:rPr>
        <w:t>Service</w:t>
      </w:r>
      <w:proofErr w:type="spellEnd"/>
      <w:r w:rsidR="00FA1EAF" w:rsidRPr="00103A2E">
        <w:rPr>
          <w:rFonts w:cstheme="minorHAnsi"/>
          <w:color w:val="000000" w:themeColor="text1"/>
          <w:sz w:val="20"/>
          <w:szCs w:val="20"/>
        </w:rPr>
        <w:t xml:space="preserve"> 2020.</w:t>
      </w:r>
    </w:p>
    <w:p w14:paraId="4FDBF3D0" w14:textId="07E4F11D" w:rsidR="000A76F0" w:rsidRDefault="000A76F0" w:rsidP="000A76F0">
      <w:pPr>
        <w:pStyle w:val="Nadpis2"/>
        <w:rPr>
          <w:shd w:val="clear" w:color="auto" w:fill="FFFFFF"/>
        </w:rPr>
      </w:pPr>
      <w:bookmarkStart w:id="94" w:name="_Toc61259198"/>
      <w:bookmarkStart w:id="95" w:name="_Toc61261176"/>
      <w:bookmarkStart w:id="96" w:name="_Toc61262053"/>
      <w:bookmarkStart w:id="97" w:name="_Toc61262177"/>
      <w:r>
        <w:rPr>
          <w:shd w:val="clear" w:color="auto" w:fill="FFFFFF"/>
        </w:rPr>
        <w:lastRenderedPageBreak/>
        <w:t>Příloha 3 – Vývoj vybraných makroekonomických ukazatelů – Ázerbájdžán</w:t>
      </w:r>
      <w:bookmarkEnd w:id="94"/>
      <w:bookmarkEnd w:id="95"/>
      <w:bookmarkEnd w:id="96"/>
      <w:bookmarkEnd w:id="97"/>
    </w:p>
    <w:p w14:paraId="75029509" w14:textId="7F1C809D" w:rsidR="00103A2E" w:rsidRDefault="00103A2E" w:rsidP="00103A2E"/>
    <w:p w14:paraId="037EFB1A" w14:textId="77777777" w:rsidR="00103A2E" w:rsidRPr="00103A2E" w:rsidRDefault="00103A2E" w:rsidP="00103A2E"/>
    <w:p w14:paraId="380CBB13" w14:textId="2CE07595" w:rsidR="000A76F0" w:rsidRPr="00DF5647" w:rsidRDefault="000A76F0" w:rsidP="00103A2E">
      <w:pPr>
        <w:pStyle w:val="Nadpis3"/>
        <w:jc w:val="center"/>
        <w:rPr>
          <w:b/>
          <w:bCs/>
          <w:lang w:val="en-US"/>
        </w:rPr>
      </w:pPr>
      <w:bookmarkStart w:id="98" w:name="_Toc61262054"/>
      <w:bookmarkStart w:id="99" w:name="_Toc61262178"/>
      <w:r w:rsidRPr="00DF5647">
        <w:rPr>
          <w:shd w:val="clear" w:color="auto" w:fill="FFFFFF"/>
          <w:lang w:val="en-US"/>
        </w:rPr>
        <w:t xml:space="preserve">Graf </w:t>
      </w:r>
      <w:r>
        <w:rPr>
          <w:shd w:val="clear" w:color="auto" w:fill="FFFFFF"/>
          <w:lang w:val="en-US"/>
        </w:rPr>
        <w:t>3-</w:t>
      </w:r>
      <w:r w:rsidR="00311D9D">
        <w:rPr>
          <w:shd w:val="clear" w:color="auto" w:fill="FFFFFF"/>
          <w:lang w:val="en-US"/>
        </w:rPr>
        <w:t>1</w:t>
      </w:r>
      <w:r w:rsidRPr="00DF5647">
        <w:rPr>
          <w:shd w:val="clear" w:color="auto" w:fill="FFFFFF"/>
          <w:lang w:val="en-US"/>
        </w:rPr>
        <w:t xml:space="preserve">: </w:t>
      </w:r>
      <w:r w:rsidRPr="00DF5647">
        <w:rPr>
          <w:shd w:val="clear" w:color="auto" w:fill="FFFFFF"/>
        </w:rPr>
        <w:t>Tempo růstu HDP v Ázerbájdžánu, 2018-2020 (čtvrtletně)</w:t>
      </w:r>
      <w:bookmarkEnd w:id="98"/>
      <w:bookmarkEnd w:id="99"/>
    </w:p>
    <w:p w14:paraId="5B719E71" w14:textId="77777777" w:rsidR="000A76F0" w:rsidRPr="00DF5647" w:rsidRDefault="000A76F0" w:rsidP="0012130D">
      <w:pPr>
        <w:autoSpaceDE w:val="0"/>
        <w:autoSpaceDN w:val="0"/>
        <w:adjustRightInd w:val="0"/>
        <w:jc w:val="center"/>
        <w:rPr>
          <w:b/>
          <w:bCs/>
          <w:lang w:val="en-US"/>
        </w:rPr>
      </w:pPr>
      <w:r w:rsidRPr="00DF5647">
        <w:rPr>
          <w:noProof/>
        </w:rPr>
        <w:drawing>
          <wp:inline distT="0" distB="0" distL="0" distR="0" wp14:anchorId="0C3E0B65" wp14:editId="4347C894">
            <wp:extent cx="5731510" cy="2397125"/>
            <wp:effectExtent l="0" t="0" r="8890" b="15875"/>
            <wp:docPr id="5" name="Chart 3">
              <a:extLst xmlns:a="http://schemas.openxmlformats.org/drawingml/2006/main">
                <a:ext uri="{FF2B5EF4-FFF2-40B4-BE49-F238E27FC236}">
                  <a16:creationId xmlns:a16="http://schemas.microsoft.com/office/drawing/2014/main" id="{6146B9FD-437C-AA42-BA82-11800FDEC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0D84D63" w14:textId="16040161" w:rsidR="000A76F0" w:rsidRDefault="000A76F0" w:rsidP="0012130D">
      <w:pPr>
        <w:pStyle w:val="Nadpis2"/>
        <w:shd w:val="clear" w:color="auto" w:fill="FFFFFF"/>
        <w:spacing w:before="0"/>
        <w:jc w:val="center"/>
        <w:rPr>
          <w:rStyle w:val="source-description"/>
          <w:b w:val="0"/>
          <w:bCs w:val="0"/>
          <w:sz w:val="20"/>
          <w:szCs w:val="20"/>
        </w:rPr>
      </w:pPr>
      <w:bookmarkStart w:id="100" w:name="_Toc61259199"/>
      <w:bookmarkStart w:id="101" w:name="_Toc61261177"/>
      <w:bookmarkStart w:id="102" w:name="_Toc61261305"/>
      <w:bookmarkStart w:id="103" w:name="_Toc61262055"/>
      <w:bookmarkStart w:id="104" w:name="_Toc61262179"/>
      <w:proofErr w:type="spellStart"/>
      <w:r w:rsidRPr="00DF5647">
        <w:rPr>
          <w:b w:val="0"/>
          <w:bCs w:val="0"/>
          <w:sz w:val="20"/>
          <w:szCs w:val="20"/>
          <w:lang w:val="en-US"/>
        </w:rPr>
        <w:t>Zdroj</w:t>
      </w:r>
      <w:proofErr w:type="spellEnd"/>
      <w:r w:rsidRPr="00DF5647">
        <w:rPr>
          <w:b w:val="0"/>
          <w:bCs w:val="0"/>
          <w:sz w:val="20"/>
          <w:szCs w:val="20"/>
          <w:lang w:val="en-US"/>
        </w:rPr>
        <w:t xml:space="preserve">: </w:t>
      </w:r>
      <w:proofErr w:type="spellStart"/>
      <w:r w:rsidRPr="00DF5647">
        <w:rPr>
          <w:rStyle w:val="source-description"/>
          <w:b w:val="0"/>
          <w:bCs w:val="0"/>
          <w:sz w:val="20"/>
          <w:szCs w:val="20"/>
        </w:rPr>
        <w:t>The</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State</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Statistical</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Committee</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of</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the</w:t>
      </w:r>
      <w:proofErr w:type="spellEnd"/>
      <w:r w:rsidRPr="00DF5647">
        <w:rPr>
          <w:rStyle w:val="source-description"/>
          <w:b w:val="0"/>
          <w:bCs w:val="0"/>
          <w:sz w:val="20"/>
          <w:szCs w:val="20"/>
        </w:rPr>
        <w:t xml:space="preserve"> Republic </w:t>
      </w:r>
      <w:proofErr w:type="spellStart"/>
      <w:r w:rsidRPr="00DF5647">
        <w:rPr>
          <w:rStyle w:val="source-description"/>
          <w:b w:val="0"/>
          <w:bCs w:val="0"/>
          <w:sz w:val="20"/>
          <w:szCs w:val="20"/>
        </w:rPr>
        <w:t>of</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Azerbaijan</w:t>
      </w:r>
      <w:proofErr w:type="spellEnd"/>
      <w:r w:rsidR="004668BF">
        <w:rPr>
          <w:rStyle w:val="source-description"/>
          <w:b w:val="0"/>
          <w:bCs w:val="0"/>
          <w:sz w:val="20"/>
          <w:szCs w:val="20"/>
        </w:rPr>
        <w:t xml:space="preserve"> 2020</w:t>
      </w:r>
      <w:r w:rsidR="005A3F38">
        <w:rPr>
          <w:rStyle w:val="source-description"/>
          <w:b w:val="0"/>
          <w:bCs w:val="0"/>
          <w:sz w:val="20"/>
          <w:szCs w:val="20"/>
        </w:rPr>
        <w:t>.</w:t>
      </w:r>
      <w:bookmarkEnd w:id="100"/>
      <w:bookmarkEnd w:id="101"/>
      <w:bookmarkEnd w:id="102"/>
      <w:bookmarkEnd w:id="103"/>
      <w:bookmarkEnd w:id="104"/>
    </w:p>
    <w:p w14:paraId="751D9DDD" w14:textId="77777777" w:rsidR="000A76F0" w:rsidRPr="00DF5647" w:rsidRDefault="000A76F0" w:rsidP="0012130D">
      <w:pPr>
        <w:pStyle w:val="Nadpis2"/>
        <w:shd w:val="clear" w:color="auto" w:fill="FFFFFF"/>
        <w:spacing w:before="0"/>
        <w:jc w:val="center"/>
        <w:rPr>
          <w:b w:val="0"/>
          <w:bCs w:val="0"/>
          <w:sz w:val="20"/>
          <w:szCs w:val="20"/>
        </w:rPr>
      </w:pPr>
    </w:p>
    <w:p w14:paraId="4ACDF3CA" w14:textId="5A0E7A3A" w:rsidR="000A76F0" w:rsidRDefault="000A76F0" w:rsidP="0012130D">
      <w:pPr>
        <w:jc w:val="center"/>
      </w:pPr>
    </w:p>
    <w:p w14:paraId="110DD24C" w14:textId="6AF40C68" w:rsidR="000A76F0" w:rsidRPr="00DF5647" w:rsidRDefault="000A76F0" w:rsidP="00103A2E">
      <w:pPr>
        <w:pStyle w:val="Nadpis3"/>
        <w:jc w:val="center"/>
        <w:rPr>
          <w:sz w:val="20"/>
          <w:szCs w:val="20"/>
        </w:rPr>
      </w:pPr>
      <w:bookmarkStart w:id="105" w:name="_Toc61261306"/>
      <w:bookmarkStart w:id="106" w:name="_Toc61262056"/>
      <w:bookmarkStart w:id="107" w:name="_Toc61262180"/>
      <w:r w:rsidRPr="00DF5647">
        <w:rPr>
          <w:shd w:val="clear" w:color="auto" w:fill="FFFFFF"/>
          <w:lang w:val="en-US"/>
        </w:rPr>
        <w:t xml:space="preserve">Graf </w:t>
      </w:r>
      <w:r>
        <w:rPr>
          <w:shd w:val="clear" w:color="auto" w:fill="FFFFFF"/>
          <w:lang w:val="en-US"/>
        </w:rPr>
        <w:t>3-</w:t>
      </w:r>
      <w:r w:rsidR="00311D9D">
        <w:rPr>
          <w:shd w:val="clear" w:color="auto" w:fill="FFFFFF"/>
          <w:lang w:val="en-US"/>
        </w:rPr>
        <w:t>2</w:t>
      </w:r>
      <w:r w:rsidRPr="00DF5647">
        <w:rPr>
          <w:shd w:val="clear" w:color="auto" w:fill="FFFFFF"/>
          <w:lang w:val="en-US"/>
        </w:rPr>
        <w:t xml:space="preserve">: </w:t>
      </w:r>
      <w:r w:rsidRPr="00DF5647">
        <w:rPr>
          <w:shd w:val="clear" w:color="auto" w:fill="FFFFFF"/>
        </w:rPr>
        <w:t>Míra inflace v Ázerbájdžánu, listopad 2019 - říjen 2020 (měsíčně)</w:t>
      </w:r>
      <w:bookmarkEnd w:id="105"/>
      <w:bookmarkEnd w:id="106"/>
      <w:bookmarkEnd w:id="107"/>
    </w:p>
    <w:p w14:paraId="5A495971" w14:textId="77777777" w:rsidR="000A76F0" w:rsidRPr="00DF5647" w:rsidRDefault="000A76F0">
      <w:pPr>
        <w:jc w:val="center"/>
        <w:rPr>
          <w:shd w:val="clear" w:color="auto" w:fill="FFFFFF"/>
        </w:rPr>
      </w:pPr>
      <w:r w:rsidRPr="00DF5647">
        <w:rPr>
          <w:noProof/>
        </w:rPr>
        <w:drawing>
          <wp:inline distT="0" distB="0" distL="0" distR="0" wp14:anchorId="537AD44C" wp14:editId="2A2F5C59">
            <wp:extent cx="5688330" cy="2783840"/>
            <wp:effectExtent l="0" t="0" r="7620" b="16510"/>
            <wp:docPr id="4" name="Graf 4">
              <a:extLst xmlns:a="http://schemas.openxmlformats.org/drawingml/2006/main">
                <a:ext uri="{FF2B5EF4-FFF2-40B4-BE49-F238E27FC236}">
                  <a16:creationId xmlns:a16="http://schemas.microsoft.com/office/drawing/2014/main" id="{D67EAE9C-F5A5-BF47-8EA9-C1092187E3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AF927DB" w14:textId="16851714" w:rsidR="000A76F0" w:rsidRPr="00DF5647" w:rsidRDefault="00D30A01" w:rsidP="0012130D">
      <w:pPr>
        <w:pStyle w:val="Nadpis2"/>
        <w:shd w:val="clear" w:color="auto" w:fill="FFFFFF"/>
        <w:spacing w:before="0"/>
        <w:jc w:val="center"/>
        <w:rPr>
          <w:b w:val="0"/>
          <w:bCs w:val="0"/>
          <w:sz w:val="20"/>
          <w:szCs w:val="20"/>
        </w:rPr>
      </w:pPr>
      <w:bookmarkStart w:id="108" w:name="_Toc61259200"/>
      <w:bookmarkStart w:id="109" w:name="_Toc61261178"/>
      <w:bookmarkStart w:id="110" w:name="_Toc61262057"/>
      <w:bookmarkStart w:id="111" w:name="_Toc61262181"/>
      <w:proofErr w:type="spellStart"/>
      <w:r>
        <w:rPr>
          <w:b w:val="0"/>
          <w:bCs w:val="0"/>
          <w:sz w:val="20"/>
          <w:szCs w:val="20"/>
          <w:lang w:val="en-US"/>
        </w:rPr>
        <w:t>Z</w:t>
      </w:r>
      <w:r w:rsidRPr="00DF5647">
        <w:rPr>
          <w:b w:val="0"/>
          <w:bCs w:val="0"/>
          <w:sz w:val="20"/>
          <w:szCs w:val="20"/>
          <w:lang w:val="en-US"/>
        </w:rPr>
        <w:t>droj</w:t>
      </w:r>
      <w:proofErr w:type="spellEnd"/>
      <w:r w:rsidRPr="00DF5647">
        <w:rPr>
          <w:b w:val="0"/>
          <w:bCs w:val="0"/>
          <w:sz w:val="20"/>
          <w:szCs w:val="20"/>
          <w:lang w:val="en-US"/>
        </w:rPr>
        <w:t xml:space="preserve">: </w:t>
      </w:r>
      <w:proofErr w:type="spellStart"/>
      <w:r w:rsidRPr="00DF5647">
        <w:rPr>
          <w:rStyle w:val="source-description"/>
          <w:b w:val="0"/>
          <w:bCs w:val="0"/>
          <w:sz w:val="20"/>
          <w:szCs w:val="20"/>
        </w:rPr>
        <w:t>The</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State</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Statistical</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Committee</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of</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the</w:t>
      </w:r>
      <w:proofErr w:type="spellEnd"/>
      <w:r w:rsidRPr="00DF5647">
        <w:rPr>
          <w:rStyle w:val="source-description"/>
          <w:b w:val="0"/>
          <w:bCs w:val="0"/>
          <w:sz w:val="20"/>
          <w:szCs w:val="20"/>
        </w:rPr>
        <w:t xml:space="preserve"> Republic </w:t>
      </w:r>
      <w:proofErr w:type="spellStart"/>
      <w:r w:rsidRPr="00DF5647">
        <w:rPr>
          <w:rStyle w:val="source-description"/>
          <w:b w:val="0"/>
          <w:bCs w:val="0"/>
          <w:sz w:val="20"/>
          <w:szCs w:val="20"/>
        </w:rPr>
        <w:t>of</w:t>
      </w:r>
      <w:proofErr w:type="spellEnd"/>
      <w:r w:rsidRPr="00DF5647">
        <w:rPr>
          <w:rStyle w:val="source-description"/>
          <w:b w:val="0"/>
          <w:bCs w:val="0"/>
          <w:sz w:val="20"/>
          <w:szCs w:val="20"/>
        </w:rPr>
        <w:t xml:space="preserve"> </w:t>
      </w:r>
      <w:proofErr w:type="spellStart"/>
      <w:r w:rsidRPr="00DF5647">
        <w:rPr>
          <w:rStyle w:val="source-description"/>
          <w:b w:val="0"/>
          <w:bCs w:val="0"/>
          <w:sz w:val="20"/>
          <w:szCs w:val="20"/>
        </w:rPr>
        <w:t>Azerbaijan</w:t>
      </w:r>
      <w:proofErr w:type="spellEnd"/>
      <w:r>
        <w:rPr>
          <w:rStyle w:val="source-description"/>
          <w:b w:val="0"/>
          <w:bCs w:val="0"/>
          <w:sz w:val="20"/>
          <w:szCs w:val="20"/>
        </w:rPr>
        <w:t xml:space="preserve"> 2020</w:t>
      </w:r>
      <w:r w:rsidR="00103A2E">
        <w:rPr>
          <w:rStyle w:val="source-description"/>
          <w:b w:val="0"/>
          <w:bCs w:val="0"/>
          <w:sz w:val="20"/>
          <w:szCs w:val="20"/>
        </w:rPr>
        <w:t>.</w:t>
      </w:r>
      <w:bookmarkEnd w:id="108"/>
      <w:bookmarkEnd w:id="109"/>
      <w:bookmarkEnd w:id="110"/>
      <w:bookmarkEnd w:id="111"/>
    </w:p>
    <w:p w14:paraId="7873E7D9" w14:textId="0A08D3A5" w:rsidR="000A76F0" w:rsidRDefault="000A76F0" w:rsidP="0012130D">
      <w:pPr>
        <w:jc w:val="center"/>
      </w:pPr>
    </w:p>
    <w:p w14:paraId="0FAC080F" w14:textId="77777777" w:rsidR="000A76F0" w:rsidRPr="000A76F0" w:rsidRDefault="000A76F0" w:rsidP="0012130D">
      <w:pPr>
        <w:jc w:val="center"/>
      </w:pPr>
    </w:p>
    <w:p w14:paraId="757EAA71" w14:textId="77777777" w:rsidR="000A76F0" w:rsidRPr="000A76F0" w:rsidRDefault="000A76F0" w:rsidP="0012130D">
      <w:pPr>
        <w:jc w:val="center"/>
      </w:pPr>
    </w:p>
    <w:p w14:paraId="2592887E" w14:textId="3A77CCA9" w:rsidR="0012130D" w:rsidRDefault="0012130D" w:rsidP="0012130D">
      <w:pPr>
        <w:pStyle w:val="Nadpis2"/>
        <w:rPr>
          <w:shd w:val="clear" w:color="auto" w:fill="FFFFFF"/>
        </w:rPr>
      </w:pPr>
      <w:bookmarkStart w:id="112" w:name="_Toc61259201"/>
      <w:bookmarkStart w:id="113" w:name="_Toc61261179"/>
      <w:bookmarkStart w:id="114" w:name="_Toc61262058"/>
      <w:bookmarkStart w:id="115" w:name="_Toc61262182"/>
      <w:r>
        <w:rPr>
          <w:shd w:val="clear" w:color="auto" w:fill="FFFFFF"/>
        </w:rPr>
        <w:t xml:space="preserve">Příloha </w:t>
      </w:r>
      <w:r w:rsidR="00E61D84">
        <w:rPr>
          <w:shd w:val="clear" w:color="auto" w:fill="FFFFFF"/>
        </w:rPr>
        <w:t>4</w:t>
      </w:r>
      <w:r>
        <w:rPr>
          <w:shd w:val="clear" w:color="auto" w:fill="FFFFFF"/>
        </w:rPr>
        <w:t xml:space="preserve"> – Vývoj vybraných makroekonomických ukazatelů – ČR</w:t>
      </w:r>
      <w:bookmarkEnd w:id="112"/>
      <w:bookmarkEnd w:id="113"/>
      <w:bookmarkEnd w:id="114"/>
      <w:bookmarkEnd w:id="115"/>
    </w:p>
    <w:p w14:paraId="6A25EDD4" w14:textId="4C21CD95" w:rsidR="0012130D" w:rsidRDefault="0012130D" w:rsidP="0012130D"/>
    <w:p w14:paraId="593A50A0" w14:textId="60D3C063" w:rsidR="00E61D84" w:rsidRPr="00E61D84" w:rsidRDefault="0012130D" w:rsidP="00103A2E">
      <w:pPr>
        <w:pStyle w:val="Nadpis3"/>
        <w:jc w:val="center"/>
      </w:pPr>
      <w:bookmarkStart w:id="116" w:name="_Toc61262059"/>
      <w:bookmarkStart w:id="117" w:name="_Toc61262183"/>
      <w:r w:rsidRPr="00E61D84">
        <w:t>Graf 4-1:</w:t>
      </w:r>
      <w:r w:rsidR="00E61D84" w:rsidRPr="00E61D84">
        <w:t xml:space="preserve"> </w:t>
      </w:r>
      <w:r w:rsidR="00E61D84" w:rsidRPr="00E61D84">
        <w:rPr>
          <w:shd w:val="clear" w:color="auto" w:fill="FFFFFF"/>
        </w:rPr>
        <w:t>Míra růstu HDP v České republice, 2018</w:t>
      </w:r>
      <w:r w:rsidR="00103A2E">
        <w:rPr>
          <w:shd w:val="clear" w:color="auto" w:fill="FFFFFF"/>
        </w:rPr>
        <w:t>–</w:t>
      </w:r>
      <w:r w:rsidR="00E61D84" w:rsidRPr="00E61D84">
        <w:rPr>
          <w:shd w:val="clear" w:color="auto" w:fill="FFFFFF"/>
        </w:rPr>
        <w:t>2020</w:t>
      </w:r>
      <w:bookmarkEnd w:id="116"/>
      <w:bookmarkEnd w:id="117"/>
    </w:p>
    <w:p w14:paraId="2D33FD71" w14:textId="77777777" w:rsidR="00E61D84" w:rsidRPr="000152CC" w:rsidRDefault="00E61D84" w:rsidP="00E61D84">
      <w:pPr>
        <w:autoSpaceDE w:val="0"/>
        <w:autoSpaceDN w:val="0"/>
        <w:adjustRightInd w:val="0"/>
        <w:spacing w:after="100" w:afterAutospacing="1" w:line="240" w:lineRule="auto"/>
        <w:jc w:val="center"/>
        <w:rPr>
          <w:rFonts w:ascii="Cambria" w:hAnsi="Cambria"/>
          <w:color w:val="000000" w:themeColor="text1"/>
          <w:sz w:val="24"/>
          <w:szCs w:val="24"/>
          <w:shd w:val="clear" w:color="auto" w:fill="FFFFFF"/>
          <w:lang w:val="en-US"/>
        </w:rPr>
      </w:pPr>
      <w:r w:rsidRPr="000152CC">
        <w:rPr>
          <w:rFonts w:ascii="Cambria" w:hAnsi="Cambria"/>
          <w:noProof/>
          <w:sz w:val="24"/>
          <w:szCs w:val="24"/>
        </w:rPr>
        <w:drawing>
          <wp:inline distT="0" distB="0" distL="0" distR="0" wp14:anchorId="00AD87A3" wp14:editId="1C392C5E">
            <wp:extent cx="5731510" cy="2397125"/>
            <wp:effectExtent l="0" t="0" r="8890" b="15875"/>
            <wp:docPr id="23" name="Chart 5">
              <a:extLst xmlns:a="http://schemas.openxmlformats.org/drawingml/2006/main">
                <a:ext uri="{FF2B5EF4-FFF2-40B4-BE49-F238E27FC236}">
                  <a16:creationId xmlns:a16="http://schemas.microsoft.com/office/drawing/2014/main" id="{6146B9FD-437C-AA42-BA82-11800FDEC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E8EA06F" w14:textId="37355800" w:rsidR="00E61D84" w:rsidRPr="00103A2E" w:rsidRDefault="00E61D84" w:rsidP="00A76484">
      <w:pPr>
        <w:autoSpaceDE w:val="0"/>
        <w:autoSpaceDN w:val="0"/>
        <w:adjustRightInd w:val="0"/>
        <w:spacing w:after="0"/>
        <w:ind w:left="-851" w:right="-612" w:firstLine="851"/>
        <w:jc w:val="center"/>
        <w:rPr>
          <w:sz w:val="20"/>
          <w:szCs w:val="20"/>
          <w:shd w:val="clear" w:color="auto" w:fill="FFFFFF"/>
        </w:rPr>
      </w:pPr>
      <w:r w:rsidRPr="00103A2E">
        <w:rPr>
          <w:sz w:val="20"/>
          <w:szCs w:val="20"/>
          <w:shd w:val="clear" w:color="auto" w:fill="FFFFFF"/>
        </w:rPr>
        <w:t>Zdroj: Český statistický úřad</w:t>
      </w:r>
      <w:r w:rsidR="00103A2E">
        <w:rPr>
          <w:sz w:val="20"/>
          <w:szCs w:val="20"/>
          <w:shd w:val="clear" w:color="auto" w:fill="FFFFFF"/>
        </w:rPr>
        <w:t xml:space="preserve"> 2020.</w:t>
      </w:r>
    </w:p>
    <w:p w14:paraId="0568FC3D" w14:textId="77777777" w:rsidR="00E004A5" w:rsidRDefault="00E004A5">
      <w:pPr>
        <w:autoSpaceDE w:val="0"/>
        <w:autoSpaceDN w:val="0"/>
        <w:adjustRightInd w:val="0"/>
        <w:spacing w:before="240" w:line="360" w:lineRule="auto"/>
        <w:ind w:firstLine="720"/>
        <w:jc w:val="center"/>
        <w:rPr>
          <w:rFonts w:ascii="Cambria" w:hAnsi="Cambria"/>
          <w:color w:val="FF0000"/>
          <w:sz w:val="24"/>
          <w:szCs w:val="24"/>
          <w:shd w:val="clear" w:color="auto" w:fill="FFFFFF"/>
          <w:lang w:val="en-US"/>
        </w:rPr>
      </w:pPr>
    </w:p>
    <w:p w14:paraId="27A16E21" w14:textId="3B730E17" w:rsidR="00E004A5" w:rsidRPr="00E004A5" w:rsidRDefault="00E004A5" w:rsidP="00103A2E">
      <w:pPr>
        <w:pStyle w:val="Nadpis3"/>
        <w:jc w:val="center"/>
        <w:rPr>
          <w:shd w:val="clear" w:color="auto" w:fill="FFFFFF"/>
        </w:rPr>
      </w:pPr>
      <w:bookmarkStart w:id="118" w:name="_Toc61262060"/>
      <w:bookmarkStart w:id="119" w:name="_Toc61262184"/>
      <w:r w:rsidRPr="00E004A5">
        <w:rPr>
          <w:shd w:val="clear" w:color="auto" w:fill="FFFFFF"/>
          <w:lang w:val="en-US"/>
        </w:rPr>
        <w:t>Graf 4-2</w:t>
      </w:r>
      <w:r w:rsidRPr="00E004A5">
        <w:rPr>
          <w:shd w:val="clear" w:color="auto" w:fill="FFFFFF"/>
        </w:rPr>
        <w:t>: Míra inflace v České republice, 2020 (měsíčně)</w:t>
      </w:r>
      <w:bookmarkEnd w:id="118"/>
      <w:bookmarkEnd w:id="119"/>
    </w:p>
    <w:p w14:paraId="770AAF46" w14:textId="77777777" w:rsidR="00E004A5" w:rsidRPr="000152CC" w:rsidRDefault="00E004A5" w:rsidP="00E004A5">
      <w:pPr>
        <w:autoSpaceDE w:val="0"/>
        <w:autoSpaceDN w:val="0"/>
        <w:adjustRightInd w:val="0"/>
        <w:spacing w:after="100" w:afterAutospacing="1" w:line="240" w:lineRule="auto"/>
        <w:jc w:val="center"/>
        <w:rPr>
          <w:rFonts w:ascii="Cambria" w:hAnsi="Cambria"/>
          <w:color w:val="FF0000"/>
          <w:sz w:val="24"/>
          <w:szCs w:val="24"/>
          <w:shd w:val="clear" w:color="auto" w:fill="FFFFFF"/>
        </w:rPr>
      </w:pPr>
      <w:r w:rsidRPr="000152CC">
        <w:rPr>
          <w:rFonts w:ascii="Cambria" w:hAnsi="Cambria"/>
          <w:noProof/>
          <w:sz w:val="24"/>
          <w:szCs w:val="24"/>
        </w:rPr>
        <w:drawing>
          <wp:inline distT="0" distB="0" distL="0" distR="0" wp14:anchorId="5B93EFE8" wp14:editId="55677192">
            <wp:extent cx="5731510" cy="2582545"/>
            <wp:effectExtent l="0" t="0" r="2540" b="8255"/>
            <wp:docPr id="21" name="Graf 21">
              <a:extLst xmlns:a="http://schemas.openxmlformats.org/drawingml/2006/main">
                <a:ext uri="{FF2B5EF4-FFF2-40B4-BE49-F238E27FC236}">
                  <a16:creationId xmlns:a16="http://schemas.microsoft.com/office/drawing/2014/main" id="{B88824C8-36F8-9647-97B5-1D44E7B371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6FF315B0" w14:textId="38081AF6" w:rsidR="00E004A5" w:rsidRPr="00103A2E" w:rsidRDefault="00E004A5" w:rsidP="00A76484">
      <w:pPr>
        <w:autoSpaceDE w:val="0"/>
        <w:autoSpaceDN w:val="0"/>
        <w:adjustRightInd w:val="0"/>
        <w:spacing w:after="0"/>
        <w:ind w:left="-851" w:right="-612" w:firstLine="851"/>
        <w:jc w:val="center"/>
        <w:rPr>
          <w:sz w:val="20"/>
          <w:szCs w:val="20"/>
          <w:shd w:val="clear" w:color="auto" w:fill="FFFFFF"/>
        </w:rPr>
      </w:pPr>
      <w:r w:rsidRPr="00103A2E">
        <w:rPr>
          <w:sz w:val="20"/>
          <w:szCs w:val="20"/>
          <w:shd w:val="clear" w:color="auto" w:fill="FFFFFF"/>
        </w:rPr>
        <w:t>Zdroj: Český statistický úřad</w:t>
      </w:r>
      <w:r w:rsidR="00103A2E" w:rsidRPr="00103A2E">
        <w:rPr>
          <w:sz w:val="20"/>
          <w:szCs w:val="20"/>
          <w:shd w:val="clear" w:color="auto" w:fill="FFFFFF"/>
        </w:rPr>
        <w:t xml:space="preserve"> 2020.</w:t>
      </w:r>
    </w:p>
    <w:p w14:paraId="2F3C40C2" w14:textId="77777777" w:rsidR="00E61D84" w:rsidRDefault="00E61D84" w:rsidP="0012130D"/>
    <w:p w14:paraId="1EDDDBB1" w14:textId="77777777" w:rsidR="00E61D84" w:rsidRPr="0012130D" w:rsidRDefault="00E61D84" w:rsidP="00E004A5">
      <w:pPr>
        <w:jc w:val="center"/>
      </w:pPr>
    </w:p>
    <w:p w14:paraId="4E3EBF5A" w14:textId="77777777" w:rsidR="00A76484" w:rsidRDefault="00A76484" w:rsidP="00E004A5">
      <w:pPr>
        <w:autoSpaceDE w:val="0"/>
        <w:autoSpaceDN w:val="0"/>
        <w:adjustRightInd w:val="0"/>
        <w:spacing w:after="100" w:afterAutospacing="1" w:line="240" w:lineRule="auto"/>
        <w:jc w:val="center"/>
        <w:rPr>
          <w:rFonts w:ascii="Cambria" w:hAnsi="Cambria"/>
          <w:shd w:val="clear" w:color="auto" w:fill="FFFFFF"/>
        </w:rPr>
      </w:pPr>
    </w:p>
    <w:p w14:paraId="5687BE58" w14:textId="77777777" w:rsidR="006A581E" w:rsidRDefault="006A581E">
      <w:pPr>
        <w:autoSpaceDE w:val="0"/>
        <w:autoSpaceDN w:val="0"/>
        <w:adjustRightInd w:val="0"/>
        <w:spacing w:after="100" w:afterAutospacing="1" w:line="240" w:lineRule="auto"/>
        <w:jc w:val="center"/>
        <w:rPr>
          <w:rFonts w:ascii="Cambria" w:hAnsi="Cambria"/>
          <w:shd w:val="clear" w:color="auto" w:fill="FFFFFF"/>
        </w:rPr>
      </w:pPr>
    </w:p>
    <w:p w14:paraId="344ED73A" w14:textId="3CF9CF05" w:rsidR="00E004A5" w:rsidRPr="00E004A5" w:rsidRDefault="00E004A5" w:rsidP="00103A2E">
      <w:pPr>
        <w:pStyle w:val="Nadpis3"/>
        <w:jc w:val="center"/>
        <w:rPr>
          <w:shd w:val="clear" w:color="auto" w:fill="FFFFFF"/>
        </w:rPr>
      </w:pPr>
      <w:bookmarkStart w:id="120" w:name="_Toc61262061"/>
      <w:bookmarkStart w:id="121" w:name="_Toc61262185"/>
      <w:r w:rsidRPr="00E004A5">
        <w:rPr>
          <w:shd w:val="clear" w:color="auto" w:fill="FFFFFF"/>
        </w:rPr>
        <w:t xml:space="preserve">Graf </w:t>
      </w:r>
      <w:r>
        <w:rPr>
          <w:shd w:val="clear" w:color="auto" w:fill="FFFFFF"/>
        </w:rPr>
        <w:t>4-3</w:t>
      </w:r>
      <w:r w:rsidRPr="00E004A5">
        <w:rPr>
          <w:shd w:val="clear" w:color="auto" w:fill="FFFFFF"/>
        </w:rPr>
        <w:t>: Počet domácích měnových jednotek za USD pro Českou republiku, 2020 (měsíčně)</w:t>
      </w:r>
      <w:bookmarkEnd w:id="120"/>
      <w:bookmarkEnd w:id="121"/>
    </w:p>
    <w:p w14:paraId="4FA3A8D5" w14:textId="77777777" w:rsidR="00E004A5" w:rsidRPr="000152CC" w:rsidRDefault="00E004A5" w:rsidP="00103A2E">
      <w:pPr>
        <w:tabs>
          <w:tab w:val="left" w:pos="9356"/>
        </w:tabs>
        <w:autoSpaceDE w:val="0"/>
        <w:autoSpaceDN w:val="0"/>
        <w:adjustRightInd w:val="0"/>
        <w:spacing w:after="100" w:afterAutospacing="1" w:line="240" w:lineRule="auto"/>
        <w:jc w:val="center"/>
        <w:rPr>
          <w:rFonts w:ascii="Cambria" w:hAnsi="Cambria"/>
          <w:color w:val="FF0000"/>
          <w:sz w:val="24"/>
          <w:szCs w:val="24"/>
          <w:shd w:val="clear" w:color="auto" w:fill="FFFFFF"/>
        </w:rPr>
      </w:pPr>
      <w:r w:rsidRPr="000152CC">
        <w:rPr>
          <w:rFonts w:ascii="Cambria" w:hAnsi="Cambria"/>
          <w:noProof/>
          <w:sz w:val="24"/>
          <w:szCs w:val="24"/>
        </w:rPr>
        <w:drawing>
          <wp:inline distT="0" distB="0" distL="0" distR="0" wp14:anchorId="515FF78D" wp14:editId="3E379DC2">
            <wp:extent cx="5745480" cy="2788920"/>
            <wp:effectExtent l="0" t="0" r="7620" b="11430"/>
            <wp:docPr id="22" name="Graf 22">
              <a:extLst xmlns:a="http://schemas.openxmlformats.org/drawingml/2006/main">
                <a:ext uri="{FF2B5EF4-FFF2-40B4-BE49-F238E27FC236}">
                  <a16:creationId xmlns:a16="http://schemas.microsoft.com/office/drawing/2014/main" id="{5AA55E06-1A91-4E8F-9281-3B17DA88E2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490C846" w14:textId="66F89923" w:rsidR="00E004A5" w:rsidRPr="00103A2E" w:rsidRDefault="00E004A5" w:rsidP="006A581E">
      <w:pPr>
        <w:autoSpaceDE w:val="0"/>
        <w:autoSpaceDN w:val="0"/>
        <w:adjustRightInd w:val="0"/>
        <w:spacing w:after="0"/>
        <w:jc w:val="center"/>
        <w:rPr>
          <w:sz w:val="20"/>
          <w:szCs w:val="20"/>
          <w:shd w:val="clear" w:color="auto" w:fill="FFFFFF"/>
        </w:rPr>
      </w:pPr>
      <w:r w:rsidRPr="00103A2E">
        <w:rPr>
          <w:sz w:val="20"/>
          <w:szCs w:val="20"/>
          <w:shd w:val="clear" w:color="auto" w:fill="FFFFFF"/>
        </w:rPr>
        <w:t>Zdroj: Č</w:t>
      </w:r>
      <w:r w:rsidR="00103A2E" w:rsidRPr="00103A2E">
        <w:rPr>
          <w:sz w:val="20"/>
          <w:szCs w:val="20"/>
          <w:shd w:val="clear" w:color="auto" w:fill="FFFFFF"/>
        </w:rPr>
        <w:t xml:space="preserve">eská národní banka 2020. </w:t>
      </w:r>
    </w:p>
    <w:p w14:paraId="2F724E1B" w14:textId="6F0C4579" w:rsidR="008457EE" w:rsidRPr="00FA1EAF" w:rsidRDefault="008457EE" w:rsidP="0012130D">
      <w:pPr>
        <w:spacing w:line="240" w:lineRule="auto"/>
        <w:jc w:val="center"/>
        <w:rPr>
          <w:rFonts w:asciiTheme="minorHAnsi" w:hAnsiTheme="minorHAnsi" w:cstheme="minorHAnsi"/>
          <w:color w:val="000000" w:themeColor="text1"/>
          <w:sz w:val="20"/>
          <w:szCs w:val="20"/>
        </w:rPr>
      </w:pPr>
    </w:p>
    <w:p w14:paraId="5D570DFC" w14:textId="77777777" w:rsidR="00010205" w:rsidRPr="00F605F4" w:rsidRDefault="00010205" w:rsidP="0012130D">
      <w:pPr>
        <w:jc w:val="center"/>
        <w:rPr>
          <w:lang w:val="en-GB"/>
        </w:rPr>
      </w:pPr>
    </w:p>
    <w:p w14:paraId="65057D15" w14:textId="288CAD8D" w:rsidR="00A93F64" w:rsidRDefault="00A93F64">
      <w:pPr>
        <w:rPr>
          <w:lang w:val="en-GB"/>
        </w:rPr>
      </w:pPr>
      <w:r>
        <w:rPr>
          <w:lang w:val="en-GB"/>
        </w:rPr>
        <w:br w:type="page"/>
      </w:r>
    </w:p>
    <w:p w14:paraId="428B3DD9" w14:textId="7FE87EB5" w:rsidR="00A93F64" w:rsidRDefault="00A93F64" w:rsidP="00A93F64">
      <w:pPr>
        <w:pStyle w:val="Nadpis2"/>
        <w:rPr>
          <w:shd w:val="clear" w:color="auto" w:fill="FFFFFF"/>
        </w:rPr>
      </w:pPr>
      <w:bookmarkStart w:id="122" w:name="_Toc61259202"/>
      <w:bookmarkStart w:id="123" w:name="_Toc61261180"/>
      <w:bookmarkStart w:id="124" w:name="_Toc61262062"/>
      <w:bookmarkStart w:id="125" w:name="_Toc61262186"/>
      <w:r>
        <w:rPr>
          <w:shd w:val="clear" w:color="auto" w:fill="FFFFFF"/>
        </w:rPr>
        <w:lastRenderedPageBreak/>
        <w:t>Příloha 5 –</w:t>
      </w:r>
      <w:r w:rsidR="00980727">
        <w:rPr>
          <w:shd w:val="clear" w:color="auto" w:fill="FFFFFF"/>
        </w:rPr>
        <w:t xml:space="preserve"> VAR model</w:t>
      </w:r>
      <w:bookmarkEnd w:id="122"/>
      <w:bookmarkEnd w:id="123"/>
      <w:bookmarkEnd w:id="124"/>
      <w:bookmarkEnd w:id="125"/>
    </w:p>
    <w:p w14:paraId="457F5FCE" w14:textId="77777777" w:rsidR="00010205" w:rsidRPr="00F605F4" w:rsidRDefault="00010205" w:rsidP="0012130D">
      <w:pPr>
        <w:jc w:val="center"/>
        <w:rPr>
          <w:lang w:val="en-GB"/>
        </w:rPr>
      </w:pPr>
    </w:p>
    <w:p w14:paraId="4E4AA2A6" w14:textId="0ACD979F" w:rsidR="00037CE8" w:rsidRPr="00E2177F" w:rsidRDefault="00037CE8" w:rsidP="00F650E6">
      <w:pPr>
        <w:pStyle w:val="Nadpis3"/>
        <w:spacing w:before="0"/>
        <w:jc w:val="center"/>
        <w:rPr>
          <w:rFonts w:ascii="Arial" w:eastAsia="Times New Roman" w:hAnsi="Arial" w:cs="Arial"/>
          <w:color w:val="000000"/>
          <w:lang w:eastAsia="cs-CZ"/>
        </w:rPr>
      </w:pPr>
      <w:bookmarkStart w:id="126" w:name="_Toc61262063"/>
      <w:bookmarkStart w:id="127" w:name="_Toc61262187"/>
      <w:r w:rsidRPr="00E004A5">
        <w:rPr>
          <w:shd w:val="clear" w:color="auto" w:fill="FFFFFF"/>
        </w:rPr>
        <w:t xml:space="preserve">Graf </w:t>
      </w:r>
      <w:r>
        <w:rPr>
          <w:shd w:val="clear" w:color="auto" w:fill="FFFFFF"/>
        </w:rPr>
        <w:t>5-1</w:t>
      </w:r>
      <w:r w:rsidRPr="00E004A5">
        <w:rPr>
          <w:shd w:val="clear" w:color="auto" w:fill="FFFFFF"/>
        </w:rPr>
        <w:t xml:space="preserve">: </w:t>
      </w:r>
      <w:r w:rsidRPr="00ED2E9E">
        <w:rPr>
          <w:shd w:val="clear" w:color="auto" w:fill="FFFFFF"/>
        </w:rPr>
        <w:t xml:space="preserve">Funkce impulsní odezvy </w:t>
      </w:r>
      <w:r>
        <w:rPr>
          <w:shd w:val="clear" w:color="auto" w:fill="FFFFFF"/>
        </w:rPr>
        <w:t>na jednotkový šok v ceně ropy v HDP</w:t>
      </w:r>
      <w:bookmarkEnd w:id="126"/>
      <w:bookmarkEnd w:id="127"/>
    </w:p>
    <w:p w14:paraId="474F9277" w14:textId="1FF6A5B6" w:rsidR="00037CE8" w:rsidRDefault="00037CE8" w:rsidP="00103A2E">
      <w:pPr>
        <w:tabs>
          <w:tab w:val="left" w:pos="9356"/>
        </w:tabs>
        <w:autoSpaceDE w:val="0"/>
        <w:autoSpaceDN w:val="0"/>
        <w:adjustRightInd w:val="0"/>
        <w:spacing w:before="120"/>
        <w:ind w:left="284"/>
        <w:jc w:val="both"/>
        <w:rPr>
          <w:rFonts w:ascii="Cambria" w:hAnsi="Cambria"/>
          <w:shd w:val="clear" w:color="auto" w:fill="FFFFFF"/>
        </w:rPr>
      </w:pPr>
      <w:r>
        <w:rPr>
          <w:noProof/>
        </w:rPr>
        <w:drawing>
          <wp:inline distT="0" distB="0" distL="0" distR="0" wp14:anchorId="543FFB60" wp14:editId="63A47F96">
            <wp:extent cx="5798820" cy="2904793"/>
            <wp:effectExtent l="0" t="0" r="17780" b="16510"/>
            <wp:docPr id="25" name="Graf 25">
              <a:extLst xmlns:a="http://schemas.openxmlformats.org/drawingml/2006/main">
                <a:ext uri="{FF2B5EF4-FFF2-40B4-BE49-F238E27FC236}">
                  <a16:creationId xmlns:a16="http://schemas.microsoft.com/office/drawing/2014/main" id="{4AE2D2C9-E62A-3A44-9691-0AA52698EE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E0E957C" w14:textId="1838971C" w:rsidR="005E5ED8" w:rsidRPr="00E004A5" w:rsidRDefault="005E5ED8" w:rsidP="005E5ED8">
      <w:pPr>
        <w:autoSpaceDE w:val="0"/>
        <w:autoSpaceDN w:val="0"/>
        <w:adjustRightInd w:val="0"/>
        <w:spacing w:after="0"/>
        <w:ind w:left="-851" w:right="-612" w:firstLine="851"/>
        <w:jc w:val="center"/>
        <w:rPr>
          <w:rFonts w:ascii="Cambria" w:hAnsi="Cambria"/>
          <w:sz w:val="20"/>
          <w:szCs w:val="20"/>
          <w:shd w:val="clear" w:color="auto" w:fill="FFFFFF"/>
        </w:rPr>
      </w:pPr>
      <w:r w:rsidRPr="00E004A5">
        <w:rPr>
          <w:rFonts w:ascii="Cambria" w:hAnsi="Cambria"/>
          <w:sz w:val="20"/>
          <w:szCs w:val="20"/>
          <w:shd w:val="clear" w:color="auto" w:fill="FFFFFF"/>
        </w:rPr>
        <w:t xml:space="preserve">Zdroj: </w:t>
      </w:r>
      <w:r w:rsidR="00BD3ABF">
        <w:rPr>
          <w:rFonts w:ascii="Cambria" w:hAnsi="Cambria"/>
          <w:sz w:val="20"/>
          <w:szCs w:val="20"/>
          <w:shd w:val="clear" w:color="auto" w:fill="FFFFFF"/>
        </w:rPr>
        <w:t>V</w:t>
      </w:r>
      <w:r>
        <w:rPr>
          <w:rFonts w:ascii="Cambria" w:hAnsi="Cambria"/>
          <w:sz w:val="20"/>
          <w:szCs w:val="20"/>
          <w:shd w:val="clear" w:color="auto" w:fill="FFFFFF"/>
        </w:rPr>
        <w:t>lastní</w:t>
      </w:r>
      <w:r w:rsidR="00103A2E">
        <w:rPr>
          <w:rFonts w:ascii="Cambria" w:hAnsi="Cambria"/>
          <w:sz w:val="20"/>
          <w:szCs w:val="20"/>
          <w:shd w:val="clear" w:color="auto" w:fill="FFFFFF"/>
        </w:rPr>
        <w:t>.</w:t>
      </w:r>
    </w:p>
    <w:p w14:paraId="2FE83CE4" w14:textId="77777777" w:rsidR="00037CE8" w:rsidRDefault="00037CE8" w:rsidP="00374277">
      <w:pPr>
        <w:autoSpaceDE w:val="0"/>
        <w:autoSpaceDN w:val="0"/>
        <w:adjustRightInd w:val="0"/>
        <w:spacing w:before="120"/>
        <w:jc w:val="both"/>
        <w:rPr>
          <w:rFonts w:ascii="Cambria" w:hAnsi="Cambria"/>
          <w:shd w:val="clear" w:color="auto" w:fill="FFFFFF"/>
        </w:rPr>
      </w:pPr>
    </w:p>
    <w:p w14:paraId="3654900C" w14:textId="6695D55F" w:rsidR="00103A2E" w:rsidRDefault="00ED2E9E" w:rsidP="00103A2E">
      <w:pPr>
        <w:pStyle w:val="Nadpis3"/>
        <w:jc w:val="center"/>
        <w:rPr>
          <w:shd w:val="clear" w:color="auto" w:fill="FFFFFF"/>
        </w:rPr>
      </w:pPr>
      <w:bookmarkStart w:id="128" w:name="_Toc61262064"/>
      <w:bookmarkStart w:id="129" w:name="_Toc61262188"/>
      <w:r w:rsidRPr="00E004A5">
        <w:rPr>
          <w:shd w:val="clear" w:color="auto" w:fill="FFFFFF"/>
        </w:rPr>
        <w:t xml:space="preserve">Graf </w:t>
      </w:r>
      <w:r>
        <w:rPr>
          <w:shd w:val="clear" w:color="auto" w:fill="FFFFFF"/>
        </w:rPr>
        <w:t>5-</w:t>
      </w:r>
      <w:r w:rsidR="005E5ED8">
        <w:rPr>
          <w:shd w:val="clear" w:color="auto" w:fill="FFFFFF"/>
        </w:rPr>
        <w:t>2</w:t>
      </w:r>
      <w:r w:rsidRPr="00E004A5">
        <w:rPr>
          <w:shd w:val="clear" w:color="auto" w:fill="FFFFFF"/>
        </w:rPr>
        <w:t xml:space="preserve">: </w:t>
      </w:r>
      <w:r w:rsidRPr="00ED2E9E">
        <w:rPr>
          <w:shd w:val="clear" w:color="auto" w:fill="FFFFFF"/>
        </w:rPr>
        <w:t xml:space="preserve">Funkce impulsní odezvy </w:t>
      </w:r>
      <w:r w:rsidR="00374277">
        <w:rPr>
          <w:shd w:val="clear" w:color="auto" w:fill="FFFFFF"/>
        </w:rPr>
        <w:t>na jednotkový šok v ceně ropy</w:t>
      </w:r>
      <w:bookmarkEnd w:id="128"/>
      <w:bookmarkEnd w:id="129"/>
      <w:r w:rsidR="00374277">
        <w:rPr>
          <w:shd w:val="clear" w:color="auto" w:fill="FFFFFF"/>
        </w:rPr>
        <w:t xml:space="preserve"> </w:t>
      </w:r>
    </w:p>
    <w:p w14:paraId="6C1DB0AC" w14:textId="116236DB" w:rsidR="00ED2E9E" w:rsidRPr="00103A2E" w:rsidRDefault="00374277" w:rsidP="00103A2E">
      <w:pPr>
        <w:pStyle w:val="Nadpis3"/>
        <w:jc w:val="center"/>
        <w:rPr>
          <w:rFonts w:ascii="Arial" w:eastAsia="Times New Roman" w:hAnsi="Arial" w:cs="Arial"/>
          <w:color w:val="000000"/>
          <w:lang w:eastAsia="cs-CZ"/>
        </w:rPr>
      </w:pPr>
      <w:bookmarkStart w:id="130" w:name="_Toc61262065"/>
      <w:bookmarkStart w:id="131" w:name="_Toc61262189"/>
      <w:r>
        <w:rPr>
          <w:shd w:val="clear" w:color="auto" w:fill="FFFFFF"/>
        </w:rPr>
        <w:t>v</w:t>
      </w:r>
      <w:r w:rsidR="00AE05E1">
        <w:rPr>
          <w:shd w:val="clear" w:color="auto" w:fill="FFFFFF"/>
        </w:rPr>
        <w:t xml:space="preserve"> </w:t>
      </w:r>
      <w:r w:rsidR="00ED2E9E" w:rsidRPr="00ED2E9E">
        <w:rPr>
          <w:shd w:val="clear" w:color="auto" w:fill="FFFFFF"/>
        </w:rPr>
        <w:t>indexu spotřebitelských cen</w:t>
      </w:r>
      <w:bookmarkEnd w:id="130"/>
      <w:bookmarkEnd w:id="131"/>
    </w:p>
    <w:p w14:paraId="53B01FFF" w14:textId="2E983716" w:rsidR="00ED2E9E" w:rsidRDefault="00ED2E9E" w:rsidP="00103A2E">
      <w:pPr>
        <w:tabs>
          <w:tab w:val="left" w:pos="3161"/>
        </w:tabs>
        <w:ind w:left="284"/>
      </w:pPr>
      <w:r>
        <w:rPr>
          <w:noProof/>
        </w:rPr>
        <w:drawing>
          <wp:inline distT="0" distB="0" distL="0" distR="0" wp14:anchorId="20860A0E" wp14:editId="575DEBB5">
            <wp:extent cx="5814060" cy="2824480"/>
            <wp:effectExtent l="0" t="0" r="15240" b="13970"/>
            <wp:docPr id="12" name="Graf 12">
              <a:extLst xmlns:a="http://schemas.openxmlformats.org/drawingml/2006/main">
                <a:ext uri="{FF2B5EF4-FFF2-40B4-BE49-F238E27FC236}">
                  <a16:creationId xmlns:a16="http://schemas.microsoft.com/office/drawing/2014/main" id="{0F70E3AE-3E08-1A46-80C5-7C3858922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5B49672" w14:textId="4E09BD5A" w:rsidR="004930AB" w:rsidRPr="00E004A5" w:rsidRDefault="004930AB" w:rsidP="004930AB">
      <w:pPr>
        <w:autoSpaceDE w:val="0"/>
        <w:autoSpaceDN w:val="0"/>
        <w:adjustRightInd w:val="0"/>
        <w:spacing w:after="0"/>
        <w:ind w:left="-851" w:right="-612" w:firstLine="851"/>
        <w:jc w:val="center"/>
        <w:rPr>
          <w:rFonts w:ascii="Cambria" w:hAnsi="Cambria"/>
          <w:sz w:val="20"/>
          <w:szCs w:val="20"/>
          <w:shd w:val="clear" w:color="auto" w:fill="FFFFFF"/>
        </w:rPr>
      </w:pPr>
      <w:r w:rsidRPr="00E004A5">
        <w:rPr>
          <w:rFonts w:ascii="Cambria" w:hAnsi="Cambria"/>
          <w:sz w:val="20"/>
          <w:szCs w:val="20"/>
          <w:shd w:val="clear" w:color="auto" w:fill="FFFFFF"/>
        </w:rPr>
        <w:t xml:space="preserve">Zdroj: </w:t>
      </w:r>
      <w:r w:rsidR="00BD3ABF">
        <w:rPr>
          <w:rFonts w:ascii="Cambria" w:hAnsi="Cambria"/>
          <w:sz w:val="20"/>
          <w:szCs w:val="20"/>
          <w:shd w:val="clear" w:color="auto" w:fill="FFFFFF"/>
        </w:rPr>
        <w:t>V</w:t>
      </w:r>
      <w:r>
        <w:rPr>
          <w:rFonts w:ascii="Cambria" w:hAnsi="Cambria"/>
          <w:sz w:val="20"/>
          <w:szCs w:val="20"/>
          <w:shd w:val="clear" w:color="auto" w:fill="FFFFFF"/>
        </w:rPr>
        <w:t>lastní</w:t>
      </w:r>
      <w:r w:rsidR="00103A2E">
        <w:rPr>
          <w:rFonts w:ascii="Cambria" w:hAnsi="Cambria"/>
          <w:sz w:val="20"/>
          <w:szCs w:val="20"/>
          <w:shd w:val="clear" w:color="auto" w:fill="FFFFFF"/>
        </w:rPr>
        <w:t>.</w:t>
      </w:r>
    </w:p>
    <w:p w14:paraId="1417083A" w14:textId="0181B68E" w:rsidR="004930AB" w:rsidRDefault="004930AB">
      <w:r>
        <w:br w:type="page"/>
      </w:r>
    </w:p>
    <w:p w14:paraId="720C6AD1" w14:textId="5D4245E1" w:rsidR="000F3F02" w:rsidRPr="00010205" w:rsidRDefault="00A93F64" w:rsidP="00103A2E">
      <w:pPr>
        <w:tabs>
          <w:tab w:val="left" w:pos="3161"/>
        </w:tabs>
        <w:jc w:val="right"/>
      </w:pPr>
      <w:r w:rsidRPr="00A93F64">
        <w:rPr>
          <w:noProof/>
          <w:lang w:eastAsia="cs-CZ"/>
        </w:rPr>
        <w:lastRenderedPageBreak/>
        <w:t xml:space="preserve">   </w:t>
      </w:r>
      <w:r w:rsidR="00242F71">
        <w:rPr>
          <w:noProof/>
          <w:lang w:eastAsia="cs-CZ"/>
        </w:rPr>
        <w:drawing>
          <wp:inline distT="0" distB="0" distL="0" distR="0" wp14:anchorId="195E4E36" wp14:editId="51EB21C4">
            <wp:extent cx="1362803" cy="1343608"/>
            <wp:effectExtent l="0" t="0" r="0" b="317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MV_black_transparent.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384138" cy="1364642"/>
                    </a:xfrm>
                    <a:prstGeom prst="rect">
                      <a:avLst/>
                    </a:prstGeom>
                  </pic:spPr>
                </pic:pic>
              </a:graphicData>
            </a:graphic>
          </wp:inline>
        </w:drawing>
      </w:r>
    </w:p>
    <w:sectPr w:rsidR="000F3F02" w:rsidRPr="00010205" w:rsidSect="006B69B0">
      <w:pgSz w:w="11906" w:h="16838"/>
      <w:pgMar w:top="681" w:right="1134" w:bottom="1134" w:left="1134" w:header="243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B2E62" w14:textId="77777777" w:rsidR="00136BAD" w:rsidRDefault="00136BAD" w:rsidP="006500EC">
      <w:pPr>
        <w:spacing w:after="0" w:line="240" w:lineRule="auto"/>
      </w:pPr>
      <w:r>
        <w:separator/>
      </w:r>
    </w:p>
  </w:endnote>
  <w:endnote w:type="continuationSeparator" w:id="0">
    <w:p w14:paraId="254D591F" w14:textId="77777777" w:rsidR="00136BAD" w:rsidRDefault="00136BAD" w:rsidP="0065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SourceSansPro-Regular">
    <w:altName w:val="Calibri"/>
    <w:panose1 w:val="020B0604020202020204"/>
    <w:charset w:val="4D"/>
    <w:family w:val="auto"/>
    <w:pitch w:val="default"/>
    <w:sig w:usb0="00000003" w:usb1="00000000" w:usb2="00000000" w:usb3="00000000" w:csb0="00000001" w:csb1="00000000"/>
  </w:font>
  <w:font w:name="Charis SIL">
    <w:altName w:val="Charis SIL"/>
    <w:panose1 w:val="020B0604020202020204"/>
    <w:charset w:val="00"/>
    <w:family w:val="swiss"/>
    <w:notTrueType/>
    <w:pitch w:val="default"/>
    <w:sig w:usb0="00000003" w:usb1="00000000" w:usb2="00000000" w:usb3="00000000" w:csb0="00000001" w:csb1="00000000"/>
  </w:font>
  <w:font w:name="TimesCE-Roman">
    <w:altName w:val="MS Mincho"/>
    <w:panose1 w:val="020B0604020202020204"/>
    <w:charset w:val="80"/>
    <w:family w:val="auto"/>
    <w:notTrueType/>
    <w:pitch w:val="default"/>
    <w:sig w:usb0="00000001" w:usb1="08070000" w:usb2="00000010" w:usb3="00000000" w:csb0="00020000" w:csb1="00000000"/>
  </w:font>
  <w:font w:name="HurmeGeometricSans4 Regular">
    <w:altName w:val="Arial"/>
    <w:panose1 w:val="020B0604020202020204"/>
    <w:charset w:val="00"/>
    <w:family w:val="swiss"/>
    <w:notTrueType/>
    <w:pitch w:val="variable"/>
    <w:sig w:usb0="A000002F" w:usb1="4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Adobe Garamond Pro">
    <w:altName w:val="Garamond"/>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38EE2" w14:textId="77777777" w:rsidR="00683648" w:rsidRDefault="006836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3BA5" w14:textId="77777777" w:rsidR="00DA5BF3" w:rsidRDefault="00DA5BF3" w:rsidP="00DC631B">
    <w:pPr>
      <w:pStyle w:val="Zpat1"/>
    </w:pPr>
    <w:r>
      <w:rPr>
        <w:noProof/>
        <w:lang w:eastAsia="cs-CZ"/>
      </w:rPr>
      <mc:AlternateContent>
        <mc:Choice Requires="wps">
          <w:drawing>
            <wp:anchor distT="0" distB="0" distL="114300" distR="114300" simplePos="0" relativeHeight="251672576" behindDoc="0" locked="0" layoutInCell="1" allowOverlap="1" wp14:anchorId="0F8D84D7" wp14:editId="432DEF8B">
              <wp:simplePos x="0" y="0"/>
              <wp:positionH relativeFrom="column">
                <wp:posOffset>-60727</wp:posOffset>
              </wp:positionH>
              <wp:positionV relativeFrom="paragraph">
                <wp:posOffset>15396</wp:posOffset>
              </wp:positionV>
              <wp:extent cx="4397829" cy="523875"/>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4397829" cy="523875"/>
                      </a:xfrm>
                      <a:prstGeom prst="rect">
                        <a:avLst/>
                      </a:prstGeom>
                      <a:solidFill>
                        <a:schemeClr val="lt1"/>
                      </a:solidFill>
                      <a:ln w="6350">
                        <a:noFill/>
                      </a:ln>
                    </wps:spPr>
                    <wps:txbx>
                      <w:txbxContent>
                        <w:p w14:paraId="673C31CC" w14:textId="5A342014" w:rsidR="00DA5BF3" w:rsidRPr="005B31F1" w:rsidRDefault="00DA5BF3" w:rsidP="005B31F1">
                          <w:pPr>
                            <w:spacing w:before="120" w:after="0"/>
                            <w:ind w:right="-1974"/>
                            <w:rPr>
                              <w:rFonts w:ascii="Cambria" w:hAnsi="Cambria"/>
                              <w:sz w:val="16"/>
                              <w:szCs w:val="16"/>
                            </w:rPr>
                          </w:pPr>
                          <w:r w:rsidRPr="005B31F1">
                            <w:rPr>
                              <w:rFonts w:eastAsia="Times New Roman" w:cs="Times New Roman"/>
                              <w:color w:val="333333"/>
                              <w:sz w:val="16"/>
                              <w:szCs w:val="16"/>
                              <w:lang w:eastAsia="cs-CZ"/>
                            </w:rPr>
                            <w:t>TITDMZV930MT01</w:t>
                          </w:r>
                          <w:r w:rsidRPr="005B31F1">
                            <w:rPr>
                              <w:rFonts w:ascii="Cambria" w:hAnsi="Cambria"/>
                              <w:sz w:val="16"/>
                              <w:szCs w:val="16"/>
                            </w:rPr>
                            <w:t xml:space="preserve"> </w:t>
                          </w:r>
                          <w:r>
                            <w:rPr>
                              <w:rFonts w:ascii="Cambria" w:hAnsi="Cambria"/>
                              <w:sz w:val="16"/>
                              <w:szCs w:val="16"/>
                            </w:rPr>
                            <w:t xml:space="preserve">– </w:t>
                          </w:r>
                          <w:r w:rsidRPr="005B31F1">
                            <w:rPr>
                              <w:rFonts w:eastAsia="Times New Roman" w:cs="Times New Roman"/>
                              <w:color w:val="333333"/>
                              <w:sz w:val="16"/>
                              <w:szCs w:val="16"/>
                              <w:lang w:eastAsia="cs-CZ"/>
                            </w:rPr>
                            <w:t>Pokles cen ropy: Výzkum dopadů na producentské státy v sousedství EU</w:t>
                          </w:r>
                        </w:p>
                        <w:p w14:paraId="0B4F4DDB" w14:textId="1F135B54" w:rsidR="00DA5BF3" w:rsidRPr="005D17E1" w:rsidRDefault="00DA5BF3" w:rsidP="005B31F1">
                          <w:pPr>
                            <w:spacing w:after="0"/>
                            <w:ind w:right="-1974"/>
                            <w:rPr>
                              <w:rFonts w:ascii="Cambria" w:hAnsi="Cambria"/>
                              <w:i/>
                              <w:sz w:val="16"/>
                              <w:szCs w:val="16"/>
                            </w:rPr>
                          </w:pPr>
                          <w:r w:rsidRPr="005D17E1">
                            <w:rPr>
                              <w:rFonts w:ascii="Cambria" w:hAnsi="Cambria"/>
                              <w:i/>
                              <w:sz w:val="16"/>
                              <w:szCs w:val="16"/>
                            </w:rPr>
                            <w:t xml:space="preserve">Poslední revize dokumentu: </w:t>
                          </w:r>
                          <w:r w:rsidR="00683648">
                            <w:rPr>
                              <w:rFonts w:ascii="Cambria" w:hAnsi="Cambria"/>
                              <w:i/>
                              <w:sz w:val="16"/>
                              <w:szCs w:val="16"/>
                            </w:rPr>
                            <w:t>21</w:t>
                          </w:r>
                          <w:r w:rsidRPr="005D17E1">
                            <w:rPr>
                              <w:rFonts w:ascii="Cambria" w:hAnsi="Cambria"/>
                              <w:i/>
                              <w:sz w:val="16"/>
                              <w:szCs w:val="16"/>
                            </w:rPr>
                            <w:t xml:space="preserve">. </w:t>
                          </w:r>
                          <w:r>
                            <w:rPr>
                              <w:rFonts w:ascii="Cambria" w:hAnsi="Cambria"/>
                              <w:i/>
                              <w:sz w:val="16"/>
                              <w:szCs w:val="16"/>
                            </w:rPr>
                            <w:t>1</w:t>
                          </w:r>
                          <w:r w:rsidRPr="005D17E1">
                            <w:rPr>
                              <w:rFonts w:ascii="Cambria" w:hAnsi="Cambria"/>
                              <w:i/>
                              <w:sz w:val="16"/>
                              <w:szCs w:val="16"/>
                            </w:rPr>
                            <w:t>. 20</w:t>
                          </w:r>
                          <w:r>
                            <w:rPr>
                              <w:rFonts w:ascii="Cambria" w:hAnsi="Cambria"/>
                              <w:i/>
                              <w:sz w:val="16"/>
                              <w:szCs w:val="16"/>
                            </w:rPr>
                            <w:t>21</w:t>
                          </w:r>
                        </w:p>
                        <w:p w14:paraId="7C6A8FDD" w14:textId="77777777" w:rsidR="00DA5BF3" w:rsidRDefault="00DA5BF3" w:rsidP="005B31F1">
                          <w:pPr>
                            <w:ind w:right="-197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D84D7" id="_x0000_t202" coordsize="21600,21600" o:spt="202" path="m,l,21600r21600,l21600,xe">
              <v:stroke joinstyle="miter"/>
              <v:path gradientshapeok="t" o:connecttype="rect"/>
            </v:shapetype>
            <v:shape id="Textové pole 10" o:spid="_x0000_s1029" type="#_x0000_t202" style="position:absolute;left:0;text-align:left;margin-left:-4.8pt;margin-top:1.2pt;width:346.3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" fillcolor="white [3201]" stroked="f" strokeweight=".5pt">
              <v:textbox>
                <w:txbxContent>
                  <w:p w14:paraId="673C31CC" w14:textId="5A342014" w:rsidR="00DA5BF3" w:rsidRPr="005B31F1" w:rsidRDefault="00DA5BF3" w:rsidP="005B31F1">
                    <w:pPr>
                      <w:spacing w:before="120" w:after="0"/>
                      <w:ind w:right="-1974"/>
                      <w:rPr>
                        <w:rFonts w:ascii="Cambria" w:hAnsi="Cambria"/>
                        <w:sz w:val="16"/>
                        <w:szCs w:val="16"/>
                      </w:rPr>
                    </w:pPr>
                    <w:r w:rsidRPr="005B31F1">
                      <w:rPr>
                        <w:rFonts w:eastAsia="Times New Roman" w:cs="Times New Roman"/>
                        <w:color w:val="333333"/>
                        <w:sz w:val="16"/>
                        <w:szCs w:val="16"/>
                        <w:lang w:eastAsia="cs-CZ"/>
                      </w:rPr>
                      <w:t>TITDMZV930MT01</w:t>
                    </w:r>
                    <w:r w:rsidRPr="005B31F1">
                      <w:rPr>
                        <w:rFonts w:ascii="Cambria" w:hAnsi="Cambria"/>
                        <w:sz w:val="16"/>
                        <w:szCs w:val="16"/>
                      </w:rPr>
                      <w:t xml:space="preserve"> </w:t>
                    </w:r>
                    <w:r>
                      <w:rPr>
                        <w:rFonts w:ascii="Cambria" w:hAnsi="Cambria"/>
                        <w:sz w:val="16"/>
                        <w:szCs w:val="16"/>
                      </w:rPr>
                      <w:t xml:space="preserve">– </w:t>
                    </w:r>
                    <w:r w:rsidRPr="005B31F1">
                      <w:rPr>
                        <w:rFonts w:eastAsia="Times New Roman" w:cs="Times New Roman"/>
                        <w:color w:val="333333"/>
                        <w:sz w:val="16"/>
                        <w:szCs w:val="16"/>
                        <w:lang w:eastAsia="cs-CZ"/>
                      </w:rPr>
                      <w:t>Pokles cen ropy: Výzkum dopadů na producentské státy v sousedství EU</w:t>
                    </w:r>
                  </w:p>
                  <w:p w14:paraId="0B4F4DDB" w14:textId="1F135B54" w:rsidR="00DA5BF3" w:rsidRPr="005D17E1" w:rsidRDefault="00DA5BF3" w:rsidP="005B31F1">
                    <w:pPr>
                      <w:spacing w:after="0"/>
                      <w:ind w:right="-1974"/>
                      <w:rPr>
                        <w:rFonts w:ascii="Cambria" w:hAnsi="Cambria"/>
                        <w:i/>
                        <w:sz w:val="16"/>
                        <w:szCs w:val="16"/>
                      </w:rPr>
                    </w:pPr>
                    <w:r w:rsidRPr="005D17E1">
                      <w:rPr>
                        <w:rFonts w:ascii="Cambria" w:hAnsi="Cambria"/>
                        <w:i/>
                        <w:sz w:val="16"/>
                        <w:szCs w:val="16"/>
                      </w:rPr>
                      <w:t xml:space="preserve">Poslední revize dokumentu: </w:t>
                    </w:r>
                    <w:r w:rsidR="00683648">
                      <w:rPr>
                        <w:rFonts w:ascii="Cambria" w:hAnsi="Cambria"/>
                        <w:i/>
                        <w:sz w:val="16"/>
                        <w:szCs w:val="16"/>
                      </w:rPr>
                      <w:t>21</w:t>
                    </w:r>
                    <w:r w:rsidRPr="005D17E1">
                      <w:rPr>
                        <w:rFonts w:ascii="Cambria" w:hAnsi="Cambria"/>
                        <w:i/>
                        <w:sz w:val="16"/>
                        <w:szCs w:val="16"/>
                      </w:rPr>
                      <w:t xml:space="preserve">. </w:t>
                    </w:r>
                    <w:r>
                      <w:rPr>
                        <w:rFonts w:ascii="Cambria" w:hAnsi="Cambria"/>
                        <w:i/>
                        <w:sz w:val="16"/>
                        <w:szCs w:val="16"/>
                      </w:rPr>
                      <w:t>1</w:t>
                    </w:r>
                    <w:r w:rsidRPr="005D17E1">
                      <w:rPr>
                        <w:rFonts w:ascii="Cambria" w:hAnsi="Cambria"/>
                        <w:i/>
                        <w:sz w:val="16"/>
                        <w:szCs w:val="16"/>
                      </w:rPr>
                      <w:t>. 20</w:t>
                    </w:r>
                    <w:r>
                      <w:rPr>
                        <w:rFonts w:ascii="Cambria" w:hAnsi="Cambria"/>
                        <w:i/>
                        <w:sz w:val="16"/>
                        <w:szCs w:val="16"/>
                      </w:rPr>
                      <w:t>21</w:t>
                    </w:r>
                  </w:p>
                  <w:p w14:paraId="7C6A8FDD" w14:textId="77777777" w:rsidR="00DA5BF3" w:rsidRDefault="00DA5BF3" w:rsidP="005B31F1">
                    <w:pPr>
                      <w:ind w:right="-1974"/>
                    </w:pPr>
                  </w:p>
                </w:txbxContent>
              </v:textbox>
            </v:shape>
          </w:pict>
        </mc:Fallback>
      </mc:AlternateContent>
    </w:r>
  </w:p>
  <w:p w14:paraId="3FBDFDE9" w14:textId="77777777" w:rsidR="00DA5BF3" w:rsidRPr="00DC631B" w:rsidRDefault="00DA5BF3" w:rsidP="00DC631B">
    <w:pPr>
      <w:pStyle w:val="Zpat1"/>
    </w:pPr>
  </w:p>
  <w:p w14:paraId="76C2ACBB" w14:textId="61FD2FE8" w:rsidR="00DA5BF3" w:rsidRPr="00DC631B" w:rsidRDefault="00DA5BF3" w:rsidP="00DC631B">
    <w:pPr>
      <w:pStyle w:val="Zpat1"/>
    </w:pPr>
    <w:r w:rsidRPr="00DC631B">
      <w:t xml:space="preserve">Strana </w:t>
    </w:r>
    <w:r w:rsidRPr="00DC631B">
      <w:fldChar w:fldCharType="begin"/>
    </w:r>
    <w:r w:rsidRPr="00DC631B">
      <w:instrText xml:space="preserve"> PAGE   \* MERGEFORMAT </w:instrText>
    </w:r>
    <w:r w:rsidRPr="00DC631B">
      <w:fldChar w:fldCharType="separate"/>
    </w:r>
    <w:r>
      <w:rPr>
        <w:noProof/>
      </w:rPr>
      <w:t>26</w:t>
    </w:r>
    <w:r w:rsidRPr="00DC631B">
      <w:fldChar w:fldCharType="end"/>
    </w:r>
    <w:r w:rsidRPr="00DC631B">
      <w:t>/</w:t>
    </w:r>
    <w:r>
      <w:rPr>
        <w:noProof/>
      </w:rPr>
      <w:fldChar w:fldCharType="begin"/>
    </w:r>
    <w:r>
      <w:rPr>
        <w:noProof/>
      </w:rPr>
      <w:instrText xml:space="preserve"> NUMPAGES  \* Arabic  \* MERGEFORMAT </w:instrText>
    </w:r>
    <w:r>
      <w:rPr>
        <w:noProof/>
      </w:rPr>
      <w:fldChar w:fldCharType="separate"/>
    </w:r>
    <w:r>
      <w:rPr>
        <w:noProof/>
      </w:rPr>
      <w:t>40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A5F4" w14:textId="77777777" w:rsidR="00683648" w:rsidRDefault="006836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B6A56" w14:textId="77777777" w:rsidR="00136BAD" w:rsidRDefault="00136BAD" w:rsidP="006500EC">
      <w:pPr>
        <w:spacing w:after="0" w:line="240" w:lineRule="auto"/>
      </w:pPr>
      <w:r>
        <w:separator/>
      </w:r>
    </w:p>
  </w:footnote>
  <w:footnote w:type="continuationSeparator" w:id="0">
    <w:p w14:paraId="314424E8" w14:textId="77777777" w:rsidR="00136BAD" w:rsidRDefault="00136BAD" w:rsidP="006500EC">
      <w:pPr>
        <w:spacing w:after="0" w:line="240" w:lineRule="auto"/>
      </w:pPr>
      <w:r>
        <w:continuationSeparator/>
      </w:r>
    </w:p>
  </w:footnote>
  <w:footnote w:id="1">
    <w:p w14:paraId="4863E8F7" w14:textId="77777777" w:rsidR="00DA5BF3" w:rsidRPr="00582348" w:rsidRDefault="00DA5BF3" w:rsidP="0012130D">
      <w:pPr>
        <w:pStyle w:val="Textpoznpodarou"/>
        <w:jc w:val="both"/>
      </w:pPr>
      <w:r w:rsidRPr="00582348">
        <w:rPr>
          <w:rStyle w:val="Znakapoznpodarou"/>
        </w:rPr>
        <w:footnoteRef/>
      </w:r>
      <w:r w:rsidRPr="00582348">
        <w:t xml:space="preserve"> </w:t>
      </w:r>
      <w:r w:rsidRPr="00582348">
        <w:rPr>
          <w:rStyle w:val="tlid-translation"/>
        </w:rPr>
        <w:t>S podporou EU kladou členské státy elektrické vedení přes Středozemní moře až k Magrebu.</w:t>
      </w:r>
    </w:p>
  </w:footnote>
  <w:footnote w:id="2">
    <w:p w14:paraId="00D358D2" w14:textId="486BD4A2" w:rsidR="00DA5BF3" w:rsidRPr="00582348" w:rsidRDefault="00DA5BF3" w:rsidP="0012130D">
      <w:pPr>
        <w:pStyle w:val="Textpoznpodarou"/>
        <w:jc w:val="both"/>
      </w:pPr>
      <w:r w:rsidRPr="00582348">
        <w:rPr>
          <w:rStyle w:val="Znakapoznpodarou"/>
        </w:rPr>
        <w:footnoteRef/>
      </w:r>
      <w:r w:rsidRPr="00582348">
        <w:t xml:space="preserve"> </w:t>
      </w:r>
      <w:r w:rsidRPr="00582348">
        <w:rPr>
          <w:rFonts w:cstheme="minorHAnsi"/>
        </w:rPr>
        <w:t>Viz graf 2-3 v Příloze 2.</w:t>
      </w:r>
    </w:p>
  </w:footnote>
  <w:footnote w:id="3">
    <w:p w14:paraId="099AEAD6" w14:textId="4104E409" w:rsidR="00DA5BF3" w:rsidRPr="00582348" w:rsidRDefault="00DA5BF3" w:rsidP="0012130D">
      <w:pPr>
        <w:pStyle w:val="Textpoznpodarou"/>
        <w:jc w:val="both"/>
        <w:rPr>
          <w:rFonts w:cstheme="minorHAnsi"/>
        </w:rPr>
      </w:pPr>
      <w:r w:rsidRPr="00582348">
        <w:rPr>
          <w:rStyle w:val="Znakapoznpodarou"/>
          <w:rFonts w:cstheme="minorHAnsi"/>
        </w:rPr>
        <w:footnoteRef/>
      </w:r>
      <w:r w:rsidRPr="00582348">
        <w:rPr>
          <w:rFonts w:cstheme="minorHAnsi"/>
        </w:rPr>
        <w:t xml:space="preserve"> </w:t>
      </w:r>
      <w:r w:rsidRPr="00582348">
        <w:rPr>
          <w:rFonts w:cstheme="minorHAnsi"/>
          <w:color w:val="000000" w:themeColor="text1"/>
          <w:shd w:val="clear" w:color="auto" w:fill="FFFFFF"/>
        </w:rPr>
        <w:t>Oproti skutečnosti trhy očekávaly v tomto období jeho 4,5% snížení.</w:t>
      </w:r>
    </w:p>
  </w:footnote>
  <w:footnote w:id="4">
    <w:p w14:paraId="2F4D6C27" w14:textId="194B06FA" w:rsidR="00DA5BF3" w:rsidRPr="00582348" w:rsidRDefault="00DA5BF3" w:rsidP="0012130D">
      <w:pPr>
        <w:pStyle w:val="Textpoznpodarou"/>
        <w:jc w:val="both"/>
      </w:pPr>
      <w:r w:rsidRPr="00582348">
        <w:rPr>
          <w:rStyle w:val="Znakapoznpodarou"/>
        </w:rPr>
        <w:footnoteRef/>
      </w:r>
      <w:r w:rsidRPr="00582348">
        <w:t xml:space="preserve"> Viz graf 2-1 v Př</w:t>
      </w:r>
      <w:r>
        <w:t>í</w:t>
      </w:r>
      <w:r w:rsidRPr="00582348">
        <w:t>loze 2.</w:t>
      </w:r>
    </w:p>
  </w:footnote>
  <w:footnote w:id="5">
    <w:p w14:paraId="52919AF9" w14:textId="7C9571C6" w:rsidR="00DA5BF3" w:rsidRPr="00582348" w:rsidRDefault="00DA5BF3" w:rsidP="0012130D">
      <w:pPr>
        <w:spacing w:after="0" w:line="240" w:lineRule="auto"/>
        <w:jc w:val="both"/>
        <w:rPr>
          <w:rFonts w:cstheme="minorHAnsi"/>
          <w:sz w:val="20"/>
          <w:szCs w:val="20"/>
        </w:rPr>
      </w:pPr>
      <w:r w:rsidRPr="00582348">
        <w:rPr>
          <w:rStyle w:val="Znakapoznpodarou"/>
          <w:rFonts w:cstheme="minorHAnsi"/>
          <w:sz w:val="20"/>
          <w:szCs w:val="20"/>
        </w:rPr>
        <w:footnoteRef/>
      </w:r>
      <w:r w:rsidRPr="00582348">
        <w:rPr>
          <w:rFonts w:cstheme="minorHAnsi"/>
          <w:sz w:val="20"/>
          <w:szCs w:val="20"/>
        </w:rPr>
        <w:t xml:space="preserve"> Kromě výkyvu cen ropy pokles růstu v Rusku může být také dán rovněž napětím v rozvahách firem a růstem nesplácených půjček v jejich bankách.</w:t>
      </w:r>
    </w:p>
  </w:footnote>
  <w:footnote w:id="6">
    <w:p w14:paraId="414674DD" w14:textId="093620D0" w:rsidR="00DA5BF3" w:rsidRPr="00582348" w:rsidRDefault="00DA5BF3" w:rsidP="0012130D">
      <w:pPr>
        <w:pStyle w:val="Textpoznpodarou"/>
        <w:jc w:val="both"/>
      </w:pPr>
      <w:r w:rsidRPr="00582348">
        <w:rPr>
          <w:rStyle w:val="Znakapoznpodarou"/>
        </w:rPr>
        <w:footnoteRef/>
      </w:r>
      <w:r w:rsidRPr="00582348">
        <w:t xml:space="preserve"> </w:t>
      </w:r>
      <w:r w:rsidRPr="00582348">
        <w:rPr>
          <w:rFonts w:cstheme="minorHAnsi"/>
          <w:color w:val="000000" w:themeColor="text1"/>
          <w:shd w:val="clear" w:color="auto" w:fill="FFFFFF"/>
        </w:rPr>
        <w:t xml:space="preserve">Viz graf 2-2 v Příloze 2. </w:t>
      </w:r>
    </w:p>
  </w:footnote>
  <w:footnote w:id="7">
    <w:p w14:paraId="570DACE6" w14:textId="77777777" w:rsidR="00DA5BF3" w:rsidRPr="00414B8E" w:rsidRDefault="00DA5BF3" w:rsidP="00414B8E">
      <w:pPr>
        <w:jc w:val="both"/>
        <w:rPr>
          <w:color w:val="000000" w:themeColor="text1"/>
          <w:sz w:val="20"/>
          <w:szCs w:val="20"/>
        </w:rPr>
      </w:pPr>
      <w:r>
        <w:rPr>
          <w:rStyle w:val="Znakapoznpodarou"/>
        </w:rPr>
        <w:footnoteRef/>
      </w:r>
      <w:r>
        <w:t xml:space="preserve"> </w:t>
      </w:r>
      <w:r w:rsidRPr="00414B8E">
        <w:rPr>
          <w:color w:val="000000" w:themeColor="text1"/>
          <w:sz w:val="20"/>
          <w:szCs w:val="20"/>
        </w:rPr>
        <w:t>Poznámka: data pro rok 2020 jsou od října předběžné odhady.</w:t>
      </w:r>
    </w:p>
    <w:p w14:paraId="4A794091" w14:textId="42AEDDCE" w:rsidR="00DA5BF3" w:rsidRDefault="00DA5BF3">
      <w:pPr>
        <w:pStyle w:val="Textpoznpodarou"/>
      </w:pPr>
    </w:p>
  </w:footnote>
  <w:footnote w:id="8">
    <w:p w14:paraId="4A4F88BC" w14:textId="4CF31D9F" w:rsidR="00DA5BF3" w:rsidRDefault="00DA5BF3">
      <w:pPr>
        <w:pStyle w:val="Textpoznpodarou"/>
      </w:pPr>
      <w:r>
        <w:rPr>
          <w:rStyle w:val="Znakapoznpodarou"/>
        </w:rPr>
        <w:footnoteRef/>
      </w:r>
      <w:r>
        <w:t xml:space="preserve"> </w:t>
      </w:r>
      <w:r w:rsidRPr="00671343">
        <w:rPr>
          <w:rFonts w:cstheme="minorHAnsi"/>
          <w:sz w:val="24"/>
          <w:szCs w:val="24"/>
        </w:rPr>
        <w:t>Naopak</w:t>
      </w:r>
      <w:r>
        <w:rPr>
          <w:rFonts w:cstheme="minorHAnsi"/>
          <w:sz w:val="24"/>
          <w:szCs w:val="24"/>
        </w:rPr>
        <w:t xml:space="preserve"> zaostává</w:t>
      </w:r>
      <w:r w:rsidRPr="00671343">
        <w:rPr>
          <w:rFonts w:cstheme="minorHAnsi"/>
          <w:sz w:val="24"/>
          <w:szCs w:val="24"/>
        </w:rPr>
        <w:t xml:space="preserve"> růst výdajů v sociální sféře (</w:t>
      </w:r>
      <w:r w:rsidRPr="00671343">
        <w:rPr>
          <w:rFonts w:cstheme="minorHAnsi"/>
          <w:sz w:val="24"/>
          <w:szCs w:val="24"/>
        </w:rPr>
        <w:t>Ekspert 2020).</w:t>
      </w:r>
    </w:p>
  </w:footnote>
  <w:footnote w:id="9">
    <w:p w14:paraId="30565985" w14:textId="5FECDC13" w:rsidR="00DA5BF3" w:rsidRPr="00B61C3D" w:rsidRDefault="00DA5BF3" w:rsidP="0012130D">
      <w:pPr>
        <w:pStyle w:val="Textpoznpodarou"/>
        <w:jc w:val="both"/>
      </w:pPr>
      <w:r>
        <w:rPr>
          <w:rStyle w:val="Znakapoznpodarou"/>
        </w:rPr>
        <w:footnoteRef/>
      </w:r>
      <w:r>
        <w:t xml:space="preserve"> </w:t>
      </w:r>
      <w:r w:rsidRPr="00B61C3D">
        <w:rPr>
          <w:rFonts w:cstheme="minorHAnsi"/>
        </w:rPr>
        <w:t xml:space="preserve">Je to v první řadě prudký růst cen exportních komodit, </w:t>
      </w:r>
      <w:r>
        <w:rPr>
          <w:rFonts w:cstheme="minorHAnsi"/>
        </w:rPr>
        <w:t>který</w:t>
      </w:r>
      <w:r w:rsidRPr="00B61C3D">
        <w:rPr>
          <w:rFonts w:cstheme="minorHAnsi"/>
        </w:rPr>
        <w:t xml:space="preserve"> prohlubuje regionální diferenciaci v Rusku.</w:t>
      </w:r>
    </w:p>
  </w:footnote>
  <w:footnote w:id="10">
    <w:p w14:paraId="778F73A3" w14:textId="10B73805" w:rsidR="00DA5BF3" w:rsidRPr="00582348" w:rsidRDefault="00DA5BF3" w:rsidP="0012130D">
      <w:pPr>
        <w:spacing w:after="0" w:line="240" w:lineRule="auto"/>
        <w:jc w:val="both"/>
        <w:rPr>
          <w:rFonts w:cstheme="minorHAnsi"/>
          <w:sz w:val="20"/>
          <w:szCs w:val="20"/>
        </w:rPr>
      </w:pPr>
      <w:r w:rsidRPr="00582348">
        <w:rPr>
          <w:rStyle w:val="Znakapoznpodarou"/>
          <w:rFonts w:cstheme="minorHAnsi"/>
          <w:sz w:val="20"/>
          <w:szCs w:val="20"/>
        </w:rPr>
        <w:footnoteRef/>
      </w:r>
      <w:r w:rsidRPr="00582348">
        <w:rPr>
          <w:rFonts w:cstheme="minorHAnsi"/>
          <w:sz w:val="20"/>
          <w:szCs w:val="20"/>
        </w:rPr>
        <w:t xml:space="preserve"> V posledních dvou letech podle průzkumu centra </w:t>
      </w:r>
      <w:r w:rsidRPr="00582348">
        <w:rPr>
          <w:rFonts w:cstheme="minorHAnsi"/>
          <w:sz w:val="20"/>
          <w:szCs w:val="20"/>
        </w:rPr>
        <w:t>Levada značně vzrostl počet lidí, kteří si myslí, že země jde špatnou cestou. Tento trend se ovšem objevil</w:t>
      </w:r>
      <w:r>
        <w:rPr>
          <w:rFonts w:cstheme="minorHAnsi"/>
          <w:sz w:val="20"/>
          <w:szCs w:val="20"/>
        </w:rPr>
        <w:t xml:space="preserve"> už</w:t>
      </w:r>
      <w:r w:rsidRPr="00582348">
        <w:rPr>
          <w:rFonts w:cstheme="minorHAnsi"/>
          <w:sz w:val="20"/>
          <w:szCs w:val="20"/>
        </w:rPr>
        <w:t xml:space="preserve"> před krizí COVID-19 a propadem cen ropy. Současná epidemie ho pouze mírně zesílila. K říjnu se něco přes 40 % dotázaných domnívalo, že věci jdou špatným směrem. Za předešlou dekádu se tyto hodnoty objevily v období mezi lety 2010 a 2013, které se </w:t>
      </w:r>
      <w:r>
        <w:rPr>
          <w:rFonts w:cstheme="minorHAnsi"/>
          <w:sz w:val="20"/>
          <w:szCs w:val="20"/>
        </w:rPr>
        <w:t>vyznačovalo</w:t>
      </w:r>
      <w:r w:rsidRPr="00582348">
        <w:rPr>
          <w:rFonts w:cstheme="minorHAnsi"/>
          <w:sz w:val="20"/>
          <w:szCs w:val="20"/>
        </w:rPr>
        <w:t xml:space="preserve"> masovými protesty, a rovněž během ekonomické krize v roce 2009. Naopak zhruba 50 % obyvatel se domnívá, že se věci v zemi </w:t>
      </w:r>
      <w:r>
        <w:rPr>
          <w:rFonts w:cstheme="minorHAnsi"/>
          <w:sz w:val="20"/>
          <w:szCs w:val="20"/>
        </w:rPr>
        <w:t>u</w:t>
      </w:r>
      <w:r w:rsidRPr="00582348">
        <w:rPr>
          <w:rFonts w:cstheme="minorHAnsi"/>
          <w:sz w:val="20"/>
          <w:szCs w:val="20"/>
        </w:rPr>
        <w:t xml:space="preserve">bírají správným směrem (Levada Centr 2020a). Vysokých hodnot dosahuje společenské očekávání protestů (Levada Centr 2020a). </w:t>
      </w:r>
      <w:r>
        <w:rPr>
          <w:rFonts w:cstheme="minorHAnsi"/>
          <w:sz w:val="20"/>
          <w:szCs w:val="20"/>
        </w:rPr>
        <w:t xml:space="preserve">Dle výzkumu se </w:t>
      </w:r>
      <w:r w:rsidRPr="00582348">
        <w:rPr>
          <w:rFonts w:cstheme="minorHAnsi"/>
          <w:sz w:val="20"/>
          <w:szCs w:val="20"/>
        </w:rPr>
        <w:t xml:space="preserve">30 % lidí domnívá, že lze očekávat protesty spojené s ekonomickými požadavky. Přesto jejich počet se za poslední dva roky snížil: dvacetiletý vrchol v hodnotě 41 % byl zaznamenán v červenci 2018. Nicméně kritické hodnoty dosahuje ukazatel, který zaznamenává podíl </w:t>
      </w:r>
      <w:r>
        <w:rPr>
          <w:rFonts w:cstheme="minorHAnsi"/>
          <w:sz w:val="20"/>
          <w:szCs w:val="20"/>
        </w:rPr>
        <w:t>potenciálních účastníků protestů</w:t>
      </w:r>
      <w:r w:rsidRPr="00582348">
        <w:rPr>
          <w:rFonts w:cstheme="minorHAnsi"/>
          <w:sz w:val="20"/>
          <w:szCs w:val="20"/>
        </w:rPr>
        <w:t>. Ten je</w:t>
      </w:r>
      <w:r>
        <w:rPr>
          <w:rFonts w:cstheme="minorHAnsi"/>
          <w:sz w:val="20"/>
          <w:szCs w:val="20"/>
        </w:rPr>
        <w:t>,</w:t>
      </w:r>
      <w:r w:rsidRPr="00582348">
        <w:rPr>
          <w:rFonts w:cstheme="minorHAnsi"/>
          <w:sz w:val="20"/>
          <w:szCs w:val="20"/>
        </w:rPr>
        <w:t xml:space="preserve"> s výjimkou v roce 1998</w:t>
      </w:r>
      <w:r>
        <w:rPr>
          <w:rFonts w:cstheme="minorHAnsi"/>
          <w:sz w:val="20"/>
          <w:szCs w:val="20"/>
        </w:rPr>
        <w:t>,</w:t>
      </w:r>
      <w:r w:rsidRPr="00582348">
        <w:rPr>
          <w:rFonts w:cstheme="minorHAnsi"/>
          <w:sz w:val="20"/>
          <w:szCs w:val="20"/>
        </w:rPr>
        <w:t xml:space="preserve"> nejvyšší za všech 26 let sledování a dosahuje hodnoty 29 %. Přitom k výraznému růstu došlo právě během </w:t>
      </w:r>
      <w:r>
        <w:rPr>
          <w:rFonts w:cstheme="minorHAnsi"/>
          <w:sz w:val="20"/>
          <w:szCs w:val="20"/>
        </w:rPr>
        <w:t>pan</w:t>
      </w:r>
      <w:r w:rsidRPr="00582348">
        <w:rPr>
          <w:rFonts w:cstheme="minorHAnsi"/>
          <w:sz w:val="20"/>
          <w:szCs w:val="20"/>
        </w:rPr>
        <w:t>demie.</w:t>
      </w:r>
    </w:p>
  </w:footnote>
  <w:footnote w:id="11">
    <w:p w14:paraId="61683F09" w14:textId="47E6EA8D" w:rsidR="00DA5BF3" w:rsidRPr="00582348" w:rsidRDefault="00DA5BF3" w:rsidP="0012130D">
      <w:pPr>
        <w:spacing w:after="0" w:line="240" w:lineRule="auto"/>
        <w:jc w:val="both"/>
        <w:rPr>
          <w:rFonts w:cstheme="minorHAnsi"/>
          <w:sz w:val="20"/>
          <w:szCs w:val="20"/>
        </w:rPr>
      </w:pPr>
      <w:r w:rsidRPr="00582348">
        <w:rPr>
          <w:rStyle w:val="Znakapoznpodarou"/>
          <w:sz w:val="20"/>
          <w:szCs w:val="20"/>
        </w:rPr>
        <w:footnoteRef/>
      </w:r>
      <w:r w:rsidRPr="00582348">
        <w:rPr>
          <w:sz w:val="20"/>
          <w:szCs w:val="20"/>
        </w:rPr>
        <w:t xml:space="preserve"> </w:t>
      </w:r>
      <w:r w:rsidRPr="00582348">
        <w:rPr>
          <w:rFonts w:cstheme="minorHAnsi"/>
          <w:sz w:val="20"/>
          <w:szCs w:val="20"/>
        </w:rPr>
        <w:t xml:space="preserve">V případě </w:t>
      </w:r>
      <w:r w:rsidRPr="00582348">
        <w:rPr>
          <w:rFonts w:cstheme="minorHAnsi"/>
          <w:sz w:val="20"/>
          <w:szCs w:val="20"/>
        </w:rPr>
        <w:t>Medv</w:t>
      </w:r>
      <w:r>
        <w:rPr>
          <w:rFonts w:cstheme="minorHAnsi"/>
          <w:sz w:val="20"/>
          <w:szCs w:val="20"/>
        </w:rPr>
        <w:t>e</w:t>
      </w:r>
      <w:r w:rsidRPr="00582348">
        <w:rPr>
          <w:rFonts w:cstheme="minorHAnsi"/>
          <w:sz w:val="20"/>
          <w:szCs w:val="20"/>
        </w:rPr>
        <w:t>děva byl negativní rating až dvakrát vyšší než pozitivní (Levada Centr 2020b).</w:t>
      </w:r>
    </w:p>
    <w:p w14:paraId="07A0342A" w14:textId="774732E1" w:rsidR="00DA5BF3" w:rsidRPr="00582348" w:rsidRDefault="00DA5BF3" w:rsidP="0012130D">
      <w:pPr>
        <w:pStyle w:val="Textpoznpodarou"/>
        <w:jc w:val="both"/>
      </w:pPr>
    </w:p>
  </w:footnote>
  <w:footnote w:id="12">
    <w:p w14:paraId="555433F7" w14:textId="16A9C8A7" w:rsidR="00DA5BF3" w:rsidRPr="00582348" w:rsidRDefault="00DA5BF3" w:rsidP="0012130D">
      <w:pPr>
        <w:spacing w:after="0" w:line="240" w:lineRule="auto"/>
        <w:jc w:val="both"/>
        <w:rPr>
          <w:rFonts w:cstheme="minorHAnsi"/>
          <w:sz w:val="20"/>
          <w:szCs w:val="20"/>
        </w:rPr>
      </w:pPr>
      <w:r w:rsidRPr="00582348">
        <w:rPr>
          <w:rStyle w:val="Znakapoznpodarou"/>
          <w:rFonts w:cstheme="minorHAnsi"/>
          <w:sz w:val="20"/>
          <w:szCs w:val="20"/>
        </w:rPr>
        <w:footnoteRef/>
      </w:r>
      <w:r w:rsidRPr="00582348">
        <w:rPr>
          <w:rFonts w:cstheme="minorHAnsi"/>
          <w:sz w:val="20"/>
          <w:szCs w:val="20"/>
        </w:rPr>
        <w:t xml:space="preserve"> Na druhou stranu podzimní vlna COVID-19 ukázala, že v řadě regionů místní vlády nebyly schopny zvládnout pandemickou situaci, což se musí projevit v ratingu gubernátorů. Je proto pravděpodobné, že poklesne podpora jak federální, tak i regionální vlády. Přestože v Rusku zatím nedošlo k rozsáhlým protivládním demonstracím, jaké probíhají v řadě zemí EU, míra frustrace kvůli dopadům pandemie COVID-19 je velmi vysoká (</w:t>
      </w:r>
      <w:r w:rsidRPr="00582348">
        <w:rPr>
          <w:rFonts w:cstheme="minorHAnsi"/>
          <w:sz w:val="20"/>
          <w:szCs w:val="20"/>
        </w:rPr>
        <w:t>Baryšnikov 2020; Levinson 2020).</w:t>
      </w:r>
    </w:p>
  </w:footnote>
  <w:footnote w:id="13">
    <w:p w14:paraId="690BE1B6" w14:textId="34604772" w:rsidR="00DA5BF3" w:rsidRPr="002B6A9D" w:rsidRDefault="00DA5BF3" w:rsidP="0012130D">
      <w:pPr>
        <w:pStyle w:val="Textpoznpodarou"/>
        <w:jc w:val="both"/>
      </w:pPr>
      <w:r>
        <w:rPr>
          <w:rStyle w:val="Znakapoznpodarou"/>
        </w:rPr>
        <w:footnoteRef/>
      </w:r>
      <w:r>
        <w:t xml:space="preserve"> </w:t>
      </w:r>
      <w:r w:rsidRPr="002B6A9D">
        <w:rPr>
          <w:rFonts w:cstheme="minorHAnsi"/>
        </w:rPr>
        <w:t>Za subjektivní lze označit rizika spojovaná se snahou odběratelů (implicitně se myslí odběratelé v EU) provádět energetickou a klimatickou politiku s cílem omezit zájmy dodavatelů (tj. Ruska).</w:t>
      </w:r>
    </w:p>
  </w:footnote>
  <w:footnote w:id="14">
    <w:p w14:paraId="1A5A7F65" w14:textId="77777777" w:rsidR="00DA5BF3" w:rsidRPr="00582348" w:rsidRDefault="00DA5BF3" w:rsidP="0012130D">
      <w:pPr>
        <w:pStyle w:val="Textpoznpodarou"/>
        <w:jc w:val="both"/>
        <w:rPr>
          <w:rFonts w:cstheme="minorHAnsi"/>
        </w:rPr>
      </w:pPr>
      <w:r w:rsidRPr="002B6A9D">
        <w:rPr>
          <w:rStyle w:val="Znakapoznpodarou"/>
          <w:rFonts w:cstheme="minorHAnsi"/>
        </w:rPr>
        <w:footnoteRef/>
      </w:r>
      <w:r w:rsidRPr="002B6A9D">
        <w:rPr>
          <w:rFonts w:cstheme="minorHAnsi"/>
        </w:rPr>
        <w:t xml:space="preserve"> V Rusku se ochrana klimatu před glob</w:t>
      </w:r>
      <w:r w:rsidRPr="00582348">
        <w:rPr>
          <w:rFonts w:cstheme="minorHAnsi"/>
        </w:rPr>
        <w:t>álním oteplováním často zaměňuje s ekologií.</w:t>
      </w:r>
    </w:p>
  </w:footnote>
  <w:footnote w:id="15">
    <w:p w14:paraId="6C698121" w14:textId="137807B2" w:rsidR="00DA5BF3" w:rsidRDefault="00DA5BF3" w:rsidP="0012130D">
      <w:pPr>
        <w:pStyle w:val="Textpoznpodarou"/>
        <w:jc w:val="both"/>
      </w:pPr>
      <w:r>
        <w:rPr>
          <w:rStyle w:val="Znakapoznpodarou"/>
        </w:rPr>
        <w:footnoteRef/>
      </w:r>
      <w:r>
        <w:t xml:space="preserve"> </w:t>
      </w:r>
      <w:r w:rsidRPr="00C812FF">
        <w:t>Na druhém místě je zemní plyn (zhruba 7 %).</w:t>
      </w:r>
    </w:p>
  </w:footnote>
  <w:footnote w:id="16">
    <w:p w14:paraId="7F037836" w14:textId="3557D930" w:rsidR="00DA5BF3" w:rsidRPr="00C812FF" w:rsidRDefault="00DA5BF3" w:rsidP="0012130D">
      <w:pPr>
        <w:pStyle w:val="Textpoznpodarou"/>
        <w:jc w:val="both"/>
      </w:pPr>
      <w:r>
        <w:rPr>
          <w:rStyle w:val="Znakapoznpodarou"/>
        </w:rPr>
        <w:footnoteRef/>
      </w:r>
      <w:r>
        <w:t xml:space="preserve"> </w:t>
      </w:r>
      <w:r w:rsidRPr="00C812FF">
        <w:rPr>
          <w:rStyle w:val="source-description"/>
          <w:color w:val="333333"/>
        </w:rPr>
        <w:t xml:space="preserve">Viz též </w:t>
      </w:r>
      <w:r w:rsidRPr="00C812FF">
        <w:rPr>
          <w:shd w:val="clear" w:color="auto" w:fill="FFFFFF"/>
        </w:rPr>
        <w:t>graf 3-1 v Příloze 3.</w:t>
      </w:r>
    </w:p>
  </w:footnote>
  <w:footnote w:id="17">
    <w:p w14:paraId="3FECA9C8" w14:textId="77777777" w:rsidR="00DA5BF3" w:rsidRPr="00E808D0" w:rsidRDefault="00DA5BF3" w:rsidP="0012130D">
      <w:pPr>
        <w:pStyle w:val="Textpoznpodarou"/>
        <w:jc w:val="both"/>
      </w:pPr>
      <w:r>
        <w:rPr>
          <w:rStyle w:val="Znakapoznpodarou"/>
        </w:rPr>
        <w:footnoteRef/>
      </w:r>
      <w:r>
        <w:t xml:space="preserve"> V březnu 2015 došlo ke skokové devalvaci, kdy se kurz propadl z 0,89 </w:t>
      </w:r>
      <w:r>
        <w:t>manatů za dolar na 1,05 manatů. Později v lednu 2016 se kurz opět propadl až na 1,63 manatů.</w:t>
      </w:r>
    </w:p>
  </w:footnote>
  <w:footnote w:id="18">
    <w:p w14:paraId="753A45E1" w14:textId="77777777" w:rsidR="00DA5BF3" w:rsidRPr="00F834FE" w:rsidRDefault="00DA5BF3" w:rsidP="0012130D">
      <w:pPr>
        <w:pStyle w:val="Textpoznpodarou"/>
        <w:jc w:val="both"/>
      </w:pPr>
      <w:r>
        <w:rPr>
          <w:rStyle w:val="Znakapoznpodarou"/>
        </w:rPr>
        <w:footnoteRef/>
      </w:r>
      <w:r>
        <w:t xml:space="preserve"> </w:t>
      </w:r>
      <w:r w:rsidRPr="00F834FE">
        <w:rPr>
          <w:rFonts w:cs="Adobe Garamond Pro"/>
        </w:rPr>
        <w:t>Jako mnoho vývozců ropy, Ázerbájdžán používá řízený měnový kurz vázaný k americkému dolaru. Jelikož ropa se na mezinárodním trhu obchoduje převážně v dolarech, tento kurzový režim přináší některé výhody v podobě „dovozu“ relativně stabilní monetární politiky.</w:t>
      </w:r>
    </w:p>
  </w:footnote>
  <w:footnote w:id="19">
    <w:p w14:paraId="23D81861" w14:textId="59F9203F" w:rsidR="00DA5BF3" w:rsidRPr="00C812FF" w:rsidRDefault="00DA5BF3" w:rsidP="0012130D">
      <w:pPr>
        <w:pStyle w:val="Textpoznpodarou"/>
        <w:jc w:val="both"/>
      </w:pPr>
      <w:r>
        <w:rPr>
          <w:rStyle w:val="Znakapoznpodarou"/>
        </w:rPr>
        <w:footnoteRef/>
      </w:r>
      <w:r>
        <w:t xml:space="preserve"> </w:t>
      </w:r>
      <w:r w:rsidRPr="00C812FF">
        <w:rPr>
          <w:rFonts w:cs="Adobe Garamond Pro"/>
        </w:rPr>
        <w:t>Viz též graf 3-2 v Příloze 3.</w:t>
      </w:r>
    </w:p>
  </w:footnote>
  <w:footnote w:id="20">
    <w:p w14:paraId="406DCCB7" w14:textId="43A390DC" w:rsidR="00DA5BF3" w:rsidRPr="00C812FF" w:rsidRDefault="00DA5BF3" w:rsidP="0012130D">
      <w:pPr>
        <w:pStyle w:val="Textpoznpodarou"/>
        <w:jc w:val="both"/>
      </w:pPr>
      <w:r w:rsidRPr="00C812FF">
        <w:rPr>
          <w:rStyle w:val="Znakapoznpodarou"/>
        </w:rPr>
        <w:footnoteRef/>
      </w:r>
      <w:r w:rsidRPr="00C812FF">
        <w:t xml:space="preserve"> Pro srovnání na konec roku 2019 byla aktiva na úrovni 43,3 miliardy dolarů, což byl rekord za posledních 10 let.</w:t>
      </w:r>
    </w:p>
  </w:footnote>
  <w:footnote w:id="21">
    <w:p w14:paraId="5ACA700E" w14:textId="5FD0D398" w:rsidR="00DA5BF3" w:rsidRPr="007E6A1D" w:rsidRDefault="00DA5BF3" w:rsidP="0012130D">
      <w:pPr>
        <w:pStyle w:val="Textpoznpodarou"/>
        <w:jc w:val="both"/>
      </w:pPr>
      <w:r>
        <w:rPr>
          <w:rStyle w:val="Znakapoznpodarou"/>
        </w:rPr>
        <w:footnoteRef/>
      </w:r>
      <w:r>
        <w:t xml:space="preserve"> </w:t>
      </w:r>
      <w:r w:rsidRPr="007E6A1D">
        <w:t xml:space="preserve">Klan </w:t>
      </w:r>
      <w:r w:rsidRPr="007E6A1D">
        <w:t>Pašajevových přes holdingovou společnost Pasha Holding kontroluje banky, pojišťovací společnosti, developerské firmy, telekomunikační společnosti, cestovní firmy a obchodní centra.</w:t>
      </w:r>
    </w:p>
  </w:footnote>
  <w:footnote w:id="22">
    <w:p w14:paraId="435377E3" w14:textId="77777777" w:rsidR="00DA5BF3" w:rsidRDefault="00DA5BF3" w:rsidP="0012130D">
      <w:pPr>
        <w:pStyle w:val="Textpoznpodarou"/>
        <w:jc w:val="both"/>
      </w:pPr>
      <w:r>
        <w:rPr>
          <w:rStyle w:val="Znakapoznpodarou"/>
        </w:rPr>
        <w:footnoteRef/>
      </w:r>
      <w:r>
        <w:t xml:space="preserve"> </w:t>
      </w:r>
      <w:r w:rsidRPr="00865823">
        <w:t>Mahdijev nyní předsedá Ázerbájdžánské akademii věd.</w:t>
      </w:r>
    </w:p>
  </w:footnote>
  <w:footnote w:id="23">
    <w:p w14:paraId="50E45428" w14:textId="11C5E543" w:rsidR="00DA5BF3" w:rsidRPr="00940953" w:rsidRDefault="00DA5BF3" w:rsidP="0012130D">
      <w:pPr>
        <w:pStyle w:val="Textpoznpodarou"/>
        <w:jc w:val="both"/>
      </w:pPr>
      <w:r w:rsidRPr="00940953">
        <w:rPr>
          <w:rStyle w:val="Znakapoznpodarou"/>
        </w:rPr>
        <w:footnoteRef/>
      </w:r>
      <w:r w:rsidRPr="00940953">
        <w:t xml:space="preserve"> </w:t>
      </w:r>
      <w:r w:rsidRPr="00940953">
        <w:rPr>
          <w:rFonts w:ascii="Cambria" w:hAnsi="Cambria" w:cstheme="minorHAnsi"/>
        </w:rPr>
        <w:t>Cena Natural 95/Nafta v 02/2020 byla 31,57/31,37 Kč; v 5/2020 25,52/25,76 Kč; v 10/2020 27,89/27,17 Kč (ČSÚ, 2020)</w:t>
      </w:r>
      <w:r>
        <w:rPr>
          <w:rFonts w:ascii="Cambria" w:hAnsi="Cambria" w:cstheme="minorHAnsi"/>
        </w:rPr>
        <w:t>.</w:t>
      </w:r>
    </w:p>
  </w:footnote>
  <w:footnote w:id="24">
    <w:p w14:paraId="4E149B09" w14:textId="3B1248B9" w:rsidR="00DA5BF3" w:rsidRPr="00D47BBE" w:rsidRDefault="00DA5BF3" w:rsidP="00D47BBE">
      <w:pPr>
        <w:pStyle w:val="Textpoznpodarou"/>
        <w:jc w:val="both"/>
      </w:pPr>
      <w:r>
        <w:rPr>
          <w:rStyle w:val="Znakapoznpodarou"/>
        </w:rPr>
        <w:footnoteRef/>
      </w:r>
      <w:r>
        <w:t xml:space="preserve"> </w:t>
      </w:r>
      <w:bookmarkStart w:id="56" w:name="_Hlk61202560"/>
      <w:r w:rsidRPr="00D47BBE">
        <w:rPr>
          <w:rStyle w:val="source-description"/>
          <w:color w:val="333333"/>
        </w:rPr>
        <w:t xml:space="preserve">Viz </w:t>
      </w:r>
      <w:r w:rsidRPr="00D47BBE">
        <w:rPr>
          <w:shd w:val="clear" w:color="auto" w:fill="FFFFFF"/>
        </w:rPr>
        <w:t>graf 4-1 v Příloze 4.</w:t>
      </w:r>
    </w:p>
    <w:bookmarkEnd w:id="56"/>
  </w:footnote>
  <w:footnote w:id="25">
    <w:p w14:paraId="7E9D3946" w14:textId="532A25BF" w:rsidR="00DA5BF3" w:rsidRPr="00D47BBE" w:rsidRDefault="00DA5BF3" w:rsidP="00765A53">
      <w:pPr>
        <w:pStyle w:val="Textpoznpodarou"/>
        <w:jc w:val="both"/>
      </w:pPr>
      <w:r w:rsidRPr="00D47BBE">
        <w:rPr>
          <w:rStyle w:val="Znakapoznpodarou"/>
        </w:rPr>
        <w:footnoteRef/>
      </w:r>
      <w:r w:rsidRPr="00D47BBE">
        <w:t xml:space="preserve"> </w:t>
      </w:r>
      <w:r w:rsidRPr="00D47BBE">
        <w:rPr>
          <w:rStyle w:val="source-description"/>
          <w:color w:val="333333"/>
        </w:rPr>
        <w:t xml:space="preserve">Viz </w:t>
      </w:r>
      <w:r w:rsidRPr="00D47BBE">
        <w:rPr>
          <w:shd w:val="clear" w:color="auto" w:fill="FFFFFF"/>
        </w:rPr>
        <w:t>graf 4-2 v Příloze 4.</w:t>
      </w:r>
    </w:p>
  </w:footnote>
  <w:footnote w:id="26">
    <w:p w14:paraId="4E7B40A4" w14:textId="0CD171AA" w:rsidR="00DA5BF3" w:rsidRPr="00D47BBE" w:rsidRDefault="00DA5BF3" w:rsidP="00765A53">
      <w:pPr>
        <w:pStyle w:val="Textpoznpodarou"/>
        <w:jc w:val="both"/>
      </w:pPr>
      <w:r w:rsidRPr="00D47BBE">
        <w:rPr>
          <w:rStyle w:val="Znakapoznpodarou"/>
        </w:rPr>
        <w:footnoteRef/>
      </w:r>
      <w:r w:rsidRPr="00D47BBE">
        <w:t xml:space="preserve"> </w:t>
      </w:r>
      <w:r w:rsidRPr="00D47BBE">
        <w:rPr>
          <w:rStyle w:val="source-description"/>
          <w:color w:val="333333"/>
        </w:rPr>
        <w:t xml:space="preserve">Viz </w:t>
      </w:r>
      <w:r w:rsidRPr="00D47BBE">
        <w:rPr>
          <w:shd w:val="clear" w:color="auto" w:fill="FFFFFF"/>
        </w:rPr>
        <w:t>graf 4-3 v Příloze 4.</w:t>
      </w:r>
    </w:p>
  </w:footnote>
  <w:footnote w:id="27">
    <w:p w14:paraId="729F92E1" w14:textId="435B6385" w:rsidR="00DA5BF3" w:rsidRPr="00D47BBE" w:rsidRDefault="00DA5BF3" w:rsidP="00D47BBE">
      <w:pPr>
        <w:spacing w:after="0" w:line="240" w:lineRule="auto"/>
        <w:jc w:val="both"/>
        <w:rPr>
          <w:rFonts w:ascii="Cambria" w:hAnsi="Cambria"/>
          <w:sz w:val="20"/>
          <w:szCs w:val="20"/>
        </w:rPr>
      </w:pPr>
      <w:r w:rsidRPr="00D47BBE">
        <w:rPr>
          <w:rStyle w:val="Znakapoznpodarou"/>
          <w:sz w:val="20"/>
          <w:szCs w:val="20"/>
        </w:rPr>
        <w:footnoteRef/>
      </w:r>
      <w:r w:rsidRPr="00D47BBE">
        <w:rPr>
          <w:sz w:val="20"/>
          <w:szCs w:val="20"/>
        </w:rPr>
        <w:t xml:space="preserve"> </w:t>
      </w:r>
      <w:r w:rsidRPr="00D47BBE">
        <w:rPr>
          <w:rFonts w:ascii="Cambria" w:hAnsi="Cambria"/>
          <w:sz w:val="20"/>
          <w:szCs w:val="20"/>
        </w:rPr>
        <w:t xml:space="preserve">Potenciál změn cen ropy na HDP a index spotřebitelských cen </w:t>
      </w:r>
      <w:r>
        <w:rPr>
          <w:rFonts w:ascii="Cambria" w:hAnsi="Cambria"/>
          <w:sz w:val="20"/>
          <w:szCs w:val="20"/>
        </w:rPr>
        <w:t>byl hodnocen</w:t>
      </w:r>
      <w:r w:rsidRPr="00D47BBE">
        <w:rPr>
          <w:rFonts w:ascii="Cambria" w:hAnsi="Cambria"/>
          <w:sz w:val="20"/>
          <w:szCs w:val="20"/>
        </w:rPr>
        <w:t xml:space="preserve"> při využití VAR(p) modelu</w:t>
      </w:r>
      <w:r>
        <w:rPr>
          <w:rFonts w:ascii="Cambria" w:hAnsi="Cambria"/>
          <w:sz w:val="20"/>
          <w:szCs w:val="20"/>
        </w:rPr>
        <w:t xml:space="preserve"> – viz metodologická část studie</w:t>
      </w:r>
      <w:r w:rsidRPr="00D47BBE">
        <w:rPr>
          <w:rFonts w:ascii="Cambria" w:hAnsi="Cambria"/>
          <w:sz w:val="20"/>
          <w:szCs w:val="20"/>
        </w:rPr>
        <w:t>. Všechny proměnné b</w:t>
      </w:r>
      <w:r>
        <w:rPr>
          <w:rFonts w:ascii="Cambria" w:hAnsi="Cambria"/>
          <w:sz w:val="20"/>
          <w:szCs w:val="20"/>
        </w:rPr>
        <w:t>yly</w:t>
      </w:r>
      <w:r w:rsidRPr="00D47BBE">
        <w:rPr>
          <w:rFonts w:ascii="Cambria" w:hAnsi="Cambria"/>
          <w:sz w:val="20"/>
          <w:szCs w:val="20"/>
        </w:rPr>
        <w:t xml:space="preserve"> meziměsíční relativní změny v běžných cenách od ledna 2018 do října 2020. </w:t>
      </w:r>
      <w:r w:rsidRPr="00D47BBE">
        <w:rPr>
          <w:rFonts w:ascii="Cambria" w:hAnsi="Cambria"/>
          <w:sz w:val="20"/>
          <w:szCs w:val="20"/>
        </w:rPr>
        <w:t>Stacionarita makroekonomických proměnných byla testována před vytvořením modelů časových řad.</w:t>
      </w:r>
    </w:p>
  </w:footnote>
  <w:footnote w:id="28">
    <w:p w14:paraId="1D80F308" w14:textId="14732B37" w:rsidR="00DA5BF3" w:rsidRDefault="00DA5BF3" w:rsidP="00765A53">
      <w:pPr>
        <w:pStyle w:val="Textpoznpodarou"/>
        <w:jc w:val="both"/>
      </w:pPr>
      <w:r>
        <w:rPr>
          <w:rStyle w:val="Znakapoznpodarou"/>
        </w:rPr>
        <w:footnoteRef/>
      </w:r>
      <w:r>
        <w:t xml:space="preserve"> </w:t>
      </w:r>
      <w:r w:rsidRPr="00C812FF">
        <w:rPr>
          <w:rStyle w:val="source-description"/>
          <w:color w:val="333333"/>
        </w:rPr>
        <w:t xml:space="preserve">Viz </w:t>
      </w:r>
      <w:r w:rsidRPr="00C812FF">
        <w:rPr>
          <w:shd w:val="clear" w:color="auto" w:fill="FFFFFF"/>
        </w:rPr>
        <w:t xml:space="preserve">graf </w:t>
      </w:r>
      <w:r>
        <w:rPr>
          <w:shd w:val="clear" w:color="auto" w:fill="FFFFFF"/>
        </w:rPr>
        <w:t>5</w:t>
      </w:r>
      <w:r w:rsidRPr="00C812FF">
        <w:rPr>
          <w:shd w:val="clear" w:color="auto" w:fill="FFFFFF"/>
        </w:rPr>
        <w:t xml:space="preserve">-1 v Příloze </w:t>
      </w:r>
      <w:r>
        <w:rPr>
          <w:shd w:val="clear" w:color="auto" w:fill="FFFFFF"/>
        </w:rPr>
        <w:t>5</w:t>
      </w:r>
      <w:r w:rsidRPr="00C812FF">
        <w:rPr>
          <w:shd w:val="clear" w:color="auto" w:fill="FFFFFF"/>
        </w:rPr>
        <w:t>.</w:t>
      </w:r>
    </w:p>
  </w:footnote>
  <w:footnote w:id="29">
    <w:p w14:paraId="325EA5BF" w14:textId="5FB03837" w:rsidR="00DA5BF3" w:rsidRDefault="00DA5BF3">
      <w:pPr>
        <w:pStyle w:val="Textpoznpodarou"/>
      </w:pPr>
      <w:r>
        <w:rPr>
          <w:rStyle w:val="Znakapoznpodarou"/>
        </w:rPr>
        <w:footnoteRef/>
      </w:r>
      <w:r>
        <w:t xml:space="preserve"> </w:t>
      </w:r>
      <w:r w:rsidRPr="00C812FF">
        <w:rPr>
          <w:rStyle w:val="source-description"/>
          <w:color w:val="333333"/>
        </w:rPr>
        <w:t xml:space="preserve">Viz </w:t>
      </w:r>
      <w:r w:rsidRPr="00C812FF">
        <w:rPr>
          <w:shd w:val="clear" w:color="auto" w:fill="FFFFFF"/>
        </w:rPr>
        <w:t xml:space="preserve">graf </w:t>
      </w:r>
      <w:r>
        <w:rPr>
          <w:shd w:val="clear" w:color="auto" w:fill="FFFFFF"/>
        </w:rPr>
        <w:t>5</w:t>
      </w:r>
      <w:r w:rsidRPr="00C812FF">
        <w:rPr>
          <w:shd w:val="clear" w:color="auto" w:fill="FFFFFF"/>
        </w:rPr>
        <w:t>-</w:t>
      </w:r>
      <w:r>
        <w:rPr>
          <w:shd w:val="clear" w:color="auto" w:fill="FFFFFF"/>
        </w:rPr>
        <w:t>2</w:t>
      </w:r>
      <w:r w:rsidRPr="00C812FF">
        <w:rPr>
          <w:shd w:val="clear" w:color="auto" w:fill="FFFFFF"/>
        </w:rPr>
        <w:t xml:space="preserve"> v Příloze </w:t>
      </w:r>
      <w:r>
        <w:rPr>
          <w:shd w:val="clear" w:color="auto" w:fill="FFFFFF"/>
        </w:rPr>
        <w:t>5</w:t>
      </w:r>
      <w:r w:rsidRPr="00C812FF">
        <w:rPr>
          <w:shd w:val="clear" w:color="auto" w:fill="FFFFFF"/>
        </w:rPr>
        <w:t>.</w:t>
      </w:r>
    </w:p>
  </w:footnote>
  <w:footnote w:id="30">
    <w:p w14:paraId="405138AD" w14:textId="2E3A6874" w:rsidR="00DA5BF3" w:rsidRDefault="00DA5BF3" w:rsidP="0012130D">
      <w:pPr>
        <w:pStyle w:val="Textpoznpodarou"/>
        <w:jc w:val="both"/>
      </w:pPr>
      <w:r w:rsidRPr="00940953">
        <w:rPr>
          <w:rStyle w:val="Znakapoznpodarou"/>
        </w:rPr>
        <w:footnoteRef/>
      </w:r>
      <w:r w:rsidRPr="00940953">
        <w:t xml:space="preserve"> </w:t>
      </w:r>
      <w:r w:rsidRPr="00940953">
        <w:rPr>
          <w:rFonts w:ascii="Cambria" w:hAnsi="Cambria" w:cstheme="minorHAnsi"/>
        </w:rPr>
        <w:t>V současnosti jsou na cca 84 dnů (Pospíšilová, 2020), čímž ČR neplní směrnici Rady 2009/119/ES.</w:t>
      </w:r>
    </w:p>
  </w:footnote>
  <w:footnote w:id="31">
    <w:p w14:paraId="182485D8" w14:textId="2B5224A3" w:rsidR="00DA5BF3" w:rsidRPr="000875F4" w:rsidRDefault="00DA5BF3" w:rsidP="0012130D">
      <w:pPr>
        <w:pStyle w:val="Textpoznpodarou"/>
        <w:jc w:val="both"/>
      </w:pPr>
      <w:r w:rsidRPr="000875F4">
        <w:rPr>
          <w:rStyle w:val="Znakapoznpodarou"/>
        </w:rPr>
        <w:footnoteRef/>
      </w:r>
      <w:r w:rsidRPr="000875F4">
        <w:t xml:space="preserve"> </w:t>
      </w:r>
      <w:r w:rsidRPr="000875F4">
        <w:rPr>
          <w:rFonts w:ascii="Cambria" w:hAnsi="Cambria" w:cstheme="minorHAnsi"/>
        </w:rPr>
        <w:t>Dle projekcí Vnitrostátního plánu České republiky v oblasti energetiky a klimatu v sektoru dopravy vč. dodatečných politických opatření ze současných 17,74 v roce 2015 na 15,73 </w:t>
      </w:r>
      <w:r w:rsidRPr="000875F4">
        <w:rPr>
          <w:rFonts w:ascii="Cambria" w:hAnsi="Cambria" w:cstheme="minorHAnsi"/>
        </w:rPr>
        <w:t>Mt CO</w:t>
      </w:r>
      <w:r w:rsidRPr="000875F4">
        <w:rPr>
          <w:rFonts w:ascii="Cambria" w:hAnsi="Cambria" w:cstheme="minorHAnsi"/>
          <w:vertAlign w:val="subscript"/>
        </w:rPr>
        <w:t>2</w:t>
      </w:r>
      <w:r w:rsidRPr="000875F4">
        <w:rPr>
          <w:rFonts w:ascii="Cambria" w:hAnsi="Cambria" w:cstheme="minorHAnsi"/>
        </w:rPr>
        <w:t>eq. v roce 2030.</w:t>
      </w:r>
    </w:p>
  </w:footnote>
  <w:footnote w:id="32">
    <w:p w14:paraId="1E8CC292" w14:textId="3BFFB091" w:rsidR="00683648" w:rsidRDefault="00683648">
      <w:pPr>
        <w:pStyle w:val="Textpoznpodarou"/>
      </w:pPr>
      <w:r>
        <w:rPr>
          <w:rStyle w:val="Znakapoznpodarou"/>
        </w:rPr>
        <w:footnoteRef/>
      </w:r>
      <w:r>
        <w:t xml:space="preserve"> </w:t>
      </w:r>
      <w:r>
        <w:rPr>
          <w:rFonts w:ascii="Cambria" w:hAnsi="Cambria" w:cstheme="minorHAnsi"/>
        </w:rPr>
        <w:t>V</w:t>
      </w:r>
      <w:r w:rsidRPr="00683648">
        <w:rPr>
          <w:rFonts w:ascii="Cambria" w:hAnsi="Cambria" w:cstheme="minorHAnsi"/>
        </w:rPr>
        <w:t xml:space="preserve"> roce 2019 činilo záporné saldo s Ázerbájdžánem cca 1 mld. EUR a s RF cca 0,7 mld. USD</w:t>
      </w:r>
      <w:r>
        <w:rPr>
          <w:rFonts w:ascii="Cambria" w:hAnsi="Cambria" w:cstheme="minorHAnsi"/>
        </w:rPr>
        <w:t xml:space="preserve"> </w:t>
      </w:r>
      <w:r w:rsidRPr="00683648">
        <w:rPr>
          <w:rFonts w:ascii="Cambria" w:hAnsi="Cambria" w:cstheme="minorHAnsi"/>
        </w:rPr>
        <w:t xml:space="preserve">(Businessinfo.cz </w:t>
      </w:r>
      <w:r w:rsidRPr="00683648">
        <w:rPr>
          <w:rFonts w:ascii="Cambria" w:hAnsi="Cambria" w:cstheme="minorHAnsi"/>
        </w:rPr>
        <w:t>2019a; Businessinfo.cz 2019b)</w:t>
      </w:r>
      <w:r>
        <w:rPr>
          <w:rFonts w:ascii="Cambria" w:hAnsi="Cambria" w:cstheme="minorHAnsi"/>
        </w:rPr>
        <w:t>.</w:t>
      </w:r>
    </w:p>
  </w:footnote>
  <w:footnote w:id="33">
    <w:p w14:paraId="64B762E1" w14:textId="3CCC07B6" w:rsidR="00683648" w:rsidRPr="00683648" w:rsidRDefault="00683648">
      <w:pPr>
        <w:pStyle w:val="Textpoznpodarou"/>
      </w:pPr>
      <w:r>
        <w:rPr>
          <w:rStyle w:val="Znakapoznpodarou"/>
        </w:rPr>
        <w:footnoteRef/>
      </w:r>
      <w:r>
        <w:t xml:space="preserve"> </w:t>
      </w:r>
      <w:r w:rsidRPr="00683648">
        <w:rPr>
          <w:rFonts w:ascii="Cambria" w:hAnsi="Cambria" w:cstheme="minorHAnsi"/>
        </w:rPr>
        <w:t>V roce 2019 objem s Ázerbájdžánem ve výši cca 1 mld. EUR a s Ruskem objem ve výši cca 1,8 mld. USD (</w:t>
      </w:r>
      <w:r>
        <w:rPr>
          <w:rFonts w:ascii="Cambria" w:hAnsi="Cambria" w:cstheme="minorHAnsi"/>
        </w:rPr>
        <w:t>tamtéž</w:t>
      </w:r>
      <w:r w:rsidRPr="00683648">
        <w:rPr>
          <w:rFonts w:ascii="Cambria" w:hAnsi="Cambria"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73C24" w14:textId="77777777" w:rsidR="00683648" w:rsidRDefault="006836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F2AF" w14:textId="77777777" w:rsidR="00DA5BF3" w:rsidRDefault="00DA5BF3" w:rsidP="00BF1347">
    <w:pPr>
      <w:pStyle w:val="Zhlav"/>
    </w:pPr>
    <w:r>
      <w:rPr>
        <w:noProof/>
        <w:lang w:eastAsia="cs-CZ"/>
      </w:rPr>
      <w:drawing>
        <wp:anchor distT="0" distB="0" distL="114300" distR="114300" simplePos="0" relativeHeight="251676672" behindDoc="1" locked="1" layoutInCell="0" allowOverlap="0" wp14:anchorId="594703D0" wp14:editId="146A17AF">
          <wp:simplePos x="0" y="0"/>
          <wp:positionH relativeFrom="page">
            <wp:posOffset>252095</wp:posOffset>
          </wp:positionH>
          <wp:positionV relativeFrom="page">
            <wp:posOffset>180340</wp:posOffset>
          </wp:positionV>
          <wp:extent cx="3160800" cy="1018800"/>
          <wp:effectExtent l="0" t="0" r="1905"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R_beta_text_w13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0800" cy="1018800"/>
                  </a:xfrm>
                  <a:prstGeom prst="rect">
                    <a:avLst/>
                  </a:prstGeom>
                </pic:spPr>
              </pic:pic>
            </a:graphicData>
          </a:graphic>
          <wp14:sizeRelH relativeFrom="margin">
            <wp14:pctWidth>0</wp14:pctWidth>
          </wp14:sizeRelH>
          <wp14:sizeRelV relativeFrom="margin">
            <wp14:pctHeight>0</wp14:pctHeight>
          </wp14:sizeRelV>
        </wp:anchor>
      </w:drawing>
    </w:r>
    <w:r w:rsidRPr="00BF1347">
      <w:rPr>
        <w:noProof/>
        <w:lang w:eastAsia="cs-CZ"/>
      </w:rPr>
      <w:drawing>
        <wp:anchor distT="0" distB="0" distL="114300" distR="114300" simplePos="0" relativeHeight="251670528" behindDoc="1" locked="1" layoutInCell="0" allowOverlap="0" wp14:anchorId="451B553D" wp14:editId="44A1D5A2">
          <wp:simplePos x="0" y="0"/>
          <wp:positionH relativeFrom="page">
            <wp:posOffset>5156200</wp:posOffset>
          </wp:positionH>
          <wp:positionV relativeFrom="page">
            <wp:posOffset>615315</wp:posOffset>
          </wp:positionV>
          <wp:extent cx="1831975" cy="447675"/>
          <wp:effectExtent l="0" t="0" r="0" b="0"/>
          <wp:wrapNone/>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Úřad vlády_logo.jpg"/>
                  <pic:cNvPicPr/>
                </pic:nvPicPr>
                <pic:blipFill>
                  <a:blip r:embed="rId2">
                    <a:extLst>
                      <a:ext uri="{28A0092B-C50C-407E-A947-70E740481C1C}">
                        <a14:useLocalDpi xmlns:a14="http://schemas.microsoft.com/office/drawing/2010/main" val="0"/>
                      </a:ext>
                    </a:extLst>
                  </a:blip>
                  <a:stretch>
                    <a:fillRect/>
                  </a:stretch>
                </pic:blipFill>
                <pic:spPr>
                  <a:xfrm>
                    <a:off x="0" y="0"/>
                    <a:ext cx="1831975" cy="447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72C53" w14:textId="77777777" w:rsidR="00DA5BF3" w:rsidRDefault="00DA5BF3">
    <w:pPr>
      <w:pStyle w:val="Zhlav"/>
    </w:pPr>
    <w:r>
      <w:rPr>
        <w:noProof/>
        <w:lang w:eastAsia="cs-CZ"/>
      </w:rPr>
      <w:drawing>
        <wp:anchor distT="0" distB="0" distL="114300" distR="114300" simplePos="0" relativeHeight="251674624" behindDoc="1" locked="1" layoutInCell="0" allowOverlap="0" wp14:anchorId="544B6D41" wp14:editId="6CAB3492">
          <wp:simplePos x="721360" y="1544320"/>
          <wp:positionH relativeFrom="page">
            <wp:posOffset>252095</wp:posOffset>
          </wp:positionH>
          <wp:positionV relativeFrom="page">
            <wp:posOffset>180340</wp:posOffset>
          </wp:positionV>
          <wp:extent cx="3160800" cy="1018800"/>
          <wp:effectExtent l="0" t="0" r="1905"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R_beta_text_w13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0800" cy="1018800"/>
                  </a:xfrm>
                  <a:prstGeom prst="rect">
                    <a:avLst/>
                  </a:prstGeom>
                </pic:spPr>
              </pic:pic>
            </a:graphicData>
          </a:graphic>
          <wp14:sizeRelH relativeFrom="margin">
            <wp14:pctWidth>0</wp14:pctWidth>
          </wp14:sizeRelH>
          <wp14:sizeRelV relativeFrom="margin">
            <wp14:pctHeight>0</wp14:pctHeight>
          </wp14:sizeRelV>
        </wp:anchor>
      </w:drawing>
    </w:r>
    <w:r w:rsidRPr="00BF1347">
      <w:rPr>
        <w:noProof/>
        <w:lang w:eastAsia="cs-CZ"/>
      </w:rPr>
      <w:drawing>
        <wp:anchor distT="0" distB="0" distL="114300" distR="114300" simplePos="0" relativeHeight="251668480" behindDoc="1" locked="1" layoutInCell="0" allowOverlap="0" wp14:anchorId="7F0CBCB2" wp14:editId="26AFFC04">
          <wp:simplePos x="0" y="0"/>
          <wp:positionH relativeFrom="page">
            <wp:posOffset>5293360</wp:posOffset>
          </wp:positionH>
          <wp:positionV relativeFrom="page">
            <wp:posOffset>696595</wp:posOffset>
          </wp:positionV>
          <wp:extent cx="1701800" cy="447675"/>
          <wp:effectExtent l="0" t="0" r="0" b="0"/>
          <wp:wrapNone/>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Úřad vlády_logo.jpg"/>
                  <pic:cNvPicPr/>
                </pic:nvPicPr>
                <pic:blipFill>
                  <a:blip r:embed="rId2">
                    <a:extLst>
                      <a:ext uri="{28A0092B-C50C-407E-A947-70E740481C1C}">
                        <a14:useLocalDpi xmlns:a14="http://schemas.microsoft.com/office/drawing/2010/main" val="0"/>
                      </a:ext>
                    </a:extLst>
                  </a:blip>
                  <a:stretch>
                    <a:fillRect/>
                  </a:stretch>
                </pic:blipFill>
                <pic:spPr>
                  <a:xfrm>
                    <a:off x="0" y="0"/>
                    <a:ext cx="1701800" cy="447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11AAD"/>
    <w:multiLevelType w:val="hybridMultilevel"/>
    <w:tmpl w:val="D74E8CA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03E5734"/>
    <w:multiLevelType w:val="hybridMultilevel"/>
    <w:tmpl w:val="39164C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10655FB"/>
    <w:multiLevelType w:val="hybridMultilevel"/>
    <w:tmpl w:val="7C9AB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331EF"/>
    <w:multiLevelType w:val="hybridMultilevel"/>
    <w:tmpl w:val="C27455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3D75365"/>
    <w:multiLevelType w:val="hybridMultilevel"/>
    <w:tmpl w:val="FC0014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E211F1"/>
    <w:multiLevelType w:val="hybridMultilevel"/>
    <w:tmpl w:val="F362B1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2492588"/>
    <w:multiLevelType w:val="hybridMultilevel"/>
    <w:tmpl w:val="28C21E64"/>
    <w:lvl w:ilvl="0" w:tplc="6CE8A3A2">
      <w:start w:val="1"/>
      <w:numFmt w:val="decimal"/>
      <w:lvlText w:val="%1."/>
      <w:lvlJc w:val="left"/>
      <w:pPr>
        <w:ind w:left="3196" w:hanging="360"/>
      </w:pPr>
      <w:rPr>
        <w:b/>
      </w:rPr>
    </w:lvl>
    <w:lvl w:ilvl="1" w:tplc="04050019">
      <w:start w:val="1"/>
      <w:numFmt w:val="lowerLetter"/>
      <w:lvlText w:val="%2."/>
      <w:lvlJc w:val="left"/>
      <w:pPr>
        <w:ind w:left="3916" w:hanging="360"/>
      </w:pPr>
    </w:lvl>
    <w:lvl w:ilvl="2" w:tplc="0405001B">
      <w:start w:val="1"/>
      <w:numFmt w:val="lowerRoman"/>
      <w:lvlText w:val="%3."/>
      <w:lvlJc w:val="right"/>
      <w:pPr>
        <w:ind w:left="4636" w:hanging="180"/>
      </w:pPr>
    </w:lvl>
    <w:lvl w:ilvl="3" w:tplc="0405000F">
      <w:start w:val="1"/>
      <w:numFmt w:val="decimal"/>
      <w:lvlText w:val="%4."/>
      <w:lvlJc w:val="left"/>
      <w:pPr>
        <w:ind w:left="5356" w:hanging="360"/>
      </w:pPr>
    </w:lvl>
    <w:lvl w:ilvl="4" w:tplc="04050019">
      <w:start w:val="1"/>
      <w:numFmt w:val="lowerLetter"/>
      <w:lvlText w:val="%5."/>
      <w:lvlJc w:val="left"/>
      <w:pPr>
        <w:ind w:left="6076" w:hanging="360"/>
      </w:pPr>
    </w:lvl>
    <w:lvl w:ilvl="5" w:tplc="0405001B">
      <w:start w:val="1"/>
      <w:numFmt w:val="lowerRoman"/>
      <w:lvlText w:val="%6."/>
      <w:lvlJc w:val="right"/>
      <w:pPr>
        <w:ind w:left="6796" w:hanging="180"/>
      </w:pPr>
    </w:lvl>
    <w:lvl w:ilvl="6" w:tplc="0405000F">
      <w:start w:val="1"/>
      <w:numFmt w:val="decimal"/>
      <w:lvlText w:val="%7."/>
      <w:lvlJc w:val="left"/>
      <w:pPr>
        <w:ind w:left="7516" w:hanging="360"/>
      </w:pPr>
    </w:lvl>
    <w:lvl w:ilvl="7" w:tplc="04050019">
      <w:start w:val="1"/>
      <w:numFmt w:val="lowerLetter"/>
      <w:lvlText w:val="%8."/>
      <w:lvlJc w:val="left"/>
      <w:pPr>
        <w:ind w:left="8236" w:hanging="360"/>
      </w:pPr>
    </w:lvl>
    <w:lvl w:ilvl="8" w:tplc="0405001B">
      <w:start w:val="1"/>
      <w:numFmt w:val="lowerRoman"/>
      <w:lvlText w:val="%9."/>
      <w:lvlJc w:val="right"/>
      <w:pPr>
        <w:ind w:left="8956" w:hanging="180"/>
      </w:pPr>
    </w:lvl>
  </w:abstractNum>
  <w:abstractNum w:abstractNumId="7" w15:restartNumberingAfterBreak="0">
    <w:nsid w:val="44FE76F0"/>
    <w:multiLevelType w:val="hybridMultilevel"/>
    <w:tmpl w:val="6A5E1A8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8" w15:restartNumberingAfterBreak="0">
    <w:nsid w:val="466264A8"/>
    <w:multiLevelType w:val="hybridMultilevel"/>
    <w:tmpl w:val="BB30AF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 w:numId="5">
    <w:abstractNumId w:val="3"/>
  </w:num>
  <w:num w:numId="6">
    <w:abstractNumId w:val="1"/>
  </w:num>
  <w:num w:numId="7">
    <w:abstractNumId w:val="5"/>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activeWritingStyle w:appName="MSWord" w:lang="en-US" w:vendorID="64" w:dllVersion="4096" w:nlCheck="1" w:checkStyle="0"/>
  <w:activeWritingStyle w:appName="MSWord" w:lang="cs-CZ"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EC"/>
    <w:rsid w:val="000014DE"/>
    <w:rsid w:val="00003DCD"/>
    <w:rsid w:val="00004291"/>
    <w:rsid w:val="00004973"/>
    <w:rsid w:val="0000788D"/>
    <w:rsid w:val="00010205"/>
    <w:rsid w:val="000121A7"/>
    <w:rsid w:val="00012452"/>
    <w:rsid w:val="000133A6"/>
    <w:rsid w:val="00013A32"/>
    <w:rsid w:val="000154B2"/>
    <w:rsid w:val="000200DC"/>
    <w:rsid w:val="00021D0F"/>
    <w:rsid w:val="00022C8F"/>
    <w:rsid w:val="00022FC2"/>
    <w:rsid w:val="00023FBC"/>
    <w:rsid w:val="0002478D"/>
    <w:rsid w:val="00026403"/>
    <w:rsid w:val="00027C93"/>
    <w:rsid w:val="00031010"/>
    <w:rsid w:val="000330D0"/>
    <w:rsid w:val="00034946"/>
    <w:rsid w:val="00034C32"/>
    <w:rsid w:val="00037BD4"/>
    <w:rsid w:val="00037CE8"/>
    <w:rsid w:val="00037D12"/>
    <w:rsid w:val="00037F0A"/>
    <w:rsid w:val="000404DC"/>
    <w:rsid w:val="00040512"/>
    <w:rsid w:val="0004091E"/>
    <w:rsid w:val="00047059"/>
    <w:rsid w:val="000503CD"/>
    <w:rsid w:val="00051D6C"/>
    <w:rsid w:val="00053779"/>
    <w:rsid w:val="00053BC8"/>
    <w:rsid w:val="00055C52"/>
    <w:rsid w:val="000608AA"/>
    <w:rsid w:val="000612BE"/>
    <w:rsid w:val="0006243E"/>
    <w:rsid w:val="0006342A"/>
    <w:rsid w:val="00063C09"/>
    <w:rsid w:val="00063FBA"/>
    <w:rsid w:val="00063FEF"/>
    <w:rsid w:val="000652C9"/>
    <w:rsid w:val="000666EE"/>
    <w:rsid w:val="00067914"/>
    <w:rsid w:val="0007112F"/>
    <w:rsid w:val="000747CC"/>
    <w:rsid w:val="000750C3"/>
    <w:rsid w:val="00076455"/>
    <w:rsid w:val="00076B05"/>
    <w:rsid w:val="0008123F"/>
    <w:rsid w:val="00083F52"/>
    <w:rsid w:val="000859AF"/>
    <w:rsid w:val="00086890"/>
    <w:rsid w:val="000875F4"/>
    <w:rsid w:val="00090E1E"/>
    <w:rsid w:val="00092805"/>
    <w:rsid w:val="00093364"/>
    <w:rsid w:val="00093784"/>
    <w:rsid w:val="0009640D"/>
    <w:rsid w:val="0009675D"/>
    <w:rsid w:val="000A173F"/>
    <w:rsid w:val="000A34C2"/>
    <w:rsid w:val="000A3A42"/>
    <w:rsid w:val="000A3F0A"/>
    <w:rsid w:val="000A58D1"/>
    <w:rsid w:val="000A66D3"/>
    <w:rsid w:val="000A76F0"/>
    <w:rsid w:val="000B059D"/>
    <w:rsid w:val="000B531A"/>
    <w:rsid w:val="000B64F0"/>
    <w:rsid w:val="000B662F"/>
    <w:rsid w:val="000B7707"/>
    <w:rsid w:val="000C139F"/>
    <w:rsid w:val="000C1AA4"/>
    <w:rsid w:val="000C6C05"/>
    <w:rsid w:val="000C797E"/>
    <w:rsid w:val="000D0758"/>
    <w:rsid w:val="000D1771"/>
    <w:rsid w:val="000D684E"/>
    <w:rsid w:val="000D70F4"/>
    <w:rsid w:val="000E0078"/>
    <w:rsid w:val="000E1696"/>
    <w:rsid w:val="000E2357"/>
    <w:rsid w:val="000E46D3"/>
    <w:rsid w:val="000E538D"/>
    <w:rsid w:val="000E6D14"/>
    <w:rsid w:val="000E6ED7"/>
    <w:rsid w:val="000F02D2"/>
    <w:rsid w:val="000F3DDB"/>
    <w:rsid w:val="000F3F02"/>
    <w:rsid w:val="000F65D4"/>
    <w:rsid w:val="000F7242"/>
    <w:rsid w:val="00100E23"/>
    <w:rsid w:val="00101039"/>
    <w:rsid w:val="001022A5"/>
    <w:rsid w:val="00103A2E"/>
    <w:rsid w:val="001071ED"/>
    <w:rsid w:val="00107689"/>
    <w:rsid w:val="0010769A"/>
    <w:rsid w:val="0011233B"/>
    <w:rsid w:val="0011437D"/>
    <w:rsid w:val="0011440C"/>
    <w:rsid w:val="0012130D"/>
    <w:rsid w:val="0012193A"/>
    <w:rsid w:val="0012369F"/>
    <w:rsid w:val="00125D14"/>
    <w:rsid w:val="0012739B"/>
    <w:rsid w:val="00130A55"/>
    <w:rsid w:val="00136A1A"/>
    <w:rsid w:val="00136BAD"/>
    <w:rsid w:val="00136EF0"/>
    <w:rsid w:val="00142AB2"/>
    <w:rsid w:val="001435D5"/>
    <w:rsid w:val="001449DB"/>
    <w:rsid w:val="001457C7"/>
    <w:rsid w:val="001471FF"/>
    <w:rsid w:val="00156153"/>
    <w:rsid w:val="00160BBE"/>
    <w:rsid w:val="0016245F"/>
    <w:rsid w:val="001639A9"/>
    <w:rsid w:val="00171EED"/>
    <w:rsid w:val="001732F2"/>
    <w:rsid w:val="0017457E"/>
    <w:rsid w:val="001746C5"/>
    <w:rsid w:val="00175FAB"/>
    <w:rsid w:val="00176E5A"/>
    <w:rsid w:val="001770D5"/>
    <w:rsid w:val="00177C1B"/>
    <w:rsid w:val="001833B4"/>
    <w:rsid w:val="00183F2E"/>
    <w:rsid w:val="001845FC"/>
    <w:rsid w:val="0018460D"/>
    <w:rsid w:val="00184FB0"/>
    <w:rsid w:val="00185D63"/>
    <w:rsid w:val="0019065A"/>
    <w:rsid w:val="0019555C"/>
    <w:rsid w:val="00195643"/>
    <w:rsid w:val="00195B5B"/>
    <w:rsid w:val="00196529"/>
    <w:rsid w:val="001A028E"/>
    <w:rsid w:val="001A1694"/>
    <w:rsid w:val="001A19FC"/>
    <w:rsid w:val="001A331C"/>
    <w:rsid w:val="001A79C7"/>
    <w:rsid w:val="001B1FB4"/>
    <w:rsid w:val="001B325A"/>
    <w:rsid w:val="001B3C13"/>
    <w:rsid w:val="001B460E"/>
    <w:rsid w:val="001B5181"/>
    <w:rsid w:val="001B677B"/>
    <w:rsid w:val="001B7A8F"/>
    <w:rsid w:val="001C1649"/>
    <w:rsid w:val="001C2598"/>
    <w:rsid w:val="001C3A0C"/>
    <w:rsid w:val="001C4928"/>
    <w:rsid w:val="001C4ABC"/>
    <w:rsid w:val="001C5ACC"/>
    <w:rsid w:val="001C5C9E"/>
    <w:rsid w:val="001D050B"/>
    <w:rsid w:val="001D06BA"/>
    <w:rsid w:val="001D5F42"/>
    <w:rsid w:val="001E05D1"/>
    <w:rsid w:val="001E0AFB"/>
    <w:rsid w:val="001E0E83"/>
    <w:rsid w:val="001E1073"/>
    <w:rsid w:val="001E44B0"/>
    <w:rsid w:val="001E4C24"/>
    <w:rsid w:val="001E681B"/>
    <w:rsid w:val="001E7C50"/>
    <w:rsid w:val="001F0AFF"/>
    <w:rsid w:val="001F1008"/>
    <w:rsid w:val="001F1FFB"/>
    <w:rsid w:val="001F3911"/>
    <w:rsid w:val="001F3995"/>
    <w:rsid w:val="00200AFF"/>
    <w:rsid w:val="00203603"/>
    <w:rsid w:val="0021747C"/>
    <w:rsid w:val="00220C49"/>
    <w:rsid w:val="00222678"/>
    <w:rsid w:val="002233E2"/>
    <w:rsid w:val="00223727"/>
    <w:rsid w:val="002250BC"/>
    <w:rsid w:val="002268E6"/>
    <w:rsid w:val="00226BA9"/>
    <w:rsid w:val="00227E40"/>
    <w:rsid w:val="00235135"/>
    <w:rsid w:val="00237165"/>
    <w:rsid w:val="002411F0"/>
    <w:rsid w:val="0024205F"/>
    <w:rsid w:val="002420F1"/>
    <w:rsid w:val="00242F71"/>
    <w:rsid w:val="0024500F"/>
    <w:rsid w:val="00245192"/>
    <w:rsid w:val="002458FB"/>
    <w:rsid w:val="00250148"/>
    <w:rsid w:val="00251BA0"/>
    <w:rsid w:val="002526CF"/>
    <w:rsid w:val="002528A9"/>
    <w:rsid w:val="00253602"/>
    <w:rsid w:val="00254324"/>
    <w:rsid w:val="002624A4"/>
    <w:rsid w:val="00262559"/>
    <w:rsid w:val="00262A0E"/>
    <w:rsid w:val="00265074"/>
    <w:rsid w:val="00265386"/>
    <w:rsid w:val="0026626F"/>
    <w:rsid w:val="00266FBD"/>
    <w:rsid w:val="0027655A"/>
    <w:rsid w:val="002814BA"/>
    <w:rsid w:val="0028282F"/>
    <w:rsid w:val="00284AED"/>
    <w:rsid w:val="002878A7"/>
    <w:rsid w:val="00292016"/>
    <w:rsid w:val="002A265B"/>
    <w:rsid w:val="002A32F3"/>
    <w:rsid w:val="002A3BEE"/>
    <w:rsid w:val="002A3C3C"/>
    <w:rsid w:val="002A4D20"/>
    <w:rsid w:val="002A4D22"/>
    <w:rsid w:val="002A4E38"/>
    <w:rsid w:val="002A4E48"/>
    <w:rsid w:val="002B2620"/>
    <w:rsid w:val="002B3972"/>
    <w:rsid w:val="002B44F6"/>
    <w:rsid w:val="002B6A9D"/>
    <w:rsid w:val="002B6B2F"/>
    <w:rsid w:val="002B75F1"/>
    <w:rsid w:val="002B7B02"/>
    <w:rsid w:val="002B7EE6"/>
    <w:rsid w:val="002C1BA3"/>
    <w:rsid w:val="002C3268"/>
    <w:rsid w:val="002C347B"/>
    <w:rsid w:val="002C7FB7"/>
    <w:rsid w:val="002D21C8"/>
    <w:rsid w:val="002D51B2"/>
    <w:rsid w:val="002D529C"/>
    <w:rsid w:val="002D580B"/>
    <w:rsid w:val="002D6E36"/>
    <w:rsid w:val="002D75BD"/>
    <w:rsid w:val="002E052C"/>
    <w:rsid w:val="002F006F"/>
    <w:rsid w:val="002F00BC"/>
    <w:rsid w:val="002F06AA"/>
    <w:rsid w:val="002F16C7"/>
    <w:rsid w:val="002F27A3"/>
    <w:rsid w:val="002F55C9"/>
    <w:rsid w:val="002F61F3"/>
    <w:rsid w:val="003012F9"/>
    <w:rsid w:val="00301F50"/>
    <w:rsid w:val="003020C4"/>
    <w:rsid w:val="0031084E"/>
    <w:rsid w:val="00310AFA"/>
    <w:rsid w:val="00311D9D"/>
    <w:rsid w:val="003123FB"/>
    <w:rsid w:val="00312D0A"/>
    <w:rsid w:val="00313E7D"/>
    <w:rsid w:val="00314EB7"/>
    <w:rsid w:val="0032159A"/>
    <w:rsid w:val="00324D0B"/>
    <w:rsid w:val="00324EE2"/>
    <w:rsid w:val="00326735"/>
    <w:rsid w:val="003279A0"/>
    <w:rsid w:val="00327E8F"/>
    <w:rsid w:val="00330686"/>
    <w:rsid w:val="003333B3"/>
    <w:rsid w:val="003361B4"/>
    <w:rsid w:val="00336464"/>
    <w:rsid w:val="00336952"/>
    <w:rsid w:val="00336DCA"/>
    <w:rsid w:val="00343738"/>
    <w:rsid w:val="00343FC7"/>
    <w:rsid w:val="00346B8A"/>
    <w:rsid w:val="0035518C"/>
    <w:rsid w:val="00356A19"/>
    <w:rsid w:val="003612F6"/>
    <w:rsid w:val="00361C40"/>
    <w:rsid w:val="0036698B"/>
    <w:rsid w:val="003678D6"/>
    <w:rsid w:val="00367BB7"/>
    <w:rsid w:val="00371EAB"/>
    <w:rsid w:val="00372FE6"/>
    <w:rsid w:val="00373183"/>
    <w:rsid w:val="00374277"/>
    <w:rsid w:val="00376583"/>
    <w:rsid w:val="00377721"/>
    <w:rsid w:val="00377C37"/>
    <w:rsid w:val="00380EE4"/>
    <w:rsid w:val="0038160F"/>
    <w:rsid w:val="0038343A"/>
    <w:rsid w:val="003839DE"/>
    <w:rsid w:val="00384534"/>
    <w:rsid w:val="0039032C"/>
    <w:rsid w:val="00391463"/>
    <w:rsid w:val="00391983"/>
    <w:rsid w:val="00393BDC"/>
    <w:rsid w:val="00394F63"/>
    <w:rsid w:val="0039635A"/>
    <w:rsid w:val="0039653F"/>
    <w:rsid w:val="003A01B1"/>
    <w:rsid w:val="003A0FB7"/>
    <w:rsid w:val="003A1269"/>
    <w:rsid w:val="003A3605"/>
    <w:rsid w:val="003A3F6A"/>
    <w:rsid w:val="003A56A4"/>
    <w:rsid w:val="003A655B"/>
    <w:rsid w:val="003C0ACD"/>
    <w:rsid w:val="003C40C2"/>
    <w:rsid w:val="003C4239"/>
    <w:rsid w:val="003C5054"/>
    <w:rsid w:val="003D002B"/>
    <w:rsid w:val="003D2A6F"/>
    <w:rsid w:val="003E08A5"/>
    <w:rsid w:val="003E2206"/>
    <w:rsid w:val="003E27E6"/>
    <w:rsid w:val="003E2F50"/>
    <w:rsid w:val="003E4FC8"/>
    <w:rsid w:val="003E531D"/>
    <w:rsid w:val="003F0F16"/>
    <w:rsid w:val="003F122D"/>
    <w:rsid w:val="003F1CDE"/>
    <w:rsid w:val="003F6EB8"/>
    <w:rsid w:val="004018E1"/>
    <w:rsid w:val="004031C6"/>
    <w:rsid w:val="004043B6"/>
    <w:rsid w:val="00404D08"/>
    <w:rsid w:val="0040553B"/>
    <w:rsid w:val="00407A1F"/>
    <w:rsid w:val="00410BC9"/>
    <w:rsid w:val="00411A03"/>
    <w:rsid w:val="00411CC2"/>
    <w:rsid w:val="00414B8E"/>
    <w:rsid w:val="00416669"/>
    <w:rsid w:val="00417B64"/>
    <w:rsid w:val="004212F4"/>
    <w:rsid w:val="00423BE4"/>
    <w:rsid w:val="004248E4"/>
    <w:rsid w:val="0042584B"/>
    <w:rsid w:val="004277A4"/>
    <w:rsid w:val="00427F48"/>
    <w:rsid w:val="00432CFD"/>
    <w:rsid w:val="00433A21"/>
    <w:rsid w:val="00437B95"/>
    <w:rsid w:val="00440321"/>
    <w:rsid w:val="00450CD8"/>
    <w:rsid w:val="00452D8A"/>
    <w:rsid w:val="00455032"/>
    <w:rsid w:val="00455300"/>
    <w:rsid w:val="00455334"/>
    <w:rsid w:val="004569AB"/>
    <w:rsid w:val="00463F3B"/>
    <w:rsid w:val="004668BF"/>
    <w:rsid w:val="00466DD4"/>
    <w:rsid w:val="00466DF1"/>
    <w:rsid w:val="00471E31"/>
    <w:rsid w:val="004723EC"/>
    <w:rsid w:val="00472F23"/>
    <w:rsid w:val="00473EE8"/>
    <w:rsid w:val="00481034"/>
    <w:rsid w:val="0048211B"/>
    <w:rsid w:val="004850D8"/>
    <w:rsid w:val="00487605"/>
    <w:rsid w:val="00487FD3"/>
    <w:rsid w:val="00490889"/>
    <w:rsid w:val="00492BC9"/>
    <w:rsid w:val="004930AB"/>
    <w:rsid w:val="00493AC0"/>
    <w:rsid w:val="00493E06"/>
    <w:rsid w:val="00494673"/>
    <w:rsid w:val="004A4825"/>
    <w:rsid w:val="004A56C5"/>
    <w:rsid w:val="004B23BC"/>
    <w:rsid w:val="004B3BFA"/>
    <w:rsid w:val="004B5295"/>
    <w:rsid w:val="004B78B1"/>
    <w:rsid w:val="004C15BA"/>
    <w:rsid w:val="004C2890"/>
    <w:rsid w:val="004C3116"/>
    <w:rsid w:val="004C344A"/>
    <w:rsid w:val="004C4C7F"/>
    <w:rsid w:val="004C62E6"/>
    <w:rsid w:val="004D0A0E"/>
    <w:rsid w:val="004D4F8C"/>
    <w:rsid w:val="004D54C2"/>
    <w:rsid w:val="004D5C2F"/>
    <w:rsid w:val="004D5E5A"/>
    <w:rsid w:val="004D60C6"/>
    <w:rsid w:val="004D7F38"/>
    <w:rsid w:val="004E1845"/>
    <w:rsid w:val="004E1C46"/>
    <w:rsid w:val="004E29A6"/>
    <w:rsid w:val="004E358C"/>
    <w:rsid w:val="004E7604"/>
    <w:rsid w:val="004F5D0B"/>
    <w:rsid w:val="004F5D8F"/>
    <w:rsid w:val="004F7818"/>
    <w:rsid w:val="00502D03"/>
    <w:rsid w:val="005052DD"/>
    <w:rsid w:val="0050656F"/>
    <w:rsid w:val="0050679F"/>
    <w:rsid w:val="00507B31"/>
    <w:rsid w:val="00516412"/>
    <w:rsid w:val="005256FB"/>
    <w:rsid w:val="0053056F"/>
    <w:rsid w:val="00530BAF"/>
    <w:rsid w:val="00531359"/>
    <w:rsid w:val="005338B1"/>
    <w:rsid w:val="005342BB"/>
    <w:rsid w:val="00534BAB"/>
    <w:rsid w:val="005352A1"/>
    <w:rsid w:val="005409C9"/>
    <w:rsid w:val="00543033"/>
    <w:rsid w:val="00546ABF"/>
    <w:rsid w:val="00550065"/>
    <w:rsid w:val="005500CE"/>
    <w:rsid w:val="00550C4F"/>
    <w:rsid w:val="005511A4"/>
    <w:rsid w:val="00551294"/>
    <w:rsid w:val="0055201A"/>
    <w:rsid w:val="00552B5C"/>
    <w:rsid w:val="00552DB5"/>
    <w:rsid w:val="00554669"/>
    <w:rsid w:val="00557839"/>
    <w:rsid w:val="00560CF2"/>
    <w:rsid w:val="00560D39"/>
    <w:rsid w:val="0056119B"/>
    <w:rsid w:val="00561D19"/>
    <w:rsid w:val="0056611B"/>
    <w:rsid w:val="0056676D"/>
    <w:rsid w:val="005675D9"/>
    <w:rsid w:val="00572DF1"/>
    <w:rsid w:val="00573F60"/>
    <w:rsid w:val="00576D20"/>
    <w:rsid w:val="0058056F"/>
    <w:rsid w:val="00581FE7"/>
    <w:rsid w:val="005821FC"/>
    <w:rsid w:val="00582348"/>
    <w:rsid w:val="00586165"/>
    <w:rsid w:val="005863E6"/>
    <w:rsid w:val="005870B8"/>
    <w:rsid w:val="00592D47"/>
    <w:rsid w:val="005931B8"/>
    <w:rsid w:val="00593C75"/>
    <w:rsid w:val="00597EC9"/>
    <w:rsid w:val="005A09B4"/>
    <w:rsid w:val="005A1F37"/>
    <w:rsid w:val="005A2F61"/>
    <w:rsid w:val="005A3F38"/>
    <w:rsid w:val="005B2E39"/>
    <w:rsid w:val="005B31F1"/>
    <w:rsid w:val="005B3230"/>
    <w:rsid w:val="005B5D8A"/>
    <w:rsid w:val="005B6A47"/>
    <w:rsid w:val="005B73AB"/>
    <w:rsid w:val="005C4860"/>
    <w:rsid w:val="005C514F"/>
    <w:rsid w:val="005C56BF"/>
    <w:rsid w:val="005D17E1"/>
    <w:rsid w:val="005D2897"/>
    <w:rsid w:val="005D3A71"/>
    <w:rsid w:val="005D6CAF"/>
    <w:rsid w:val="005D76FF"/>
    <w:rsid w:val="005E1382"/>
    <w:rsid w:val="005E297A"/>
    <w:rsid w:val="005E56A9"/>
    <w:rsid w:val="005E5A6D"/>
    <w:rsid w:val="005E5ED8"/>
    <w:rsid w:val="005E6BB6"/>
    <w:rsid w:val="005F0D3F"/>
    <w:rsid w:val="005F1B21"/>
    <w:rsid w:val="005F24CA"/>
    <w:rsid w:val="005F53E8"/>
    <w:rsid w:val="00606D02"/>
    <w:rsid w:val="00607813"/>
    <w:rsid w:val="006128E2"/>
    <w:rsid w:val="006138D7"/>
    <w:rsid w:val="00613B54"/>
    <w:rsid w:val="006172BF"/>
    <w:rsid w:val="0061797D"/>
    <w:rsid w:val="00621DE8"/>
    <w:rsid w:val="00622C03"/>
    <w:rsid w:val="00624040"/>
    <w:rsid w:val="006246D8"/>
    <w:rsid w:val="00626A1E"/>
    <w:rsid w:val="0062735B"/>
    <w:rsid w:val="00630C6C"/>
    <w:rsid w:val="00631EDC"/>
    <w:rsid w:val="00632072"/>
    <w:rsid w:val="00632AA8"/>
    <w:rsid w:val="00632ACF"/>
    <w:rsid w:val="00634D06"/>
    <w:rsid w:val="00636FF1"/>
    <w:rsid w:val="00637B24"/>
    <w:rsid w:val="00641C5C"/>
    <w:rsid w:val="00643AA8"/>
    <w:rsid w:val="0064737A"/>
    <w:rsid w:val="006500EC"/>
    <w:rsid w:val="0065593E"/>
    <w:rsid w:val="0065618E"/>
    <w:rsid w:val="00656383"/>
    <w:rsid w:val="00656599"/>
    <w:rsid w:val="00656AC4"/>
    <w:rsid w:val="00657257"/>
    <w:rsid w:val="00657EC1"/>
    <w:rsid w:val="0066145E"/>
    <w:rsid w:val="00661F79"/>
    <w:rsid w:val="00664C73"/>
    <w:rsid w:val="00665344"/>
    <w:rsid w:val="0066552D"/>
    <w:rsid w:val="0066787A"/>
    <w:rsid w:val="00671343"/>
    <w:rsid w:val="0067145A"/>
    <w:rsid w:val="00671FE3"/>
    <w:rsid w:val="00672C44"/>
    <w:rsid w:val="006733AB"/>
    <w:rsid w:val="00674CEC"/>
    <w:rsid w:val="006761C0"/>
    <w:rsid w:val="00677B7E"/>
    <w:rsid w:val="00680AE7"/>
    <w:rsid w:val="00683648"/>
    <w:rsid w:val="00683E16"/>
    <w:rsid w:val="00687689"/>
    <w:rsid w:val="00690837"/>
    <w:rsid w:val="00690B97"/>
    <w:rsid w:val="006942D0"/>
    <w:rsid w:val="006971DC"/>
    <w:rsid w:val="006A22F8"/>
    <w:rsid w:val="006A4507"/>
    <w:rsid w:val="006A581E"/>
    <w:rsid w:val="006B112F"/>
    <w:rsid w:val="006B250C"/>
    <w:rsid w:val="006B2AF0"/>
    <w:rsid w:val="006B375E"/>
    <w:rsid w:val="006B4D1B"/>
    <w:rsid w:val="006B5AEF"/>
    <w:rsid w:val="006B5C3E"/>
    <w:rsid w:val="006B69B0"/>
    <w:rsid w:val="006B783E"/>
    <w:rsid w:val="006B7E79"/>
    <w:rsid w:val="006C29C2"/>
    <w:rsid w:val="006C3F3D"/>
    <w:rsid w:val="006C4CE2"/>
    <w:rsid w:val="006D1D3F"/>
    <w:rsid w:val="006D27AF"/>
    <w:rsid w:val="006D30B4"/>
    <w:rsid w:val="006D32E3"/>
    <w:rsid w:val="006D4887"/>
    <w:rsid w:val="006D5502"/>
    <w:rsid w:val="006D6D00"/>
    <w:rsid w:val="006D7169"/>
    <w:rsid w:val="006D7C8A"/>
    <w:rsid w:val="006E063B"/>
    <w:rsid w:val="006E17C5"/>
    <w:rsid w:val="006E20D0"/>
    <w:rsid w:val="006E34D8"/>
    <w:rsid w:val="006E3995"/>
    <w:rsid w:val="006E56BF"/>
    <w:rsid w:val="006F0D13"/>
    <w:rsid w:val="006F2F3B"/>
    <w:rsid w:val="006F5819"/>
    <w:rsid w:val="006F59C0"/>
    <w:rsid w:val="006F5A45"/>
    <w:rsid w:val="006F7C8B"/>
    <w:rsid w:val="007069FC"/>
    <w:rsid w:val="00707638"/>
    <w:rsid w:val="00710083"/>
    <w:rsid w:val="00710473"/>
    <w:rsid w:val="00712310"/>
    <w:rsid w:val="007124EC"/>
    <w:rsid w:val="00715FFA"/>
    <w:rsid w:val="00727589"/>
    <w:rsid w:val="00733545"/>
    <w:rsid w:val="00733FFC"/>
    <w:rsid w:val="00734AE0"/>
    <w:rsid w:val="00736B20"/>
    <w:rsid w:val="00736DC5"/>
    <w:rsid w:val="00740901"/>
    <w:rsid w:val="00743315"/>
    <w:rsid w:val="00744B15"/>
    <w:rsid w:val="007457D7"/>
    <w:rsid w:val="00747934"/>
    <w:rsid w:val="00750086"/>
    <w:rsid w:val="00750A40"/>
    <w:rsid w:val="0075580A"/>
    <w:rsid w:val="007574F6"/>
    <w:rsid w:val="00761F03"/>
    <w:rsid w:val="00765A53"/>
    <w:rsid w:val="00770D67"/>
    <w:rsid w:val="00771313"/>
    <w:rsid w:val="00773353"/>
    <w:rsid w:val="007736AF"/>
    <w:rsid w:val="00773CD0"/>
    <w:rsid w:val="007750A1"/>
    <w:rsid w:val="007802BE"/>
    <w:rsid w:val="00781F5E"/>
    <w:rsid w:val="007831E9"/>
    <w:rsid w:val="00787B57"/>
    <w:rsid w:val="007916D7"/>
    <w:rsid w:val="00793C0F"/>
    <w:rsid w:val="00794E3F"/>
    <w:rsid w:val="007A07A8"/>
    <w:rsid w:val="007A2064"/>
    <w:rsid w:val="007A216D"/>
    <w:rsid w:val="007A253E"/>
    <w:rsid w:val="007A64B2"/>
    <w:rsid w:val="007A6AFD"/>
    <w:rsid w:val="007A7837"/>
    <w:rsid w:val="007B0C27"/>
    <w:rsid w:val="007B16F0"/>
    <w:rsid w:val="007B2246"/>
    <w:rsid w:val="007B3054"/>
    <w:rsid w:val="007B3247"/>
    <w:rsid w:val="007B3721"/>
    <w:rsid w:val="007B38D6"/>
    <w:rsid w:val="007B4F29"/>
    <w:rsid w:val="007B572A"/>
    <w:rsid w:val="007B5CF2"/>
    <w:rsid w:val="007B5E0E"/>
    <w:rsid w:val="007C3C18"/>
    <w:rsid w:val="007C4D77"/>
    <w:rsid w:val="007C5023"/>
    <w:rsid w:val="007D0D16"/>
    <w:rsid w:val="007D2E4D"/>
    <w:rsid w:val="007D4617"/>
    <w:rsid w:val="007D6510"/>
    <w:rsid w:val="007D691F"/>
    <w:rsid w:val="007D7122"/>
    <w:rsid w:val="007E0159"/>
    <w:rsid w:val="007E1832"/>
    <w:rsid w:val="007E2D30"/>
    <w:rsid w:val="007E33B8"/>
    <w:rsid w:val="007E3824"/>
    <w:rsid w:val="007E3C09"/>
    <w:rsid w:val="007E538A"/>
    <w:rsid w:val="007E5442"/>
    <w:rsid w:val="007E621F"/>
    <w:rsid w:val="007E6A1D"/>
    <w:rsid w:val="007F16ED"/>
    <w:rsid w:val="007F18BB"/>
    <w:rsid w:val="007F32C3"/>
    <w:rsid w:val="007F6268"/>
    <w:rsid w:val="007F6951"/>
    <w:rsid w:val="00800125"/>
    <w:rsid w:val="008010F8"/>
    <w:rsid w:val="00801CC8"/>
    <w:rsid w:val="00801DA5"/>
    <w:rsid w:val="00807556"/>
    <w:rsid w:val="00812EE4"/>
    <w:rsid w:val="00815031"/>
    <w:rsid w:val="00815671"/>
    <w:rsid w:val="00821431"/>
    <w:rsid w:val="008221EB"/>
    <w:rsid w:val="00822DAD"/>
    <w:rsid w:val="00823319"/>
    <w:rsid w:val="00823704"/>
    <w:rsid w:val="008264B2"/>
    <w:rsid w:val="0082653F"/>
    <w:rsid w:val="00832ADC"/>
    <w:rsid w:val="0083394F"/>
    <w:rsid w:val="00834047"/>
    <w:rsid w:val="0083433A"/>
    <w:rsid w:val="00834CC0"/>
    <w:rsid w:val="0083690B"/>
    <w:rsid w:val="00840FB4"/>
    <w:rsid w:val="00842E47"/>
    <w:rsid w:val="00843825"/>
    <w:rsid w:val="00844C93"/>
    <w:rsid w:val="008457EE"/>
    <w:rsid w:val="008458EE"/>
    <w:rsid w:val="00850371"/>
    <w:rsid w:val="0085051A"/>
    <w:rsid w:val="00850B71"/>
    <w:rsid w:val="008513FE"/>
    <w:rsid w:val="008516B2"/>
    <w:rsid w:val="008520BA"/>
    <w:rsid w:val="008536A4"/>
    <w:rsid w:val="00854826"/>
    <w:rsid w:val="00857BE8"/>
    <w:rsid w:val="00861A01"/>
    <w:rsid w:val="0086511F"/>
    <w:rsid w:val="008654F9"/>
    <w:rsid w:val="0086550F"/>
    <w:rsid w:val="00865823"/>
    <w:rsid w:val="00873549"/>
    <w:rsid w:val="00874EDA"/>
    <w:rsid w:val="008756C7"/>
    <w:rsid w:val="00875F25"/>
    <w:rsid w:val="008767E5"/>
    <w:rsid w:val="0087733A"/>
    <w:rsid w:val="0087743C"/>
    <w:rsid w:val="0088249E"/>
    <w:rsid w:val="008835A5"/>
    <w:rsid w:val="008856C2"/>
    <w:rsid w:val="00886958"/>
    <w:rsid w:val="008874AA"/>
    <w:rsid w:val="00887620"/>
    <w:rsid w:val="00891B5F"/>
    <w:rsid w:val="0089391F"/>
    <w:rsid w:val="008975C1"/>
    <w:rsid w:val="008975FE"/>
    <w:rsid w:val="00897949"/>
    <w:rsid w:val="008A47C2"/>
    <w:rsid w:val="008A539D"/>
    <w:rsid w:val="008A6B67"/>
    <w:rsid w:val="008A775B"/>
    <w:rsid w:val="008B2B7E"/>
    <w:rsid w:val="008B4E31"/>
    <w:rsid w:val="008B5595"/>
    <w:rsid w:val="008B58F8"/>
    <w:rsid w:val="008B6375"/>
    <w:rsid w:val="008B7169"/>
    <w:rsid w:val="008C0003"/>
    <w:rsid w:val="008C3725"/>
    <w:rsid w:val="008C49A1"/>
    <w:rsid w:val="008C4D28"/>
    <w:rsid w:val="008C4D79"/>
    <w:rsid w:val="008C5020"/>
    <w:rsid w:val="008D0103"/>
    <w:rsid w:val="008D04B9"/>
    <w:rsid w:val="008D1369"/>
    <w:rsid w:val="008D53F4"/>
    <w:rsid w:val="008E115B"/>
    <w:rsid w:val="008E2002"/>
    <w:rsid w:val="008E20E2"/>
    <w:rsid w:val="008E238C"/>
    <w:rsid w:val="008E4F6F"/>
    <w:rsid w:val="008E5B74"/>
    <w:rsid w:val="008E685C"/>
    <w:rsid w:val="008F0A7F"/>
    <w:rsid w:val="008F278B"/>
    <w:rsid w:val="008F29A8"/>
    <w:rsid w:val="008F3249"/>
    <w:rsid w:val="008F35AF"/>
    <w:rsid w:val="008F4162"/>
    <w:rsid w:val="008F547C"/>
    <w:rsid w:val="008F7108"/>
    <w:rsid w:val="0090143C"/>
    <w:rsid w:val="009014E4"/>
    <w:rsid w:val="00901ED6"/>
    <w:rsid w:val="009026AD"/>
    <w:rsid w:val="00903EA2"/>
    <w:rsid w:val="00905A68"/>
    <w:rsid w:val="009068DB"/>
    <w:rsid w:val="00910D27"/>
    <w:rsid w:val="0091103B"/>
    <w:rsid w:val="0091223E"/>
    <w:rsid w:val="00914AB1"/>
    <w:rsid w:val="00917DE4"/>
    <w:rsid w:val="009255F0"/>
    <w:rsid w:val="009277A3"/>
    <w:rsid w:val="00927B66"/>
    <w:rsid w:val="00930A73"/>
    <w:rsid w:val="00930B37"/>
    <w:rsid w:val="009324DA"/>
    <w:rsid w:val="00933DF3"/>
    <w:rsid w:val="00940953"/>
    <w:rsid w:val="00943021"/>
    <w:rsid w:val="00943E90"/>
    <w:rsid w:val="0094575D"/>
    <w:rsid w:val="00945A87"/>
    <w:rsid w:val="00947A18"/>
    <w:rsid w:val="00950593"/>
    <w:rsid w:val="009530A4"/>
    <w:rsid w:val="0095443E"/>
    <w:rsid w:val="00956FC7"/>
    <w:rsid w:val="009573FF"/>
    <w:rsid w:val="009617CF"/>
    <w:rsid w:val="009626D7"/>
    <w:rsid w:val="00965F8C"/>
    <w:rsid w:val="009661D4"/>
    <w:rsid w:val="00967F5A"/>
    <w:rsid w:val="00970DDF"/>
    <w:rsid w:val="00970DFA"/>
    <w:rsid w:val="00971F24"/>
    <w:rsid w:val="00972BED"/>
    <w:rsid w:val="00972F28"/>
    <w:rsid w:val="009753B7"/>
    <w:rsid w:val="00976967"/>
    <w:rsid w:val="00980727"/>
    <w:rsid w:val="00984C95"/>
    <w:rsid w:val="009862D4"/>
    <w:rsid w:val="00986A21"/>
    <w:rsid w:val="009904C6"/>
    <w:rsid w:val="009922E6"/>
    <w:rsid w:val="00992608"/>
    <w:rsid w:val="009932E3"/>
    <w:rsid w:val="0099425B"/>
    <w:rsid w:val="00996EE9"/>
    <w:rsid w:val="009A02BA"/>
    <w:rsid w:val="009A1268"/>
    <w:rsid w:val="009A2296"/>
    <w:rsid w:val="009A4C59"/>
    <w:rsid w:val="009A5D77"/>
    <w:rsid w:val="009A63E4"/>
    <w:rsid w:val="009B0B76"/>
    <w:rsid w:val="009B1408"/>
    <w:rsid w:val="009B425B"/>
    <w:rsid w:val="009B4A70"/>
    <w:rsid w:val="009B584A"/>
    <w:rsid w:val="009B6DA3"/>
    <w:rsid w:val="009B76DC"/>
    <w:rsid w:val="009C051B"/>
    <w:rsid w:val="009C1B89"/>
    <w:rsid w:val="009C1B91"/>
    <w:rsid w:val="009C2B21"/>
    <w:rsid w:val="009C4B60"/>
    <w:rsid w:val="009C6049"/>
    <w:rsid w:val="009D003F"/>
    <w:rsid w:val="009D122C"/>
    <w:rsid w:val="009D5143"/>
    <w:rsid w:val="009D52BF"/>
    <w:rsid w:val="009D608E"/>
    <w:rsid w:val="009D68AC"/>
    <w:rsid w:val="009F2A4E"/>
    <w:rsid w:val="009F3DA9"/>
    <w:rsid w:val="009F5754"/>
    <w:rsid w:val="009F6D31"/>
    <w:rsid w:val="009F7891"/>
    <w:rsid w:val="00A0197F"/>
    <w:rsid w:val="00A03147"/>
    <w:rsid w:val="00A05669"/>
    <w:rsid w:val="00A05AB0"/>
    <w:rsid w:val="00A1030E"/>
    <w:rsid w:val="00A1449A"/>
    <w:rsid w:val="00A15914"/>
    <w:rsid w:val="00A15A36"/>
    <w:rsid w:val="00A15E3B"/>
    <w:rsid w:val="00A17702"/>
    <w:rsid w:val="00A266BE"/>
    <w:rsid w:val="00A300FE"/>
    <w:rsid w:val="00A30550"/>
    <w:rsid w:val="00A30FA5"/>
    <w:rsid w:val="00A31C35"/>
    <w:rsid w:val="00A3343E"/>
    <w:rsid w:val="00A42042"/>
    <w:rsid w:val="00A42605"/>
    <w:rsid w:val="00A54F21"/>
    <w:rsid w:val="00A55765"/>
    <w:rsid w:val="00A57435"/>
    <w:rsid w:val="00A63A5B"/>
    <w:rsid w:val="00A67642"/>
    <w:rsid w:val="00A70422"/>
    <w:rsid w:val="00A72E0E"/>
    <w:rsid w:val="00A74D50"/>
    <w:rsid w:val="00A76484"/>
    <w:rsid w:val="00A8070D"/>
    <w:rsid w:val="00A80FF6"/>
    <w:rsid w:val="00A82123"/>
    <w:rsid w:val="00A83A0D"/>
    <w:rsid w:val="00A86C04"/>
    <w:rsid w:val="00A90768"/>
    <w:rsid w:val="00A90962"/>
    <w:rsid w:val="00A92163"/>
    <w:rsid w:val="00A936B5"/>
    <w:rsid w:val="00A93F64"/>
    <w:rsid w:val="00A9405A"/>
    <w:rsid w:val="00A9712A"/>
    <w:rsid w:val="00AA07AF"/>
    <w:rsid w:val="00AB0C60"/>
    <w:rsid w:val="00AB0F65"/>
    <w:rsid w:val="00AB2386"/>
    <w:rsid w:val="00AB25B2"/>
    <w:rsid w:val="00AB4A46"/>
    <w:rsid w:val="00AB5E91"/>
    <w:rsid w:val="00AB6136"/>
    <w:rsid w:val="00AB7189"/>
    <w:rsid w:val="00AB73C7"/>
    <w:rsid w:val="00AC61DB"/>
    <w:rsid w:val="00AC7787"/>
    <w:rsid w:val="00AC7818"/>
    <w:rsid w:val="00AD228B"/>
    <w:rsid w:val="00AD6252"/>
    <w:rsid w:val="00AD73CF"/>
    <w:rsid w:val="00AE05E1"/>
    <w:rsid w:val="00AF1298"/>
    <w:rsid w:val="00AF13BB"/>
    <w:rsid w:val="00AF26F0"/>
    <w:rsid w:val="00AF33BB"/>
    <w:rsid w:val="00AF5F75"/>
    <w:rsid w:val="00AF6866"/>
    <w:rsid w:val="00B017E7"/>
    <w:rsid w:val="00B01DDC"/>
    <w:rsid w:val="00B02155"/>
    <w:rsid w:val="00B02E05"/>
    <w:rsid w:val="00B0360C"/>
    <w:rsid w:val="00B04BDF"/>
    <w:rsid w:val="00B04CB8"/>
    <w:rsid w:val="00B04D32"/>
    <w:rsid w:val="00B04F75"/>
    <w:rsid w:val="00B05219"/>
    <w:rsid w:val="00B05403"/>
    <w:rsid w:val="00B06B4C"/>
    <w:rsid w:val="00B13537"/>
    <w:rsid w:val="00B144A6"/>
    <w:rsid w:val="00B166D8"/>
    <w:rsid w:val="00B1744B"/>
    <w:rsid w:val="00B1796E"/>
    <w:rsid w:val="00B217CC"/>
    <w:rsid w:val="00B225C2"/>
    <w:rsid w:val="00B30320"/>
    <w:rsid w:val="00B30F23"/>
    <w:rsid w:val="00B33028"/>
    <w:rsid w:val="00B335BE"/>
    <w:rsid w:val="00B337AD"/>
    <w:rsid w:val="00B34287"/>
    <w:rsid w:val="00B43218"/>
    <w:rsid w:val="00B432F9"/>
    <w:rsid w:val="00B459F4"/>
    <w:rsid w:val="00B47A08"/>
    <w:rsid w:val="00B47F93"/>
    <w:rsid w:val="00B5088C"/>
    <w:rsid w:val="00B52A03"/>
    <w:rsid w:val="00B54A07"/>
    <w:rsid w:val="00B5744F"/>
    <w:rsid w:val="00B61C3D"/>
    <w:rsid w:val="00B64745"/>
    <w:rsid w:val="00B65D98"/>
    <w:rsid w:val="00B67184"/>
    <w:rsid w:val="00B73877"/>
    <w:rsid w:val="00B7596A"/>
    <w:rsid w:val="00B774A6"/>
    <w:rsid w:val="00B80543"/>
    <w:rsid w:val="00B80E94"/>
    <w:rsid w:val="00B811BC"/>
    <w:rsid w:val="00B81376"/>
    <w:rsid w:val="00B815A0"/>
    <w:rsid w:val="00B82057"/>
    <w:rsid w:val="00B832B2"/>
    <w:rsid w:val="00B83E45"/>
    <w:rsid w:val="00B84EE1"/>
    <w:rsid w:val="00B85BF4"/>
    <w:rsid w:val="00B914C7"/>
    <w:rsid w:val="00B91AB8"/>
    <w:rsid w:val="00B93F03"/>
    <w:rsid w:val="00B94A03"/>
    <w:rsid w:val="00B94FBF"/>
    <w:rsid w:val="00B952D4"/>
    <w:rsid w:val="00B95E24"/>
    <w:rsid w:val="00BA3EF1"/>
    <w:rsid w:val="00BA4B00"/>
    <w:rsid w:val="00BA564E"/>
    <w:rsid w:val="00BA5789"/>
    <w:rsid w:val="00BA6E42"/>
    <w:rsid w:val="00BA712D"/>
    <w:rsid w:val="00BB1925"/>
    <w:rsid w:val="00BB1C5C"/>
    <w:rsid w:val="00BB30B9"/>
    <w:rsid w:val="00BB33A7"/>
    <w:rsid w:val="00BB42A0"/>
    <w:rsid w:val="00BB5B43"/>
    <w:rsid w:val="00BB66A2"/>
    <w:rsid w:val="00BB75B9"/>
    <w:rsid w:val="00BB791F"/>
    <w:rsid w:val="00BC4014"/>
    <w:rsid w:val="00BC5958"/>
    <w:rsid w:val="00BC6499"/>
    <w:rsid w:val="00BC6731"/>
    <w:rsid w:val="00BC76D0"/>
    <w:rsid w:val="00BD036C"/>
    <w:rsid w:val="00BD03C3"/>
    <w:rsid w:val="00BD3565"/>
    <w:rsid w:val="00BD3ABF"/>
    <w:rsid w:val="00BD3E62"/>
    <w:rsid w:val="00BE2641"/>
    <w:rsid w:val="00BE30E7"/>
    <w:rsid w:val="00BE33F3"/>
    <w:rsid w:val="00BE44EE"/>
    <w:rsid w:val="00BE61AC"/>
    <w:rsid w:val="00BE6F83"/>
    <w:rsid w:val="00BE7080"/>
    <w:rsid w:val="00BF048D"/>
    <w:rsid w:val="00BF1347"/>
    <w:rsid w:val="00BF5566"/>
    <w:rsid w:val="00BF5ED6"/>
    <w:rsid w:val="00BF7673"/>
    <w:rsid w:val="00C03639"/>
    <w:rsid w:val="00C05241"/>
    <w:rsid w:val="00C0554A"/>
    <w:rsid w:val="00C06510"/>
    <w:rsid w:val="00C11FAE"/>
    <w:rsid w:val="00C14C7B"/>
    <w:rsid w:val="00C1594D"/>
    <w:rsid w:val="00C22C23"/>
    <w:rsid w:val="00C23054"/>
    <w:rsid w:val="00C23340"/>
    <w:rsid w:val="00C25283"/>
    <w:rsid w:val="00C25DD7"/>
    <w:rsid w:val="00C26213"/>
    <w:rsid w:val="00C26991"/>
    <w:rsid w:val="00C3014F"/>
    <w:rsid w:val="00C33EED"/>
    <w:rsid w:val="00C34E55"/>
    <w:rsid w:val="00C36FE2"/>
    <w:rsid w:val="00C409DB"/>
    <w:rsid w:val="00C41AEC"/>
    <w:rsid w:val="00C42D8E"/>
    <w:rsid w:val="00C44560"/>
    <w:rsid w:val="00C451DA"/>
    <w:rsid w:val="00C45801"/>
    <w:rsid w:val="00C507D6"/>
    <w:rsid w:val="00C52762"/>
    <w:rsid w:val="00C53B1D"/>
    <w:rsid w:val="00C56363"/>
    <w:rsid w:val="00C57697"/>
    <w:rsid w:val="00C6088E"/>
    <w:rsid w:val="00C60B8D"/>
    <w:rsid w:val="00C62DE1"/>
    <w:rsid w:val="00C66061"/>
    <w:rsid w:val="00C71F1E"/>
    <w:rsid w:val="00C73167"/>
    <w:rsid w:val="00C7329A"/>
    <w:rsid w:val="00C73743"/>
    <w:rsid w:val="00C745E5"/>
    <w:rsid w:val="00C7747E"/>
    <w:rsid w:val="00C812FF"/>
    <w:rsid w:val="00C814F5"/>
    <w:rsid w:val="00C81813"/>
    <w:rsid w:val="00C833C1"/>
    <w:rsid w:val="00C86442"/>
    <w:rsid w:val="00C87D3F"/>
    <w:rsid w:val="00C91CA0"/>
    <w:rsid w:val="00C938EA"/>
    <w:rsid w:val="00C948E5"/>
    <w:rsid w:val="00C94F73"/>
    <w:rsid w:val="00C96363"/>
    <w:rsid w:val="00C97BEB"/>
    <w:rsid w:val="00CA765A"/>
    <w:rsid w:val="00CA7926"/>
    <w:rsid w:val="00CA7FF5"/>
    <w:rsid w:val="00CB0300"/>
    <w:rsid w:val="00CB3264"/>
    <w:rsid w:val="00CB5812"/>
    <w:rsid w:val="00CB741D"/>
    <w:rsid w:val="00CC0B7A"/>
    <w:rsid w:val="00CC4061"/>
    <w:rsid w:val="00CC4283"/>
    <w:rsid w:val="00CC528A"/>
    <w:rsid w:val="00CC58E1"/>
    <w:rsid w:val="00CC5B33"/>
    <w:rsid w:val="00CC5C7F"/>
    <w:rsid w:val="00CC6450"/>
    <w:rsid w:val="00CC768F"/>
    <w:rsid w:val="00CC7C10"/>
    <w:rsid w:val="00CD21F2"/>
    <w:rsid w:val="00CD2A5F"/>
    <w:rsid w:val="00CD4874"/>
    <w:rsid w:val="00CD693E"/>
    <w:rsid w:val="00CE0BD4"/>
    <w:rsid w:val="00CE5283"/>
    <w:rsid w:val="00CE578D"/>
    <w:rsid w:val="00CE5A93"/>
    <w:rsid w:val="00CE725F"/>
    <w:rsid w:val="00CF090D"/>
    <w:rsid w:val="00CF24E1"/>
    <w:rsid w:val="00CF5820"/>
    <w:rsid w:val="00CF5B16"/>
    <w:rsid w:val="00CF7B9D"/>
    <w:rsid w:val="00D01BCB"/>
    <w:rsid w:val="00D026DE"/>
    <w:rsid w:val="00D04992"/>
    <w:rsid w:val="00D04C9E"/>
    <w:rsid w:val="00D05501"/>
    <w:rsid w:val="00D057FB"/>
    <w:rsid w:val="00D06180"/>
    <w:rsid w:val="00D10C34"/>
    <w:rsid w:val="00D1231F"/>
    <w:rsid w:val="00D130CA"/>
    <w:rsid w:val="00D14A79"/>
    <w:rsid w:val="00D14B4B"/>
    <w:rsid w:val="00D159E9"/>
    <w:rsid w:val="00D1709B"/>
    <w:rsid w:val="00D171F4"/>
    <w:rsid w:val="00D17640"/>
    <w:rsid w:val="00D21A27"/>
    <w:rsid w:val="00D229BE"/>
    <w:rsid w:val="00D22DAA"/>
    <w:rsid w:val="00D30A01"/>
    <w:rsid w:val="00D3139D"/>
    <w:rsid w:val="00D32D86"/>
    <w:rsid w:val="00D336D7"/>
    <w:rsid w:val="00D33BC6"/>
    <w:rsid w:val="00D342D7"/>
    <w:rsid w:val="00D372BA"/>
    <w:rsid w:val="00D37E95"/>
    <w:rsid w:val="00D37FF8"/>
    <w:rsid w:val="00D40D83"/>
    <w:rsid w:val="00D4178C"/>
    <w:rsid w:val="00D42620"/>
    <w:rsid w:val="00D43230"/>
    <w:rsid w:val="00D43EDE"/>
    <w:rsid w:val="00D444CB"/>
    <w:rsid w:val="00D45233"/>
    <w:rsid w:val="00D467A7"/>
    <w:rsid w:val="00D46C47"/>
    <w:rsid w:val="00D47A20"/>
    <w:rsid w:val="00D47BBE"/>
    <w:rsid w:val="00D50878"/>
    <w:rsid w:val="00D55067"/>
    <w:rsid w:val="00D55105"/>
    <w:rsid w:val="00D5510A"/>
    <w:rsid w:val="00D56365"/>
    <w:rsid w:val="00D56D7E"/>
    <w:rsid w:val="00D57C27"/>
    <w:rsid w:val="00D60934"/>
    <w:rsid w:val="00D6489E"/>
    <w:rsid w:val="00D667BB"/>
    <w:rsid w:val="00D70702"/>
    <w:rsid w:val="00D71C56"/>
    <w:rsid w:val="00D721C4"/>
    <w:rsid w:val="00D73542"/>
    <w:rsid w:val="00D73AB4"/>
    <w:rsid w:val="00D74196"/>
    <w:rsid w:val="00D75A19"/>
    <w:rsid w:val="00D75A29"/>
    <w:rsid w:val="00D76C13"/>
    <w:rsid w:val="00D7766C"/>
    <w:rsid w:val="00D837AD"/>
    <w:rsid w:val="00D83A34"/>
    <w:rsid w:val="00D84FC5"/>
    <w:rsid w:val="00D8746C"/>
    <w:rsid w:val="00D874A8"/>
    <w:rsid w:val="00D90C88"/>
    <w:rsid w:val="00D90E2F"/>
    <w:rsid w:val="00D917F8"/>
    <w:rsid w:val="00D91B64"/>
    <w:rsid w:val="00D9384D"/>
    <w:rsid w:val="00D94D00"/>
    <w:rsid w:val="00D9719B"/>
    <w:rsid w:val="00DA36D0"/>
    <w:rsid w:val="00DA5BF3"/>
    <w:rsid w:val="00DA5E66"/>
    <w:rsid w:val="00DA6DC9"/>
    <w:rsid w:val="00DB0115"/>
    <w:rsid w:val="00DB0AE1"/>
    <w:rsid w:val="00DB2C9C"/>
    <w:rsid w:val="00DB500A"/>
    <w:rsid w:val="00DB5E15"/>
    <w:rsid w:val="00DB7B42"/>
    <w:rsid w:val="00DB7CB1"/>
    <w:rsid w:val="00DC08A0"/>
    <w:rsid w:val="00DC0DEA"/>
    <w:rsid w:val="00DC24B9"/>
    <w:rsid w:val="00DC2FDF"/>
    <w:rsid w:val="00DC3934"/>
    <w:rsid w:val="00DC3B91"/>
    <w:rsid w:val="00DC3F73"/>
    <w:rsid w:val="00DC4EF2"/>
    <w:rsid w:val="00DC4FE7"/>
    <w:rsid w:val="00DC5835"/>
    <w:rsid w:val="00DC5918"/>
    <w:rsid w:val="00DC631B"/>
    <w:rsid w:val="00DD00CB"/>
    <w:rsid w:val="00DD0315"/>
    <w:rsid w:val="00DD2609"/>
    <w:rsid w:val="00DD2BF8"/>
    <w:rsid w:val="00DD3360"/>
    <w:rsid w:val="00DD4809"/>
    <w:rsid w:val="00DD559E"/>
    <w:rsid w:val="00DE12B4"/>
    <w:rsid w:val="00DE2986"/>
    <w:rsid w:val="00DE48AD"/>
    <w:rsid w:val="00DE5CDB"/>
    <w:rsid w:val="00DE6819"/>
    <w:rsid w:val="00DF0037"/>
    <w:rsid w:val="00DF066D"/>
    <w:rsid w:val="00DF3CB0"/>
    <w:rsid w:val="00DF46CA"/>
    <w:rsid w:val="00E004A5"/>
    <w:rsid w:val="00E019BF"/>
    <w:rsid w:val="00E02EE5"/>
    <w:rsid w:val="00E0534F"/>
    <w:rsid w:val="00E06EF7"/>
    <w:rsid w:val="00E11B4E"/>
    <w:rsid w:val="00E11F30"/>
    <w:rsid w:val="00E17B60"/>
    <w:rsid w:val="00E21898"/>
    <w:rsid w:val="00E26FAA"/>
    <w:rsid w:val="00E27328"/>
    <w:rsid w:val="00E30F38"/>
    <w:rsid w:val="00E35EC1"/>
    <w:rsid w:val="00E36DF5"/>
    <w:rsid w:val="00E406FB"/>
    <w:rsid w:val="00E42374"/>
    <w:rsid w:val="00E425D0"/>
    <w:rsid w:val="00E44B28"/>
    <w:rsid w:val="00E45196"/>
    <w:rsid w:val="00E453AA"/>
    <w:rsid w:val="00E47F46"/>
    <w:rsid w:val="00E54FD2"/>
    <w:rsid w:val="00E5718B"/>
    <w:rsid w:val="00E601FD"/>
    <w:rsid w:val="00E60493"/>
    <w:rsid w:val="00E61D84"/>
    <w:rsid w:val="00E62C0E"/>
    <w:rsid w:val="00E63FDE"/>
    <w:rsid w:val="00E64851"/>
    <w:rsid w:val="00E64F1C"/>
    <w:rsid w:val="00E65303"/>
    <w:rsid w:val="00E6561E"/>
    <w:rsid w:val="00E66788"/>
    <w:rsid w:val="00E67F98"/>
    <w:rsid w:val="00E7124C"/>
    <w:rsid w:val="00E74013"/>
    <w:rsid w:val="00E76212"/>
    <w:rsid w:val="00E805E7"/>
    <w:rsid w:val="00E81085"/>
    <w:rsid w:val="00E83094"/>
    <w:rsid w:val="00E944CB"/>
    <w:rsid w:val="00E966DC"/>
    <w:rsid w:val="00E96DEE"/>
    <w:rsid w:val="00EA2093"/>
    <w:rsid w:val="00EA4DA3"/>
    <w:rsid w:val="00EA58AB"/>
    <w:rsid w:val="00EB2193"/>
    <w:rsid w:val="00EB3AA6"/>
    <w:rsid w:val="00EB3D1D"/>
    <w:rsid w:val="00EB6B59"/>
    <w:rsid w:val="00EC12CA"/>
    <w:rsid w:val="00EC2D33"/>
    <w:rsid w:val="00EC390E"/>
    <w:rsid w:val="00EC4B80"/>
    <w:rsid w:val="00EC76F3"/>
    <w:rsid w:val="00ED04F7"/>
    <w:rsid w:val="00ED176A"/>
    <w:rsid w:val="00ED1D2D"/>
    <w:rsid w:val="00ED2112"/>
    <w:rsid w:val="00ED2702"/>
    <w:rsid w:val="00ED27B8"/>
    <w:rsid w:val="00ED2E9E"/>
    <w:rsid w:val="00ED3A85"/>
    <w:rsid w:val="00ED48EA"/>
    <w:rsid w:val="00ED514A"/>
    <w:rsid w:val="00ED5BF9"/>
    <w:rsid w:val="00EE180D"/>
    <w:rsid w:val="00EE19EC"/>
    <w:rsid w:val="00EE2CCC"/>
    <w:rsid w:val="00EE6E6A"/>
    <w:rsid w:val="00EF0586"/>
    <w:rsid w:val="00EF0F36"/>
    <w:rsid w:val="00EF29E3"/>
    <w:rsid w:val="00EF3DF0"/>
    <w:rsid w:val="00EF7271"/>
    <w:rsid w:val="00F01115"/>
    <w:rsid w:val="00F028A4"/>
    <w:rsid w:val="00F05056"/>
    <w:rsid w:val="00F06698"/>
    <w:rsid w:val="00F10B67"/>
    <w:rsid w:val="00F10FFF"/>
    <w:rsid w:val="00F1111D"/>
    <w:rsid w:val="00F1190A"/>
    <w:rsid w:val="00F13524"/>
    <w:rsid w:val="00F140BB"/>
    <w:rsid w:val="00F14A48"/>
    <w:rsid w:val="00F16B06"/>
    <w:rsid w:val="00F21687"/>
    <w:rsid w:val="00F2282D"/>
    <w:rsid w:val="00F2698B"/>
    <w:rsid w:val="00F26C93"/>
    <w:rsid w:val="00F26D4E"/>
    <w:rsid w:val="00F27065"/>
    <w:rsid w:val="00F311F2"/>
    <w:rsid w:val="00F33F04"/>
    <w:rsid w:val="00F34BF0"/>
    <w:rsid w:val="00F34CB8"/>
    <w:rsid w:val="00F4040C"/>
    <w:rsid w:val="00F413D7"/>
    <w:rsid w:val="00F449B3"/>
    <w:rsid w:val="00F45D69"/>
    <w:rsid w:val="00F46FED"/>
    <w:rsid w:val="00F52C1C"/>
    <w:rsid w:val="00F53A73"/>
    <w:rsid w:val="00F54BB7"/>
    <w:rsid w:val="00F56C23"/>
    <w:rsid w:val="00F602BA"/>
    <w:rsid w:val="00F60337"/>
    <w:rsid w:val="00F605F4"/>
    <w:rsid w:val="00F60DC9"/>
    <w:rsid w:val="00F60E3F"/>
    <w:rsid w:val="00F62D72"/>
    <w:rsid w:val="00F63304"/>
    <w:rsid w:val="00F6369A"/>
    <w:rsid w:val="00F64ECF"/>
    <w:rsid w:val="00F64F04"/>
    <w:rsid w:val="00F650E6"/>
    <w:rsid w:val="00F65BAA"/>
    <w:rsid w:val="00F718E4"/>
    <w:rsid w:val="00F74FB5"/>
    <w:rsid w:val="00F75037"/>
    <w:rsid w:val="00F75C64"/>
    <w:rsid w:val="00F76AA7"/>
    <w:rsid w:val="00F811E0"/>
    <w:rsid w:val="00F819D6"/>
    <w:rsid w:val="00F81E6F"/>
    <w:rsid w:val="00F82735"/>
    <w:rsid w:val="00F8383D"/>
    <w:rsid w:val="00F849D7"/>
    <w:rsid w:val="00F900CA"/>
    <w:rsid w:val="00F9184E"/>
    <w:rsid w:val="00F918B9"/>
    <w:rsid w:val="00F918BD"/>
    <w:rsid w:val="00F92FDE"/>
    <w:rsid w:val="00F93B4D"/>
    <w:rsid w:val="00F93DEA"/>
    <w:rsid w:val="00F965A5"/>
    <w:rsid w:val="00F96A4D"/>
    <w:rsid w:val="00F9705A"/>
    <w:rsid w:val="00FA1EAF"/>
    <w:rsid w:val="00FA3A34"/>
    <w:rsid w:val="00FB0F0A"/>
    <w:rsid w:val="00FB38A4"/>
    <w:rsid w:val="00FC0525"/>
    <w:rsid w:val="00FC2424"/>
    <w:rsid w:val="00FC2B7F"/>
    <w:rsid w:val="00FD1491"/>
    <w:rsid w:val="00FD1EC1"/>
    <w:rsid w:val="00FD3B76"/>
    <w:rsid w:val="00FD5201"/>
    <w:rsid w:val="00FE1E90"/>
    <w:rsid w:val="00FE30CE"/>
    <w:rsid w:val="00FE33DC"/>
    <w:rsid w:val="00FE35F9"/>
    <w:rsid w:val="00FE70CF"/>
    <w:rsid w:val="00FE7385"/>
    <w:rsid w:val="00FF0231"/>
    <w:rsid w:val="00FF168E"/>
    <w:rsid w:val="00FF244C"/>
    <w:rsid w:val="00FF3A51"/>
    <w:rsid w:val="00FF52AC"/>
    <w:rsid w:val="00FF5C39"/>
    <w:rsid w:val="00FF7B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BB304"/>
  <w15:docId w15:val="{AD8C5CCF-7999-984E-AF01-FA457A0D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0205"/>
    <w:rPr>
      <w:rFonts w:asciiTheme="majorHAnsi" w:hAnsiTheme="majorHAnsi"/>
    </w:rPr>
  </w:style>
  <w:style w:type="paragraph" w:styleId="Nadpis1">
    <w:name w:val="heading 1"/>
    <w:basedOn w:val="Normln"/>
    <w:next w:val="Normln"/>
    <w:link w:val="Nadpis1Char"/>
    <w:uiPriority w:val="9"/>
    <w:qFormat/>
    <w:rsid w:val="00010205"/>
    <w:pPr>
      <w:keepNext/>
      <w:keepLines/>
      <w:spacing w:before="480" w:after="0"/>
      <w:outlineLvl w:val="0"/>
    </w:pPr>
    <w:rPr>
      <w:rFonts w:eastAsiaTheme="majorEastAsia" w:cstheme="majorBidi"/>
      <w:b/>
      <w:bCs/>
      <w:color w:val="F03741"/>
      <w:sz w:val="28"/>
      <w:szCs w:val="28"/>
    </w:rPr>
  </w:style>
  <w:style w:type="paragraph" w:styleId="Nadpis2">
    <w:name w:val="heading 2"/>
    <w:basedOn w:val="Normln"/>
    <w:next w:val="Normln"/>
    <w:link w:val="Nadpis2Char"/>
    <w:uiPriority w:val="9"/>
    <w:unhideWhenUsed/>
    <w:qFormat/>
    <w:rsid w:val="00010205"/>
    <w:pPr>
      <w:keepNext/>
      <w:keepLines/>
      <w:spacing w:before="200" w:after="0"/>
      <w:outlineLvl w:val="1"/>
    </w:pPr>
    <w:rPr>
      <w:rFonts w:eastAsiaTheme="majorEastAsia" w:cstheme="majorBidi"/>
      <w:b/>
      <w:bCs/>
      <w:color w:val="000000" w:themeColor="text1"/>
      <w:sz w:val="24"/>
      <w:szCs w:val="26"/>
    </w:rPr>
  </w:style>
  <w:style w:type="paragraph" w:styleId="Nadpis3">
    <w:name w:val="heading 3"/>
    <w:basedOn w:val="Normln"/>
    <w:next w:val="Normln"/>
    <w:link w:val="Nadpis3Char"/>
    <w:uiPriority w:val="9"/>
    <w:unhideWhenUsed/>
    <w:qFormat/>
    <w:rsid w:val="00DC4EF2"/>
    <w:pPr>
      <w:keepNext/>
      <w:keepLines/>
      <w:spacing w:before="40" w:after="0"/>
      <w:outlineLvl w:val="2"/>
    </w:pPr>
    <w:rPr>
      <w:rFonts w:eastAsiaTheme="majorEastAsia" w:cstheme="majorBidi"/>
      <w:color w:val="243F60" w:themeColor="accent1" w:themeShade="7F"/>
      <w:sz w:val="24"/>
      <w:szCs w:val="24"/>
    </w:rPr>
  </w:style>
  <w:style w:type="paragraph" w:styleId="Nadpis4">
    <w:name w:val="heading 4"/>
    <w:basedOn w:val="Normln"/>
    <w:next w:val="Normln"/>
    <w:link w:val="Nadpis4Char"/>
    <w:uiPriority w:val="9"/>
    <w:unhideWhenUsed/>
    <w:qFormat/>
    <w:rsid w:val="00103A2E"/>
    <w:pPr>
      <w:keepNext/>
      <w:keepLines/>
      <w:spacing w:before="40" w:after="0"/>
      <w:outlineLvl w:val="3"/>
    </w:pPr>
    <w:rPr>
      <w:rFonts w:eastAsiaTheme="majorEastAsia"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500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00EC"/>
    <w:rPr>
      <w:rFonts w:ascii="Tahoma" w:hAnsi="Tahoma" w:cs="Tahoma"/>
      <w:sz w:val="16"/>
      <w:szCs w:val="16"/>
    </w:rPr>
  </w:style>
  <w:style w:type="paragraph" w:styleId="Zhlav">
    <w:name w:val="header"/>
    <w:basedOn w:val="Normln"/>
    <w:link w:val="ZhlavChar"/>
    <w:uiPriority w:val="99"/>
    <w:unhideWhenUsed/>
    <w:rsid w:val="006500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0EC"/>
  </w:style>
  <w:style w:type="paragraph" w:styleId="Zpat">
    <w:name w:val="footer"/>
    <w:basedOn w:val="Normln"/>
    <w:link w:val="ZpatChar1"/>
    <w:uiPriority w:val="99"/>
    <w:unhideWhenUsed/>
    <w:rsid w:val="006F2F3B"/>
    <w:pPr>
      <w:tabs>
        <w:tab w:val="center" w:pos="4536"/>
        <w:tab w:val="right" w:pos="9072"/>
      </w:tabs>
      <w:spacing w:after="0" w:line="240" w:lineRule="auto"/>
    </w:pPr>
  </w:style>
  <w:style w:type="character" w:customStyle="1" w:styleId="ZpatChar1">
    <w:name w:val="Zápatí Char1"/>
    <w:basedOn w:val="Standardnpsmoodstavce"/>
    <w:link w:val="Zpat"/>
    <w:uiPriority w:val="99"/>
    <w:rsid w:val="006F2F3B"/>
    <w:rPr>
      <w:rFonts w:asciiTheme="majorHAnsi" w:hAnsiTheme="majorHAnsi"/>
    </w:rPr>
  </w:style>
  <w:style w:type="table" w:styleId="Mkatabulky">
    <w:name w:val="Table Grid"/>
    <w:basedOn w:val="Normlntabulka"/>
    <w:uiPriority w:val="59"/>
    <w:rsid w:val="0065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
    <w:uiPriority w:val="99"/>
    <w:rsid w:val="00010205"/>
    <w:pPr>
      <w:autoSpaceDE w:val="0"/>
      <w:autoSpaceDN w:val="0"/>
      <w:adjustRightInd w:val="0"/>
      <w:spacing w:after="0" w:line="288" w:lineRule="auto"/>
      <w:textAlignment w:val="center"/>
    </w:pPr>
    <w:rPr>
      <w:rFonts w:cs="Minion Pro"/>
      <w:color w:val="000000"/>
      <w:szCs w:val="24"/>
    </w:rPr>
  </w:style>
  <w:style w:type="paragraph" w:customStyle="1" w:styleId="Zpat1">
    <w:name w:val="Zápatí1"/>
    <w:basedOn w:val="Zpat"/>
    <w:link w:val="ZpatChar"/>
    <w:qFormat/>
    <w:rsid w:val="00DC631B"/>
    <w:pPr>
      <w:jc w:val="right"/>
    </w:pPr>
    <w:rPr>
      <w:sz w:val="16"/>
      <w:szCs w:val="16"/>
    </w:rPr>
  </w:style>
  <w:style w:type="character" w:customStyle="1" w:styleId="ZpatChar">
    <w:name w:val="Zápatí Char"/>
    <w:basedOn w:val="ZpatChar1"/>
    <w:link w:val="Zpat1"/>
    <w:rsid w:val="00DC631B"/>
    <w:rPr>
      <w:rFonts w:asciiTheme="majorHAnsi" w:hAnsiTheme="majorHAnsi"/>
      <w:sz w:val="16"/>
      <w:szCs w:val="16"/>
    </w:rPr>
  </w:style>
  <w:style w:type="character" w:customStyle="1" w:styleId="Nadpis1Char">
    <w:name w:val="Nadpis 1 Char"/>
    <w:basedOn w:val="Standardnpsmoodstavce"/>
    <w:link w:val="Nadpis1"/>
    <w:uiPriority w:val="9"/>
    <w:rsid w:val="00010205"/>
    <w:rPr>
      <w:rFonts w:asciiTheme="majorHAnsi" w:eastAsiaTheme="majorEastAsia" w:hAnsiTheme="majorHAnsi" w:cstheme="majorBidi"/>
      <w:b/>
      <w:bCs/>
      <w:color w:val="F03741"/>
      <w:sz w:val="28"/>
      <w:szCs w:val="28"/>
    </w:rPr>
  </w:style>
  <w:style w:type="character" w:customStyle="1" w:styleId="Nadpis2Char">
    <w:name w:val="Nadpis 2 Char"/>
    <w:basedOn w:val="Standardnpsmoodstavce"/>
    <w:link w:val="Nadpis2"/>
    <w:uiPriority w:val="9"/>
    <w:rsid w:val="00010205"/>
    <w:rPr>
      <w:rFonts w:asciiTheme="majorHAnsi" w:eastAsiaTheme="majorEastAsia" w:hAnsiTheme="majorHAnsi" w:cstheme="majorBidi"/>
      <w:b/>
      <w:bCs/>
      <w:color w:val="000000" w:themeColor="text1"/>
      <w:sz w:val="24"/>
      <w:szCs w:val="26"/>
    </w:rPr>
  </w:style>
  <w:style w:type="paragraph" w:styleId="Nzev">
    <w:name w:val="Title"/>
    <w:basedOn w:val="Normln"/>
    <w:next w:val="Normln"/>
    <w:link w:val="NzevChar"/>
    <w:uiPriority w:val="10"/>
    <w:qFormat/>
    <w:rsid w:val="00010205"/>
    <w:pPr>
      <w:pBdr>
        <w:bottom w:val="single" w:sz="8" w:space="4" w:color="4F81BD" w:themeColor="accent1"/>
      </w:pBdr>
      <w:spacing w:after="300" w:line="240" w:lineRule="auto"/>
      <w:contextualSpacing/>
    </w:pPr>
    <w:rPr>
      <w:rFonts w:eastAsiaTheme="majorEastAsia" w:cstheme="majorBidi"/>
      <w:b/>
      <w:spacing w:val="5"/>
      <w:kern w:val="28"/>
      <w:sz w:val="52"/>
      <w:szCs w:val="52"/>
    </w:rPr>
  </w:style>
  <w:style w:type="character" w:customStyle="1" w:styleId="NzevChar">
    <w:name w:val="Název Char"/>
    <w:basedOn w:val="Standardnpsmoodstavce"/>
    <w:link w:val="Nzev"/>
    <w:uiPriority w:val="10"/>
    <w:rsid w:val="00010205"/>
    <w:rPr>
      <w:rFonts w:asciiTheme="majorHAnsi" w:eastAsiaTheme="majorEastAsia" w:hAnsiTheme="majorHAnsi" w:cstheme="majorBidi"/>
      <w:b/>
      <w:spacing w:val="5"/>
      <w:kern w:val="28"/>
      <w:sz w:val="52"/>
      <w:szCs w:val="52"/>
    </w:rPr>
  </w:style>
  <w:style w:type="paragraph" w:styleId="Podnadpis">
    <w:name w:val="Subtitle"/>
    <w:basedOn w:val="Normln"/>
    <w:next w:val="Normln"/>
    <w:link w:val="PodnadpisChar"/>
    <w:uiPriority w:val="11"/>
    <w:qFormat/>
    <w:rsid w:val="00010205"/>
    <w:pPr>
      <w:numPr>
        <w:ilvl w:val="1"/>
      </w:numPr>
    </w:pPr>
    <w:rPr>
      <w:rFonts w:eastAsiaTheme="majorEastAsia" w:cstheme="majorBidi"/>
      <w:b/>
      <w:iCs/>
      <w:szCs w:val="24"/>
    </w:rPr>
  </w:style>
  <w:style w:type="character" w:customStyle="1" w:styleId="PodnadpisChar">
    <w:name w:val="Podnadpis Char"/>
    <w:basedOn w:val="Standardnpsmoodstavce"/>
    <w:link w:val="Podnadpis"/>
    <w:uiPriority w:val="11"/>
    <w:rsid w:val="00010205"/>
    <w:rPr>
      <w:rFonts w:asciiTheme="majorHAnsi" w:eastAsiaTheme="majorEastAsia" w:hAnsiTheme="majorHAnsi" w:cstheme="majorBidi"/>
      <w:b/>
      <w:iCs/>
      <w:szCs w:val="24"/>
    </w:rPr>
  </w:style>
  <w:style w:type="character" w:styleId="Zdraznnintenzivn">
    <w:name w:val="Intense Emphasis"/>
    <w:basedOn w:val="Standardnpsmoodstavce"/>
    <w:uiPriority w:val="21"/>
    <w:qFormat/>
    <w:rsid w:val="00010205"/>
    <w:rPr>
      <w:b/>
      <w:bCs/>
      <w:i/>
      <w:iCs/>
      <w:color w:val="auto"/>
    </w:rPr>
  </w:style>
  <w:style w:type="paragraph" w:styleId="Vrazncitt">
    <w:name w:val="Intense Quote"/>
    <w:basedOn w:val="Normln"/>
    <w:next w:val="Normln"/>
    <w:link w:val="VrazncittChar"/>
    <w:uiPriority w:val="30"/>
    <w:qFormat/>
    <w:rsid w:val="00010205"/>
    <w:pPr>
      <w:pBdr>
        <w:bottom w:val="single" w:sz="4" w:space="4" w:color="4F81BD" w:themeColor="accent1"/>
      </w:pBdr>
      <w:spacing w:before="200" w:after="280"/>
      <w:ind w:left="936" w:right="936"/>
    </w:pPr>
    <w:rPr>
      <w:b/>
      <w:bCs/>
      <w:i/>
      <w:iCs/>
      <w:color w:val="000000" w:themeColor="text1"/>
    </w:rPr>
  </w:style>
  <w:style w:type="character" w:customStyle="1" w:styleId="VrazncittChar">
    <w:name w:val="Výrazný citát Char"/>
    <w:basedOn w:val="Standardnpsmoodstavce"/>
    <w:link w:val="Vrazncitt"/>
    <w:uiPriority w:val="30"/>
    <w:rsid w:val="00010205"/>
    <w:rPr>
      <w:rFonts w:asciiTheme="majorHAnsi" w:hAnsiTheme="majorHAnsi"/>
      <w:b/>
      <w:bCs/>
      <w:i/>
      <w:iCs/>
      <w:color w:val="000000" w:themeColor="text1"/>
    </w:rPr>
  </w:style>
  <w:style w:type="paragraph" w:customStyle="1" w:styleId="BodyTextLeftJustifyBODYTEXT">
    <w:name w:val="Body Text – Left Justify (BODY TEXT)"/>
    <w:basedOn w:val="Normln"/>
    <w:uiPriority w:val="99"/>
    <w:rsid w:val="0028282F"/>
    <w:pPr>
      <w:tabs>
        <w:tab w:val="center" w:pos="200"/>
        <w:tab w:val="center" w:pos="400"/>
        <w:tab w:val="center" w:pos="600"/>
        <w:tab w:val="center" w:pos="800"/>
        <w:tab w:val="center" w:pos="1000"/>
        <w:tab w:val="center" w:pos="1200"/>
        <w:tab w:val="center" w:pos="1400"/>
        <w:tab w:val="center" w:pos="1600"/>
        <w:tab w:val="center" w:pos="1800"/>
        <w:tab w:val="center" w:pos="2000"/>
        <w:tab w:val="center" w:pos="2200"/>
        <w:tab w:val="center" w:pos="2400"/>
        <w:tab w:val="center" w:pos="2600"/>
        <w:tab w:val="center" w:pos="2800"/>
        <w:tab w:val="center" w:pos="3000"/>
        <w:tab w:val="center" w:pos="3200"/>
        <w:tab w:val="center" w:pos="3400"/>
        <w:tab w:val="center" w:pos="3600"/>
        <w:tab w:val="center" w:pos="3800"/>
        <w:tab w:val="center" w:pos="4000"/>
        <w:tab w:val="center" w:pos="4200"/>
      </w:tabs>
      <w:autoSpaceDE w:val="0"/>
      <w:autoSpaceDN w:val="0"/>
      <w:adjustRightInd w:val="0"/>
      <w:spacing w:after="120" w:line="400" w:lineRule="atLeast"/>
      <w:jc w:val="both"/>
      <w:textAlignment w:val="center"/>
    </w:pPr>
    <w:rPr>
      <w:rFonts w:ascii="SourceSansPro-Regular" w:hAnsi="SourceSansPro-Regular" w:cs="SourceSansPro-Regular"/>
      <w:color w:val="3B3C3B"/>
      <w:sz w:val="20"/>
      <w:szCs w:val="20"/>
      <w:lang w:val="en-US"/>
    </w:rPr>
  </w:style>
  <w:style w:type="character" w:customStyle="1" w:styleId="tlid-translation">
    <w:name w:val="tlid-translation"/>
    <w:basedOn w:val="Standardnpsmoodstavce"/>
    <w:rsid w:val="005B31F1"/>
  </w:style>
  <w:style w:type="paragraph" w:styleId="Odstavecseseznamem">
    <w:name w:val="List Paragraph"/>
    <w:basedOn w:val="Normln"/>
    <w:uiPriority w:val="34"/>
    <w:qFormat/>
    <w:rsid w:val="00637B24"/>
    <w:pPr>
      <w:spacing w:after="160" w:line="256" w:lineRule="auto"/>
      <w:ind w:left="720"/>
      <w:contextualSpacing/>
    </w:pPr>
    <w:rPr>
      <w:rFonts w:asciiTheme="minorHAnsi" w:hAnsiTheme="minorHAnsi"/>
    </w:rPr>
  </w:style>
  <w:style w:type="character" w:customStyle="1" w:styleId="nlmarticle-title">
    <w:name w:val="nlm_article-title"/>
    <w:basedOn w:val="Standardnpsmoodstavce"/>
    <w:rsid w:val="00637B24"/>
  </w:style>
  <w:style w:type="character" w:customStyle="1" w:styleId="nlmyear">
    <w:name w:val="nlm_year"/>
    <w:basedOn w:val="Standardnpsmoodstavce"/>
    <w:rsid w:val="00637B24"/>
  </w:style>
  <w:style w:type="character" w:styleId="Hypertextovodkaz">
    <w:name w:val="Hyperlink"/>
    <w:basedOn w:val="Standardnpsmoodstavce"/>
    <w:uiPriority w:val="99"/>
    <w:unhideWhenUsed/>
    <w:rsid w:val="001F1008"/>
    <w:rPr>
      <w:color w:val="0000FF" w:themeColor="hyperlink"/>
      <w:u w:val="single"/>
    </w:rPr>
  </w:style>
  <w:style w:type="character" w:customStyle="1" w:styleId="Nevyeenzmnka1">
    <w:name w:val="Nevyřešená zmínka1"/>
    <w:basedOn w:val="Standardnpsmoodstavce"/>
    <w:uiPriority w:val="99"/>
    <w:semiHidden/>
    <w:unhideWhenUsed/>
    <w:rsid w:val="001F1008"/>
    <w:rPr>
      <w:color w:val="605E5C"/>
      <w:shd w:val="clear" w:color="auto" w:fill="E1DFDD"/>
    </w:rPr>
  </w:style>
  <w:style w:type="character" w:customStyle="1" w:styleId="nlmfpage">
    <w:name w:val="nlm_fpage"/>
    <w:basedOn w:val="Standardnpsmoodstavce"/>
    <w:rsid w:val="00E42374"/>
  </w:style>
  <w:style w:type="character" w:customStyle="1" w:styleId="nlmlpage">
    <w:name w:val="nlm_lpage"/>
    <w:basedOn w:val="Standardnpsmoodstavce"/>
    <w:rsid w:val="00E42374"/>
  </w:style>
  <w:style w:type="character" w:customStyle="1" w:styleId="nlmpublisher-loc">
    <w:name w:val="nlm_publisher-loc"/>
    <w:basedOn w:val="Standardnpsmoodstavce"/>
    <w:rsid w:val="00E42374"/>
  </w:style>
  <w:style w:type="character" w:customStyle="1" w:styleId="nlmpublisher-name">
    <w:name w:val="nlm_publisher-name"/>
    <w:basedOn w:val="Standardnpsmoodstavce"/>
    <w:rsid w:val="00E42374"/>
  </w:style>
  <w:style w:type="character" w:styleId="Zdraznn">
    <w:name w:val="Emphasis"/>
    <w:basedOn w:val="Standardnpsmoodstavce"/>
    <w:uiPriority w:val="20"/>
    <w:qFormat/>
    <w:rsid w:val="00372FE6"/>
    <w:rPr>
      <w:i/>
      <w:iCs/>
    </w:rPr>
  </w:style>
  <w:style w:type="character" w:customStyle="1" w:styleId="authorsname">
    <w:name w:val="authors__name"/>
    <w:basedOn w:val="Standardnpsmoodstavce"/>
    <w:rsid w:val="00F605F4"/>
  </w:style>
  <w:style w:type="paragraph" w:styleId="Normlnweb">
    <w:name w:val="Normal (Web)"/>
    <w:basedOn w:val="Normln"/>
    <w:uiPriority w:val="99"/>
    <w:unhideWhenUsed/>
    <w:rsid w:val="00F605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5870B8"/>
    <w:rPr>
      <w:color w:val="605E5C"/>
      <w:shd w:val="clear" w:color="auto" w:fill="E1DFDD"/>
    </w:rPr>
  </w:style>
  <w:style w:type="character" w:customStyle="1" w:styleId="apple-converted-space">
    <w:name w:val="apple-converted-space"/>
    <w:basedOn w:val="Standardnpsmoodstavce"/>
    <w:rsid w:val="006E20D0"/>
  </w:style>
  <w:style w:type="character" w:styleId="Odkaznakoment">
    <w:name w:val="annotation reference"/>
    <w:basedOn w:val="Standardnpsmoodstavce"/>
    <w:uiPriority w:val="99"/>
    <w:semiHidden/>
    <w:unhideWhenUsed/>
    <w:rsid w:val="003839DE"/>
    <w:rPr>
      <w:sz w:val="16"/>
      <w:szCs w:val="16"/>
    </w:rPr>
  </w:style>
  <w:style w:type="paragraph" w:styleId="Textkomente">
    <w:name w:val="annotation text"/>
    <w:basedOn w:val="Normln"/>
    <w:link w:val="TextkomenteChar"/>
    <w:uiPriority w:val="99"/>
    <w:unhideWhenUsed/>
    <w:rsid w:val="003839DE"/>
    <w:pPr>
      <w:spacing w:line="240" w:lineRule="auto"/>
    </w:pPr>
    <w:rPr>
      <w:sz w:val="20"/>
      <w:szCs w:val="20"/>
    </w:rPr>
  </w:style>
  <w:style w:type="character" w:customStyle="1" w:styleId="TextkomenteChar">
    <w:name w:val="Text komentáře Char"/>
    <w:basedOn w:val="Standardnpsmoodstavce"/>
    <w:link w:val="Textkomente"/>
    <w:uiPriority w:val="99"/>
    <w:rsid w:val="003839DE"/>
    <w:rPr>
      <w:rFonts w:asciiTheme="majorHAnsi" w:hAnsiTheme="majorHAnsi"/>
      <w:sz w:val="20"/>
      <w:szCs w:val="20"/>
    </w:rPr>
  </w:style>
  <w:style w:type="paragraph" w:styleId="Pedmtkomente">
    <w:name w:val="annotation subject"/>
    <w:basedOn w:val="Textkomente"/>
    <w:next w:val="Textkomente"/>
    <w:link w:val="PedmtkomenteChar"/>
    <w:uiPriority w:val="99"/>
    <w:semiHidden/>
    <w:unhideWhenUsed/>
    <w:rsid w:val="003839DE"/>
    <w:rPr>
      <w:b/>
      <w:bCs/>
    </w:rPr>
  </w:style>
  <w:style w:type="character" w:customStyle="1" w:styleId="PedmtkomenteChar">
    <w:name w:val="Předmět komentáře Char"/>
    <w:basedOn w:val="TextkomenteChar"/>
    <w:link w:val="Pedmtkomente"/>
    <w:uiPriority w:val="99"/>
    <w:semiHidden/>
    <w:rsid w:val="003839DE"/>
    <w:rPr>
      <w:rFonts w:asciiTheme="majorHAnsi" w:hAnsiTheme="majorHAnsi"/>
      <w:b/>
      <w:bCs/>
      <w:sz w:val="20"/>
      <w:szCs w:val="20"/>
    </w:rPr>
  </w:style>
  <w:style w:type="paragraph" w:styleId="Revize">
    <w:name w:val="Revision"/>
    <w:hidden/>
    <w:uiPriority w:val="99"/>
    <w:semiHidden/>
    <w:rsid w:val="00B52A03"/>
    <w:pPr>
      <w:spacing w:after="0" w:line="240" w:lineRule="auto"/>
    </w:pPr>
    <w:rPr>
      <w:rFonts w:asciiTheme="majorHAnsi" w:hAnsiTheme="majorHAnsi"/>
    </w:rPr>
  </w:style>
  <w:style w:type="paragraph" w:styleId="Textpoznpodarou">
    <w:name w:val="footnote text"/>
    <w:basedOn w:val="Normln"/>
    <w:link w:val="TextpoznpodarouChar"/>
    <w:uiPriority w:val="99"/>
    <w:semiHidden/>
    <w:unhideWhenUsed/>
    <w:rsid w:val="005A2F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A2F61"/>
    <w:rPr>
      <w:rFonts w:asciiTheme="majorHAnsi" w:hAnsiTheme="majorHAnsi"/>
      <w:sz w:val="20"/>
      <w:szCs w:val="20"/>
    </w:rPr>
  </w:style>
  <w:style w:type="character" w:styleId="Znakapoznpodarou">
    <w:name w:val="footnote reference"/>
    <w:basedOn w:val="Standardnpsmoodstavce"/>
    <w:uiPriority w:val="99"/>
    <w:semiHidden/>
    <w:unhideWhenUsed/>
    <w:rsid w:val="005A2F61"/>
    <w:rPr>
      <w:vertAlign w:val="superscript"/>
    </w:rPr>
  </w:style>
  <w:style w:type="table" w:styleId="Tabulkasmkou2zvraznn1">
    <w:name w:val="Grid Table 2 Accent 1"/>
    <w:basedOn w:val="Normlntabulka"/>
    <w:uiPriority w:val="47"/>
    <w:rsid w:val="000A3A4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text">
    <w:name w:val="title-text"/>
    <w:basedOn w:val="Standardnpsmoodstavce"/>
    <w:rsid w:val="007A07A8"/>
  </w:style>
  <w:style w:type="character" w:customStyle="1" w:styleId="articlebyline">
    <w:name w:val="article_byline"/>
    <w:basedOn w:val="Standardnpsmoodstavce"/>
    <w:rsid w:val="00B73877"/>
  </w:style>
  <w:style w:type="character" w:styleId="Nevyeenzmnka">
    <w:name w:val="Unresolved Mention"/>
    <w:basedOn w:val="Standardnpsmoodstavce"/>
    <w:uiPriority w:val="99"/>
    <w:semiHidden/>
    <w:unhideWhenUsed/>
    <w:rsid w:val="0083690B"/>
    <w:rPr>
      <w:color w:val="605E5C"/>
      <w:shd w:val="clear" w:color="auto" w:fill="E1DFDD"/>
    </w:rPr>
  </w:style>
  <w:style w:type="paragraph" w:customStyle="1" w:styleId="Default">
    <w:name w:val="Default"/>
    <w:rsid w:val="000A66D3"/>
    <w:pPr>
      <w:autoSpaceDE w:val="0"/>
      <w:autoSpaceDN w:val="0"/>
      <w:adjustRightInd w:val="0"/>
      <w:spacing w:after="0" w:line="240" w:lineRule="auto"/>
    </w:pPr>
    <w:rPr>
      <w:rFonts w:ascii="Charis SIL" w:hAnsi="Charis SIL" w:cs="Charis SIL"/>
      <w:color w:val="000000"/>
      <w:sz w:val="24"/>
      <w:szCs w:val="24"/>
    </w:rPr>
  </w:style>
  <w:style w:type="character" w:customStyle="1" w:styleId="Nadpis3Char">
    <w:name w:val="Nadpis 3 Char"/>
    <w:basedOn w:val="Standardnpsmoodstavce"/>
    <w:link w:val="Nadpis3"/>
    <w:uiPriority w:val="9"/>
    <w:rsid w:val="00DC4EF2"/>
    <w:rPr>
      <w:rFonts w:asciiTheme="majorHAnsi" w:eastAsiaTheme="majorEastAsia" w:hAnsiTheme="majorHAnsi" w:cstheme="majorBidi"/>
      <w:color w:val="243F60" w:themeColor="accent1" w:themeShade="7F"/>
      <w:sz w:val="24"/>
      <w:szCs w:val="24"/>
    </w:rPr>
  </w:style>
  <w:style w:type="character" w:styleId="Sledovanodkaz">
    <w:name w:val="FollowedHyperlink"/>
    <w:basedOn w:val="Standardnpsmoodstavce"/>
    <w:uiPriority w:val="99"/>
    <w:semiHidden/>
    <w:unhideWhenUsed/>
    <w:rsid w:val="00ED5BF9"/>
    <w:rPr>
      <w:color w:val="800080" w:themeColor="followedHyperlink"/>
      <w:u w:val="single"/>
    </w:rPr>
  </w:style>
  <w:style w:type="character" w:customStyle="1" w:styleId="author">
    <w:name w:val="author"/>
    <w:basedOn w:val="Standardnpsmoodstavce"/>
    <w:rsid w:val="000A76F0"/>
  </w:style>
  <w:style w:type="character" w:customStyle="1" w:styleId="source-description">
    <w:name w:val="source-description"/>
    <w:basedOn w:val="Standardnpsmoodstavce"/>
    <w:rsid w:val="000A76F0"/>
  </w:style>
  <w:style w:type="character" w:customStyle="1" w:styleId="Datum1">
    <w:name w:val="Datum1"/>
    <w:basedOn w:val="Standardnpsmoodstavce"/>
    <w:rsid w:val="00593C75"/>
  </w:style>
  <w:style w:type="character" w:customStyle="1" w:styleId="b-articlerefs-getshorturl">
    <w:name w:val="b-article__refs-getshorturl"/>
    <w:basedOn w:val="Standardnpsmoodstavce"/>
    <w:rsid w:val="00593C75"/>
  </w:style>
  <w:style w:type="paragraph" w:styleId="Titulek">
    <w:name w:val="caption"/>
    <w:basedOn w:val="Normln"/>
    <w:next w:val="Normln"/>
    <w:uiPriority w:val="35"/>
    <w:unhideWhenUsed/>
    <w:qFormat/>
    <w:rsid w:val="00D37FF8"/>
    <w:pPr>
      <w:spacing w:line="240" w:lineRule="auto"/>
    </w:pPr>
    <w:rPr>
      <w:i/>
      <w:iCs/>
      <w:color w:val="1F497D" w:themeColor="text2"/>
      <w:sz w:val="18"/>
      <w:szCs w:val="18"/>
    </w:rPr>
  </w:style>
  <w:style w:type="character" w:customStyle="1" w:styleId="acopre">
    <w:name w:val="acopre"/>
    <w:basedOn w:val="Standardnpsmoodstavce"/>
    <w:rsid w:val="00F965A5"/>
  </w:style>
  <w:style w:type="character" w:customStyle="1" w:styleId="epname">
    <w:name w:val="ep_name"/>
    <w:basedOn w:val="Standardnpsmoodstavce"/>
    <w:rsid w:val="00A57435"/>
  </w:style>
  <w:style w:type="character" w:styleId="Siln">
    <w:name w:val="Strong"/>
    <w:basedOn w:val="Standardnpsmoodstavce"/>
    <w:uiPriority w:val="22"/>
    <w:qFormat/>
    <w:rsid w:val="00A57435"/>
    <w:rPr>
      <w:b/>
      <w:bCs/>
    </w:rPr>
  </w:style>
  <w:style w:type="paragraph" w:styleId="Obsah2">
    <w:name w:val="toc 2"/>
    <w:basedOn w:val="Normln"/>
    <w:next w:val="Normln"/>
    <w:autoRedefine/>
    <w:uiPriority w:val="39"/>
    <w:unhideWhenUsed/>
    <w:rsid w:val="006128E2"/>
    <w:pPr>
      <w:tabs>
        <w:tab w:val="right" w:leader="dot" w:pos="9628"/>
      </w:tabs>
      <w:spacing w:after="100"/>
      <w:ind w:left="284" w:hanging="78"/>
    </w:pPr>
    <w:rPr>
      <w:b/>
      <w:bCs/>
      <w:noProof/>
      <w:color w:val="000000" w:themeColor="text1"/>
    </w:rPr>
  </w:style>
  <w:style w:type="character" w:customStyle="1" w:styleId="Nadpis4Char">
    <w:name w:val="Nadpis 4 Char"/>
    <w:basedOn w:val="Standardnpsmoodstavce"/>
    <w:link w:val="Nadpis4"/>
    <w:uiPriority w:val="9"/>
    <w:rsid w:val="00103A2E"/>
    <w:rPr>
      <w:rFonts w:asciiTheme="majorHAnsi" w:eastAsiaTheme="majorEastAsia" w:hAnsiTheme="majorHAnsi" w:cstheme="majorBidi"/>
      <w:i/>
      <w:iCs/>
      <w:color w:val="365F91" w:themeColor="accent1" w:themeShade="BF"/>
    </w:rPr>
  </w:style>
  <w:style w:type="paragraph" w:styleId="Obsah3">
    <w:name w:val="toc 3"/>
    <w:basedOn w:val="Normln"/>
    <w:next w:val="Normln"/>
    <w:autoRedefine/>
    <w:uiPriority w:val="39"/>
    <w:unhideWhenUsed/>
    <w:rsid w:val="00311D9D"/>
    <w:pPr>
      <w:tabs>
        <w:tab w:val="right" w:leader="dot" w:pos="9628"/>
      </w:tabs>
      <w:spacing w:after="100"/>
      <w:ind w:left="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9863">
      <w:bodyDiv w:val="1"/>
      <w:marLeft w:val="0"/>
      <w:marRight w:val="0"/>
      <w:marTop w:val="0"/>
      <w:marBottom w:val="0"/>
      <w:divBdr>
        <w:top w:val="none" w:sz="0" w:space="0" w:color="auto"/>
        <w:left w:val="none" w:sz="0" w:space="0" w:color="auto"/>
        <w:bottom w:val="none" w:sz="0" w:space="0" w:color="auto"/>
        <w:right w:val="none" w:sz="0" w:space="0" w:color="auto"/>
      </w:divBdr>
    </w:div>
    <w:div w:id="75520882">
      <w:bodyDiv w:val="1"/>
      <w:marLeft w:val="0"/>
      <w:marRight w:val="0"/>
      <w:marTop w:val="0"/>
      <w:marBottom w:val="0"/>
      <w:divBdr>
        <w:top w:val="none" w:sz="0" w:space="0" w:color="auto"/>
        <w:left w:val="none" w:sz="0" w:space="0" w:color="auto"/>
        <w:bottom w:val="none" w:sz="0" w:space="0" w:color="auto"/>
        <w:right w:val="none" w:sz="0" w:space="0" w:color="auto"/>
      </w:divBdr>
    </w:div>
    <w:div w:id="146407427">
      <w:bodyDiv w:val="1"/>
      <w:marLeft w:val="0"/>
      <w:marRight w:val="0"/>
      <w:marTop w:val="0"/>
      <w:marBottom w:val="0"/>
      <w:divBdr>
        <w:top w:val="none" w:sz="0" w:space="0" w:color="auto"/>
        <w:left w:val="none" w:sz="0" w:space="0" w:color="auto"/>
        <w:bottom w:val="none" w:sz="0" w:space="0" w:color="auto"/>
        <w:right w:val="none" w:sz="0" w:space="0" w:color="auto"/>
      </w:divBdr>
    </w:div>
    <w:div w:id="149373956">
      <w:bodyDiv w:val="1"/>
      <w:marLeft w:val="0"/>
      <w:marRight w:val="0"/>
      <w:marTop w:val="0"/>
      <w:marBottom w:val="0"/>
      <w:divBdr>
        <w:top w:val="none" w:sz="0" w:space="0" w:color="auto"/>
        <w:left w:val="none" w:sz="0" w:space="0" w:color="auto"/>
        <w:bottom w:val="none" w:sz="0" w:space="0" w:color="auto"/>
        <w:right w:val="none" w:sz="0" w:space="0" w:color="auto"/>
      </w:divBdr>
    </w:div>
    <w:div w:id="150407814">
      <w:bodyDiv w:val="1"/>
      <w:marLeft w:val="0"/>
      <w:marRight w:val="0"/>
      <w:marTop w:val="0"/>
      <w:marBottom w:val="0"/>
      <w:divBdr>
        <w:top w:val="none" w:sz="0" w:space="0" w:color="auto"/>
        <w:left w:val="none" w:sz="0" w:space="0" w:color="auto"/>
        <w:bottom w:val="none" w:sz="0" w:space="0" w:color="auto"/>
        <w:right w:val="none" w:sz="0" w:space="0" w:color="auto"/>
      </w:divBdr>
    </w:div>
    <w:div w:id="242182270">
      <w:bodyDiv w:val="1"/>
      <w:marLeft w:val="0"/>
      <w:marRight w:val="0"/>
      <w:marTop w:val="0"/>
      <w:marBottom w:val="0"/>
      <w:divBdr>
        <w:top w:val="none" w:sz="0" w:space="0" w:color="auto"/>
        <w:left w:val="none" w:sz="0" w:space="0" w:color="auto"/>
        <w:bottom w:val="none" w:sz="0" w:space="0" w:color="auto"/>
        <w:right w:val="none" w:sz="0" w:space="0" w:color="auto"/>
      </w:divBdr>
    </w:div>
    <w:div w:id="384259088">
      <w:bodyDiv w:val="1"/>
      <w:marLeft w:val="0"/>
      <w:marRight w:val="0"/>
      <w:marTop w:val="0"/>
      <w:marBottom w:val="0"/>
      <w:divBdr>
        <w:top w:val="none" w:sz="0" w:space="0" w:color="auto"/>
        <w:left w:val="none" w:sz="0" w:space="0" w:color="auto"/>
        <w:bottom w:val="none" w:sz="0" w:space="0" w:color="auto"/>
        <w:right w:val="none" w:sz="0" w:space="0" w:color="auto"/>
      </w:divBdr>
    </w:div>
    <w:div w:id="411437629">
      <w:bodyDiv w:val="1"/>
      <w:marLeft w:val="0"/>
      <w:marRight w:val="0"/>
      <w:marTop w:val="0"/>
      <w:marBottom w:val="0"/>
      <w:divBdr>
        <w:top w:val="none" w:sz="0" w:space="0" w:color="auto"/>
        <w:left w:val="none" w:sz="0" w:space="0" w:color="auto"/>
        <w:bottom w:val="none" w:sz="0" w:space="0" w:color="auto"/>
        <w:right w:val="none" w:sz="0" w:space="0" w:color="auto"/>
      </w:divBdr>
    </w:div>
    <w:div w:id="417095130">
      <w:bodyDiv w:val="1"/>
      <w:marLeft w:val="0"/>
      <w:marRight w:val="0"/>
      <w:marTop w:val="0"/>
      <w:marBottom w:val="0"/>
      <w:divBdr>
        <w:top w:val="none" w:sz="0" w:space="0" w:color="auto"/>
        <w:left w:val="none" w:sz="0" w:space="0" w:color="auto"/>
        <w:bottom w:val="none" w:sz="0" w:space="0" w:color="auto"/>
        <w:right w:val="none" w:sz="0" w:space="0" w:color="auto"/>
      </w:divBdr>
    </w:div>
    <w:div w:id="426314415">
      <w:bodyDiv w:val="1"/>
      <w:marLeft w:val="0"/>
      <w:marRight w:val="0"/>
      <w:marTop w:val="0"/>
      <w:marBottom w:val="0"/>
      <w:divBdr>
        <w:top w:val="none" w:sz="0" w:space="0" w:color="auto"/>
        <w:left w:val="none" w:sz="0" w:space="0" w:color="auto"/>
        <w:bottom w:val="none" w:sz="0" w:space="0" w:color="auto"/>
        <w:right w:val="none" w:sz="0" w:space="0" w:color="auto"/>
      </w:divBdr>
    </w:div>
    <w:div w:id="496575009">
      <w:bodyDiv w:val="1"/>
      <w:marLeft w:val="0"/>
      <w:marRight w:val="0"/>
      <w:marTop w:val="0"/>
      <w:marBottom w:val="0"/>
      <w:divBdr>
        <w:top w:val="none" w:sz="0" w:space="0" w:color="auto"/>
        <w:left w:val="none" w:sz="0" w:space="0" w:color="auto"/>
        <w:bottom w:val="none" w:sz="0" w:space="0" w:color="auto"/>
        <w:right w:val="none" w:sz="0" w:space="0" w:color="auto"/>
      </w:divBdr>
    </w:div>
    <w:div w:id="572814093">
      <w:bodyDiv w:val="1"/>
      <w:marLeft w:val="0"/>
      <w:marRight w:val="0"/>
      <w:marTop w:val="0"/>
      <w:marBottom w:val="0"/>
      <w:divBdr>
        <w:top w:val="none" w:sz="0" w:space="0" w:color="auto"/>
        <w:left w:val="none" w:sz="0" w:space="0" w:color="auto"/>
        <w:bottom w:val="none" w:sz="0" w:space="0" w:color="auto"/>
        <w:right w:val="none" w:sz="0" w:space="0" w:color="auto"/>
      </w:divBdr>
    </w:div>
    <w:div w:id="611011720">
      <w:bodyDiv w:val="1"/>
      <w:marLeft w:val="0"/>
      <w:marRight w:val="0"/>
      <w:marTop w:val="0"/>
      <w:marBottom w:val="0"/>
      <w:divBdr>
        <w:top w:val="none" w:sz="0" w:space="0" w:color="auto"/>
        <w:left w:val="none" w:sz="0" w:space="0" w:color="auto"/>
        <w:bottom w:val="none" w:sz="0" w:space="0" w:color="auto"/>
        <w:right w:val="none" w:sz="0" w:space="0" w:color="auto"/>
      </w:divBdr>
    </w:div>
    <w:div w:id="686491910">
      <w:bodyDiv w:val="1"/>
      <w:marLeft w:val="0"/>
      <w:marRight w:val="0"/>
      <w:marTop w:val="0"/>
      <w:marBottom w:val="0"/>
      <w:divBdr>
        <w:top w:val="none" w:sz="0" w:space="0" w:color="auto"/>
        <w:left w:val="none" w:sz="0" w:space="0" w:color="auto"/>
        <w:bottom w:val="none" w:sz="0" w:space="0" w:color="auto"/>
        <w:right w:val="none" w:sz="0" w:space="0" w:color="auto"/>
      </w:divBdr>
    </w:div>
    <w:div w:id="933636416">
      <w:bodyDiv w:val="1"/>
      <w:marLeft w:val="0"/>
      <w:marRight w:val="0"/>
      <w:marTop w:val="0"/>
      <w:marBottom w:val="0"/>
      <w:divBdr>
        <w:top w:val="none" w:sz="0" w:space="0" w:color="auto"/>
        <w:left w:val="none" w:sz="0" w:space="0" w:color="auto"/>
        <w:bottom w:val="none" w:sz="0" w:space="0" w:color="auto"/>
        <w:right w:val="none" w:sz="0" w:space="0" w:color="auto"/>
      </w:divBdr>
    </w:div>
    <w:div w:id="988677906">
      <w:bodyDiv w:val="1"/>
      <w:marLeft w:val="0"/>
      <w:marRight w:val="0"/>
      <w:marTop w:val="0"/>
      <w:marBottom w:val="0"/>
      <w:divBdr>
        <w:top w:val="none" w:sz="0" w:space="0" w:color="auto"/>
        <w:left w:val="none" w:sz="0" w:space="0" w:color="auto"/>
        <w:bottom w:val="none" w:sz="0" w:space="0" w:color="auto"/>
        <w:right w:val="none" w:sz="0" w:space="0" w:color="auto"/>
      </w:divBdr>
    </w:div>
    <w:div w:id="1108694681">
      <w:bodyDiv w:val="1"/>
      <w:marLeft w:val="0"/>
      <w:marRight w:val="0"/>
      <w:marTop w:val="0"/>
      <w:marBottom w:val="0"/>
      <w:divBdr>
        <w:top w:val="none" w:sz="0" w:space="0" w:color="auto"/>
        <w:left w:val="none" w:sz="0" w:space="0" w:color="auto"/>
        <w:bottom w:val="none" w:sz="0" w:space="0" w:color="auto"/>
        <w:right w:val="none" w:sz="0" w:space="0" w:color="auto"/>
      </w:divBdr>
      <w:divsChild>
        <w:div w:id="15038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147508">
              <w:marLeft w:val="0"/>
              <w:marRight w:val="0"/>
              <w:marTop w:val="0"/>
              <w:marBottom w:val="0"/>
              <w:divBdr>
                <w:top w:val="none" w:sz="0" w:space="0" w:color="auto"/>
                <w:left w:val="none" w:sz="0" w:space="0" w:color="auto"/>
                <w:bottom w:val="none" w:sz="0" w:space="0" w:color="auto"/>
                <w:right w:val="none" w:sz="0" w:space="0" w:color="auto"/>
              </w:divBdr>
              <w:divsChild>
                <w:div w:id="316882245">
                  <w:marLeft w:val="0"/>
                  <w:marRight w:val="0"/>
                  <w:marTop w:val="0"/>
                  <w:marBottom w:val="0"/>
                  <w:divBdr>
                    <w:top w:val="none" w:sz="0" w:space="0" w:color="auto"/>
                    <w:left w:val="none" w:sz="0" w:space="0" w:color="auto"/>
                    <w:bottom w:val="none" w:sz="0" w:space="0" w:color="auto"/>
                    <w:right w:val="none" w:sz="0" w:space="0" w:color="auto"/>
                  </w:divBdr>
                </w:div>
                <w:div w:id="6590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35917">
      <w:bodyDiv w:val="1"/>
      <w:marLeft w:val="0"/>
      <w:marRight w:val="0"/>
      <w:marTop w:val="0"/>
      <w:marBottom w:val="0"/>
      <w:divBdr>
        <w:top w:val="none" w:sz="0" w:space="0" w:color="auto"/>
        <w:left w:val="none" w:sz="0" w:space="0" w:color="auto"/>
        <w:bottom w:val="none" w:sz="0" w:space="0" w:color="auto"/>
        <w:right w:val="none" w:sz="0" w:space="0" w:color="auto"/>
      </w:divBdr>
    </w:div>
    <w:div w:id="1396662746">
      <w:bodyDiv w:val="1"/>
      <w:marLeft w:val="0"/>
      <w:marRight w:val="0"/>
      <w:marTop w:val="0"/>
      <w:marBottom w:val="0"/>
      <w:divBdr>
        <w:top w:val="none" w:sz="0" w:space="0" w:color="auto"/>
        <w:left w:val="none" w:sz="0" w:space="0" w:color="auto"/>
        <w:bottom w:val="none" w:sz="0" w:space="0" w:color="auto"/>
        <w:right w:val="none" w:sz="0" w:space="0" w:color="auto"/>
      </w:divBdr>
    </w:div>
    <w:div w:id="1423184895">
      <w:bodyDiv w:val="1"/>
      <w:marLeft w:val="0"/>
      <w:marRight w:val="0"/>
      <w:marTop w:val="0"/>
      <w:marBottom w:val="0"/>
      <w:divBdr>
        <w:top w:val="none" w:sz="0" w:space="0" w:color="auto"/>
        <w:left w:val="none" w:sz="0" w:space="0" w:color="auto"/>
        <w:bottom w:val="none" w:sz="0" w:space="0" w:color="auto"/>
        <w:right w:val="none" w:sz="0" w:space="0" w:color="auto"/>
      </w:divBdr>
    </w:div>
    <w:div w:id="1682120252">
      <w:bodyDiv w:val="1"/>
      <w:marLeft w:val="0"/>
      <w:marRight w:val="0"/>
      <w:marTop w:val="0"/>
      <w:marBottom w:val="0"/>
      <w:divBdr>
        <w:top w:val="none" w:sz="0" w:space="0" w:color="auto"/>
        <w:left w:val="none" w:sz="0" w:space="0" w:color="auto"/>
        <w:bottom w:val="none" w:sz="0" w:space="0" w:color="auto"/>
        <w:right w:val="none" w:sz="0" w:space="0" w:color="auto"/>
      </w:divBdr>
    </w:div>
    <w:div w:id="1827277793">
      <w:bodyDiv w:val="1"/>
      <w:marLeft w:val="0"/>
      <w:marRight w:val="0"/>
      <w:marTop w:val="0"/>
      <w:marBottom w:val="0"/>
      <w:divBdr>
        <w:top w:val="none" w:sz="0" w:space="0" w:color="auto"/>
        <w:left w:val="none" w:sz="0" w:space="0" w:color="auto"/>
        <w:bottom w:val="none" w:sz="0" w:space="0" w:color="auto"/>
        <w:right w:val="none" w:sz="0" w:space="0" w:color="auto"/>
      </w:divBdr>
    </w:div>
    <w:div w:id="18361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3.xml"/><Relationship Id="rId26" Type="http://schemas.openxmlformats.org/officeDocument/2006/relationships/hyperlink" Target="https://showdata.gks.ru/report/276092/" TargetMode="External"/><Relationship Id="rId39" Type="http://schemas.openxmlformats.org/officeDocument/2006/relationships/hyperlink" Target="https://doi.org/10.1787/data-00052-en" TargetMode="External"/><Relationship Id="rId21" Type="http://schemas.openxmlformats.org/officeDocument/2006/relationships/hyperlink" Target="https://www.svoboda.org/a/30883209.html" TargetMode="External"/><Relationship Id="rId34" Type="http://schemas.openxmlformats.org/officeDocument/2006/relationships/hyperlink" Target="https://www.levada.ru/indikatory/polozhenie-del-v-strane/" TargetMode="External"/><Relationship Id="rId42" Type="http://schemas.openxmlformats.org/officeDocument/2006/relationships/hyperlink" Target="https://ria.ru/20201121/podderzhka-1585667468.html" TargetMode="External"/><Relationship Id="rId47" Type="http://schemas.openxmlformats.org/officeDocument/2006/relationships/chart" Target="charts/chart5.xml"/><Relationship Id="rId50" Type="http://schemas.openxmlformats.org/officeDocument/2006/relationships/chart" Target="charts/chart8.xml"/><Relationship Id="rId55" Type="http://schemas.openxmlformats.org/officeDocument/2006/relationships/chart" Target="charts/chart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iea.org/reports/world-energy-outlook-2019" TargetMode="External"/><Relationship Id="rId11" Type="http://schemas.openxmlformats.org/officeDocument/2006/relationships/chart" Target="charts/chart2.xml"/><Relationship Id="rId24" Type="http://schemas.openxmlformats.org/officeDocument/2006/relationships/hyperlink" Target="https://ec.europa.eu/clima/sites/clima/files/docs/pages/com_2018_733_analysis_in_support_en_0.pdf" TargetMode="External"/><Relationship Id="rId32" Type="http://schemas.openxmlformats.org/officeDocument/2006/relationships/hyperlink" Target="https://www.irena.org/-/media/Files/IRENA/Agency/Publication/2019/Jan/Global_commission_geopolitics_new_world_2019.pdf" TargetMode="External"/><Relationship Id="rId37" Type="http://schemas.openxmlformats.org/officeDocument/2006/relationships/hyperlink" Target="https://reforum.io/blog/2020/06/24/pochemu-dazhe-uspeshnyj-protest-ne-dobetsya-svoego/?fbclid=IwAR0c1PQkhq92T0yF_PQ8-ZMlV7e8lefrYauWUZwaPLOBFboEOU3sVjgR5pg" TargetMode="External"/><Relationship Id="rId40" Type="http://schemas.openxmlformats.org/officeDocument/2006/relationships/hyperlink" Target="https://read.oecd-ilibrary.org/view/?ref=136_136801-aw9nps8afk&amp;title=The-impact-of-Coronavirus-COVID-19-and-the-global-oil-price-shock-on-the-fiscal-position-of-oil-exporting-developing-countries" TargetMode="External"/><Relationship Id="rId45" Type="http://schemas.openxmlformats.org/officeDocument/2006/relationships/hyperlink" Target="https://oilprice.com/Geopolitics/Middle-East/Turkeys-Latest-Geopolitical-Gamble-Could-Result-In-Catastrophe.html" TargetMode="External"/><Relationship Id="rId53" Type="http://schemas.openxmlformats.org/officeDocument/2006/relationships/chart" Target="charts/chart11.xml"/><Relationship Id="rId58" Type="http://schemas.openxmlformats.org/officeDocument/2006/relationships/image" Target="media/image5.png"/><Relationship Id="rId5" Type="http://schemas.openxmlformats.org/officeDocument/2006/relationships/webSettings" Target="webSettings.xml"/><Relationship Id="rId19" Type="http://schemas.openxmlformats.org/officeDocument/2006/relationships/hyperlink" Target="https://www.iea.org/commentaries/the-case-for-energy-transitions-in-major-oil-and-gas-producing-countr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www.bp.com/en/global/corporate/news-and-insights/press-releases/from-international-oil-company-to-integrated-energy-company-bp-sets-out-strategy-for-decade-of-delivery-towards-net-zero-ambition.html" TargetMode="External"/><Relationship Id="rId27" Type="http://schemas.openxmlformats.org/officeDocument/2006/relationships/hyperlink" Target="https://www.stats.gov.sa/en/economic-statistics" TargetMode="External"/><Relationship Id="rId30" Type="http://schemas.openxmlformats.org/officeDocument/2006/relationships/hyperlink" Target="https://www.iea.org/articles/energy-market-turmoil-deepens-challenges-for-many-major-oil-and-gas-exporters" TargetMode="External"/><Relationship Id="rId35" Type="http://schemas.openxmlformats.org/officeDocument/2006/relationships/hyperlink" Target="https://www.levada.ru/indikatory/odobrenie-organov-vlasti/" TargetMode="External"/><Relationship Id="rId43" Type="http://schemas.openxmlformats.org/officeDocument/2006/relationships/hyperlink" Target="https://moderndiplomacy.eu/2020/05/29/oil-and-gas-geopolitics-and-its-end/" TargetMode="External"/><Relationship Id="rId48" Type="http://schemas.openxmlformats.org/officeDocument/2006/relationships/chart" Target="charts/chart6.xml"/><Relationship Id="rId56" Type="http://schemas.openxmlformats.org/officeDocument/2006/relationships/chart" Target="charts/chart14.xml"/><Relationship Id="rId8" Type="http://schemas.openxmlformats.org/officeDocument/2006/relationships/image" Target="media/image1.png"/><Relationship Id="rId51" Type="http://schemas.openxmlformats.org/officeDocument/2006/relationships/chart" Target="charts/chart9.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trade.ec.europa.eu/doclib/docs/2020/october/tradoc_158997.pdf" TargetMode="External"/><Relationship Id="rId33" Type="http://schemas.openxmlformats.org/officeDocument/2006/relationships/hyperlink" Target="https://www.irena.org/-/media/Files/IRENA/Agency/Publication/2019/Jan/Global_commission_geopolitics_new_world_2019.pdf" TargetMode="External"/><Relationship Id="rId38" Type="http://schemas.openxmlformats.org/officeDocument/2006/relationships/hyperlink" Target="https://minfin.gov.ru/ru/perfomance/nationalwealthfund/statistics/?id_65=27068-obem_fonda_natsionalnogo_blagosostoyaniya" TargetMode="External"/><Relationship Id="rId46" Type="http://schemas.openxmlformats.org/officeDocument/2006/relationships/chart" Target="charts/chart4.xml"/><Relationship Id="rId59" Type="http://schemas.openxmlformats.org/officeDocument/2006/relationships/fontTable" Target="fontTable.xml"/><Relationship Id="rId20" Type="http://schemas.openxmlformats.org/officeDocument/2006/relationships/hyperlink" Target="https://www.cbr.ru/eng/hd_base/mrrf/mrrf_m/" TargetMode="External"/><Relationship Id="rId41" Type="http://schemas.openxmlformats.org/officeDocument/2006/relationships/hyperlink" Target="http://kremlin.ru/events/president/news/64261" TargetMode="External"/><Relationship Id="rId54"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stat.gov.kz/official/dynamic" TargetMode="External"/><Relationship Id="rId28" Type="http://schemas.openxmlformats.org/officeDocument/2006/relationships/hyperlink" Target="http://sbelan.ru/Research-Presentations/NOVYJ-SPEKTR-POLITIChESKIH-NASTROENIJ-V-ROSSIJSKOM-OBShhESTVE-V-2020-g.pdf" TargetMode="External"/><Relationship Id="rId36" Type="http://schemas.openxmlformats.org/officeDocument/2006/relationships/hyperlink" Target="https://www.levada.ru/2020/11/12/doverie-politikam-6/" TargetMode="External"/><Relationship Id="rId49" Type="http://schemas.openxmlformats.org/officeDocument/2006/relationships/chart" Target="charts/chart7.xml"/><Relationship Id="rId57" Type="http://schemas.openxmlformats.org/officeDocument/2006/relationships/chart" Target="charts/chart15.xml"/><Relationship Id="rId10" Type="http://schemas.openxmlformats.org/officeDocument/2006/relationships/chart" Target="charts/chart1.xml"/><Relationship Id="rId31" Type="http://schemas.openxmlformats.org/officeDocument/2006/relationships/hyperlink" Target="https://www.imf.org/en/Publications/WEO/Issues/2020/09/30/world-economic-outlook-october-2020" TargetMode="External"/><Relationship Id="rId44" Type="http://schemas.openxmlformats.org/officeDocument/2006/relationships/hyperlink" Target="https://oilprice.com/Geopolitics/Middle-East/How-Kurdistan-Is-Taking-Advantage-Of-Iraqs-Oil-Crisis.html" TargetMode="External"/><Relationship Id="rId52" Type="http://schemas.openxmlformats.org/officeDocument/2006/relationships/chart" Target="charts/chart10.xm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jirankov\Documents\TA&#268;R_&#352;t&#283;p&#225;nka\Figure1.xls"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Users\jirankov\AppData\Local\Microsoft\Windows\INetCache\Content.Outlook\G1TMJPBO\Figure8.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Users\ayazzeynalov\Dropbox\Research\Grant\TACR\Figure10.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List_Microsoft_Excelu.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List_Microsoft_Excelu1.xlsx"/><Relationship Id="rId1" Type="http://schemas.openxmlformats.org/officeDocument/2006/relationships/themeOverride" Target="../theme/themeOverride3.xml"/></Relationships>
</file>

<file path=word/charts/_rels/chart14.xml.rels><?xml version="1.0" encoding="UTF-8" standalone="yes"?>
<Relationships xmlns="http://schemas.openxmlformats.org/package/2006/relationships"><Relationship Id="rId3" Type="http://schemas.openxmlformats.org/officeDocument/2006/relationships/oleObject" Target="file:///d:\Users\jirankov\Documents\Documents\TA&#268;R_&#352;t&#283;p&#225;nka\Figure13.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oleObject" Target="file:///d:\Users\jirankov\Documents\Documents\TA&#268;R_&#352;t&#283;p&#225;nka\Figure13.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jirankov\Documents\Documents\TA&#268;R_&#352;t&#283;p&#225;nka\Figure7a.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jirankov\AppData\Local\Temp\Temp2_TACR_Zeynalov.zip\Figure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Users\jirankov\AppData\Local\Temp\Temp2_TACR_Zeynalov.zip\Figure3.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Users\ayazzeynalov\Desktop\TACR\Figure4a.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Users\jirankov\AppData\Local\Temp\Temp2_TACR_Zeynalov.zip\Figure5.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Users\jirankov\AppData\Local\Temp\Temp2_TACR_Zeynalov.zip\Figure6.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Users\ayazzeynalov\Desktop\TACR\Figure6AZ.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cat>
            <c:numRef>
              <c:f>'FRED Graph'!$A$12:$A$209</c:f>
              <c:numCache>
                <c:formatCode>dd/mm/yy;@</c:formatCode>
                <c:ptCount val="198"/>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43850</c:v>
                </c:pt>
                <c:pt idx="13">
                  <c:v>43851</c:v>
                </c:pt>
                <c:pt idx="14">
                  <c:v>43852</c:v>
                </c:pt>
                <c:pt idx="15">
                  <c:v>43853</c:v>
                </c:pt>
                <c:pt idx="16">
                  <c:v>43854</c:v>
                </c:pt>
                <c:pt idx="17">
                  <c:v>43857</c:v>
                </c:pt>
                <c:pt idx="18">
                  <c:v>43858</c:v>
                </c:pt>
                <c:pt idx="19">
                  <c:v>43859</c:v>
                </c:pt>
                <c:pt idx="20">
                  <c:v>43860</c:v>
                </c:pt>
                <c:pt idx="21">
                  <c:v>43861</c:v>
                </c:pt>
                <c:pt idx="22">
                  <c:v>43864</c:v>
                </c:pt>
                <c:pt idx="23">
                  <c:v>43865</c:v>
                </c:pt>
                <c:pt idx="24">
                  <c:v>43866</c:v>
                </c:pt>
                <c:pt idx="25">
                  <c:v>43867</c:v>
                </c:pt>
                <c:pt idx="26">
                  <c:v>43868</c:v>
                </c:pt>
                <c:pt idx="27">
                  <c:v>43871</c:v>
                </c:pt>
                <c:pt idx="28">
                  <c:v>43872</c:v>
                </c:pt>
                <c:pt idx="29">
                  <c:v>43873</c:v>
                </c:pt>
                <c:pt idx="30">
                  <c:v>43874</c:v>
                </c:pt>
                <c:pt idx="31">
                  <c:v>43875</c:v>
                </c:pt>
                <c:pt idx="32">
                  <c:v>43878</c:v>
                </c:pt>
                <c:pt idx="33">
                  <c:v>43879</c:v>
                </c:pt>
                <c:pt idx="34">
                  <c:v>43880</c:v>
                </c:pt>
                <c:pt idx="35">
                  <c:v>43881</c:v>
                </c:pt>
                <c:pt idx="36">
                  <c:v>43882</c:v>
                </c:pt>
                <c:pt idx="37">
                  <c:v>43885</c:v>
                </c:pt>
                <c:pt idx="38">
                  <c:v>43886</c:v>
                </c:pt>
                <c:pt idx="39">
                  <c:v>43887</c:v>
                </c:pt>
                <c:pt idx="40">
                  <c:v>43888</c:v>
                </c:pt>
                <c:pt idx="41">
                  <c:v>43889</c:v>
                </c:pt>
                <c:pt idx="42">
                  <c:v>43892</c:v>
                </c:pt>
                <c:pt idx="43">
                  <c:v>43893</c:v>
                </c:pt>
                <c:pt idx="44">
                  <c:v>43894</c:v>
                </c:pt>
                <c:pt idx="45">
                  <c:v>43895</c:v>
                </c:pt>
                <c:pt idx="46">
                  <c:v>43896</c:v>
                </c:pt>
                <c:pt idx="47">
                  <c:v>43899</c:v>
                </c:pt>
                <c:pt idx="48">
                  <c:v>43900</c:v>
                </c:pt>
                <c:pt idx="49">
                  <c:v>43901</c:v>
                </c:pt>
                <c:pt idx="50">
                  <c:v>43902</c:v>
                </c:pt>
                <c:pt idx="51">
                  <c:v>43903</c:v>
                </c:pt>
                <c:pt idx="52">
                  <c:v>43906</c:v>
                </c:pt>
                <c:pt idx="53">
                  <c:v>43907</c:v>
                </c:pt>
                <c:pt idx="54">
                  <c:v>43908</c:v>
                </c:pt>
                <c:pt idx="55">
                  <c:v>43909</c:v>
                </c:pt>
                <c:pt idx="56">
                  <c:v>43910</c:v>
                </c:pt>
                <c:pt idx="57">
                  <c:v>43913</c:v>
                </c:pt>
                <c:pt idx="58">
                  <c:v>43914</c:v>
                </c:pt>
                <c:pt idx="59">
                  <c:v>43915</c:v>
                </c:pt>
                <c:pt idx="60">
                  <c:v>43916</c:v>
                </c:pt>
                <c:pt idx="61">
                  <c:v>43917</c:v>
                </c:pt>
                <c:pt idx="62">
                  <c:v>43920</c:v>
                </c:pt>
                <c:pt idx="63">
                  <c:v>43921</c:v>
                </c:pt>
                <c:pt idx="64">
                  <c:v>43922</c:v>
                </c:pt>
                <c:pt idx="65">
                  <c:v>43923</c:v>
                </c:pt>
                <c:pt idx="66">
                  <c:v>43924</c:v>
                </c:pt>
                <c:pt idx="67">
                  <c:v>43927</c:v>
                </c:pt>
                <c:pt idx="68">
                  <c:v>43928</c:v>
                </c:pt>
                <c:pt idx="69">
                  <c:v>43929</c:v>
                </c:pt>
                <c:pt idx="70">
                  <c:v>43930</c:v>
                </c:pt>
                <c:pt idx="71">
                  <c:v>43931</c:v>
                </c:pt>
                <c:pt idx="72">
                  <c:v>43934</c:v>
                </c:pt>
                <c:pt idx="73">
                  <c:v>43935</c:v>
                </c:pt>
                <c:pt idx="74">
                  <c:v>43936</c:v>
                </c:pt>
                <c:pt idx="75">
                  <c:v>43937</c:v>
                </c:pt>
                <c:pt idx="76">
                  <c:v>43938</c:v>
                </c:pt>
                <c:pt idx="77">
                  <c:v>43941</c:v>
                </c:pt>
                <c:pt idx="78">
                  <c:v>43942</c:v>
                </c:pt>
                <c:pt idx="79">
                  <c:v>43943</c:v>
                </c:pt>
                <c:pt idx="80">
                  <c:v>43944</c:v>
                </c:pt>
                <c:pt idx="81">
                  <c:v>43945</c:v>
                </c:pt>
                <c:pt idx="82">
                  <c:v>43948</c:v>
                </c:pt>
                <c:pt idx="83">
                  <c:v>43949</c:v>
                </c:pt>
                <c:pt idx="84">
                  <c:v>43950</c:v>
                </c:pt>
                <c:pt idx="85">
                  <c:v>43951</c:v>
                </c:pt>
                <c:pt idx="86">
                  <c:v>43952</c:v>
                </c:pt>
                <c:pt idx="87">
                  <c:v>43955</c:v>
                </c:pt>
                <c:pt idx="88">
                  <c:v>43956</c:v>
                </c:pt>
                <c:pt idx="89">
                  <c:v>43957</c:v>
                </c:pt>
                <c:pt idx="90">
                  <c:v>43958</c:v>
                </c:pt>
                <c:pt idx="91">
                  <c:v>43959</c:v>
                </c:pt>
                <c:pt idx="92">
                  <c:v>43962</c:v>
                </c:pt>
                <c:pt idx="93">
                  <c:v>43963</c:v>
                </c:pt>
                <c:pt idx="94">
                  <c:v>43964</c:v>
                </c:pt>
                <c:pt idx="95">
                  <c:v>43965</c:v>
                </c:pt>
                <c:pt idx="96">
                  <c:v>43966</c:v>
                </c:pt>
                <c:pt idx="97">
                  <c:v>43969</c:v>
                </c:pt>
                <c:pt idx="98">
                  <c:v>43970</c:v>
                </c:pt>
                <c:pt idx="99">
                  <c:v>43971</c:v>
                </c:pt>
                <c:pt idx="100">
                  <c:v>43972</c:v>
                </c:pt>
                <c:pt idx="101">
                  <c:v>43973</c:v>
                </c:pt>
                <c:pt idx="102">
                  <c:v>43976</c:v>
                </c:pt>
                <c:pt idx="103">
                  <c:v>43977</c:v>
                </c:pt>
                <c:pt idx="104">
                  <c:v>43978</c:v>
                </c:pt>
                <c:pt idx="105">
                  <c:v>43979</c:v>
                </c:pt>
                <c:pt idx="106">
                  <c:v>43980</c:v>
                </c:pt>
                <c:pt idx="107">
                  <c:v>43983</c:v>
                </c:pt>
                <c:pt idx="108">
                  <c:v>43984</c:v>
                </c:pt>
                <c:pt idx="109">
                  <c:v>43985</c:v>
                </c:pt>
                <c:pt idx="110">
                  <c:v>43986</c:v>
                </c:pt>
                <c:pt idx="111">
                  <c:v>43987</c:v>
                </c:pt>
                <c:pt idx="112">
                  <c:v>43990</c:v>
                </c:pt>
                <c:pt idx="113">
                  <c:v>43991</c:v>
                </c:pt>
                <c:pt idx="114">
                  <c:v>43992</c:v>
                </c:pt>
                <c:pt idx="115">
                  <c:v>43993</c:v>
                </c:pt>
                <c:pt idx="116">
                  <c:v>43994</c:v>
                </c:pt>
                <c:pt idx="117">
                  <c:v>43997</c:v>
                </c:pt>
                <c:pt idx="118">
                  <c:v>43998</c:v>
                </c:pt>
                <c:pt idx="119">
                  <c:v>43999</c:v>
                </c:pt>
                <c:pt idx="120">
                  <c:v>44000</c:v>
                </c:pt>
                <c:pt idx="121">
                  <c:v>44001</c:v>
                </c:pt>
                <c:pt idx="122">
                  <c:v>44004</c:v>
                </c:pt>
                <c:pt idx="123">
                  <c:v>44005</c:v>
                </c:pt>
                <c:pt idx="124">
                  <c:v>44006</c:v>
                </c:pt>
                <c:pt idx="125">
                  <c:v>44007</c:v>
                </c:pt>
                <c:pt idx="126">
                  <c:v>44008</c:v>
                </c:pt>
                <c:pt idx="127">
                  <c:v>44011</c:v>
                </c:pt>
                <c:pt idx="128">
                  <c:v>44012</c:v>
                </c:pt>
                <c:pt idx="129">
                  <c:v>44013</c:v>
                </c:pt>
                <c:pt idx="130">
                  <c:v>44014</c:v>
                </c:pt>
                <c:pt idx="131">
                  <c:v>44015</c:v>
                </c:pt>
                <c:pt idx="132">
                  <c:v>44018</c:v>
                </c:pt>
                <c:pt idx="133">
                  <c:v>44019</c:v>
                </c:pt>
                <c:pt idx="134">
                  <c:v>44020</c:v>
                </c:pt>
                <c:pt idx="135">
                  <c:v>44021</c:v>
                </c:pt>
                <c:pt idx="136">
                  <c:v>44022</c:v>
                </c:pt>
                <c:pt idx="137">
                  <c:v>44025</c:v>
                </c:pt>
                <c:pt idx="138">
                  <c:v>44026</c:v>
                </c:pt>
                <c:pt idx="139">
                  <c:v>44027</c:v>
                </c:pt>
                <c:pt idx="140">
                  <c:v>44028</c:v>
                </c:pt>
                <c:pt idx="141">
                  <c:v>44029</c:v>
                </c:pt>
                <c:pt idx="142">
                  <c:v>44032</c:v>
                </c:pt>
                <c:pt idx="143">
                  <c:v>44033</c:v>
                </c:pt>
                <c:pt idx="144">
                  <c:v>44034</c:v>
                </c:pt>
                <c:pt idx="145">
                  <c:v>44035</c:v>
                </c:pt>
                <c:pt idx="146">
                  <c:v>44036</c:v>
                </c:pt>
                <c:pt idx="147">
                  <c:v>44039</c:v>
                </c:pt>
                <c:pt idx="148">
                  <c:v>44040</c:v>
                </c:pt>
                <c:pt idx="149">
                  <c:v>44041</c:v>
                </c:pt>
                <c:pt idx="150">
                  <c:v>44042</c:v>
                </c:pt>
                <c:pt idx="151">
                  <c:v>44043</c:v>
                </c:pt>
                <c:pt idx="152">
                  <c:v>44046</c:v>
                </c:pt>
                <c:pt idx="153">
                  <c:v>44047</c:v>
                </c:pt>
                <c:pt idx="154">
                  <c:v>44048</c:v>
                </c:pt>
                <c:pt idx="155">
                  <c:v>44049</c:v>
                </c:pt>
                <c:pt idx="156">
                  <c:v>44050</c:v>
                </c:pt>
                <c:pt idx="157">
                  <c:v>44053</c:v>
                </c:pt>
                <c:pt idx="158">
                  <c:v>44054</c:v>
                </c:pt>
                <c:pt idx="159">
                  <c:v>44055</c:v>
                </c:pt>
                <c:pt idx="160">
                  <c:v>44056</c:v>
                </c:pt>
                <c:pt idx="161">
                  <c:v>44057</c:v>
                </c:pt>
                <c:pt idx="162">
                  <c:v>44060</c:v>
                </c:pt>
                <c:pt idx="163">
                  <c:v>44061</c:v>
                </c:pt>
                <c:pt idx="164">
                  <c:v>44062</c:v>
                </c:pt>
                <c:pt idx="165">
                  <c:v>44063</c:v>
                </c:pt>
                <c:pt idx="166">
                  <c:v>44064</c:v>
                </c:pt>
                <c:pt idx="167">
                  <c:v>44067</c:v>
                </c:pt>
                <c:pt idx="168">
                  <c:v>44068</c:v>
                </c:pt>
                <c:pt idx="169">
                  <c:v>44069</c:v>
                </c:pt>
                <c:pt idx="170">
                  <c:v>44070</c:v>
                </c:pt>
                <c:pt idx="171">
                  <c:v>44071</c:v>
                </c:pt>
                <c:pt idx="172">
                  <c:v>44074</c:v>
                </c:pt>
                <c:pt idx="173">
                  <c:v>44075</c:v>
                </c:pt>
                <c:pt idx="174">
                  <c:v>44076</c:v>
                </c:pt>
                <c:pt idx="175">
                  <c:v>44077</c:v>
                </c:pt>
                <c:pt idx="176">
                  <c:v>44078</c:v>
                </c:pt>
                <c:pt idx="177">
                  <c:v>44081</c:v>
                </c:pt>
                <c:pt idx="178">
                  <c:v>44082</c:v>
                </c:pt>
                <c:pt idx="179">
                  <c:v>44083</c:v>
                </c:pt>
                <c:pt idx="180">
                  <c:v>44084</c:v>
                </c:pt>
                <c:pt idx="181">
                  <c:v>44085</c:v>
                </c:pt>
                <c:pt idx="182">
                  <c:v>44088</c:v>
                </c:pt>
                <c:pt idx="183">
                  <c:v>44089</c:v>
                </c:pt>
                <c:pt idx="184">
                  <c:v>44090</c:v>
                </c:pt>
                <c:pt idx="185">
                  <c:v>44091</c:v>
                </c:pt>
                <c:pt idx="186">
                  <c:v>44092</c:v>
                </c:pt>
                <c:pt idx="187">
                  <c:v>44095</c:v>
                </c:pt>
                <c:pt idx="188">
                  <c:v>44096</c:v>
                </c:pt>
                <c:pt idx="189">
                  <c:v>44097</c:v>
                </c:pt>
                <c:pt idx="190">
                  <c:v>44098</c:v>
                </c:pt>
                <c:pt idx="191">
                  <c:v>44099</c:v>
                </c:pt>
                <c:pt idx="192">
                  <c:v>44102</c:v>
                </c:pt>
                <c:pt idx="193">
                  <c:v>44103</c:v>
                </c:pt>
                <c:pt idx="194">
                  <c:v>44104</c:v>
                </c:pt>
                <c:pt idx="195">
                  <c:v>44105</c:v>
                </c:pt>
                <c:pt idx="196">
                  <c:v>44106</c:v>
                </c:pt>
                <c:pt idx="197">
                  <c:v>44109</c:v>
                </c:pt>
              </c:numCache>
            </c:numRef>
          </c:cat>
          <c:val>
            <c:numRef>
              <c:f>'FRED Graph'!$B$12:$B$209</c:f>
              <c:numCache>
                <c:formatCode>0.00</c:formatCode>
                <c:ptCount val="198"/>
                <c:pt idx="0" formatCode="0">
                  <c:v>67</c:v>
                </c:pt>
                <c:pt idx="1">
                  <c:v>69.08</c:v>
                </c:pt>
                <c:pt idx="2">
                  <c:v>70.25</c:v>
                </c:pt>
                <c:pt idx="3">
                  <c:v>68.739999999999995</c:v>
                </c:pt>
                <c:pt idx="4">
                  <c:v>67.31</c:v>
                </c:pt>
                <c:pt idx="5">
                  <c:v>66.58</c:v>
                </c:pt>
                <c:pt idx="6">
                  <c:v>66.77</c:v>
                </c:pt>
                <c:pt idx="7">
                  <c:v>64.14</c:v>
                </c:pt>
                <c:pt idx="8">
                  <c:v>64.45</c:v>
                </c:pt>
                <c:pt idx="9">
                  <c:v>63.29</c:v>
                </c:pt>
                <c:pt idx="10">
                  <c:v>64.63</c:v>
                </c:pt>
                <c:pt idx="11">
                  <c:v>64.05</c:v>
                </c:pt>
                <c:pt idx="12">
                  <c:v>64.63</c:v>
                </c:pt>
                <c:pt idx="13">
                  <c:v>63.66</c:v>
                </c:pt>
                <c:pt idx="14">
                  <c:v>62.11</c:v>
                </c:pt>
                <c:pt idx="15">
                  <c:v>61.26</c:v>
                </c:pt>
                <c:pt idx="16">
                  <c:v>59.34</c:v>
                </c:pt>
                <c:pt idx="17">
                  <c:v>58.54</c:v>
                </c:pt>
                <c:pt idx="18">
                  <c:v>59.37</c:v>
                </c:pt>
                <c:pt idx="19">
                  <c:v>59.46</c:v>
                </c:pt>
                <c:pt idx="20">
                  <c:v>57.72</c:v>
                </c:pt>
                <c:pt idx="21">
                  <c:v>57.77</c:v>
                </c:pt>
                <c:pt idx="22">
                  <c:v>54</c:v>
                </c:pt>
                <c:pt idx="23">
                  <c:v>53.9</c:v>
                </c:pt>
                <c:pt idx="24">
                  <c:v>55.36</c:v>
                </c:pt>
                <c:pt idx="25">
                  <c:v>55.18</c:v>
                </c:pt>
                <c:pt idx="26">
                  <c:v>54.53</c:v>
                </c:pt>
                <c:pt idx="27">
                  <c:v>53.39</c:v>
                </c:pt>
                <c:pt idx="28">
                  <c:v>54</c:v>
                </c:pt>
                <c:pt idx="29">
                  <c:v>55.54</c:v>
                </c:pt>
                <c:pt idx="30">
                  <c:v>56.34</c:v>
                </c:pt>
                <c:pt idx="31">
                  <c:v>57.37</c:v>
                </c:pt>
                <c:pt idx="32">
                  <c:v>57.83</c:v>
                </c:pt>
                <c:pt idx="33">
                  <c:v>57.35</c:v>
                </c:pt>
                <c:pt idx="34">
                  <c:v>59.72</c:v>
                </c:pt>
                <c:pt idx="35">
                  <c:v>59.57</c:v>
                </c:pt>
                <c:pt idx="36">
                  <c:v>58.6</c:v>
                </c:pt>
                <c:pt idx="37">
                  <c:v>56.71</c:v>
                </c:pt>
                <c:pt idx="38">
                  <c:v>55.29</c:v>
                </c:pt>
                <c:pt idx="39">
                  <c:v>54.96</c:v>
                </c:pt>
                <c:pt idx="40">
                  <c:v>52.19</c:v>
                </c:pt>
                <c:pt idx="41">
                  <c:v>51.31</c:v>
                </c:pt>
                <c:pt idx="42">
                  <c:v>52.52</c:v>
                </c:pt>
                <c:pt idx="43">
                  <c:v>52.24</c:v>
                </c:pt>
                <c:pt idx="44">
                  <c:v>51.86</c:v>
                </c:pt>
                <c:pt idx="45">
                  <c:v>51.29</c:v>
                </c:pt>
                <c:pt idx="46">
                  <c:v>45.6</c:v>
                </c:pt>
                <c:pt idx="47">
                  <c:v>35.33</c:v>
                </c:pt>
                <c:pt idx="48">
                  <c:v>35.57</c:v>
                </c:pt>
                <c:pt idx="49">
                  <c:v>34.450000000000003</c:v>
                </c:pt>
                <c:pt idx="50">
                  <c:v>31.02</c:v>
                </c:pt>
                <c:pt idx="51">
                  <c:v>32.25</c:v>
                </c:pt>
                <c:pt idx="52">
                  <c:v>27.98</c:v>
                </c:pt>
                <c:pt idx="53">
                  <c:v>27.97</c:v>
                </c:pt>
                <c:pt idx="54">
                  <c:v>22.79</c:v>
                </c:pt>
                <c:pt idx="55">
                  <c:v>23.98</c:v>
                </c:pt>
                <c:pt idx="56">
                  <c:v>25.55</c:v>
                </c:pt>
                <c:pt idx="57">
                  <c:v>23.75</c:v>
                </c:pt>
                <c:pt idx="58">
                  <c:v>24.5</c:v>
                </c:pt>
                <c:pt idx="59">
                  <c:v>25.62</c:v>
                </c:pt>
                <c:pt idx="60">
                  <c:v>23.55</c:v>
                </c:pt>
                <c:pt idx="61">
                  <c:v>22.39</c:v>
                </c:pt>
                <c:pt idx="62">
                  <c:v>19.190000000000001</c:v>
                </c:pt>
                <c:pt idx="63">
                  <c:v>14.85</c:v>
                </c:pt>
                <c:pt idx="64">
                  <c:v>14.97</c:v>
                </c:pt>
                <c:pt idx="65">
                  <c:v>20.239999999999998</c:v>
                </c:pt>
                <c:pt idx="66">
                  <c:v>24.33</c:v>
                </c:pt>
                <c:pt idx="67">
                  <c:v>22.58</c:v>
                </c:pt>
                <c:pt idx="68">
                  <c:v>22.1</c:v>
                </c:pt>
                <c:pt idx="69">
                  <c:v>25.22</c:v>
                </c:pt>
                <c:pt idx="70">
                  <c:v>20.23</c:v>
                </c:pt>
                <c:pt idx="71" formatCode="General">
                  <c:v>#N/A</c:v>
                </c:pt>
                <c:pt idx="72" formatCode="General">
                  <c:v>#N/A</c:v>
                </c:pt>
                <c:pt idx="73">
                  <c:v>21.74</c:v>
                </c:pt>
                <c:pt idx="74">
                  <c:v>19.8</c:v>
                </c:pt>
                <c:pt idx="75">
                  <c:v>18.690000000000001</c:v>
                </c:pt>
                <c:pt idx="76">
                  <c:v>19.75</c:v>
                </c:pt>
                <c:pt idx="77">
                  <c:v>17.36</c:v>
                </c:pt>
                <c:pt idx="78">
                  <c:v>9.1199999999999992</c:v>
                </c:pt>
                <c:pt idx="79">
                  <c:v>13.77</c:v>
                </c:pt>
                <c:pt idx="80">
                  <c:v>15.06</c:v>
                </c:pt>
                <c:pt idx="81">
                  <c:v>15.87</c:v>
                </c:pt>
                <c:pt idx="82">
                  <c:v>15.17</c:v>
                </c:pt>
                <c:pt idx="83">
                  <c:v>15.6</c:v>
                </c:pt>
                <c:pt idx="84">
                  <c:v>17.86</c:v>
                </c:pt>
                <c:pt idx="85">
                  <c:v>18.11</c:v>
                </c:pt>
                <c:pt idx="86">
                  <c:v>18.489999999999998</c:v>
                </c:pt>
                <c:pt idx="87">
                  <c:v>20.399999999999999</c:v>
                </c:pt>
                <c:pt idx="88">
                  <c:v>25.46</c:v>
                </c:pt>
                <c:pt idx="89">
                  <c:v>24.2</c:v>
                </c:pt>
                <c:pt idx="90">
                  <c:v>24.23</c:v>
                </c:pt>
                <c:pt idx="91" formatCode="General">
                  <c:v>#N/A</c:v>
                </c:pt>
                <c:pt idx="92">
                  <c:v>25.53</c:v>
                </c:pt>
                <c:pt idx="93">
                  <c:v>26.67</c:v>
                </c:pt>
                <c:pt idx="94">
                  <c:v>27.89</c:v>
                </c:pt>
                <c:pt idx="95">
                  <c:v>29.87</c:v>
                </c:pt>
                <c:pt idx="96">
                  <c:v>30.95</c:v>
                </c:pt>
                <c:pt idx="97">
                  <c:v>33.299999999999997</c:v>
                </c:pt>
                <c:pt idx="98">
                  <c:v>33.06</c:v>
                </c:pt>
                <c:pt idx="99">
                  <c:v>34.76</c:v>
                </c:pt>
                <c:pt idx="100">
                  <c:v>34.78</c:v>
                </c:pt>
                <c:pt idx="101">
                  <c:v>33.799999999999997</c:v>
                </c:pt>
                <c:pt idx="102" formatCode="General">
                  <c:v>#N/A</c:v>
                </c:pt>
                <c:pt idx="103">
                  <c:v>33.950000000000003</c:v>
                </c:pt>
                <c:pt idx="104">
                  <c:v>32.729999999999997</c:v>
                </c:pt>
                <c:pt idx="105">
                  <c:v>33.979999999999997</c:v>
                </c:pt>
                <c:pt idx="106">
                  <c:v>34.15</c:v>
                </c:pt>
                <c:pt idx="107">
                  <c:v>36.74</c:v>
                </c:pt>
                <c:pt idx="108">
                  <c:v>37.72</c:v>
                </c:pt>
                <c:pt idx="109">
                  <c:v>37.979999999999997</c:v>
                </c:pt>
                <c:pt idx="110">
                  <c:v>38.409999999999997</c:v>
                </c:pt>
                <c:pt idx="111">
                  <c:v>41</c:v>
                </c:pt>
                <c:pt idx="112">
                  <c:v>39.659999999999997</c:v>
                </c:pt>
                <c:pt idx="113">
                  <c:v>40.450000000000003</c:v>
                </c:pt>
                <c:pt idx="114">
                  <c:v>41.18</c:v>
                </c:pt>
                <c:pt idx="115">
                  <c:v>37.76</c:v>
                </c:pt>
                <c:pt idx="116">
                  <c:v>38.54</c:v>
                </c:pt>
                <c:pt idx="117">
                  <c:v>39.44</c:v>
                </c:pt>
                <c:pt idx="118">
                  <c:v>40.75</c:v>
                </c:pt>
                <c:pt idx="119">
                  <c:v>40.47</c:v>
                </c:pt>
                <c:pt idx="120">
                  <c:v>41.75</c:v>
                </c:pt>
                <c:pt idx="121">
                  <c:v>42.33</c:v>
                </c:pt>
                <c:pt idx="122">
                  <c:v>43.2</c:v>
                </c:pt>
                <c:pt idx="123">
                  <c:v>42.72</c:v>
                </c:pt>
                <c:pt idx="124">
                  <c:v>40.4</c:v>
                </c:pt>
                <c:pt idx="125">
                  <c:v>41.18</c:v>
                </c:pt>
                <c:pt idx="126">
                  <c:v>40.97</c:v>
                </c:pt>
                <c:pt idx="127">
                  <c:v>41.58</c:v>
                </c:pt>
                <c:pt idx="128">
                  <c:v>41.64</c:v>
                </c:pt>
                <c:pt idx="129">
                  <c:v>42.18</c:v>
                </c:pt>
                <c:pt idx="130">
                  <c:v>43.19</c:v>
                </c:pt>
                <c:pt idx="131">
                  <c:v>42.92</c:v>
                </c:pt>
                <c:pt idx="132">
                  <c:v>42.73</c:v>
                </c:pt>
                <c:pt idx="133">
                  <c:v>43.28</c:v>
                </c:pt>
                <c:pt idx="134">
                  <c:v>43.67</c:v>
                </c:pt>
                <c:pt idx="135">
                  <c:v>42.35</c:v>
                </c:pt>
                <c:pt idx="136">
                  <c:v>43.27</c:v>
                </c:pt>
                <c:pt idx="137">
                  <c:v>42.85</c:v>
                </c:pt>
                <c:pt idx="138">
                  <c:v>42.97</c:v>
                </c:pt>
                <c:pt idx="139">
                  <c:v>43.96</c:v>
                </c:pt>
                <c:pt idx="140">
                  <c:v>43.71</c:v>
                </c:pt>
                <c:pt idx="141">
                  <c:v>43.53</c:v>
                </c:pt>
                <c:pt idx="142">
                  <c:v>43.3</c:v>
                </c:pt>
                <c:pt idx="143">
                  <c:v>44.31</c:v>
                </c:pt>
                <c:pt idx="144">
                  <c:v>43.98</c:v>
                </c:pt>
                <c:pt idx="145">
                  <c:v>42.96</c:v>
                </c:pt>
                <c:pt idx="146">
                  <c:v>43.29</c:v>
                </c:pt>
                <c:pt idx="147">
                  <c:v>43.39</c:v>
                </c:pt>
                <c:pt idx="148">
                  <c:v>43.11</c:v>
                </c:pt>
                <c:pt idx="149">
                  <c:v>43.51</c:v>
                </c:pt>
                <c:pt idx="150">
                  <c:v>42.98</c:v>
                </c:pt>
                <c:pt idx="151">
                  <c:v>43.13</c:v>
                </c:pt>
                <c:pt idx="152">
                  <c:v>43.76</c:v>
                </c:pt>
                <c:pt idx="153">
                  <c:v>43.99</c:v>
                </c:pt>
                <c:pt idx="154">
                  <c:v>44.92</c:v>
                </c:pt>
                <c:pt idx="155">
                  <c:v>45.04</c:v>
                </c:pt>
                <c:pt idx="156">
                  <c:v>44.07</c:v>
                </c:pt>
                <c:pt idx="157">
                  <c:v>44.19</c:v>
                </c:pt>
                <c:pt idx="158">
                  <c:v>43.68</c:v>
                </c:pt>
                <c:pt idx="159">
                  <c:v>45.09</c:v>
                </c:pt>
                <c:pt idx="160">
                  <c:v>44.87</c:v>
                </c:pt>
                <c:pt idx="161">
                  <c:v>44.86</c:v>
                </c:pt>
                <c:pt idx="162">
                  <c:v>44.91</c:v>
                </c:pt>
                <c:pt idx="163">
                  <c:v>45.34</c:v>
                </c:pt>
                <c:pt idx="164">
                  <c:v>45.21</c:v>
                </c:pt>
                <c:pt idx="165">
                  <c:v>44.56</c:v>
                </c:pt>
                <c:pt idx="166">
                  <c:v>43.94</c:v>
                </c:pt>
                <c:pt idx="167">
                  <c:v>44.43</c:v>
                </c:pt>
                <c:pt idx="168">
                  <c:v>46.01</c:v>
                </c:pt>
                <c:pt idx="169">
                  <c:v>45.79</c:v>
                </c:pt>
                <c:pt idx="170">
                  <c:v>44.84</c:v>
                </c:pt>
                <c:pt idx="171">
                  <c:v>45.22</c:v>
                </c:pt>
                <c:pt idx="172" formatCode="General">
                  <c:v>#N/A</c:v>
                </c:pt>
                <c:pt idx="173">
                  <c:v>45.72</c:v>
                </c:pt>
                <c:pt idx="174">
                  <c:v>42.7</c:v>
                </c:pt>
                <c:pt idx="175">
                  <c:v>42.72</c:v>
                </c:pt>
                <c:pt idx="176">
                  <c:v>41.1</c:v>
                </c:pt>
                <c:pt idx="177">
                  <c:v>40.67</c:v>
                </c:pt>
                <c:pt idx="178">
                  <c:v>38.53</c:v>
                </c:pt>
                <c:pt idx="179">
                  <c:v>39.979999999999997</c:v>
                </c:pt>
                <c:pt idx="180">
                  <c:v>39.270000000000003</c:v>
                </c:pt>
                <c:pt idx="181">
                  <c:v>38.799999999999997</c:v>
                </c:pt>
                <c:pt idx="182">
                  <c:v>38.57</c:v>
                </c:pt>
                <c:pt idx="183">
                  <c:v>39.54</c:v>
                </c:pt>
                <c:pt idx="184">
                  <c:v>41.23</c:v>
                </c:pt>
                <c:pt idx="185">
                  <c:v>42.35</c:v>
                </c:pt>
                <c:pt idx="186">
                  <c:v>42.16</c:v>
                </c:pt>
                <c:pt idx="187">
                  <c:v>40.369999999999997</c:v>
                </c:pt>
                <c:pt idx="188">
                  <c:v>40.840000000000003</c:v>
                </c:pt>
                <c:pt idx="189">
                  <c:v>41.09</c:v>
                </c:pt>
                <c:pt idx="190">
                  <c:v>41.24</c:v>
                </c:pt>
                <c:pt idx="191">
                  <c:v>40.909999999999997</c:v>
                </c:pt>
                <c:pt idx="192">
                  <c:v>41.59</c:v>
                </c:pt>
                <c:pt idx="193">
                  <c:v>40.33</c:v>
                </c:pt>
                <c:pt idx="194">
                  <c:v>40.299999999999997</c:v>
                </c:pt>
                <c:pt idx="195">
                  <c:v>39.75</c:v>
                </c:pt>
                <c:pt idx="196">
                  <c:v>38</c:v>
                </c:pt>
                <c:pt idx="197">
                  <c:v>39.78</c:v>
                </c:pt>
              </c:numCache>
            </c:numRef>
          </c:val>
          <c:smooth val="0"/>
          <c:extLst>
            <c:ext xmlns:c16="http://schemas.microsoft.com/office/drawing/2014/chart" uri="{C3380CC4-5D6E-409C-BE32-E72D297353CC}">
              <c16:uniqueId val="{00000000-0E5C-2943-8696-7F69E647FEC1}"/>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1323845311"/>
        <c:axId val="1"/>
      </c:lineChart>
      <c:dateAx>
        <c:axId val="1323845311"/>
        <c:scaling>
          <c:orientation val="minMax"/>
        </c:scaling>
        <c:delete val="0"/>
        <c:axPos val="b"/>
        <c:numFmt formatCode="dd/mm/yy;@" sourceLinked="0"/>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sz="1000" b="0" i="0" u="none" strike="noStrike" baseline="0">
                <a:solidFill>
                  <a:srgbClr val="333333"/>
                </a:solidFill>
                <a:latin typeface="Times New Roman"/>
                <a:ea typeface="Times New Roman"/>
                <a:cs typeface="Times New Roman"/>
              </a:defRPr>
            </a:pPr>
            <a:endParaRPr lang="cs-CZ"/>
          </a:p>
        </c:txPr>
        <c:crossAx val="1"/>
        <c:crosses val="autoZero"/>
        <c:auto val="1"/>
        <c:lblOffset val="100"/>
        <c:baseTimeUnit val="days"/>
        <c:majorUnit val="1"/>
        <c:majorTimeUnit val="months"/>
        <c:minorUnit val="1"/>
        <c:minor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Times New Roman"/>
                    <a:ea typeface="Times New Roman"/>
                    <a:cs typeface="Times New Roman"/>
                  </a:defRPr>
                </a:pPr>
                <a:r>
                  <a:rPr lang="cs-CZ"/>
                  <a:t>USD za barel</a:t>
                </a:r>
              </a:p>
            </c:rich>
          </c:tx>
          <c:overlay val="0"/>
          <c:spPr>
            <a:noFill/>
            <a:ln w="25400">
              <a:noFill/>
            </a:ln>
          </c:spPr>
        </c:title>
        <c:numFmt formatCode="0" sourceLinked="1"/>
        <c:majorTickMark val="out"/>
        <c:minorTickMark val="none"/>
        <c:tickLblPos val="nextTo"/>
        <c:spPr>
          <a:ln w="6350">
            <a:noFill/>
          </a:ln>
        </c:spPr>
        <c:txPr>
          <a:bodyPr rot="0" vert="horz"/>
          <a:lstStyle/>
          <a:p>
            <a:pPr>
              <a:defRPr sz="1100" b="0" i="0" u="none" strike="noStrike" baseline="0">
                <a:solidFill>
                  <a:srgbClr val="333333"/>
                </a:solidFill>
                <a:latin typeface="Times New Roman"/>
                <a:ea typeface="Times New Roman"/>
                <a:cs typeface="Times New Roman"/>
              </a:defRPr>
            </a:pPr>
            <a:endParaRPr lang="cs-CZ"/>
          </a:p>
        </c:txPr>
        <c:crossAx val="1323845311"/>
        <c:crossesAt val="43832"/>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multiLvlStrRef>
              <c:f>'FRED Graph'!$A$12:$B$23</c:f>
              <c:multiLvlStrCache>
                <c:ptCount val="12"/>
                <c:lvl>
                  <c:pt idx="0">
                    <c:v>listopad</c:v>
                  </c:pt>
                  <c:pt idx="1">
                    <c:v>prosinec</c:v>
                  </c:pt>
                  <c:pt idx="2">
                    <c:v>leden</c:v>
                  </c:pt>
                  <c:pt idx="3">
                    <c:v>únor</c:v>
                  </c:pt>
                  <c:pt idx="4">
                    <c:v>březen</c:v>
                  </c:pt>
                  <c:pt idx="5">
                    <c:v>duben</c:v>
                  </c:pt>
                  <c:pt idx="6">
                    <c:v>květen</c:v>
                  </c:pt>
                  <c:pt idx="7">
                    <c:v>červen</c:v>
                  </c:pt>
                  <c:pt idx="8">
                    <c:v>červenec</c:v>
                  </c:pt>
                  <c:pt idx="9">
                    <c:v>srpen</c:v>
                  </c:pt>
                  <c:pt idx="10">
                    <c:v>září</c:v>
                  </c:pt>
                  <c:pt idx="11">
                    <c:v>říjen</c:v>
                  </c:pt>
                </c:lvl>
                <c:lvl>
                  <c:pt idx="0">
                    <c:v>2019</c:v>
                  </c:pt>
                  <c:pt idx="1">
                    <c:v>2019</c:v>
                  </c:pt>
                  <c:pt idx="2">
                    <c:v>2020</c:v>
                  </c:pt>
                  <c:pt idx="3">
                    <c:v>2020</c:v>
                  </c:pt>
                  <c:pt idx="4">
                    <c:v>2020</c:v>
                  </c:pt>
                  <c:pt idx="5">
                    <c:v>2020</c:v>
                  </c:pt>
                  <c:pt idx="6">
                    <c:v>2020</c:v>
                  </c:pt>
                  <c:pt idx="7">
                    <c:v>2020</c:v>
                  </c:pt>
                  <c:pt idx="8">
                    <c:v>2020</c:v>
                  </c:pt>
                  <c:pt idx="9">
                    <c:v>2020</c:v>
                  </c:pt>
                  <c:pt idx="10">
                    <c:v>2020</c:v>
                  </c:pt>
                  <c:pt idx="11">
                    <c:v>2020</c:v>
                  </c:pt>
                </c:lvl>
              </c:multiLvlStrCache>
            </c:multiLvlStrRef>
          </c:cat>
          <c:val>
            <c:numRef>
              <c:f>'FRED Graph'!$C$12:$C$23</c:f>
              <c:numCache>
                <c:formatCode>0.00</c:formatCode>
                <c:ptCount val="12"/>
                <c:pt idx="0">
                  <c:v>2.6</c:v>
                </c:pt>
                <c:pt idx="1">
                  <c:v>2.6</c:v>
                </c:pt>
                <c:pt idx="2">
                  <c:v>2.7</c:v>
                </c:pt>
                <c:pt idx="3">
                  <c:v>2.8</c:v>
                </c:pt>
                <c:pt idx="4">
                  <c:v>3</c:v>
                </c:pt>
                <c:pt idx="5">
                  <c:v>3</c:v>
                </c:pt>
                <c:pt idx="6">
                  <c:v>2.9</c:v>
                </c:pt>
                <c:pt idx="7">
                  <c:v>3</c:v>
                </c:pt>
                <c:pt idx="8">
                  <c:v>2.9</c:v>
                </c:pt>
                <c:pt idx="9">
                  <c:v>2.9</c:v>
                </c:pt>
                <c:pt idx="10">
                  <c:v>2.9</c:v>
                </c:pt>
                <c:pt idx="11">
                  <c:v>2.8</c:v>
                </c:pt>
              </c:numCache>
            </c:numRef>
          </c:val>
          <c:smooth val="0"/>
          <c:extLst>
            <c:ext xmlns:c16="http://schemas.microsoft.com/office/drawing/2014/chart" uri="{C3380CC4-5D6E-409C-BE32-E72D297353CC}">
              <c16:uniqueId val="{00000000-B615-704B-BC47-27DCC359E894}"/>
            </c:ext>
          </c:extLst>
        </c:ser>
        <c:dLbls>
          <c:showLegendKey val="0"/>
          <c:showVal val="0"/>
          <c:showCatName val="0"/>
          <c:showSerName val="0"/>
          <c:showPercent val="0"/>
          <c:showBubbleSize val="0"/>
        </c:dLbls>
        <c:smooth val="0"/>
        <c:axId val="1400064335"/>
        <c:axId val="1654264319"/>
      </c:lineChart>
      <c:catAx>
        <c:axId val="1400064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654264319"/>
        <c:crosses val="autoZero"/>
        <c:auto val="1"/>
        <c:lblAlgn val="ctr"/>
        <c:lblOffset val="100"/>
        <c:noMultiLvlLbl val="0"/>
      </c:catAx>
      <c:valAx>
        <c:axId val="16542643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4000643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Sheet1!$B$4</c:f>
              <c:strCache>
                <c:ptCount val="1"/>
                <c:pt idx="0">
                  <c:v>GDP growth</c:v>
                </c:pt>
              </c:strCache>
            </c:strRef>
          </c:tx>
          <c:spPr>
            <a:ln w="28575" cap="rnd">
              <a:solidFill>
                <a:schemeClr val="accent1"/>
              </a:solidFill>
              <a:round/>
            </a:ln>
            <a:effectLst/>
          </c:spPr>
          <c:marker>
            <c:symbol val="none"/>
          </c:marker>
          <c:cat>
            <c:multiLvlStrRef>
              <c:f>Sheet1!$C$2:$M$3</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2018</c:v>
                  </c:pt>
                  <c:pt idx="4">
                    <c:v>2019</c:v>
                  </c:pt>
                  <c:pt idx="8">
                    <c:v>2020</c:v>
                  </c:pt>
                </c:lvl>
              </c:multiLvlStrCache>
            </c:multiLvlStrRef>
          </c:cat>
          <c:val>
            <c:numRef>
              <c:f>Sheet1!$C$4:$M$4</c:f>
              <c:numCache>
                <c:formatCode>0.0</c:formatCode>
                <c:ptCount val="11"/>
                <c:pt idx="0">
                  <c:v>4.8</c:v>
                </c:pt>
                <c:pt idx="1">
                  <c:v>2.6</c:v>
                </c:pt>
                <c:pt idx="2">
                  <c:v>2.7</c:v>
                </c:pt>
                <c:pt idx="3">
                  <c:v>2.6</c:v>
                </c:pt>
                <c:pt idx="4">
                  <c:v>2.4</c:v>
                </c:pt>
                <c:pt idx="5">
                  <c:v>2.4</c:v>
                </c:pt>
                <c:pt idx="6">
                  <c:v>2.2999999999999998</c:v>
                </c:pt>
                <c:pt idx="7">
                  <c:v>2</c:v>
                </c:pt>
                <c:pt idx="8">
                  <c:v>-1.9</c:v>
                </c:pt>
                <c:pt idx="9">
                  <c:v>-10.9</c:v>
                </c:pt>
                <c:pt idx="10">
                  <c:v>-5.8</c:v>
                </c:pt>
              </c:numCache>
            </c:numRef>
          </c:val>
          <c:smooth val="0"/>
          <c:extLst>
            <c:ext xmlns:c16="http://schemas.microsoft.com/office/drawing/2014/chart" uri="{C3380CC4-5D6E-409C-BE32-E72D297353CC}">
              <c16:uniqueId val="{00000000-48EC-4600-9001-A4E3F1565DDA}"/>
            </c:ext>
          </c:extLst>
        </c:ser>
        <c:dLbls>
          <c:showLegendKey val="0"/>
          <c:showVal val="0"/>
          <c:showCatName val="0"/>
          <c:showSerName val="0"/>
          <c:showPercent val="0"/>
          <c:showBubbleSize val="0"/>
        </c:dLbls>
        <c:smooth val="0"/>
        <c:axId val="150166496"/>
        <c:axId val="150705808"/>
      </c:lineChart>
      <c:catAx>
        <c:axId val="150166496"/>
        <c:scaling>
          <c:orientation val="minMax"/>
        </c:scaling>
        <c:delete val="0"/>
        <c:axPos val="b"/>
        <c:numFmt formatCode="General" sourceLinked="1"/>
        <c:majorTickMark val="out"/>
        <c:minorTickMark val="out"/>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705808"/>
        <c:crosses val="autoZero"/>
        <c:auto val="1"/>
        <c:lblAlgn val="ctr"/>
        <c:lblOffset val="100"/>
        <c:noMultiLvlLbl val="0"/>
      </c:catAx>
      <c:valAx>
        <c:axId val="1507058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16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555624404914838E-2"/>
          <c:y val="2.4831750291303273E-2"/>
          <c:w val="0.9164923602399988"/>
          <c:h val="0.84522403869919849"/>
        </c:manualLayout>
      </c:layout>
      <c:lineChart>
        <c:grouping val="standard"/>
        <c:varyColors val="0"/>
        <c:ser>
          <c:idx val="0"/>
          <c:order val="0"/>
          <c:spPr>
            <a:ln w="28575" cap="rnd">
              <a:solidFill>
                <a:schemeClr val="accent1"/>
              </a:solidFill>
              <a:round/>
            </a:ln>
            <a:effectLst/>
          </c:spPr>
          <c:marker>
            <c:symbol val="none"/>
          </c:marker>
          <c:cat>
            <c:strRef>
              <c:f>'Figure 4 Index of import prices'!$A$4:$A$13</c:f>
              <c:strCache>
                <c:ptCount val="10"/>
                <c:pt idx="0">
                  <c:v>leden</c:v>
                </c:pt>
                <c:pt idx="1">
                  <c:v>únor</c:v>
                </c:pt>
                <c:pt idx="2">
                  <c:v>březen</c:v>
                </c:pt>
                <c:pt idx="3">
                  <c:v>duben</c:v>
                </c:pt>
                <c:pt idx="4">
                  <c:v>květen</c:v>
                </c:pt>
                <c:pt idx="5">
                  <c:v>červen</c:v>
                </c:pt>
                <c:pt idx="6">
                  <c:v>červenec</c:v>
                </c:pt>
                <c:pt idx="7">
                  <c:v>srpen</c:v>
                </c:pt>
                <c:pt idx="8">
                  <c:v>září</c:v>
                </c:pt>
                <c:pt idx="9">
                  <c:v>říjen</c:v>
                </c:pt>
              </c:strCache>
            </c:strRef>
          </c:cat>
          <c:val>
            <c:numRef>
              <c:f>'Figure 4 Index of import prices'!$B$4:$B$13</c:f>
              <c:numCache>
                <c:formatCode>0.00</c:formatCode>
                <c:ptCount val="10"/>
                <c:pt idx="0">
                  <c:v>3.6</c:v>
                </c:pt>
                <c:pt idx="1">
                  <c:v>3.7</c:v>
                </c:pt>
                <c:pt idx="2">
                  <c:v>3.4</c:v>
                </c:pt>
                <c:pt idx="3">
                  <c:v>3.2</c:v>
                </c:pt>
                <c:pt idx="4">
                  <c:v>2.9</c:v>
                </c:pt>
                <c:pt idx="5">
                  <c:v>3.3</c:v>
                </c:pt>
                <c:pt idx="6">
                  <c:v>3.4</c:v>
                </c:pt>
                <c:pt idx="7">
                  <c:v>3.3</c:v>
                </c:pt>
                <c:pt idx="8">
                  <c:v>3.2</c:v>
                </c:pt>
                <c:pt idx="9">
                  <c:v>2.9</c:v>
                </c:pt>
              </c:numCache>
            </c:numRef>
          </c:val>
          <c:smooth val="0"/>
          <c:extLst>
            <c:ext xmlns:c16="http://schemas.microsoft.com/office/drawing/2014/chart" uri="{C3380CC4-5D6E-409C-BE32-E72D297353CC}">
              <c16:uniqueId val="{00000000-C6CF-40CA-8613-F46B3F78468E}"/>
            </c:ext>
          </c:extLst>
        </c:ser>
        <c:dLbls>
          <c:showLegendKey val="0"/>
          <c:showVal val="0"/>
          <c:showCatName val="0"/>
          <c:showSerName val="0"/>
          <c:showPercent val="0"/>
          <c:showBubbleSize val="0"/>
        </c:dLbls>
        <c:smooth val="0"/>
        <c:axId val="89825616"/>
        <c:axId val="89704144"/>
      </c:lineChart>
      <c:catAx>
        <c:axId val="8982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9704144"/>
        <c:crosses val="autoZero"/>
        <c:auto val="1"/>
        <c:lblAlgn val="ctr"/>
        <c:lblOffset val="100"/>
        <c:noMultiLvlLbl val="0"/>
      </c:catAx>
      <c:valAx>
        <c:axId val="89704144"/>
        <c:scaling>
          <c:orientation val="minMax"/>
          <c:min val="2.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8982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28575" cap="rnd">
              <a:solidFill>
                <a:schemeClr val="accent1"/>
              </a:solidFill>
              <a:round/>
            </a:ln>
            <a:effectLst/>
          </c:spPr>
          <c:marker>
            <c:symbol val="none"/>
          </c:marker>
          <c:cat>
            <c:strRef>
              <c:f>'FRED Graph'!$B$12:$B$22</c:f>
              <c:strCache>
                <c:ptCount val="11"/>
                <c:pt idx="0">
                  <c:v>leden</c:v>
                </c:pt>
                <c:pt idx="1">
                  <c:v>únor</c:v>
                </c:pt>
                <c:pt idx="2">
                  <c:v>březen</c:v>
                </c:pt>
                <c:pt idx="3">
                  <c:v>duben</c:v>
                </c:pt>
                <c:pt idx="4">
                  <c:v>květen</c:v>
                </c:pt>
                <c:pt idx="5">
                  <c:v>červen</c:v>
                </c:pt>
                <c:pt idx="6">
                  <c:v>červenec</c:v>
                </c:pt>
                <c:pt idx="7">
                  <c:v>srpen</c:v>
                </c:pt>
                <c:pt idx="8">
                  <c:v>září</c:v>
                </c:pt>
                <c:pt idx="9">
                  <c:v>říjen</c:v>
                </c:pt>
                <c:pt idx="10">
                  <c:v>listopad</c:v>
                </c:pt>
              </c:strCache>
            </c:strRef>
          </c:cat>
          <c:val>
            <c:numRef>
              <c:f>'FRED Graph'!$C$12:$C$22</c:f>
              <c:numCache>
                <c:formatCode>0.00</c:formatCode>
                <c:ptCount val="11"/>
                <c:pt idx="0">
                  <c:v>22.7128695652174</c:v>
                </c:pt>
                <c:pt idx="1">
                  <c:v>22.9726</c:v>
                </c:pt>
                <c:pt idx="2">
                  <c:v>24.042863636363599</c:v>
                </c:pt>
                <c:pt idx="3">
                  <c:v>25.069681818181799</c:v>
                </c:pt>
                <c:pt idx="4">
                  <c:v>25.012380952381001</c:v>
                </c:pt>
                <c:pt idx="5">
                  <c:v>23.706454545454498</c:v>
                </c:pt>
                <c:pt idx="6">
                  <c:v>23.145</c:v>
                </c:pt>
                <c:pt idx="7">
                  <c:v>22.122380952381</c:v>
                </c:pt>
                <c:pt idx="8">
                  <c:v>22.679909090909099</c:v>
                </c:pt>
                <c:pt idx="9">
                  <c:v>23.098409090909101</c:v>
                </c:pt>
                <c:pt idx="10">
                  <c:v>22.357047619047599</c:v>
                </c:pt>
              </c:numCache>
            </c:numRef>
          </c:val>
          <c:smooth val="0"/>
          <c:extLst>
            <c:ext xmlns:c16="http://schemas.microsoft.com/office/drawing/2014/chart" uri="{C3380CC4-5D6E-409C-BE32-E72D297353CC}">
              <c16:uniqueId val="{00000000-0470-477C-9F1D-DDF30A851087}"/>
            </c:ext>
          </c:extLst>
        </c:ser>
        <c:dLbls>
          <c:showLegendKey val="0"/>
          <c:showVal val="0"/>
          <c:showCatName val="0"/>
          <c:showSerName val="0"/>
          <c:showPercent val="0"/>
          <c:showBubbleSize val="0"/>
        </c:dLbls>
        <c:smooth val="0"/>
        <c:axId val="1029427520"/>
        <c:axId val="1"/>
      </c:lineChart>
      <c:catAx>
        <c:axId val="1029427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sz="1000" b="0" i="0" u="none" strike="noStrike" baseline="0">
                <a:solidFill>
                  <a:srgbClr val="333333"/>
                </a:solidFill>
                <a:latin typeface="Times New Roman"/>
                <a:ea typeface="Times New Roman"/>
                <a:cs typeface="Times New Roman"/>
              </a:defRPr>
            </a:pPr>
            <a:endParaRPr lang="cs-CZ"/>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1000" b="0" i="0" u="none" strike="noStrike" baseline="0">
                <a:solidFill>
                  <a:srgbClr val="333333"/>
                </a:solidFill>
                <a:latin typeface="Times New Roman"/>
                <a:ea typeface="Times New Roman"/>
                <a:cs typeface="Times New Roman"/>
              </a:defRPr>
            </a:pPr>
            <a:endParaRPr lang="cs-CZ"/>
          </a:p>
        </c:txPr>
        <c:crossAx val="102942752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cs-CZ"/>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GDP!$B$1</c:f>
              <c:strCache>
                <c:ptCount val="1"/>
                <c:pt idx="0">
                  <c:v>IRF</c:v>
                </c:pt>
              </c:strCache>
            </c:strRef>
          </c:tx>
          <c:spPr>
            <a:ln w="25400" cap="rnd">
              <a:solidFill>
                <a:schemeClr val="tx1"/>
              </a:solidFill>
              <a:round/>
            </a:ln>
            <a:effectLst/>
          </c:spPr>
          <c:marker>
            <c:symbol val="none"/>
          </c:marker>
          <c:val>
            <c:numRef>
              <c:f>GDP!$B$2:$B$21</c:f>
              <c:numCache>
                <c:formatCode>0.00</c:formatCode>
                <c:ptCount val="20"/>
                <c:pt idx="0" formatCode="0">
                  <c:v>0.1</c:v>
                </c:pt>
                <c:pt idx="1">
                  <c:v>0.4</c:v>
                </c:pt>
                <c:pt idx="2">
                  <c:v>0.85</c:v>
                </c:pt>
                <c:pt idx="3">
                  <c:v>0.84</c:v>
                </c:pt>
                <c:pt idx="4">
                  <c:v>0.27</c:v>
                </c:pt>
                <c:pt idx="5">
                  <c:v>-5.0000000000000001E-4</c:v>
                </c:pt>
                <c:pt idx="6">
                  <c:v>-0.27</c:v>
                </c:pt>
                <c:pt idx="7">
                  <c:v>-0.45</c:v>
                </c:pt>
                <c:pt idx="8">
                  <c:v>-0.4355</c:v>
                </c:pt>
                <c:pt idx="9">
                  <c:v>-0.38550000000000001</c:v>
                </c:pt>
                <c:pt idx="10">
                  <c:v>-0.33550000000000002</c:v>
                </c:pt>
                <c:pt idx="11">
                  <c:v>-0.23549999999999999</c:v>
                </c:pt>
                <c:pt idx="12">
                  <c:v>-0.1855</c:v>
                </c:pt>
                <c:pt idx="13">
                  <c:v>-0.13550000000000001</c:v>
                </c:pt>
                <c:pt idx="14">
                  <c:v>0</c:v>
                </c:pt>
                <c:pt idx="15">
                  <c:v>-6.1499999999999999E-2</c:v>
                </c:pt>
                <c:pt idx="16">
                  <c:v>-0.1115</c:v>
                </c:pt>
                <c:pt idx="17">
                  <c:v>-8.5999999999999993E-2</c:v>
                </c:pt>
                <c:pt idx="18">
                  <c:v>-6.0000000000000001E-3</c:v>
                </c:pt>
                <c:pt idx="19">
                  <c:v>8.0000000000000002E-3</c:v>
                </c:pt>
              </c:numCache>
            </c:numRef>
          </c:val>
          <c:smooth val="0"/>
          <c:extLst>
            <c:ext xmlns:c16="http://schemas.microsoft.com/office/drawing/2014/chart" uri="{C3380CC4-5D6E-409C-BE32-E72D297353CC}">
              <c16:uniqueId val="{00000000-55F0-4D44-89CD-44248B623581}"/>
            </c:ext>
          </c:extLst>
        </c:ser>
        <c:ser>
          <c:idx val="1"/>
          <c:order val="1"/>
          <c:tx>
            <c:strRef>
              <c:f>GDP!$C$1</c:f>
              <c:strCache>
                <c:ptCount val="1"/>
                <c:pt idx="0">
                  <c:v>spodní hranice pásma</c:v>
                </c:pt>
              </c:strCache>
            </c:strRef>
          </c:tx>
          <c:spPr>
            <a:ln w="12700" cap="rnd">
              <a:solidFill>
                <a:schemeClr val="tx1"/>
              </a:solidFill>
              <a:prstDash val="dash"/>
              <a:round/>
            </a:ln>
            <a:effectLst/>
          </c:spPr>
          <c:marker>
            <c:symbol val="none"/>
          </c:marker>
          <c:val>
            <c:numRef>
              <c:f>GDP!$C$2:$C$21</c:f>
              <c:numCache>
                <c:formatCode>0.00</c:formatCode>
                <c:ptCount val="20"/>
                <c:pt idx="0" formatCode="0">
                  <c:v>-0.5</c:v>
                </c:pt>
                <c:pt idx="1">
                  <c:v>-0.15000000000000002</c:v>
                </c:pt>
                <c:pt idx="2">
                  <c:v>-0.20000000000000007</c:v>
                </c:pt>
                <c:pt idx="3">
                  <c:v>-0.26000000000000012</c:v>
                </c:pt>
                <c:pt idx="4">
                  <c:v>-0.56999999999999995</c:v>
                </c:pt>
                <c:pt idx="5">
                  <c:v>-0.79049999999999998</c:v>
                </c:pt>
                <c:pt idx="6">
                  <c:v>-1.01</c:v>
                </c:pt>
                <c:pt idx="7">
                  <c:v>-1.1399999999999999</c:v>
                </c:pt>
                <c:pt idx="8">
                  <c:v>-1.0754999999999999</c:v>
                </c:pt>
                <c:pt idx="9">
                  <c:v>-0.97550000000000003</c:v>
                </c:pt>
                <c:pt idx="10">
                  <c:v>-0.90549999999999997</c:v>
                </c:pt>
                <c:pt idx="11">
                  <c:v>-0.7955000000000001</c:v>
                </c:pt>
                <c:pt idx="12">
                  <c:v>-0.72550000000000003</c:v>
                </c:pt>
                <c:pt idx="13">
                  <c:v>-0.66549999999999998</c:v>
                </c:pt>
                <c:pt idx="14">
                  <c:v>-0.52</c:v>
                </c:pt>
                <c:pt idx="15">
                  <c:v>-0.57150000000000001</c:v>
                </c:pt>
                <c:pt idx="16">
                  <c:v>-0.53149999999999997</c:v>
                </c:pt>
                <c:pt idx="17">
                  <c:v>-0.39600000000000002</c:v>
                </c:pt>
                <c:pt idx="18">
                  <c:v>-0.26600000000000001</c:v>
                </c:pt>
                <c:pt idx="19">
                  <c:v>-0.192</c:v>
                </c:pt>
              </c:numCache>
            </c:numRef>
          </c:val>
          <c:smooth val="0"/>
          <c:extLst>
            <c:ext xmlns:c16="http://schemas.microsoft.com/office/drawing/2014/chart" uri="{C3380CC4-5D6E-409C-BE32-E72D297353CC}">
              <c16:uniqueId val="{00000001-55F0-4D44-89CD-44248B623581}"/>
            </c:ext>
          </c:extLst>
        </c:ser>
        <c:ser>
          <c:idx val="2"/>
          <c:order val="2"/>
          <c:tx>
            <c:strRef>
              <c:f>GDP!$D$1</c:f>
              <c:strCache>
                <c:ptCount val="1"/>
                <c:pt idx="0">
                  <c:v>horní hranice pásma</c:v>
                </c:pt>
              </c:strCache>
            </c:strRef>
          </c:tx>
          <c:spPr>
            <a:ln w="12700" cap="rnd">
              <a:solidFill>
                <a:schemeClr val="tx1"/>
              </a:solidFill>
              <a:prstDash val="dash"/>
              <a:round/>
            </a:ln>
            <a:effectLst/>
          </c:spPr>
          <c:marker>
            <c:symbol val="none"/>
          </c:marker>
          <c:val>
            <c:numRef>
              <c:f>GDP!$D$2:$D$21</c:f>
              <c:numCache>
                <c:formatCode>0.00</c:formatCode>
                <c:ptCount val="20"/>
                <c:pt idx="0" formatCode="0">
                  <c:v>0.5</c:v>
                </c:pt>
                <c:pt idx="1">
                  <c:v>1.1850000000000001</c:v>
                </c:pt>
                <c:pt idx="2">
                  <c:v>1.51</c:v>
                </c:pt>
                <c:pt idx="3">
                  <c:v>1.43</c:v>
                </c:pt>
                <c:pt idx="4">
                  <c:v>0.96</c:v>
                </c:pt>
                <c:pt idx="5">
                  <c:v>0.63950000000000007</c:v>
                </c:pt>
                <c:pt idx="6">
                  <c:v>0.37</c:v>
                </c:pt>
                <c:pt idx="7">
                  <c:v>0.16999999999999998</c:v>
                </c:pt>
                <c:pt idx="8">
                  <c:v>0.16449999999999998</c:v>
                </c:pt>
                <c:pt idx="9">
                  <c:v>0.20449999999999996</c:v>
                </c:pt>
                <c:pt idx="10">
                  <c:v>0.20450000000000002</c:v>
                </c:pt>
                <c:pt idx="11">
                  <c:v>0.29450000000000004</c:v>
                </c:pt>
                <c:pt idx="12">
                  <c:v>0.33950000000000002</c:v>
                </c:pt>
                <c:pt idx="13">
                  <c:v>0.38950000000000001</c:v>
                </c:pt>
                <c:pt idx="14">
                  <c:v>0.505</c:v>
                </c:pt>
                <c:pt idx="15">
                  <c:v>0.4385</c:v>
                </c:pt>
                <c:pt idx="16">
                  <c:v>0.38850000000000001</c:v>
                </c:pt>
                <c:pt idx="17">
                  <c:v>0.254</c:v>
                </c:pt>
                <c:pt idx="18">
                  <c:v>0.28399999999999997</c:v>
                </c:pt>
                <c:pt idx="19">
                  <c:v>0.20800000000000002</c:v>
                </c:pt>
              </c:numCache>
            </c:numRef>
          </c:val>
          <c:smooth val="0"/>
          <c:extLst>
            <c:ext xmlns:c16="http://schemas.microsoft.com/office/drawing/2014/chart" uri="{C3380CC4-5D6E-409C-BE32-E72D297353CC}">
              <c16:uniqueId val="{00000002-55F0-4D44-89CD-44248B623581}"/>
            </c:ext>
          </c:extLst>
        </c:ser>
        <c:dLbls>
          <c:showLegendKey val="0"/>
          <c:showVal val="0"/>
          <c:showCatName val="0"/>
          <c:showSerName val="0"/>
          <c:showPercent val="0"/>
          <c:showBubbleSize val="0"/>
        </c:dLbls>
        <c:smooth val="0"/>
        <c:axId val="1852249376"/>
        <c:axId val="1904049072"/>
      </c:lineChart>
      <c:catAx>
        <c:axId val="1852249376"/>
        <c:scaling>
          <c:orientation val="minMax"/>
        </c:scaling>
        <c:delete val="0"/>
        <c:axPos val="b"/>
        <c:majorTickMark val="in"/>
        <c:minorTickMark val="in"/>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904049072"/>
        <c:crosses val="autoZero"/>
        <c:auto val="1"/>
        <c:lblAlgn val="ctr"/>
        <c:lblOffset val="20"/>
        <c:tickLblSkip val="1"/>
        <c:tickMarkSkip val="3"/>
        <c:noMultiLvlLbl val="0"/>
      </c:catAx>
      <c:valAx>
        <c:axId val="19040490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8522493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CPI!$B$1</c:f>
              <c:strCache>
                <c:ptCount val="1"/>
                <c:pt idx="0">
                  <c:v>IRF</c:v>
                </c:pt>
              </c:strCache>
            </c:strRef>
          </c:tx>
          <c:spPr>
            <a:ln w="25400" cap="rnd">
              <a:solidFill>
                <a:schemeClr val="tx1"/>
              </a:solidFill>
              <a:round/>
            </a:ln>
            <a:effectLst/>
          </c:spPr>
          <c:marker>
            <c:symbol val="none"/>
          </c:marker>
          <c:val>
            <c:numRef>
              <c:f>CPI!$B$2:$B$21</c:f>
              <c:numCache>
                <c:formatCode>0.000</c:formatCode>
                <c:ptCount val="20"/>
                <c:pt idx="0" formatCode="0.0">
                  <c:v>0.02</c:v>
                </c:pt>
                <c:pt idx="1">
                  <c:v>0.05</c:v>
                </c:pt>
                <c:pt idx="2">
                  <c:v>7.0000000000000007E-2</c:v>
                </c:pt>
                <c:pt idx="3">
                  <c:v>0.09</c:v>
                </c:pt>
                <c:pt idx="4">
                  <c:v>7.8E-2</c:v>
                </c:pt>
                <c:pt idx="5">
                  <c:v>5.5E-2</c:v>
                </c:pt>
                <c:pt idx="6">
                  <c:v>3.4000000000000002E-2</c:v>
                </c:pt>
                <c:pt idx="7">
                  <c:v>2.1999999999999999E-2</c:v>
                </c:pt>
                <c:pt idx="8">
                  <c:v>1.4999999999999999E-2</c:v>
                </c:pt>
                <c:pt idx="9">
                  <c:v>0</c:v>
                </c:pt>
                <c:pt idx="10">
                  <c:v>-1.2E-2</c:v>
                </c:pt>
                <c:pt idx="11">
                  <c:v>-1.2999999999999999E-2</c:v>
                </c:pt>
                <c:pt idx="12">
                  <c:v>-2.1700000000000001E-2</c:v>
                </c:pt>
                <c:pt idx="13">
                  <c:v>-2.3E-2</c:v>
                </c:pt>
                <c:pt idx="14">
                  <c:v>-1.0999999999999999E-2</c:v>
                </c:pt>
                <c:pt idx="15">
                  <c:v>0</c:v>
                </c:pt>
                <c:pt idx="16">
                  <c:v>1.23E-2</c:v>
                </c:pt>
                <c:pt idx="17">
                  <c:v>1.4E-2</c:v>
                </c:pt>
                <c:pt idx="18">
                  <c:v>1.6E-2</c:v>
                </c:pt>
                <c:pt idx="19">
                  <c:v>1.2E-2</c:v>
                </c:pt>
              </c:numCache>
            </c:numRef>
          </c:val>
          <c:smooth val="0"/>
          <c:extLst>
            <c:ext xmlns:c16="http://schemas.microsoft.com/office/drawing/2014/chart" uri="{C3380CC4-5D6E-409C-BE32-E72D297353CC}">
              <c16:uniqueId val="{00000000-88DC-4BEC-8F77-2D45B242DB09}"/>
            </c:ext>
          </c:extLst>
        </c:ser>
        <c:ser>
          <c:idx val="1"/>
          <c:order val="1"/>
          <c:tx>
            <c:strRef>
              <c:f>CPI!$C$1</c:f>
              <c:strCache>
                <c:ptCount val="1"/>
                <c:pt idx="0">
                  <c:v>spodní hranice pásma</c:v>
                </c:pt>
              </c:strCache>
            </c:strRef>
          </c:tx>
          <c:spPr>
            <a:ln w="12700" cap="rnd">
              <a:solidFill>
                <a:schemeClr val="tx1"/>
              </a:solidFill>
              <a:prstDash val="dash"/>
              <a:round/>
            </a:ln>
            <a:effectLst/>
          </c:spPr>
          <c:marker>
            <c:symbol val="none"/>
          </c:marker>
          <c:val>
            <c:numRef>
              <c:f>CPI!$C$2:$C$21</c:f>
              <c:numCache>
                <c:formatCode>0.000</c:formatCode>
                <c:ptCount val="20"/>
                <c:pt idx="0" formatCode="0.0">
                  <c:v>1E-4</c:v>
                </c:pt>
                <c:pt idx="1">
                  <c:v>1.7999999999999999E-2</c:v>
                </c:pt>
                <c:pt idx="2">
                  <c:v>8.9999999999999993E-3</c:v>
                </c:pt>
                <c:pt idx="3">
                  <c:v>1E-4</c:v>
                </c:pt>
                <c:pt idx="4">
                  <c:v>-2.1999999999999999E-2</c:v>
                </c:pt>
                <c:pt idx="5">
                  <c:v>-4.4999999999999998E-2</c:v>
                </c:pt>
                <c:pt idx="6">
                  <c:v>-4.8000000000000001E-2</c:v>
                </c:pt>
                <c:pt idx="7">
                  <c:v>-5.1999999999999998E-2</c:v>
                </c:pt>
                <c:pt idx="8">
                  <c:v>-6.0999999999999999E-2</c:v>
                </c:pt>
                <c:pt idx="9">
                  <c:v>-5.5E-2</c:v>
                </c:pt>
                <c:pt idx="10">
                  <c:v>-6.5000000000000002E-2</c:v>
                </c:pt>
                <c:pt idx="11">
                  <c:v>-7.1999999999999995E-2</c:v>
                </c:pt>
                <c:pt idx="12">
                  <c:v>-6.4000000000000001E-2</c:v>
                </c:pt>
                <c:pt idx="13">
                  <c:v>-5.1999999999999998E-2</c:v>
                </c:pt>
                <c:pt idx="14">
                  <c:v>-0.04</c:v>
                </c:pt>
                <c:pt idx="15">
                  <c:v>-2.5000000000000001E-2</c:v>
                </c:pt>
                <c:pt idx="16">
                  <c:v>-1.2700000000000001E-2</c:v>
                </c:pt>
                <c:pt idx="17">
                  <c:v>-1.1000000000000001E-2</c:v>
                </c:pt>
                <c:pt idx="18">
                  <c:v>-9.0000000000000011E-3</c:v>
                </c:pt>
                <c:pt idx="19">
                  <c:v>-1.3000000000000001E-2</c:v>
                </c:pt>
              </c:numCache>
            </c:numRef>
          </c:val>
          <c:smooth val="0"/>
          <c:extLst>
            <c:ext xmlns:c16="http://schemas.microsoft.com/office/drawing/2014/chart" uri="{C3380CC4-5D6E-409C-BE32-E72D297353CC}">
              <c16:uniqueId val="{00000001-88DC-4BEC-8F77-2D45B242DB09}"/>
            </c:ext>
          </c:extLst>
        </c:ser>
        <c:ser>
          <c:idx val="2"/>
          <c:order val="2"/>
          <c:tx>
            <c:strRef>
              <c:f>CPI!$D$1</c:f>
              <c:strCache>
                <c:ptCount val="1"/>
                <c:pt idx="0">
                  <c:v>horní hranice pásma</c:v>
                </c:pt>
              </c:strCache>
            </c:strRef>
          </c:tx>
          <c:spPr>
            <a:ln w="12700" cap="rnd">
              <a:solidFill>
                <a:schemeClr val="tx1"/>
              </a:solidFill>
              <a:prstDash val="dash"/>
              <a:round/>
            </a:ln>
            <a:effectLst/>
          </c:spPr>
          <c:marker>
            <c:symbol val="none"/>
          </c:marker>
          <c:val>
            <c:numRef>
              <c:f>CPI!$D$2:$D$21</c:f>
              <c:numCache>
                <c:formatCode>0.000</c:formatCode>
                <c:ptCount val="20"/>
                <c:pt idx="0" formatCode="0.0">
                  <c:v>0.03</c:v>
                </c:pt>
                <c:pt idx="1">
                  <c:v>7.0000000000000007E-2</c:v>
                </c:pt>
                <c:pt idx="2">
                  <c:v>0.11</c:v>
                </c:pt>
                <c:pt idx="3">
                  <c:v>0.123</c:v>
                </c:pt>
                <c:pt idx="4">
                  <c:v>0.14199999999999999</c:v>
                </c:pt>
                <c:pt idx="5">
                  <c:v>0.156</c:v>
                </c:pt>
                <c:pt idx="6">
                  <c:v>0.14199999999999999</c:v>
                </c:pt>
                <c:pt idx="7">
                  <c:v>0.121</c:v>
                </c:pt>
                <c:pt idx="8">
                  <c:v>9.0999999999999998E-2</c:v>
                </c:pt>
                <c:pt idx="9">
                  <c:v>7.8E-2</c:v>
                </c:pt>
                <c:pt idx="10">
                  <c:v>6.6000000000000003E-2</c:v>
                </c:pt>
                <c:pt idx="11">
                  <c:v>6.2E-2</c:v>
                </c:pt>
                <c:pt idx="12">
                  <c:v>5.0299999999999997E-2</c:v>
                </c:pt>
                <c:pt idx="13">
                  <c:v>3.5000000000000003E-2</c:v>
                </c:pt>
                <c:pt idx="14">
                  <c:v>2.7E-2</c:v>
                </c:pt>
                <c:pt idx="15">
                  <c:v>4.2799999999999998E-2</c:v>
                </c:pt>
                <c:pt idx="16">
                  <c:v>6.7299999999999999E-2</c:v>
                </c:pt>
                <c:pt idx="17">
                  <c:v>6.5000000000000002E-2</c:v>
                </c:pt>
                <c:pt idx="18">
                  <c:v>5.3999999999999999E-2</c:v>
                </c:pt>
                <c:pt idx="19">
                  <c:v>0.05</c:v>
                </c:pt>
              </c:numCache>
            </c:numRef>
          </c:val>
          <c:smooth val="0"/>
          <c:extLst>
            <c:ext xmlns:c16="http://schemas.microsoft.com/office/drawing/2014/chart" uri="{C3380CC4-5D6E-409C-BE32-E72D297353CC}">
              <c16:uniqueId val="{00000002-88DC-4BEC-8F77-2D45B242DB09}"/>
            </c:ext>
          </c:extLst>
        </c:ser>
        <c:dLbls>
          <c:showLegendKey val="0"/>
          <c:showVal val="0"/>
          <c:showCatName val="0"/>
          <c:showSerName val="0"/>
          <c:showPercent val="0"/>
          <c:showBubbleSize val="0"/>
        </c:dLbls>
        <c:smooth val="0"/>
        <c:axId val="1891524080"/>
        <c:axId val="1781576832"/>
      </c:lineChart>
      <c:catAx>
        <c:axId val="1891524080"/>
        <c:scaling>
          <c:orientation val="minMax"/>
        </c:scaling>
        <c:delete val="0"/>
        <c:axPos val="b"/>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781576832"/>
        <c:crosses val="autoZero"/>
        <c:auto val="1"/>
        <c:lblAlgn val="ctr"/>
        <c:lblOffset val="20"/>
        <c:tickLblSkip val="1"/>
        <c:noMultiLvlLbl val="0"/>
      </c:catAx>
      <c:valAx>
        <c:axId val="178157683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891524080"/>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'FRED Graph'!$B$5</c:f>
              <c:strCache>
                <c:ptCount val="1"/>
                <c:pt idx="0">
                  <c:v>aktuální cena ropy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'FRED Graph'!$A$6:$A$23</c:f>
              <c:numCache>
                <c:formatCode>General</c:formatCode>
                <c:ptCount val="1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numCache>
            </c:numRef>
          </c:cat>
          <c:val>
            <c:numRef>
              <c:f>'FRED Graph'!$B$6:$B$23</c:f>
              <c:numCache>
                <c:formatCode>General</c:formatCode>
                <c:ptCount val="18"/>
                <c:pt idx="0">
                  <c:v>28.9</c:v>
                </c:pt>
                <c:pt idx="1">
                  <c:v>38.299999999999997</c:v>
                </c:pt>
                <c:pt idx="2">
                  <c:v>54.6</c:v>
                </c:pt>
                <c:pt idx="3">
                  <c:v>65.2</c:v>
                </c:pt>
                <c:pt idx="4">
                  <c:v>72.400000000000006</c:v>
                </c:pt>
                <c:pt idx="5">
                  <c:v>96.9</c:v>
                </c:pt>
                <c:pt idx="6">
                  <c:v>61.7</c:v>
                </c:pt>
                <c:pt idx="7">
                  <c:v>79.599999999999994</c:v>
                </c:pt>
                <c:pt idx="8">
                  <c:v>111.3</c:v>
                </c:pt>
                <c:pt idx="9">
                  <c:v>111.6</c:v>
                </c:pt>
                <c:pt idx="10">
                  <c:v>108.6</c:v>
                </c:pt>
                <c:pt idx="11">
                  <c:v>99</c:v>
                </c:pt>
                <c:pt idx="12">
                  <c:v>52.3</c:v>
                </c:pt>
                <c:pt idx="13">
                  <c:v>43.6</c:v>
                </c:pt>
                <c:pt idx="14">
                  <c:v>54.1</c:v>
                </c:pt>
                <c:pt idx="15">
                  <c:v>71.3</c:v>
                </c:pt>
                <c:pt idx="16">
                  <c:v>64.2</c:v>
                </c:pt>
                <c:pt idx="17" formatCode="#,##0.##">
                  <c:v>40.47</c:v>
                </c:pt>
              </c:numCache>
            </c:numRef>
          </c:val>
          <c:extLst>
            <c:ext xmlns:c16="http://schemas.microsoft.com/office/drawing/2014/chart" uri="{C3380CC4-5D6E-409C-BE32-E72D297353CC}">
              <c16:uniqueId val="{00000000-DEAA-4FF0-9380-ACB3B186815C}"/>
            </c:ext>
          </c:extLst>
        </c:ser>
        <c:dLbls>
          <c:showLegendKey val="0"/>
          <c:showVal val="0"/>
          <c:showCatName val="0"/>
          <c:showSerName val="0"/>
          <c:showPercent val="0"/>
          <c:showBubbleSize val="0"/>
        </c:dLbls>
        <c:gapWidth val="269"/>
        <c:overlap val="-27"/>
        <c:axId val="639101184"/>
        <c:axId val="607532928"/>
      </c:barChart>
      <c:lineChart>
        <c:grouping val="standard"/>
        <c:varyColors val="0"/>
        <c:ser>
          <c:idx val="1"/>
          <c:order val="1"/>
          <c:tx>
            <c:strRef>
              <c:f>'FRED Graph'!$C$5</c:f>
              <c:strCache>
                <c:ptCount val="1"/>
                <c:pt idx="0">
                  <c:v>cena ropy při bodu zvratu</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'FRED Graph'!$A$6:$A$23</c:f>
              <c:numCache>
                <c:formatCode>General</c:formatCode>
                <c:ptCount val="18"/>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numCache>
            </c:numRef>
          </c:cat>
          <c:val>
            <c:numRef>
              <c:f>'FRED Graph'!$C$6:$C$23</c:f>
              <c:numCache>
                <c:formatCode>General</c:formatCode>
                <c:ptCount val="18"/>
                <c:pt idx="0">
                  <c:v>19</c:v>
                </c:pt>
                <c:pt idx="1">
                  <c:v>20</c:v>
                </c:pt>
                <c:pt idx="2">
                  <c:v>20</c:v>
                </c:pt>
                <c:pt idx="3">
                  <c:v>21</c:v>
                </c:pt>
                <c:pt idx="4">
                  <c:v>27.6</c:v>
                </c:pt>
                <c:pt idx="5">
                  <c:v>59.3</c:v>
                </c:pt>
                <c:pt idx="6">
                  <c:v>109.8</c:v>
                </c:pt>
                <c:pt idx="7">
                  <c:v>117.3</c:v>
                </c:pt>
                <c:pt idx="8">
                  <c:v>102.5</c:v>
                </c:pt>
                <c:pt idx="9">
                  <c:v>112.3</c:v>
                </c:pt>
                <c:pt idx="10">
                  <c:v>113.9</c:v>
                </c:pt>
                <c:pt idx="11">
                  <c:v>103.4</c:v>
                </c:pt>
                <c:pt idx="12">
                  <c:v>69.8</c:v>
                </c:pt>
                <c:pt idx="13">
                  <c:v>70.3</c:v>
                </c:pt>
                <c:pt idx="14">
                  <c:v>66.2</c:v>
                </c:pt>
                <c:pt idx="15">
                  <c:v>49.6</c:v>
                </c:pt>
                <c:pt idx="16">
                  <c:v>47.7</c:v>
                </c:pt>
                <c:pt idx="17">
                  <c:v>50.6</c:v>
                </c:pt>
              </c:numCache>
            </c:numRef>
          </c:val>
          <c:smooth val="0"/>
          <c:extLst>
            <c:ext xmlns:c16="http://schemas.microsoft.com/office/drawing/2014/chart" uri="{C3380CC4-5D6E-409C-BE32-E72D297353CC}">
              <c16:uniqueId val="{00000001-DEAA-4FF0-9380-ACB3B186815C}"/>
            </c:ext>
          </c:extLst>
        </c:ser>
        <c:dLbls>
          <c:showLegendKey val="0"/>
          <c:showVal val="0"/>
          <c:showCatName val="0"/>
          <c:showSerName val="0"/>
          <c:showPercent val="0"/>
          <c:showBubbleSize val="0"/>
        </c:dLbls>
        <c:marker val="1"/>
        <c:smooth val="0"/>
        <c:axId val="639101184"/>
        <c:axId val="607532928"/>
      </c:lineChart>
      <c:catAx>
        <c:axId val="639101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607532928"/>
        <c:crosses val="autoZero"/>
        <c:auto val="1"/>
        <c:lblAlgn val="ctr"/>
        <c:lblOffset val="100"/>
        <c:noMultiLvlLbl val="0"/>
      </c:catAx>
      <c:valAx>
        <c:axId val="60753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63910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List1!$J$5</c:f>
              <c:strCache>
                <c:ptCount val="1"/>
                <c:pt idx="0">
                  <c:v>Word Bank</c:v>
                </c:pt>
              </c:strCache>
            </c:strRef>
          </c:tx>
          <c:spPr>
            <a:ln w="19050" cap="rnd">
              <a:noFill/>
              <a:round/>
            </a:ln>
            <a:effectLst/>
          </c:spPr>
          <c:marker>
            <c:symbol val="circle"/>
            <c:size val="5"/>
            <c:spPr>
              <a:solidFill>
                <a:schemeClr val="accent1"/>
              </a:solidFill>
              <a:ln w="9525">
                <a:solidFill>
                  <a:schemeClr val="accent1"/>
                </a:solidFill>
              </a:ln>
              <a:effectLst/>
            </c:spPr>
          </c:marker>
          <c:xVal>
            <c:numRef>
              <c:f>List1!$I$6:$I$11</c:f>
              <c:numCache>
                <c:formatCode>General</c:formatCode>
                <c:ptCount val="6"/>
                <c:pt idx="0">
                  <c:v>2020</c:v>
                </c:pt>
                <c:pt idx="1">
                  <c:v>2021</c:v>
                </c:pt>
                <c:pt idx="2">
                  <c:v>2022</c:v>
                </c:pt>
                <c:pt idx="3">
                  <c:v>2023</c:v>
                </c:pt>
                <c:pt idx="4">
                  <c:v>2024</c:v>
                </c:pt>
                <c:pt idx="5">
                  <c:v>2025</c:v>
                </c:pt>
              </c:numCache>
            </c:numRef>
          </c:xVal>
          <c:yVal>
            <c:numRef>
              <c:f>List1!$J$6:$J$11</c:f>
              <c:numCache>
                <c:formatCode>General</c:formatCode>
                <c:ptCount val="6"/>
                <c:pt idx="0">
                  <c:v>35</c:v>
                </c:pt>
                <c:pt idx="1">
                  <c:v>42</c:v>
                </c:pt>
                <c:pt idx="2">
                  <c:v>44.5</c:v>
                </c:pt>
                <c:pt idx="3">
                  <c:v>47</c:v>
                </c:pt>
                <c:pt idx="4">
                  <c:v>49.8</c:v>
                </c:pt>
                <c:pt idx="5">
                  <c:v>52.7</c:v>
                </c:pt>
              </c:numCache>
            </c:numRef>
          </c:yVal>
          <c:smooth val="0"/>
          <c:extLst>
            <c:ext xmlns:c16="http://schemas.microsoft.com/office/drawing/2014/chart" uri="{C3380CC4-5D6E-409C-BE32-E72D297353CC}">
              <c16:uniqueId val="{00000000-6DCC-6C4D-9F26-0CC858BCE1BD}"/>
            </c:ext>
          </c:extLst>
        </c:ser>
        <c:ser>
          <c:idx val="1"/>
          <c:order val="1"/>
          <c:tx>
            <c:strRef>
              <c:f>List1!$K$5</c:f>
              <c:strCache>
                <c:ptCount val="1"/>
                <c:pt idx="0">
                  <c:v>Deloitte</c:v>
                </c:pt>
              </c:strCache>
            </c:strRef>
          </c:tx>
          <c:spPr>
            <a:ln w="19050" cap="rnd">
              <a:noFill/>
              <a:round/>
            </a:ln>
            <a:effectLst/>
          </c:spPr>
          <c:marker>
            <c:symbol val="circle"/>
            <c:size val="5"/>
            <c:spPr>
              <a:solidFill>
                <a:schemeClr val="accent2"/>
              </a:solidFill>
              <a:ln w="9525">
                <a:solidFill>
                  <a:schemeClr val="accent2"/>
                </a:solidFill>
              </a:ln>
              <a:effectLst/>
            </c:spPr>
          </c:marker>
          <c:xVal>
            <c:numRef>
              <c:f>List1!$I$6:$I$11</c:f>
              <c:numCache>
                <c:formatCode>General</c:formatCode>
                <c:ptCount val="6"/>
                <c:pt idx="0">
                  <c:v>2020</c:v>
                </c:pt>
                <c:pt idx="1">
                  <c:v>2021</c:v>
                </c:pt>
                <c:pt idx="2">
                  <c:v>2022</c:v>
                </c:pt>
                <c:pt idx="3">
                  <c:v>2023</c:v>
                </c:pt>
                <c:pt idx="4">
                  <c:v>2024</c:v>
                </c:pt>
                <c:pt idx="5">
                  <c:v>2025</c:v>
                </c:pt>
              </c:numCache>
            </c:numRef>
          </c:xVal>
          <c:yVal>
            <c:numRef>
              <c:f>List1!$K$6:$K$11</c:f>
              <c:numCache>
                <c:formatCode>General</c:formatCode>
                <c:ptCount val="6"/>
                <c:pt idx="0">
                  <c:v>36.5</c:v>
                </c:pt>
                <c:pt idx="1">
                  <c:v>46.5</c:v>
                </c:pt>
                <c:pt idx="2">
                  <c:v>54</c:v>
                </c:pt>
                <c:pt idx="3">
                  <c:v>64</c:v>
                </c:pt>
                <c:pt idx="4">
                  <c:v>64</c:v>
                </c:pt>
                <c:pt idx="5">
                  <c:v>64</c:v>
                </c:pt>
              </c:numCache>
            </c:numRef>
          </c:yVal>
          <c:smooth val="0"/>
          <c:extLst>
            <c:ext xmlns:c16="http://schemas.microsoft.com/office/drawing/2014/chart" uri="{C3380CC4-5D6E-409C-BE32-E72D297353CC}">
              <c16:uniqueId val="{00000001-6DCC-6C4D-9F26-0CC858BCE1BD}"/>
            </c:ext>
          </c:extLst>
        </c:ser>
        <c:dLbls>
          <c:showLegendKey val="0"/>
          <c:showVal val="0"/>
          <c:showCatName val="0"/>
          <c:showSerName val="0"/>
          <c:showPercent val="0"/>
          <c:showBubbleSize val="0"/>
        </c:dLbls>
        <c:axId val="621982416"/>
        <c:axId val="559647112"/>
      </c:scatterChart>
      <c:valAx>
        <c:axId val="621982416"/>
        <c:scaling>
          <c:orientation val="minMax"/>
          <c:max val="2025"/>
          <c:min val="2020"/>
        </c:scaling>
        <c:delete val="0"/>
        <c:axPos val="b"/>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9647112"/>
        <c:crosses val="autoZero"/>
        <c:crossBetween val="midCat"/>
      </c:valAx>
      <c:valAx>
        <c:axId val="559647112"/>
        <c:scaling>
          <c:orientation val="minMax"/>
          <c:max val="70"/>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USD</a:t>
                </a:r>
                <a:r>
                  <a:rPr lang="cs-CZ" baseline="0"/>
                  <a:t> za barel</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21982416"/>
        <c:crosses val="autoZero"/>
        <c:crossBetween val="midCat"/>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ورقة1!$A$5</c:f>
              <c:strCache>
                <c:ptCount val="1"/>
                <c:pt idx="0">
                  <c:v>Reálný HDP meziročně (%)</c:v>
                </c:pt>
              </c:strCache>
            </c:strRef>
          </c:tx>
          <c:spPr>
            <a:ln w="28575" cap="rnd">
              <a:solidFill>
                <a:schemeClr val="accent1"/>
              </a:solidFill>
              <a:round/>
            </a:ln>
            <a:effectLst/>
          </c:spPr>
          <c:marker>
            <c:symbol val="none"/>
          </c:marker>
          <c:cat>
            <c:multiLvlStrRef>
              <c:f>ورقة1!$B$3:$L$4</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2018</c:v>
                  </c:pt>
                  <c:pt idx="4">
                    <c:v>2019</c:v>
                  </c:pt>
                  <c:pt idx="8">
                    <c:v>2020</c:v>
                  </c:pt>
                </c:lvl>
              </c:multiLvlStrCache>
            </c:multiLvlStrRef>
          </c:cat>
          <c:val>
            <c:numRef>
              <c:f>ورقة1!$B$5:$L$5</c:f>
              <c:numCache>
                <c:formatCode>0.0</c:formatCode>
                <c:ptCount val="11"/>
                <c:pt idx="0">
                  <c:v>1.3816650923761271</c:v>
                </c:pt>
                <c:pt idx="1">
                  <c:v>1.5756639465706774</c:v>
                </c:pt>
                <c:pt idx="2">
                  <c:v>2.4487770182023083</c:v>
                </c:pt>
                <c:pt idx="3">
                  <c:v>4.2644565302506443</c:v>
                </c:pt>
                <c:pt idx="4">
                  <c:v>1.6622432197999086</c:v>
                </c:pt>
                <c:pt idx="5">
                  <c:v>0.45769184688447478</c:v>
                </c:pt>
                <c:pt idx="6">
                  <c:v>-0.45536459852072037</c:v>
                </c:pt>
                <c:pt idx="7">
                  <c:v>-0.29567705074166062</c:v>
                </c:pt>
                <c:pt idx="8">
                  <c:v>-1.006605887027153</c:v>
                </c:pt>
                <c:pt idx="9">
                  <c:v>-6.9918829173046646</c:v>
                </c:pt>
                <c:pt idx="10">
                  <c:v>-4.18</c:v>
                </c:pt>
              </c:numCache>
            </c:numRef>
          </c:val>
          <c:smooth val="0"/>
          <c:extLst>
            <c:ext xmlns:c16="http://schemas.microsoft.com/office/drawing/2014/chart" uri="{C3380CC4-5D6E-409C-BE32-E72D297353CC}">
              <c16:uniqueId val="{00000000-A17E-D64E-9343-13144AA89B86}"/>
            </c:ext>
          </c:extLst>
        </c:ser>
        <c:ser>
          <c:idx val="1"/>
          <c:order val="1"/>
          <c:tx>
            <c:strRef>
              <c:f>ورقة1!$A$6</c:f>
              <c:strCache>
                <c:ptCount val="1"/>
                <c:pt idx="0">
                  <c:v>Sezónně očištěný HDP mezičtvrtletně (%)</c:v>
                </c:pt>
              </c:strCache>
            </c:strRef>
          </c:tx>
          <c:spPr>
            <a:ln w="28575" cap="rnd">
              <a:solidFill>
                <a:schemeClr val="accent2"/>
              </a:solidFill>
              <a:round/>
            </a:ln>
            <a:effectLst/>
          </c:spPr>
          <c:marker>
            <c:symbol val="none"/>
          </c:marker>
          <c:cat>
            <c:multiLvlStrRef>
              <c:f>ورقة1!$B$3:$L$4</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2018</c:v>
                  </c:pt>
                  <c:pt idx="4">
                    <c:v>2019</c:v>
                  </c:pt>
                  <c:pt idx="8">
                    <c:v>2020</c:v>
                  </c:pt>
                </c:lvl>
              </c:multiLvlStrCache>
            </c:multiLvlStrRef>
          </c:cat>
          <c:val>
            <c:numRef>
              <c:f>ورقة1!$B$6:$L$6</c:f>
              <c:numCache>
                <c:formatCode>0.0</c:formatCode>
                <c:ptCount val="11"/>
                <c:pt idx="0">
                  <c:v>1.4607594330967588</c:v>
                </c:pt>
                <c:pt idx="1">
                  <c:v>1.1647438984704328</c:v>
                </c:pt>
                <c:pt idx="2">
                  <c:v>0.87378012336227773</c:v>
                </c:pt>
                <c:pt idx="3">
                  <c:v>0.61777371623732424</c:v>
                </c:pt>
                <c:pt idx="4">
                  <c:v>-0.76642818775869426</c:v>
                </c:pt>
                <c:pt idx="5">
                  <c:v>0.21618890656132095</c:v>
                </c:pt>
                <c:pt idx="6">
                  <c:v>-0.61868824172617298</c:v>
                </c:pt>
                <c:pt idx="7">
                  <c:v>0.26783148013134195</c:v>
                </c:pt>
                <c:pt idx="8">
                  <c:v>-0.90199213993477079</c:v>
                </c:pt>
                <c:pt idx="9">
                  <c:v>-4.9065233651253148</c:v>
                </c:pt>
                <c:pt idx="10">
                  <c:v>1.1882552827213289</c:v>
                </c:pt>
              </c:numCache>
            </c:numRef>
          </c:val>
          <c:smooth val="0"/>
          <c:extLst>
            <c:ext xmlns:c16="http://schemas.microsoft.com/office/drawing/2014/chart" uri="{C3380CC4-5D6E-409C-BE32-E72D297353CC}">
              <c16:uniqueId val="{00000001-A17E-D64E-9343-13144AA89B86}"/>
            </c:ext>
          </c:extLst>
        </c:ser>
        <c:dLbls>
          <c:showLegendKey val="0"/>
          <c:showVal val="0"/>
          <c:showCatName val="0"/>
          <c:showSerName val="0"/>
          <c:showPercent val="0"/>
          <c:showBubbleSize val="0"/>
        </c:dLbls>
        <c:smooth val="0"/>
        <c:axId val="102427776"/>
        <c:axId val="102415840"/>
      </c:lineChart>
      <c:catAx>
        <c:axId val="10242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2415840"/>
        <c:crosses val="autoZero"/>
        <c:auto val="1"/>
        <c:lblAlgn val="ctr"/>
        <c:lblOffset val="100"/>
        <c:noMultiLvlLbl val="0"/>
      </c:catAx>
      <c:valAx>
        <c:axId val="1024158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2427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1750" cap="rnd">
              <a:solidFill>
                <a:schemeClr val="accent1"/>
              </a:solidFill>
              <a:round/>
            </a:ln>
            <a:effectLst/>
          </c:spPr>
          <c:marker>
            <c:symbol val="none"/>
          </c:marker>
          <c:cat>
            <c:multiLvlStrRef>
              <c:f>Series_City_dA!$A$85:$B$97</c:f>
              <c:multiLvlStrCache>
                <c:ptCount val="13"/>
                <c:lvl>
                  <c:pt idx="0">
                    <c:v>říjen</c:v>
                  </c:pt>
                  <c:pt idx="1">
                    <c:v>listopad</c:v>
                  </c:pt>
                  <c:pt idx="2">
                    <c:v>prosinec</c:v>
                  </c:pt>
                  <c:pt idx="3">
                    <c:v>leden</c:v>
                  </c:pt>
                  <c:pt idx="4">
                    <c:v>únor</c:v>
                  </c:pt>
                  <c:pt idx="5">
                    <c:v>březen</c:v>
                  </c:pt>
                  <c:pt idx="6">
                    <c:v>duben</c:v>
                  </c:pt>
                  <c:pt idx="7">
                    <c:v>květen</c:v>
                  </c:pt>
                  <c:pt idx="8">
                    <c:v>červen</c:v>
                  </c:pt>
                  <c:pt idx="9">
                    <c:v>červenec</c:v>
                  </c:pt>
                  <c:pt idx="10">
                    <c:v>srpen</c:v>
                  </c:pt>
                  <c:pt idx="11">
                    <c:v>září</c:v>
                  </c:pt>
                  <c:pt idx="12">
                    <c:v>říjen</c:v>
                  </c:pt>
                </c:lvl>
                <c:lvl>
                  <c:pt idx="0">
                    <c:v>2019</c:v>
                  </c:pt>
                  <c:pt idx="1">
                    <c:v>2019</c:v>
                  </c:pt>
                  <c:pt idx="2">
                    <c:v>2019</c:v>
                  </c:pt>
                  <c:pt idx="3">
                    <c:v>2020</c:v>
                  </c:pt>
                  <c:pt idx="4">
                    <c:v>2020</c:v>
                  </c:pt>
                  <c:pt idx="5">
                    <c:v>2020</c:v>
                  </c:pt>
                  <c:pt idx="6">
                    <c:v>2020</c:v>
                  </c:pt>
                  <c:pt idx="7">
                    <c:v>2020</c:v>
                  </c:pt>
                  <c:pt idx="8">
                    <c:v>2020</c:v>
                  </c:pt>
                  <c:pt idx="9">
                    <c:v>2020</c:v>
                  </c:pt>
                  <c:pt idx="10">
                    <c:v>2020</c:v>
                  </c:pt>
                  <c:pt idx="11">
                    <c:v>2020</c:v>
                  </c:pt>
                  <c:pt idx="12">
                    <c:v>2020</c:v>
                  </c:pt>
                </c:lvl>
              </c:multiLvlStrCache>
            </c:multiLvlStrRef>
          </c:cat>
          <c:val>
            <c:numRef>
              <c:f>Series_City_dA!$C$85:$C$97</c:f>
              <c:numCache>
                <c:formatCode>0.0</c:formatCode>
                <c:ptCount val="13"/>
                <c:pt idx="0">
                  <c:v>-0.89</c:v>
                </c:pt>
                <c:pt idx="1">
                  <c:v>-0.81</c:v>
                </c:pt>
                <c:pt idx="2">
                  <c:v>-0.18</c:v>
                </c:pt>
                <c:pt idx="3">
                  <c:v>0.73</c:v>
                </c:pt>
                <c:pt idx="4">
                  <c:v>1.23</c:v>
                </c:pt>
                <c:pt idx="5">
                  <c:v>1.48</c:v>
                </c:pt>
                <c:pt idx="6">
                  <c:v>1.3</c:v>
                </c:pt>
                <c:pt idx="7">
                  <c:v>1.06</c:v>
                </c:pt>
                <c:pt idx="8">
                  <c:v>0.52200000000000002</c:v>
                </c:pt>
                <c:pt idx="9">
                  <c:v>6.125</c:v>
                </c:pt>
                <c:pt idx="10">
                  <c:v>6.1639999999999997</c:v>
                </c:pt>
                <c:pt idx="11">
                  <c:v>5.7430000000000003</c:v>
                </c:pt>
                <c:pt idx="12">
                  <c:v>5.7569999999999997</c:v>
                </c:pt>
              </c:numCache>
            </c:numRef>
          </c:val>
          <c:smooth val="0"/>
          <c:extLst>
            <c:ext xmlns:c16="http://schemas.microsoft.com/office/drawing/2014/chart" uri="{C3380CC4-5D6E-409C-BE32-E72D297353CC}">
              <c16:uniqueId val="{00000000-CE81-9748-80C5-4B2BE122AE33}"/>
            </c:ext>
          </c:extLst>
        </c:ser>
        <c:dLbls>
          <c:showLegendKey val="0"/>
          <c:showVal val="0"/>
          <c:showCatName val="0"/>
          <c:showSerName val="0"/>
          <c:showPercent val="0"/>
          <c:showBubbleSize val="0"/>
        </c:dLbls>
        <c:smooth val="0"/>
        <c:axId val="10372640"/>
        <c:axId val="48133840"/>
      </c:lineChart>
      <c:catAx>
        <c:axId val="1037264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cs-CZ"/>
          </a:p>
        </c:txPr>
        <c:crossAx val="48133840"/>
        <c:crosses val="autoZero"/>
        <c:auto val="1"/>
        <c:lblAlgn val="ctr"/>
        <c:lblOffset val="100"/>
        <c:noMultiLvlLbl val="0"/>
      </c:catAx>
      <c:valAx>
        <c:axId val="48133840"/>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cs-CZ"/>
          </a:p>
        </c:txPr>
        <c:crossAx val="10372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Sheet1!$B$4</c:f>
              <c:strCache>
                <c:ptCount val="1"/>
                <c:pt idx="0">
                  <c:v>GDP growth</c:v>
                </c:pt>
              </c:strCache>
            </c:strRef>
          </c:tx>
          <c:spPr>
            <a:ln w="28575" cap="rnd">
              <a:solidFill>
                <a:schemeClr val="accent1"/>
              </a:solidFill>
              <a:round/>
            </a:ln>
            <a:effectLst/>
          </c:spPr>
          <c:marker>
            <c:symbol val="none"/>
          </c:marker>
          <c:cat>
            <c:multiLvlStrRef>
              <c:f>Sheet1!$C$2:$M$3</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2018</c:v>
                  </c:pt>
                  <c:pt idx="4">
                    <c:v>2019</c:v>
                  </c:pt>
                  <c:pt idx="8">
                    <c:v>2020</c:v>
                  </c:pt>
                </c:lvl>
              </c:multiLvlStrCache>
            </c:multiLvlStrRef>
          </c:cat>
          <c:val>
            <c:numRef>
              <c:f>Sheet1!$C$4:$M$4</c:f>
              <c:numCache>
                <c:formatCode>0.0</c:formatCode>
                <c:ptCount val="11"/>
                <c:pt idx="0">
                  <c:v>1.9</c:v>
                </c:pt>
                <c:pt idx="1">
                  <c:v>2.2000000000000002</c:v>
                </c:pt>
                <c:pt idx="2">
                  <c:v>2.2000000000000002</c:v>
                </c:pt>
                <c:pt idx="3">
                  <c:v>2.7</c:v>
                </c:pt>
                <c:pt idx="4">
                  <c:v>0.4</c:v>
                </c:pt>
                <c:pt idx="5">
                  <c:v>1.1000000000000001</c:v>
                </c:pt>
                <c:pt idx="6">
                  <c:v>1.5</c:v>
                </c:pt>
                <c:pt idx="7">
                  <c:v>2.1</c:v>
                </c:pt>
                <c:pt idx="8">
                  <c:v>1.6</c:v>
                </c:pt>
                <c:pt idx="9">
                  <c:v>-8</c:v>
                </c:pt>
                <c:pt idx="10">
                  <c:v>-3.6</c:v>
                </c:pt>
              </c:numCache>
            </c:numRef>
          </c:val>
          <c:smooth val="0"/>
          <c:extLst>
            <c:ext xmlns:c16="http://schemas.microsoft.com/office/drawing/2014/chart" uri="{C3380CC4-5D6E-409C-BE32-E72D297353CC}">
              <c16:uniqueId val="{00000000-BAA3-4C42-8CCA-D2B988DFE356}"/>
            </c:ext>
          </c:extLst>
        </c:ser>
        <c:dLbls>
          <c:showLegendKey val="0"/>
          <c:showVal val="0"/>
          <c:showCatName val="0"/>
          <c:showSerName val="0"/>
          <c:showPercent val="0"/>
          <c:showBubbleSize val="0"/>
        </c:dLbls>
        <c:smooth val="0"/>
        <c:axId val="150166496"/>
        <c:axId val="150705808"/>
      </c:lineChart>
      <c:catAx>
        <c:axId val="15016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705808"/>
        <c:crosses val="autoZero"/>
        <c:auto val="1"/>
        <c:lblAlgn val="ctr"/>
        <c:lblOffset val="100"/>
        <c:noMultiLvlLbl val="0"/>
      </c:catAx>
      <c:valAx>
        <c:axId val="1507058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16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multiLvlStrRef>
              <c:f>'FRED Graph'!$A$12:$B$23</c:f>
              <c:multiLvlStrCache>
                <c:ptCount val="12"/>
                <c:lvl>
                  <c:pt idx="0">
                    <c:v>listopad</c:v>
                  </c:pt>
                  <c:pt idx="1">
                    <c:v>prosinec</c:v>
                  </c:pt>
                  <c:pt idx="2">
                    <c:v>leden</c:v>
                  </c:pt>
                  <c:pt idx="3">
                    <c:v>únor</c:v>
                  </c:pt>
                  <c:pt idx="4">
                    <c:v>březen</c:v>
                  </c:pt>
                  <c:pt idx="5">
                    <c:v>duben</c:v>
                  </c:pt>
                  <c:pt idx="6">
                    <c:v>květen</c:v>
                  </c:pt>
                  <c:pt idx="7">
                    <c:v>červen</c:v>
                  </c:pt>
                  <c:pt idx="8">
                    <c:v>červenec</c:v>
                  </c:pt>
                  <c:pt idx="9">
                    <c:v>srpen</c:v>
                  </c:pt>
                  <c:pt idx="10">
                    <c:v>září</c:v>
                  </c:pt>
                  <c:pt idx="11">
                    <c:v>říjen</c:v>
                  </c:pt>
                </c:lvl>
                <c:lvl>
                  <c:pt idx="0">
                    <c:v>2019</c:v>
                  </c:pt>
                  <c:pt idx="1">
                    <c:v>2019</c:v>
                  </c:pt>
                  <c:pt idx="2">
                    <c:v>2020</c:v>
                  </c:pt>
                  <c:pt idx="3">
                    <c:v>2020</c:v>
                  </c:pt>
                  <c:pt idx="4">
                    <c:v>2020</c:v>
                  </c:pt>
                  <c:pt idx="5">
                    <c:v>2020</c:v>
                  </c:pt>
                  <c:pt idx="6">
                    <c:v>2020</c:v>
                  </c:pt>
                  <c:pt idx="7">
                    <c:v>2020</c:v>
                  </c:pt>
                  <c:pt idx="8">
                    <c:v>2020</c:v>
                  </c:pt>
                  <c:pt idx="9">
                    <c:v>2020</c:v>
                  </c:pt>
                  <c:pt idx="10">
                    <c:v>2020</c:v>
                  </c:pt>
                  <c:pt idx="11">
                    <c:v>2020</c:v>
                  </c:pt>
                </c:lvl>
              </c:multiLvlStrCache>
            </c:multiLvlStrRef>
          </c:cat>
          <c:val>
            <c:numRef>
              <c:f>'FRED Graph'!$C$12:$C$23</c:f>
              <c:numCache>
                <c:formatCode>0.00</c:formatCode>
                <c:ptCount val="12"/>
                <c:pt idx="0">
                  <c:v>3.5</c:v>
                </c:pt>
                <c:pt idx="1">
                  <c:v>3.1</c:v>
                </c:pt>
                <c:pt idx="2">
                  <c:v>2.7</c:v>
                </c:pt>
                <c:pt idx="3">
                  <c:v>2.4</c:v>
                </c:pt>
                <c:pt idx="4">
                  <c:v>2.6</c:v>
                </c:pt>
                <c:pt idx="5">
                  <c:v>2.9</c:v>
                </c:pt>
                <c:pt idx="6">
                  <c:v>2.9</c:v>
                </c:pt>
                <c:pt idx="7">
                  <c:v>2.9</c:v>
                </c:pt>
                <c:pt idx="8">
                  <c:v>3</c:v>
                </c:pt>
                <c:pt idx="9">
                  <c:v>3.1</c:v>
                </c:pt>
                <c:pt idx="10" formatCode="General">
                  <c:v>3.27</c:v>
                </c:pt>
                <c:pt idx="11">
                  <c:v>3.58</c:v>
                </c:pt>
              </c:numCache>
            </c:numRef>
          </c:val>
          <c:smooth val="0"/>
          <c:extLst>
            <c:ext xmlns:c16="http://schemas.microsoft.com/office/drawing/2014/chart" uri="{C3380CC4-5D6E-409C-BE32-E72D297353CC}">
              <c16:uniqueId val="{00000000-33C4-6F4B-A5A8-05184042FDD4}"/>
            </c:ext>
          </c:extLst>
        </c:ser>
        <c:dLbls>
          <c:showLegendKey val="0"/>
          <c:showVal val="0"/>
          <c:showCatName val="0"/>
          <c:showSerName val="0"/>
          <c:showPercent val="0"/>
          <c:showBubbleSize val="0"/>
        </c:dLbls>
        <c:smooth val="0"/>
        <c:axId val="150103680"/>
        <c:axId val="102536432"/>
      </c:lineChart>
      <c:catAx>
        <c:axId val="15010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2536432"/>
        <c:crosses val="autoZero"/>
        <c:auto val="1"/>
        <c:lblAlgn val="ctr"/>
        <c:lblOffset val="100"/>
        <c:noMultiLvlLbl val="0"/>
      </c:catAx>
      <c:valAx>
        <c:axId val="102536432"/>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103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2"/>
              </a:solidFill>
              <a:round/>
            </a:ln>
            <a:effectLst/>
          </c:spPr>
          <c:marker>
            <c:symbol val="none"/>
          </c:marker>
          <c:cat>
            <c:strRef>
              <c:f>'FRED Graph'!$B$12:$B$19</c:f>
              <c:strCache>
                <c:ptCount val="8"/>
                <c:pt idx="0">
                  <c:v>leden</c:v>
                </c:pt>
                <c:pt idx="1">
                  <c:v>únor</c:v>
                </c:pt>
                <c:pt idx="2">
                  <c:v>březen</c:v>
                </c:pt>
                <c:pt idx="3">
                  <c:v>duben</c:v>
                </c:pt>
                <c:pt idx="4">
                  <c:v>květen</c:v>
                </c:pt>
                <c:pt idx="5">
                  <c:v>červen</c:v>
                </c:pt>
                <c:pt idx="6">
                  <c:v>červenec</c:v>
                </c:pt>
                <c:pt idx="7">
                  <c:v>srpen</c:v>
                </c:pt>
              </c:strCache>
            </c:strRef>
          </c:cat>
          <c:val>
            <c:numRef>
              <c:f>'FRED Graph'!$C$12:$C$19</c:f>
              <c:numCache>
                <c:formatCode>0.00</c:formatCode>
                <c:ptCount val="8"/>
                <c:pt idx="0" formatCode="0">
                  <c:v>61.780799999999999</c:v>
                </c:pt>
                <c:pt idx="1">
                  <c:v>63.877600000000001</c:v>
                </c:pt>
                <c:pt idx="2">
                  <c:v>73.147999999999996</c:v>
                </c:pt>
                <c:pt idx="3">
                  <c:v>75.216899999999995</c:v>
                </c:pt>
                <c:pt idx="4">
                  <c:v>72.611000000000004</c:v>
                </c:pt>
                <c:pt idx="5">
                  <c:v>69.221699999999998</c:v>
                </c:pt>
                <c:pt idx="6">
                  <c:v>71.282499999999999</c:v>
                </c:pt>
                <c:pt idx="7">
                  <c:v>73.796999999999997</c:v>
                </c:pt>
              </c:numCache>
            </c:numRef>
          </c:val>
          <c:smooth val="0"/>
          <c:extLst>
            <c:ext xmlns:c16="http://schemas.microsoft.com/office/drawing/2014/chart" uri="{C3380CC4-5D6E-409C-BE32-E72D297353CC}">
              <c16:uniqueId val="{00000000-2CF5-3F48-AA9F-925A12C39643}"/>
            </c:ext>
          </c:extLst>
        </c:ser>
        <c:dLbls>
          <c:showLegendKey val="0"/>
          <c:showVal val="0"/>
          <c:showCatName val="0"/>
          <c:showSerName val="0"/>
          <c:showPercent val="0"/>
          <c:showBubbleSize val="0"/>
        </c:dLbls>
        <c:smooth val="0"/>
        <c:axId val="1035158192"/>
        <c:axId val="1030073792"/>
      </c:lineChart>
      <c:catAx>
        <c:axId val="10351581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0073792"/>
        <c:crosses val="autoZero"/>
        <c:auto val="1"/>
        <c:lblAlgn val="ctr"/>
        <c:lblOffset val="100"/>
        <c:noMultiLvlLbl val="1"/>
      </c:catAx>
      <c:valAx>
        <c:axId val="1030073792"/>
        <c:scaling>
          <c:orientation val="minMax"/>
          <c:max val="80"/>
          <c:min val="5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5158192"/>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Sheet1!$B$4</c:f>
              <c:strCache>
                <c:ptCount val="1"/>
                <c:pt idx="0">
                  <c:v>GDP growth</c:v>
                </c:pt>
              </c:strCache>
            </c:strRef>
          </c:tx>
          <c:spPr>
            <a:ln w="28575" cap="rnd">
              <a:solidFill>
                <a:schemeClr val="accent1"/>
              </a:solidFill>
              <a:round/>
            </a:ln>
            <a:effectLst/>
          </c:spPr>
          <c:marker>
            <c:symbol val="none"/>
          </c:marker>
          <c:cat>
            <c:multiLvlStrRef>
              <c:f>Sheet1!$C$2:$M$3</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2018</c:v>
                  </c:pt>
                  <c:pt idx="4">
                    <c:v>2019</c:v>
                  </c:pt>
                  <c:pt idx="8">
                    <c:v>2020</c:v>
                  </c:pt>
                </c:lvl>
              </c:multiLvlStrCache>
            </c:multiLvlStrRef>
          </c:cat>
          <c:val>
            <c:numRef>
              <c:f>Sheet1!$C$4:$M$4</c:f>
              <c:numCache>
                <c:formatCode>0.0</c:formatCode>
                <c:ptCount val="11"/>
                <c:pt idx="0">
                  <c:v>2.2999999999999998</c:v>
                </c:pt>
                <c:pt idx="1">
                  <c:v>1.3</c:v>
                </c:pt>
                <c:pt idx="2">
                  <c:v>0.8</c:v>
                </c:pt>
                <c:pt idx="3">
                  <c:v>1.4</c:v>
                </c:pt>
                <c:pt idx="4">
                  <c:v>3</c:v>
                </c:pt>
                <c:pt idx="5">
                  <c:v>2.4</c:v>
                </c:pt>
                <c:pt idx="6">
                  <c:v>2.5</c:v>
                </c:pt>
                <c:pt idx="7">
                  <c:v>2.2000000000000002</c:v>
                </c:pt>
                <c:pt idx="8">
                  <c:v>1.1000000000000001</c:v>
                </c:pt>
                <c:pt idx="9">
                  <c:v>-2.7</c:v>
                </c:pt>
                <c:pt idx="10">
                  <c:v>-3.5</c:v>
                </c:pt>
              </c:numCache>
            </c:numRef>
          </c:val>
          <c:smooth val="0"/>
          <c:extLst>
            <c:ext xmlns:c16="http://schemas.microsoft.com/office/drawing/2014/chart" uri="{C3380CC4-5D6E-409C-BE32-E72D297353CC}">
              <c16:uniqueId val="{00000000-18A7-404B-B274-6F7C2081BD96}"/>
            </c:ext>
          </c:extLst>
        </c:ser>
        <c:dLbls>
          <c:showLegendKey val="0"/>
          <c:showVal val="0"/>
          <c:showCatName val="0"/>
          <c:showSerName val="0"/>
          <c:showPercent val="0"/>
          <c:showBubbleSize val="0"/>
        </c:dLbls>
        <c:smooth val="0"/>
        <c:axId val="150166496"/>
        <c:axId val="150705808"/>
      </c:lineChart>
      <c:catAx>
        <c:axId val="15016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705808"/>
        <c:crosses val="autoZero"/>
        <c:auto val="1"/>
        <c:lblAlgn val="ctr"/>
        <c:lblOffset val="100"/>
        <c:noMultiLvlLbl val="0"/>
      </c:catAx>
      <c:valAx>
        <c:axId val="1507058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16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998C-6246-41BC-8057-B7644C5A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21647</Words>
  <Characters>124906</Characters>
  <Application>Microsoft Office Word</Application>
  <DocSecurity>0</DocSecurity>
  <Lines>2498</Lines>
  <Paragraphs>666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TA ČR</Company>
  <LinksUpToDate>false</LinksUpToDate>
  <CharactersWithSpaces>145887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Miluše Rollerová</dc:creator>
  <cp:keywords/>
  <dc:description/>
  <cp:lastModifiedBy>Štěpánka Zemanová</cp:lastModifiedBy>
  <cp:revision>2</cp:revision>
  <cp:lastPrinted>2021-01-12T08:00:00Z</cp:lastPrinted>
  <dcterms:created xsi:type="dcterms:W3CDTF">2021-01-21T13:04:00Z</dcterms:created>
  <dcterms:modified xsi:type="dcterms:W3CDTF">2021-01-21T13:04:00Z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955890968</vt:i4>
  </property>
</Properties>
</file>