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E626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7BFE6C5" w:rsidR="00B65513" w:rsidRPr="0007110E" w:rsidRDefault="001F252F" w:rsidP="00E82667">
                <w:pPr>
                  <w:tabs>
                    <w:tab w:val="left" w:pos="426"/>
                  </w:tabs>
                  <w:spacing w:before="120"/>
                  <w:rPr>
                    <w:bCs/>
                    <w:lang w:val="en-IE" w:eastAsia="en-GB"/>
                  </w:rPr>
                </w:pPr>
                <w:r>
                  <w:rPr>
                    <w:bCs/>
                    <w:lang w:val="en-IE" w:eastAsia="en-GB"/>
                  </w:rPr>
                  <w:t xml:space="preserve">DG GROW – </w:t>
                </w:r>
                <w:r w:rsidR="007523CA">
                  <w:rPr>
                    <w:bCs/>
                    <w:lang w:val="en-IE" w:eastAsia="en-GB"/>
                  </w:rPr>
                  <w:t xml:space="preserve">Dir I- </w:t>
                </w:r>
                <w:r>
                  <w:rPr>
                    <w:bCs/>
                    <w:lang w:val="en-IE" w:eastAsia="en-GB"/>
                  </w:rPr>
                  <w:t>Unit I1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269A240" w:rsidR="00E21DBD" w:rsidRPr="00780CD3" w:rsidRDefault="00915937" w:rsidP="00E82667">
                <w:pPr>
                  <w:tabs>
                    <w:tab w:val="left" w:pos="426"/>
                  </w:tabs>
                  <w:spacing w:before="120"/>
                  <w:rPr>
                    <w:bCs/>
                    <w:lang w:val="de-DE" w:eastAsia="en-GB"/>
                  </w:rPr>
                </w:pPr>
                <w:r w:rsidRPr="00780CD3">
                  <w:rPr>
                    <w:bCs/>
                    <w:lang w:val="de-DE" w:eastAsia="en-GB"/>
                  </w:rPr>
                  <w:t>Peter Handley</w:t>
                </w:r>
                <w:r w:rsidR="00A557C9" w:rsidRPr="00780CD3">
                  <w:rPr>
                    <w:bCs/>
                    <w:lang w:val="de-DE" w:eastAsia="en-GB"/>
                  </w:rPr>
                  <w:t xml:space="preserve"> </w:t>
                </w:r>
                <w:hyperlink r:id="rId15" w:history="1">
                  <w:r w:rsidR="00A557C9" w:rsidRPr="00780CD3">
                    <w:rPr>
                      <w:rStyle w:val="Hyperlink"/>
                      <w:bCs/>
                      <w:lang w:val="de-DE" w:eastAsia="en-GB"/>
                    </w:rPr>
                    <w:t>peter.handley@ec.europa.eu</w:t>
                  </w:r>
                </w:hyperlink>
              </w:p>
              <w:p w14:paraId="27DDA360" w14:textId="4E3250B6" w:rsidR="00A557C9" w:rsidRPr="0007110E" w:rsidRDefault="00A557C9" w:rsidP="00E82667">
                <w:pPr>
                  <w:tabs>
                    <w:tab w:val="left" w:pos="426"/>
                  </w:tabs>
                  <w:spacing w:before="120"/>
                  <w:rPr>
                    <w:bCs/>
                    <w:lang w:val="en-IE" w:eastAsia="en-GB"/>
                  </w:rPr>
                </w:pPr>
                <w:r>
                  <w:rPr>
                    <w:bCs/>
                    <w:lang w:val="en-IE" w:eastAsia="en-GB"/>
                  </w:rPr>
                  <w:t xml:space="preserve">Madalina Ivanica </w:t>
                </w:r>
                <w:hyperlink r:id="rId16" w:history="1">
                  <w:r w:rsidRPr="00D23A49">
                    <w:rPr>
                      <w:rStyle w:val="Hyperlink"/>
                      <w:bCs/>
                      <w:lang w:val="en-IE" w:eastAsia="en-GB"/>
                    </w:rPr>
                    <w:t>madalina.ivanica@ec.europa.eu</w:t>
                  </w:r>
                </w:hyperlink>
                <w:r>
                  <w:rPr>
                    <w:bCs/>
                    <w:lang w:val="en-IE" w:eastAsia="en-GB"/>
                  </w:rPr>
                  <w:t xml:space="preserve"> </w:t>
                </w:r>
              </w:p>
            </w:sdtContent>
          </w:sdt>
          <w:p w14:paraId="34CF737A" w14:textId="53527F6D" w:rsidR="00E21DBD" w:rsidRPr="0007110E" w:rsidRDefault="006E626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sidR="00915937">
                  <w:rPr>
                    <w:bCs/>
                    <w:lang w:val="en-IE" w:eastAsia="en-GB"/>
                  </w:rPr>
                  <w:t>Q2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915937">
                  <w:rPr>
                    <w:bCs/>
                    <w:lang w:val="en-IE" w:eastAsia="en-GB"/>
                  </w:rPr>
                  <w:t>2024</w:t>
                </w:r>
              </w:sdtContent>
            </w:sdt>
          </w:p>
          <w:p w14:paraId="158DD156" w14:textId="2AA065D4" w:rsidR="00E21DBD" w:rsidRPr="0007110E" w:rsidRDefault="006E626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15937">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F252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A71802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7" o:title=""/>
                </v:shape>
                <w:control r:id="rId18" w:name="OptionButton6" w:shapeid="_x0000_i1037"/>
              </w:object>
            </w:r>
            <w:r>
              <w:rPr>
                <w:bCs/>
                <w:szCs w:val="24"/>
                <w:lang w:eastAsia="en-GB"/>
              </w:rPr>
              <w:object w:dxaOrig="225" w:dyaOrig="225" w14:anchorId="1B1CECAE">
                <v:shape id="_x0000_i1039" type="#_x0000_t75" style="width:108pt;height:21.75pt" o:ole="">
                  <v:imagedata r:id="rId19" o:title=""/>
                </v:shape>
                <w:control r:id="rId20"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733218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21" o:title=""/>
                </v:shape>
                <w:control r:id="rId22"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E626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E626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E626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D4D874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3" o:title=""/>
                </v:shape>
                <w:control r:id="rId24"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6889BEA"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5" o:title=""/>
                </v:shape>
                <w:control r:id="rId26" w:name="OptionButton2" w:shapeid="_x0000_i1045"/>
              </w:object>
            </w:r>
            <w:r>
              <w:rPr>
                <w:bCs/>
                <w:szCs w:val="24"/>
                <w:lang w:eastAsia="en-GB"/>
              </w:rPr>
              <w:object w:dxaOrig="225" w:dyaOrig="225" w14:anchorId="0992615F">
                <v:shape id="_x0000_i1047" type="#_x0000_t75" style="width:108pt;height:21.75pt" o:ole="">
                  <v:imagedata r:id="rId27" o:title=""/>
                </v:shape>
                <w:control r:id="rId28" w:name="OptionButton3" w:shapeid="_x0000_i1047"/>
              </w:object>
            </w:r>
          </w:p>
          <w:p w14:paraId="42C9AD79" w14:textId="3882F05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4-25T00:00:00Z">
                  <w:dateFormat w:val="dd-MM-yyyy"/>
                  <w:lid w:val="fr-BE"/>
                  <w:storeMappedDataAs w:val="dateTime"/>
                  <w:calendar w:val="gregorian"/>
                </w:date>
              </w:sdtPr>
              <w:sdtEndPr/>
              <w:sdtContent>
                <w:r w:rsidR="006E6262">
                  <w:rPr>
                    <w:bCs/>
                    <w:lang w:val="en-IE" w:eastAsia="en-GB"/>
                  </w:rPr>
                  <w:t>2</w:t>
                </w:r>
                <w:r w:rsidR="00915937">
                  <w:rPr>
                    <w:bCs/>
                    <w:lang w:val="fr-BE" w:eastAsia="en-GB"/>
                  </w:rPr>
                  <w:t>5-04-2024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GB" w:eastAsia="en-GB"/>
        </w:rPr>
        <w:id w:val="1822233941"/>
        <w:placeholder>
          <w:docPart w:val="A1D7C4E93E5D41968C9784C962AACA55"/>
        </w:placeholder>
      </w:sdtPr>
      <w:sdtEndPr/>
      <w:sdtContent>
        <w:p w14:paraId="643348BD" w14:textId="77777777" w:rsidR="001F252F" w:rsidRPr="00940156" w:rsidRDefault="001F252F" w:rsidP="001F252F">
          <w:pPr>
            <w:pStyle w:val="BodyText"/>
            <w:spacing w:before="62"/>
            <w:ind w:right="292"/>
            <w:jc w:val="both"/>
            <w:rPr>
              <w:sz w:val="22"/>
              <w:szCs w:val="22"/>
            </w:rPr>
          </w:pPr>
          <w:r w:rsidRPr="00940156">
            <w:rPr>
              <w:sz w:val="22"/>
              <w:szCs w:val="22"/>
            </w:rPr>
            <w:t>The</w:t>
          </w:r>
          <w:r w:rsidRPr="00940156">
            <w:rPr>
              <w:spacing w:val="-3"/>
              <w:sz w:val="22"/>
              <w:szCs w:val="22"/>
            </w:rPr>
            <w:t xml:space="preserve"> </w:t>
          </w:r>
          <w:r w:rsidRPr="00940156">
            <w:rPr>
              <w:sz w:val="22"/>
              <w:szCs w:val="22"/>
            </w:rPr>
            <w:t>mission</w:t>
          </w:r>
          <w:r w:rsidRPr="00940156">
            <w:rPr>
              <w:spacing w:val="-3"/>
              <w:sz w:val="22"/>
              <w:szCs w:val="22"/>
            </w:rPr>
            <w:t xml:space="preserve"> </w:t>
          </w:r>
          <w:r w:rsidRPr="00940156">
            <w:rPr>
              <w:sz w:val="22"/>
              <w:szCs w:val="22"/>
            </w:rPr>
            <w:t>of</w:t>
          </w:r>
          <w:r w:rsidRPr="00940156">
            <w:rPr>
              <w:spacing w:val="-3"/>
              <w:sz w:val="22"/>
              <w:szCs w:val="22"/>
            </w:rPr>
            <w:t xml:space="preserve"> </w:t>
          </w:r>
          <w:r w:rsidRPr="00940156">
            <w:rPr>
              <w:sz w:val="22"/>
              <w:szCs w:val="22"/>
            </w:rPr>
            <w:t>unit</w:t>
          </w:r>
          <w:r w:rsidRPr="00940156">
            <w:rPr>
              <w:spacing w:val="-3"/>
              <w:sz w:val="22"/>
              <w:szCs w:val="22"/>
            </w:rPr>
            <w:t xml:space="preserve"> </w:t>
          </w:r>
          <w:r w:rsidRPr="00940156">
            <w:rPr>
              <w:sz w:val="22"/>
              <w:szCs w:val="22"/>
            </w:rPr>
            <w:t>I.1</w:t>
          </w:r>
          <w:r w:rsidRPr="00940156">
            <w:rPr>
              <w:spacing w:val="-3"/>
              <w:sz w:val="22"/>
              <w:szCs w:val="22"/>
            </w:rPr>
            <w:t xml:space="preserve"> </w:t>
          </w:r>
          <w:r w:rsidRPr="00940156">
            <w:rPr>
              <w:sz w:val="22"/>
              <w:szCs w:val="22"/>
            </w:rPr>
            <w:t>(Energy</w:t>
          </w:r>
          <w:r w:rsidRPr="00940156">
            <w:rPr>
              <w:spacing w:val="-3"/>
              <w:sz w:val="22"/>
              <w:szCs w:val="22"/>
            </w:rPr>
            <w:t xml:space="preserve"> </w:t>
          </w:r>
          <w:r w:rsidRPr="00940156">
            <w:rPr>
              <w:sz w:val="22"/>
              <w:szCs w:val="22"/>
            </w:rPr>
            <w:t>Intensive</w:t>
          </w:r>
          <w:r w:rsidRPr="00940156">
            <w:rPr>
              <w:spacing w:val="-3"/>
              <w:sz w:val="22"/>
              <w:szCs w:val="22"/>
            </w:rPr>
            <w:t xml:space="preserve"> </w:t>
          </w:r>
          <w:r w:rsidRPr="00940156">
            <w:rPr>
              <w:sz w:val="22"/>
              <w:szCs w:val="22"/>
            </w:rPr>
            <w:t>Industries</w:t>
          </w:r>
          <w:r w:rsidRPr="00940156">
            <w:rPr>
              <w:spacing w:val="-3"/>
              <w:sz w:val="22"/>
              <w:szCs w:val="22"/>
            </w:rPr>
            <w:t xml:space="preserve"> and </w:t>
          </w:r>
          <w:r w:rsidRPr="00940156">
            <w:rPr>
              <w:sz w:val="22"/>
              <w:szCs w:val="22"/>
            </w:rPr>
            <w:t>Raw</w:t>
          </w:r>
          <w:r w:rsidRPr="00940156">
            <w:rPr>
              <w:spacing w:val="-3"/>
              <w:sz w:val="22"/>
              <w:szCs w:val="22"/>
            </w:rPr>
            <w:t xml:space="preserve"> </w:t>
          </w:r>
          <w:r w:rsidRPr="00940156">
            <w:rPr>
              <w:sz w:val="22"/>
              <w:szCs w:val="22"/>
            </w:rPr>
            <w:t>Materials)</w:t>
          </w:r>
          <w:r w:rsidRPr="00940156">
            <w:rPr>
              <w:spacing w:val="-3"/>
              <w:sz w:val="22"/>
              <w:szCs w:val="22"/>
            </w:rPr>
            <w:t xml:space="preserve"> </w:t>
          </w:r>
          <w:r w:rsidRPr="00940156">
            <w:rPr>
              <w:sz w:val="22"/>
              <w:szCs w:val="22"/>
            </w:rPr>
            <w:t>is</w:t>
          </w:r>
          <w:r w:rsidRPr="00940156">
            <w:rPr>
              <w:spacing w:val="-3"/>
              <w:sz w:val="22"/>
              <w:szCs w:val="22"/>
            </w:rPr>
            <w:t xml:space="preserve"> </w:t>
          </w:r>
          <w:r w:rsidRPr="00940156">
            <w:rPr>
              <w:sz w:val="22"/>
              <w:szCs w:val="22"/>
            </w:rPr>
            <w:t>to</w:t>
          </w:r>
          <w:r w:rsidRPr="00940156">
            <w:rPr>
              <w:spacing w:val="-3"/>
              <w:sz w:val="22"/>
              <w:szCs w:val="22"/>
            </w:rPr>
            <w:t xml:space="preserve"> </w:t>
          </w:r>
          <w:r w:rsidRPr="00940156">
            <w:rPr>
              <w:sz w:val="22"/>
              <w:szCs w:val="22"/>
            </w:rPr>
            <w:t>support</w:t>
          </w:r>
          <w:r w:rsidRPr="00940156">
            <w:rPr>
              <w:spacing w:val="-3"/>
              <w:sz w:val="22"/>
              <w:szCs w:val="22"/>
            </w:rPr>
            <w:t xml:space="preserve"> </w:t>
          </w:r>
          <w:r w:rsidRPr="00940156">
            <w:rPr>
              <w:sz w:val="22"/>
              <w:szCs w:val="22"/>
            </w:rPr>
            <w:t>EU</w:t>
          </w:r>
          <w:r w:rsidRPr="00940156">
            <w:rPr>
              <w:spacing w:val="-3"/>
              <w:sz w:val="22"/>
              <w:szCs w:val="22"/>
            </w:rPr>
            <w:t xml:space="preserve"> </w:t>
          </w:r>
          <w:r w:rsidRPr="00940156">
            <w:rPr>
              <w:sz w:val="22"/>
              <w:szCs w:val="22"/>
            </w:rPr>
            <w:t>sustainable</w:t>
          </w:r>
          <w:r w:rsidRPr="00940156">
            <w:rPr>
              <w:spacing w:val="-3"/>
              <w:sz w:val="22"/>
              <w:szCs w:val="22"/>
            </w:rPr>
            <w:t xml:space="preserve"> </w:t>
          </w:r>
          <w:r w:rsidRPr="00940156">
            <w:rPr>
              <w:sz w:val="22"/>
              <w:szCs w:val="22"/>
            </w:rPr>
            <w:t>industrial</w:t>
          </w:r>
          <w:r w:rsidRPr="00940156">
            <w:rPr>
              <w:spacing w:val="-3"/>
              <w:sz w:val="22"/>
              <w:szCs w:val="22"/>
            </w:rPr>
            <w:t xml:space="preserve"> </w:t>
          </w:r>
          <w:r w:rsidRPr="00940156">
            <w:rPr>
              <w:sz w:val="22"/>
              <w:szCs w:val="22"/>
            </w:rPr>
            <w:t xml:space="preserve">competitiveness in line with the European Green Deal and EU industrial policy strategy. The unit is in charge of the energy-intensive industries ecosystems and the raw materials value chain, which are all key to master the green transition and maintain industrial </w:t>
          </w:r>
          <w:r w:rsidRPr="00940156">
            <w:rPr>
              <w:sz w:val="22"/>
              <w:szCs w:val="22"/>
            </w:rPr>
            <w:lastRenderedPageBreak/>
            <w:t>resilience.</w:t>
          </w:r>
        </w:p>
        <w:p w14:paraId="1E7A6D27" w14:textId="77777777" w:rsidR="001F252F" w:rsidRPr="00940156" w:rsidRDefault="001F252F" w:rsidP="001F252F">
          <w:pPr>
            <w:pStyle w:val="BodyText"/>
            <w:spacing w:before="62"/>
            <w:ind w:left="166" w:right="292"/>
            <w:rPr>
              <w:sz w:val="22"/>
              <w:szCs w:val="22"/>
            </w:rPr>
          </w:pPr>
        </w:p>
        <w:p w14:paraId="59BA399F" w14:textId="77777777" w:rsidR="001F252F" w:rsidRPr="00940156" w:rsidRDefault="001F252F" w:rsidP="001F252F">
          <w:pPr>
            <w:pStyle w:val="BodyText"/>
            <w:spacing w:before="3"/>
            <w:jc w:val="both"/>
            <w:rPr>
              <w:sz w:val="22"/>
              <w:szCs w:val="22"/>
            </w:rPr>
          </w:pPr>
          <w:r w:rsidRPr="00940156">
            <w:rPr>
              <w:sz w:val="22"/>
              <w:szCs w:val="22"/>
            </w:rPr>
            <w:t>We lead raw materials policy in the Commission. Raw materials are essential for the EU’s green and digital transition. As a result of growing supply chain disruption and geopolitical changes, the European Council has mandated the Commission to take more ambitious action to reduce the EU’s strategic dependencies for critical raw materials. The Critical Raw Materials Act was adopted by the Commission on March 16</w:t>
          </w:r>
          <w:r w:rsidRPr="00940156">
            <w:rPr>
              <w:sz w:val="22"/>
              <w:szCs w:val="22"/>
              <w:vertAlign w:val="superscript"/>
            </w:rPr>
            <w:t>th</w:t>
          </w:r>
          <w:r w:rsidRPr="00940156">
            <w:rPr>
              <w:sz w:val="22"/>
              <w:szCs w:val="22"/>
            </w:rPr>
            <w:t xml:space="preserve"> with co-legislators reaching political agreement in November 20</w:t>
          </w:r>
          <w:r>
            <w:rPr>
              <w:sz w:val="22"/>
              <w:szCs w:val="22"/>
            </w:rPr>
            <w:t>2</w:t>
          </w:r>
          <w:r w:rsidRPr="00940156">
            <w:rPr>
              <w:sz w:val="22"/>
              <w:szCs w:val="22"/>
            </w:rPr>
            <w:t xml:space="preserve">3. The Act will enter into force in Q2 2024. </w:t>
          </w:r>
        </w:p>
        <w:p w14:paraId="59DD0438" w14:textId="58417B67" w:rsidR="00E21DBD" w:rsidRDefault="006E6262"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5973997" w14:textId="77777777" w:rsidR="001F252F" w:rsidRPr="00940156" w:rsidRDefault="001F252F" w:rsidP="001F252F">
          <w:pPr>
            <w:widowControl w:val="0"/>
            <w:autoSpaceDE w:val="0"/>
            <w:autoSpaceDN w:val="0"/>
            <w:spacing w:before="62" w:after="0"/>
            <w:rPr>
              <w:rFonts w:eastAsia="Arial"/>
              <w:lang w:val="en-US"/>
            </w:rPr>
          </w:pPr>
          <w:r w:rsidRPr="00940156">
            <w:rPr>
              <w:rFonts w:eastAsia="Arial"/>
              <w:lang w:val="en-US"/>
            </w:rPr>
            <w:t xml:space="preserve">We are proposing a position of a Policy Officer who will be part of our </w:t>
          </w:r>
          <w:r w:rsidRPr="00940156">
            <w:rPr>
              <w:rFonts w:eastAsia="Arial"/>
              <w:b/>
              <w:bCs/>
              <w:lang w:val="en-US"/>
            </w:rPr>
            <w:t xml:space="preserve">raw materials </w:t>
          </w:r>
          <w:r w:rsidRPr="00940156">
            <w:rPr>
              <w:rFonts w:eastAsia="Arial"/>
              <w:b/>
              <w:bCs/>
              <w:spacing w:val="-2"/>
              <w:lang w:val="en-US"/>
            </w:rPr>
            <w:t>team</w:t>
          </w:r>
          <w:r w:rsidRPr="00940156">
            <w:rPr>
              <w:rFonts w:eastAsia="Arial"/>
              <w:spacing w:val="-2"/>
              <w:lang w:val="en-US"/>
            </w:rPr>
            <w:t>:</w:t>
          </w:r>
        </w:p>
        <w:p w14:paraId="358910FA" w14:textId="77777777" w:rsidR="001F252F" w:rsidRPr="00940156" w:rsidRDefault="001F252F" w:rsidP="001F252F">
          <w:pPr>
            <w:widowControl w:val="0"/>
            <w:numPr>
              <w:ilvl w:val="0"/>
              <w:numId w:val="34"/>
            </w:numPr>
            <w:tabs>
              <w:tab w:val="left" w:pos="292"/>
            </w:tabs>
            <w:autoSpaceDE w:val="0"/>
            <w:autoSpaceDN w:val="0"/>
            <w:spacing w:before="1" w:after="0"/>
            <w:jc w:val="left"/>
            <w:rPr>
              <w:rFonts w:eastAsia="Arial"/>
              <w:lang w:val="en-US"/>
            </w:rPr>
          </w:pPr>
          <w:r w:rsidRPr="00940156">
            <w:rPr>
              <w:rFonts w:eastAsia="Arial"/>
              <w:lang w:val="en-US"/>
            </w:rPr>
            <w:t>contributing to the preparatory work and the future implementation of the European Critical Raw Materials Act for the provisions related to strategic projects, strategic partnerships, monitoring and risk assessment, circularity;</w:t>
          </w:r>
        </w:p>
        <w:p w14:paraId="665D065C" w14:textId="77777777" w:rsidR="001F252F" w:rsidRPr="00940156" w:rsidRDefault="001F252F" w:rsidP="001F252F">
          <w:pPr>
            <w:widowControl w:val="0"/>
            <w:numPr>
              <w:ilvl w:val="0"/>
              <w:numId w:val="34"/>
            </w:numPr>
            <w:tabs>
              <w:tab w:val="left" w:pos="292"/>
            </w:tabs>
            <w:autoSpaceDE w:val="0"/>
            <w:autoSpaceDN w:val="0"/>
            <w:spacing w:before="1" w:after="0"/>
            <w:jc w:val="left"/>
            <w:rPr>
              <w:rFonts w:eastAsia="Arial"/>
              <w:lang w:val="en-US"/>
            </w:rPr>
          </w:pPr>
          <w:r w:rsidRPr="00940156">
            <w:rPr>
              <w:rFonts w:eastAsia="Arial"/>
              <w:lang w:val="en-US"/>
            </w:rPr>
            <w:t>working on the raw materials international diplomacy including on the development and implementation of international strategic partnerships;</w:t>
          </w:r>
        </w:p>
        <w:p w14:paraId="19C9D276" w14:textId="77777777" w:rsidR="001F252F" w:rsidRPr="00940156" w:rsidRDefault="001F252F" w:rsidP="001F252F">
          <w:pPr>
            <w:widowControl w:val="0"/>
            <w:numPr>
              <w:ilvl w:val="0"/>
              <w:numId w:val="34"/>
            </w:numPr>
            <w:tabs>
              <w:tab w:val="left" w:pos="292"/>
            </w:tabs>
            <w:autoSpaceDE w:val="0"/>
            <w:autoSpaceDN w:val="0"/>
            <w:spacing w:before="1" w:after="0"/>
            <w:jc w:val="left"/>
            <w:rPr>
              <w:rFonts w:eastAsia="Arial"/>
              <w:lang w:val="en-US"/>
            </w:rPr>
          </w:pPr>
          <w:r w:rsidRPr="00940156">
            <w:rPr>
              <w:rFonts w:eastAsia="Arial"/>
              <w:lang w:val="en-US"/>
            </w:rPr>
            <w:t>assessing</w:t>
          </w:r>
          <w:r w:rsidRPr="00940156">
            <w:rPr>
              <w:rFonts w:eastAsia="Arial"/>
              <w:spacing w:val="-3"/>
              <w:lang w:val="en-US"/>
            </w:rPr>
            <w:t xml:space="preserve"> </w:t>
          </w:r>
          <w:r w:rsidRPr="00940156">
            <w:rPr>
              <w:rFonts w:eastAsia="Arial"/>
              <w:lang w:val="en-US"/>
            </w:rPr>
            <w:t>and</w:t>
          </w:r>
          <w:r w:rsidRPr="00940156">
            <w:rPr>
              <w:rFonts w:eastAsia="Arial"/>
              <w:spacing w:val="-3"/>
              <w:lang w:val="en-US"/>
            </w:rPr>
            <w:t xml:space="preserve"> </w:t>
          </w:r>
          <w:r w:rsidRPr="00940156">
            <w:rPr>
              <w:rFonts w:eastAsia="Arial"/>
              <w:lang w:val="en-US"/>
            </w:rPr>
            <w:t>facilitating</w:t>
          </w:r>
          <w:r w:rsidRPr="00940156">
            <w:rPr>
              <w:rFonts w:eastAsia="Arial"/>
              <w:spacing w:val="-3"/>
              <w:lang w:val="en-US"/>
            </w:rPr>
            <w:t xml:space="preserve"> </w:t>
          </w:r>
          <w:r w:rsidRPr="00940156">
            <w:rPr>
              <w:rFonts w:eastAsia="Arial"/>
              <w:lang w:val="en-US"/>
            </w:rPr>
            <w:t>investment</w:t>
          </w:r>
          <w:r w:rsidRPr="00940156">
            <w:rPr>
              <w:rFonts w:eastAsia="Arial"/>
              <w:spacing w:val="-3"/>
              <w:lang w:val="en-US"/>
            </w:rPr>
            <w:t xml:space="preserve"> </w:t>
          </w:r>
          <w:r w:rsidRPr="00940156">
            <w:rPr>
              <w:rFonts w:eastAsia="Arial"/>
              <w:lang w:val="en-US"/>
            </w:rPr>
            <w:t>needs</w:t>
          </w:r>
          <w:r w:rsidRPr="00940156">
            <w:rPr>
              <w:rFonts w:eastAsia="Arial"/>
              <w:spacing w:val="-3"/>
              <w:lang w:val="en-US"/>
            </w:rPr>
            <w:t xml:space="preserve"> </w:t>
          </w:r>
          <w:r w:rsidRPr="00940156">
            <w:rPr>
              <w:rFonts w:eastAsia="Arial"/>
              <w:lang w:val="en-US"/>
            </w:rPr>
            <w:t>and</w:t>
          </w:r>
          <w:r w:rsidRPr="00940156">
            <w:rPr>
              <w:rFonts w:eastAsia="Arial"/>
              <w:spacing w:val="-3"/>
              <w:lang w:val="en-US"/>
            </w:rPr>
            <w:t xml:space="preserve"> </w:t>
          </w:r>
          <w:r w:rsidRPr="00940156">
            <w:rPr>
              <w:rFonts w:eastAsia="Arial"/>
              <w:lang w:val="en-US"/>
            </w:rPr>
            <w:t>sources</w:t>
          </w:r>
          <w:r w:rsidRPr="00940156">
            <w:rPr>
              <w:rFonts w:eastAsia="Arial"/>
              <w:spacing w:val="-3"/>
              <w:lang w:val="en-US"/>
            </w:rPr>
            <w:t xml:space="preserve"> </w:t>
          </w:r>
          <w:r w:rsidRPr="00940156">
            <w:rPr>
              <w:rFonts w:eastAsia="Arial"/>
              <w:lang w:val="en-US"/>
            </w:rPr>
            <w:t>for</w:t>
          </w:r>
          <w:r w:rsidRPr="00940156">
            <w:rPr>
              <w:rFonts w:eastAsia="Arial"/>
              <w:spacing w:val="-3"/>
              <w:lang w:val="en-US"/>
            </w:rPr>
            <w:t xml:space="preserve"> </w:t>
          </w:r>
          <w:r w:rsidRPr="00940156">
            <w:rPr>
              <w:rFonts w:eastAsia="Arial"/>
              <w:lang w:val="en-US"/>
            </w:rPr>
            <w:t>energy-intensive</w:t>
          </w:r>
          <w:r w:rsidRPr="00940156">
            <w:rPr>
              <w:rFonts w:eastAsia="Arial"/>
              <w:spacing w:val="-3"/>
              <w:lang w:val="en-US"/>
            </w:rPr>
            <w:t xml:space="preserve"> </w:t>
          </w:r>
          <w:r w:rsidRPr="00940156">
            <w:rPr>
              <w:rFonts w:eastAsia="Arial"/>
              <w:lang w:val="en-US"/>
            </w:rPr>
            <w:t>industries</w:t>
          </w:r>
          <w:r w:rsidRPr="00940156">
            <w:rPr>
              <w:rFonts w:eastAsia="Arial"/>
              <w:spacing w:val="-3"/>
              <w:lang w:val="en-US"/>
            </w:rPr>
            <w:t xml:space="preserve"> </w:t>
          </w:r>
          <w:r w:rsidRPr="00940156">
            <w:rPr>
              <w:rFonts w:eastAsia="Arial"/>
              <w:lang w:val="en-US"/>
            </w:rPr>
            <w:t>and</w:t>
          </w:r>
          <w:r w:rsidRPr="00940156">
            <w:rPr>
              <w:rFonts w:eastAsia="Arial"/>
              <w:spacing w:val="-3"/>
              <w:lang w:val="en-US"/>
            </w:rPr>
            <w:t xml:space="preserve"> </w:t>
          </w:r>
          <w:r w:rsidRPr="00940156">
            <w:rPr>
              <w:rFonts w:eastAsia="Arial"/>
              <w:lang w:val="en-US"/>
            </w:rPr>
            <w:t>the</w:t>
          </w:r>
          <w:r w:rsidRPr="00940156">
            <w:rPr>
              <w:rFonts w:eastAsia="Arial"/>
              <w:spacing w:val="-3"/>
              <w:lang w:val="en-US"/>
            </w:rPr>
            <w:t xml:space="preserve"> </w:t>
          </w:r>
          <w:r w:rsidRPr="00940156">
            <w:rPr>
              <w:rFonts w:eastAsia="Arial"/>
              <w:lang w:val="en-US"/>
            </w:rPr>
            <w:t>raw</w:t>
          </w:r>
          <w:r w:rsidRPr="00940156">
            <w:rPr>
              <w:rFonts w:eastAsia="Arial"/>
              <w:spacing w:val="-3"/>
              <w:lang w:val="en-US"/>
            </w:rPr>
            <w:t xml:space="preserve"> </w:t>
          </w:r>
          <w:r w:rsidRPr="00940156">
            <w:rPr>
              <w:rFonts w:eastAsia="Arial"/>
              <w:lang w:val="en-US"/>
            </w:rPr>
            <w:t>materials</w:t>
          </w:r>
          <w:r w:rsidRPr="00940156">
            <w:rPr>
              <w:rFonts w:eastAsia="Arial"/>
              <w:spacing w:val="-3"/>
              <w:lang w:val="en-US"/>
            </w:rPr>
            <w:t xml:space="preserve"> </w:t>
          </w:r>
          <w:r w:rsidRPr="00940156">
            <w:rPr>
              <w:rFonts w:eastAsia="Arial"/>
              <w:lang w:val="en-US"/>
            </w:rPr>
            <w:t>value</w:t>
          </w:r>
          <w:r w:rsidRPr="00940156">
            <w:rPr>
              <w:rFonts w:eastAsia="Arial"/>
              <w:spacing w:val="-3"/>
              <w:lang w:val="en-US"/>
            </w:rPr>
            <w:t xml:space="preserve"> </w:t>
          </w:r>
          <w:r w:rsidRPr="00940156">
            <w:rPr>
              <w:rFonts w:eastAsia="Arial"/>
              <w:lang w:val="en-US"/>
            </w:rPr>
            <w:t>chain, including from EU funding instruments;</w:t>
          </w:r>
        </w:p>
        <w:p w14:paraId="6E9BC6F1" w14:textId="77777777" w:rsidR="001F252F" w:rsidRPr="00940156" w:rsidRDefault="001F252F" w:rsidP="001F252F">
          <w:pPr>
            <w:widowControl w:val="0"/>
            <w:numPr>
              <w:ilvl w:val="0"/>
              <w:numId w:val="34"/>
            </w:numPr>
            <w:tabs>
              <w:tab w:val="left" w:pos="292"/>
            </w:tabs>
            <w:autoSpaceDE w:val="0"/>
            <w:autoSpaceDN w:val="0"/>
            <w:spacing w:before="1" w:after="0"/>
            <w:jc w:val="left"/>
            <w:rPr>
              <w:rFonts w:eastAsia="Arial"/>
              <w:lang w:val="en-US"/>
            </w:rPr>
          </w:pPr>
          <w:r w:rsidRPr="00940156">
            <w:rPr>
              <w:rFonts w:eastAsia="Arial"/>
              <w:lang w:val="en-US"/>
            </w:rPr>
            <w:t>being part of our research &amp; innovation team operating in the context of Horizon Europe</w:t>
          </w:r>
          <w:r w:rsidRPr="00940156">
            <w:rPr>
              <w:rFonts w:eastAsia="Arial"/>
              <w:spacing w:val="-2"/>
              <w:lang w:val="en-US"/>
            </w:rPr>
            <w:t>;</w:t>
          </w:r>
        </w:p>
        <w:p w14:paraId="692BEFBA" w14:textId="77777777" w:rsidR="001F252F" w:rsidRPr="00940156" w:rsidRDefault="001F252F" w:rsidP="001F252F">
          <w:pPr>
            <w:widowControl w:val="0"/>
            <w:numPr>
              <w:ilvl w:val="0"/>
              <w:numId w:val="34"/>
            </w:numPr>
            <w:tabs>
              <w:tab w:val="left" w:pos="292"/>
            </w:tabs>
            <w:autoSpaceDE w:val="0"/>
            <w:autoSpaceDN w:val="0"/>
            <w:spacing w:before="1" w:after="0"/>
            <w:jc w:val="left"/>
            <w:rPr>
              <w:rFonts w:eastAsia="Arial"/>
              <w:lang w:val="en-US"/>
            </w:rPr>
          </w:pPr>
          <w:r w:rsidRPr="00940156">
            <w:rPr>
              <w:rFonts w:eastAsia="Arial"/>
              <w:lang w:val="en-US"/>
            </w:rPr>
            <w:t>contributing to the preparation of delegated and implementing acts on critical raw materials;</w:t>
          </w:r>
        </w:p>
        <w:p w14:paraId="5598AD3A" w14:textId="77777777" w:rsidR="001F252F" w:rsidRPr="00940156" w:rsidRDefault="001F252F" w:rsidP="001F252F">
          <w:pPr>
            <w:widowControl w:val="0"/>
            <w:numPr>
              <w:ilvl w:val="0"/>
              <w:numId w:val="34"/>
            </w:numPr>
            <w:tabs>
              <w:tab w:val="left" w:pos="292"/>
            </w:tabs>
            <w:autoSpaceDE w:val="0"/>
            <w:autoSpaceDN w:val="0"/>
            <w:spacing w:before="1" w:after="0"/>
            <w:jc w:val="left"/>
            <w:rPr>
              <w:rFonts w:ascii="Arial" w:eastAsia="Arial" w:hAnsi="Arial" w:cs="Arial"/>
              <w:sz w:val="20"/>
              <w:lang w:val="en-US"/>
            </w:rPr>
          </w:pPr>
          <w:r w:rsidRPr="00940156">
            <w:rPr>
              <w:rFonts w:eastAsia="Arial"/>
              <w:lang w:val="en-US"/>
            </w:rPr>
            <w:t>represent, work closely and cooperate with a broad range of Commission services (CLIMA, ENER, ENV, EEAS and external DGs, COMP, DEFIS, RTD and JRC among others) and actors in various industrial ecosystems</w:t>
          </w:r>
          <w:r w:rsidRPr="00940156">
            <w:rPr>
              <w:rFonts w:ascii="Arial" w:eastAsia="Arial" w:hAnsi="Arial" w:cs="Arial"/>
              <w:sz w:val="20"/>
              <w:lang w:val="en-US"/>
            </w:rPr>
            <w:t>.</w:t>
          </w:r>
        </w:p>
        <w:p w14:paraId="46EE3E07" w14:textId="5D3A712C" w:rsidR="00E21DBD" w:rsidRPr="00AF7D78" w:rsidRDefault="006E6262"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rPr>
          <w:rFonts w:ascii="Times New Roman" w:eastAsia="Times New Roman" w:hAnsi="Times New Roman" w:cs="Times New Roman"/>
          <w:sz w:val="24"/>
          <w:szCs w:val="20"/>
          <w:lang w:val="en-GB" w:eastAsia="en-IE"/>
        </w:rPr>
      </w:sdtEndPr>
      <w:sdtContent>
        <w:p w14:paraId="1F604FAE" w14:textId="77777777" w:rsidR="00915937" w:rsidRPr="00AF7D78" w:rsidRDefault="00915937" w:rsidP="00915937">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4CDD90FD" w14:textId="77777777" w:rsidR="00915937" w:rsidRPr="00AF7D78" w:rsidRDefault="00915937" w:rsidP="00915937">
          <w:pPr>
            <w:tabs>
              <w:tab w:val="left" w:pos="709"/>
            </w:tabs>
            <w:spacing w:after="0"/>
            <w:ind w:left="709" w:right="1317"/>
            <w:rPr>
              <w:lang w:val="en-US" w:eastAsia="en-GB"/>
            </w:rPr>
          </w:pPr>
          <w:r w:rsidRPr="00AF7D78">
            <w:rPr>
              <w:lang w:val="en-US" w:eastAsia="en-GB"/>
            </w:rPr>
            <w:t xml:space="preserve">- university degree or </w:t>
          </w:r>
        </w:p>
        <w:p w14:paraId="6B101E63" w14:textId="2080A28C" w:rsidR="00915937" w:rsidRPr="00AF7D78" w:rsidRDefault="00915937" w:rsidP="00915937">
          <w:pPr>
            <w:tabs>
              <w:tab w:val="left" w:pos="709"/>
            </w:tabs>
            <w:spacing w:after="0"/>
            <w:ind w:left="709" w:right="1317"/>
            <w:rPr>
              <w:lang w:val="en-US" w:eastAsia="en-GB"/>
            </w:rPr>
          </w:pPr>
          <w:r w:rsidRPr="00AF7D78">
            <w:rPr>
              <w:lang w:val="en-US" w:eastAsia="en-GB"/>
            </w:rPr>
            <w:t>- professional training or professional experience of an equivalent</w:t>
          </w:r>
          <w:r>
            <w:rPr>
              <w:lang w:val="en-US" w:eastAsia="en-GB"/>
            </w:rPr>
            <w:t xml:space="preserve"> </w:t>
          </w:r>
          <w:r w:rsidRPr="00AF7D78">
            <w:rPr>
              <w:lang w:val="en-US" w:eastAsia="en-GB"/>
            </w:rPr>
            <w:t>level</w:t>
          </w:r>
        </w:p>
        <w:p w14:paraId="646AAC0E" w14:textId="77777777" w:rsidR="00915937" w:rsidRPr="00AF7D78" w:rsidRDefault="00915937" w:rsidP="00915937">
          <w:pPr>
            <w:tabs>
              <w:tab w:val="left" w:pos="709"/>
            </w:tabs>
            <w:spacing w:after="0"/>
            <w:ind w:left="709" w:right="1317"/>
            <w:rPr>
              <w:lang w:val="en-US" w:eastAsia="en-GB"/>
            </w:rPr>
          </w:pPr>
        </w:p>
        <w:p w14:paraId="6B578B18" w14:textId="77777777" w:rsidR="00915937" w:rsidRDefault="00915937" w:rsidP="00915937">
          <w:pPr>
            <w:tabs>
              <w:tab w:val="left" w:pos="709"/>
            </w:tabs>
            <w:spacing w:after="0"/>
            <w:ind w:left="709" w:right="60"/>
            <w:rPr>
              <w:lang w:val="en-US" w:eastAsia="en-GB"/>
            </w:rPr>
          </w:pPr>
          <w:r w:rsidRPr="00AF7D78">
            <w:rPr>
              <w:lang w:val="en-US" w:eastAsia="en-GB"/>
            </w:rPr>
            <w:t xml:space="preserve">  in the field(s) :</w:t>
          </w:r>
          <w:r>
            <w:rPr>
              <w:lang w:val="en-US" w:eastAsia="en-GB"/>
            </w:rPr>
            <w:t xml:space="preserve"> Economics, Engineering, Finance, Law, International Relations</w:t>
          </w:r>
        </w:p>
        <w:p w14:paraId="51F103A2" w14:textId="77777777" w:rsidR="00915937" w:rsidRDefault="00915937" w:rsidP="00915937">
          <w:pPr>
            <w:tabs>
              <w:tab w:val="left" w:pos="709"/>
            </w:tabs>
            <w:spacing w:after="0"/>
            <w:ind w:left="709" w:right="60"/>
            <w:rPr>
              <w:u w:val="single"/>
              <w:lang w:val="en-US" w:eastAsia="en-GB"/>
            </w:rPr>
          </w:pPr>
        </w:p>
        <w:p w14:paraId="514765A8" w14:textId="5728C3EB" w:rsidR="00915937" w:rsidRPr="00AF7D78" w:rsidRDefault="00915937" w:rsidP="00915937">
          <w:pPr>
            <w:tabs>
              <w:tab w:val="left" w:pos="709"/>
            </w:tabs>
            <w:spacing w:after="0"/>
            <w:ind w:left="709" w:right="60"/>
            <w:rPr>
              <w:u w:val="single"/>
              <w:lang w:val="en-US" w:eastAsia="en-GB"/>
            </w:rPr>
          </w:pPr>
          <w:r w:rsidRPr="00AF7D78">
            <w:rPr>
              <w:u w:val="single"/>
              <w:lang w:val="en-US" w:eastAsia="en-GB"/>
            </w:rPr>
            <w:t>Professional experience</w:t>
          </w:r>
        </w:p>
        <w:p w14:paraId="3B13B014" w14:textId="77777777" w:rsidR="00915937" w:rsidRPr="00AF7D78" w:rsidRDefault="00915937" w:rsidP="00915937">
          <w:pPr>
            <w:tabs>
              <w:tab w:val="left" w:pos="709"/>
            </w:tabs>
            <w:spacing w:after="0"/>
            <w:ind w:left="709" w:right="60"/>
            <w:rPr>
              <w:u w:val="single"/>
              <w:lang w:val="en-US" w:eastAsia="en-GB"/>
            </w:rPr>
          </w:pPr>
        </w:p>
        <w:p w14:paraId="7D56C521" w14:textId="77777777" w:rsidR="00915937" w:rsidRPr="005F1343" w:rsidRDefault="00915937" w:rsidP="00915937">
          <w:pPr>
            <w:pStyle w:val="ListParagraph"/>
            <w:numPr>
              <w:ilvl w:val="0"/>
              <w:numId w:val="35"/>
            </w:numPr>
            <w:tabs>
              <w:tab w:val="left" w:pos="709"/>
            </w:tabs>
            <w:spacing w:after="0" w:line="240" w:lineRule="auto"/>
            <w:ind w:right="60"/>
            <w:jc w:val="both"/>
            <w:rPr>
              <w:rFonts w:ascii="Times New Roman" w:eastAsia="Times New Roman" w:hAnsi="Times New Roman" w:cs="Times New Roman"/>
              <w:lang w:val="en-US" w:eastAsia="en-GB"/>
            </w:rPr>
          </w:pPr>
          <w:r w:rsidRPr="005F1343">
            <w:rPr>
              <w:rFonts w:ascii="Times New Roman" w:eastAsia="Times New Roman" w:hAnsi="Times New Roman" w:cs="Times New Roman"/>
              <w:lang w:val="en-US" w:eastAsia="en-GB"/>
            </w:rPr>
            <w:t xml:space="preserve">Relevant experience and knowledge of the EU Industrial Policy; </w:t>
          </w:r>
        </w:p>
        <w:p w14:paraId="04D58957" w14:textId="77777777" w:rsidR="00915937" w:rsidRPr="005F1343" w:rsidRDefault="00915937" w:rsidP="00915937">
          <w:pPr>
            <w:pStyle w:val="ListParagraph"/>
            <w:numPr>
              <w:ilvl w:val="0"/>
              <w:numId w:val="35"/>
            </w:numPr>
            <w:tabs>
              <w:tab w:val="left" w:pos="709"/>
            </w:tabs>
            <w:spacing w:after="0" w:line="240" w:lineRule="auto"/>
            <w:ind w:right="60"/>
            <w:jc w:val="both"/>
            <w:rPr>
              <w:rFonts w:ascii="Times New Roman" w:eastAsia="Times New Roman" w:hAnsi="Times New Roman" w:cs="Times New Roman"/>
              <w:lang w:val="en-US" w:eastAsia="en-GB"/>
            </w:rPr>
          </w:pPr>
          <w:r w:rsidRPr="005F1343">
            <w:rPr>
              <w:rFonts w:ascii="Times New Roman" w:eastAsia="Times New Roman" w:hAnsi="Times New Roman" w:cs="Times New Roman"/>
              <w:lang w:val="en-US" w:eastAsia="en-GB"/>
            </w:rPr>
            <w:t>Relevant experience and knowledge of the EU domestic and international raw materials policy;</w:t>
          </w:r>
        </w:p>
        <w:p w14:paraId="0F0275F2" w14:textId="77777777" w:rsidR="00915937" w:rsidRPr="005F1343" w:rsidRDefault="00915937" w:rsidP="00915937">
          <w:pPr>
            <w:pStyle w:val="ListParagraph"/>
            <w:numPr>
              <w:ilvl w:val="0"/>
              <w:numId w:val="35"/>
            </w:numPr>
            <w:tabs>
              <w:tab w:val="left" w:pos="709"/>
            </w:tabs>
            <w:spacing w:after="0" w:line="240" w:lineRule="auto"/>
            <w:ind w:right="60"/>
            <w:jc w:val="both"/>
            <w:rPr>
              <w:rFonts w:ascii="Times New Roman" w:eastAsia="Times New Roman" w:hAnsi="Times New Roman" w:cs="Times New Roman"/>
              <w:lang w:val="en-US" w:eastAsia="en-GB"/>
            </w:rPr>
          </w:pPr>
          <w:r w:rsidRPr="005F1343">
            <w:rPr>
              <w:rFonts w:ascii="Times New Roman" w:eastAsia="Times New Roman" w:hAnsi="Times New Roman" w:cs="Times New Roman"/>
              <w:lang w:val="en-US" w:eastAsia="en-GB"/>
            </w:rPr>
            <w:t>Knowledge of financial instruments and programs to support the EU green and digital transition;</w:t>
          </w:r>
        </w:p>
        <w:p w14:paraId="6C738640" w14:textId="77777777" w:rsidR="00915937" w:rsidRPr="005F1343" w:rsidRDefault="00915937" w:rsidP="00915937">
          <w:pPr>
            <w:pStyle w:val="ListParagraph"/>
            <w:numPr>
              <w:ilvl w:val="0"/>
              <w:numId w:val="35"/>
            </w:numPr>
            <w:tabs>
              <w:tab w:val="left" w:pos="709"/>
            </w:tabs>
            <w:spacing w:after="0" w:line="240" w:lineRule="auto"/>
            <w:ind w:right="60"/>
            <w:jc w:val="both"/>
            <w:rPr>
              <w:rFonts w:ascii="Times New Roman" w:eastAsia="Times New Roman" w:hAnsi="Times New Roman" w:cs="Times New Roman"/>
              <w:lang w:val="en-US" w:eastAsia="en-GB"/>
            </w:rPr>
          </w:pPr>
          <w:r w:rsidRPr="005F1343">
            <w:rPr>
              <w:rFonts w:ascii="Times New Roman" w:eastAsia="Times New Roman" w:hAnsi="Times New Roman" w:cs="Times New Roman"/>
              <w:lang w:val="en-US" w:eastAsia="en-GB"/>
            </w:rPr>
            <w:t>Technical knowledge and experience in engineering, mining, refining and processing would be an asset;</w:t>
          </w:r>
        </w:p>
        <w:p w14:paraId="26F22E14" w14:textId="77777777" w:rsidR="00915937" w:rsidRPr="005F1343" w:rsidRDefault="00915937" w:rsidP="00915937">
          <w:pPr>
            <w:pStyle w:val="ListParagraph"/>
            <w:numPr>
              <w:ilvl w:val="0"/>
              <w:numId w:val="35"/>
            </w:numPr>
            <w:tabs>
              <w:tab w:val="left" w:pos="709"/>
            </w:tabs>
            <w:spacing w:after="0" w:line="240" w:lineRule="auto"/>
            <w:ind w:right="60"/>
            <w:jc w:val="both"/>
            <w:rPr>
              <w:rFonts w:ascii="Times New Roman" w:eastAsia="Times New Roman" w:hAnsi="Times New Roman" w:cs="Times New Roman"/>
              <w:lang w:val="en-US" w:eastAsia="en-GB"/>
            </w:rPr>
          </w:pPr>
          <w:r w:rsidRPr="005F1343">
            <w:rPr>
              <w:rFonts w:ascii="Times New Roman" w:eastAsia="Times New Roman" w:hAnsi="Times New Roman" w:cs="Times New Roman"/>
              <w:lang w:val="en-US" w:eastAsia="en-GB"/>
            </w:rPr>
            <w:lastRenderedPageBreak/>
            <w:t>Knowledge of the research and innovation programs would be an asset;</w:t>
          </w:r>
        </w:p>
        <w:p w14:paraId="33DE6D3D" w14:textId="77777777" w:rsidR="00915937" w:rsidRPr="005F1343" w:rsidRDefault="00915937" w:rsidP="00915937">
          <w:pPr>
            <w:pStyle w:val="ListParagraph"/>
            <w:numPr>
              <w:ilvl w:val="0"/>
              <w:numId w:val="35"/>
            </w:numPr>
            <w:tabs>
              <w:tab w:val="left" w:pos="709"/>
            </w:tabs>
            <w:spacing w:after="0" w:line="240" w:lineRule="auto"/>
            <w:ind w:right="60"/>
            <w:jc w:val="both"/>
            <w:rPr>
              <w:rFonts w:ascii="Times New Roman" w:eastAsia="Times New Roman" w:hAnsi="Times New Roman" w:cs="Times New Roman"/>
              <w:lang w:val="en-US" w:eastAsia="en-GB"/>
            </w:rPr>
          </w:pPr>
          <w:r w:rsidRPr="005F1343">
            <w:rPr>
              <w:rFonts w:ascii="Times New Roman" w:eastAsia="Times New Roman" w:hAnsi="Times New Roman" w:cs="Times New Roman"/>
              <w:lang w:val="en-US" w:eastAsia="en-GB"/>
            </w:rPr>
            <w:t>Relevant experience for project management, including budget management;</w:t>
          </w:r>
        </w:p>
        <w:p w14:paraId="51994EDB" w14:textId="61529720" w:rsidR="002E40A9" w:rsidRDefault="00915937" w:rsidP="002E40A9">
          <w:pPr>
            <w:pStyle w:val="ListParagraph"/>
            <w:numPr>
              <w:ilvl w:val="0"/>
              <w:numId w:val="35"/>
            </w:numPr>
            <w:tabs>
              <w:tab w:val="left" w:pos="709"/>
            </w:tabs>
            <w:spacing w:after="0" w:line="240" w:lineRule="auto"/>
            <w:ind w:right="60"/>
            <w:jc w:val="both"/>
            <w:rPr>
              <w:rFonts w:ascii="Times New Roman" w:eastAsia="Times New Roman" w:hAnsi="Times New Roman" w:cs="Times New Roman"/>
              <w:lang w:val="en-US" w:eastAsia="en-GB"/>
            </w:rPr>
          </w:pPr>
          <w:r w:rsidRPr="005F1343">
            <w:rPr>
              <w:rFonts w:ascii="Times New Roman" w:eastAsia="Times New Roman" w:hAnsi="Times New Roman" w:cs="Times New Roman"/>
              <w:lang w:val="en-US" w:eastAsia="en-GB"/>
            </w:rPr>
            <w:t>Knowledge of the EU institutional framework and decision making process.</w:t>
          </w:r>
        </w:p>
        <w:p w14:paraId="11B0ECCD" w14:textId="77777777" w:rsidR="00BB53FD" w:rsidRDefault="00BB53FD" w:rsidP="00BB53FD">
          <w:pPr>
            <w:tabs>
              <w:tab w:val="left" w:pos="709"/>
            </w:tabs>
            <w:spacing w:after="0"/>
            <w:ind w:right="60"/>
            <w:rPr>
              <w:lang w:val="en-US" w:eastAsia="en-GB"/>
            </w:rPr>
          </w:pPr>
        </w:p>
        <w:p w14:paraId="5823BCAE" w14:textId="77777777" w:rsidR="00BB53FD" w:rsidRPr="00BB53FD" w:rsidRDefault="00BB53FD" w:rsidP="00BB53FD">
          <w:pPr>
            <w:tabs>
              <w:tab w:val="left" w:pos="709"/>
            </w:tabs>
            <w:spacing w:after="0"/>
            <w:ind w:right="60"/>
            <w:rPr>
              <w:lang w:val="en-US" w:eastAsia="en-GB"/>
            </w:rPr>
          </w:pPr>
          <w:r w:rsidRPr="00BB53FD">
            <w:rPr>
              <w:lang w:val="en-US" w:eastAsia="en-GB"/>
            </w:rPr>
            <w:t>Language(s) necessary for the performance of duties</w:t>
          </w:r>
        </w:p>
        <w:p w14:paraId="6E0A3873" w14:textId="77777777" w:rsidR="00BB53FD" w:rsidRPr="00BB53FD" w:rsidRDefault="00BB53FD" w:rsidP="00BB53FD">
          <w:pPr>
            <w:tabs>
              <w:tab w:val="left" w:pos="709"/>
            </w:tabs>
            <w:spacing w:after="0"/>
            <w:ind w:right="60"/>
            <w:rPr>
              <w:lang w:val="en-US" w:eastAsia="en-GB"/>
            </w:rPr>
          </w:pPr>
        </w:p>
        <w:p w14:paraId="3BCEB9E9" w14:textId="2A016658" w:rsidR="00BB53FD" w:rsidRPr="00BB53FD" w:rsidRDefault="00BB53FD" w:rsidP="00BB53FD">
          <w:pPr>
            <w:tabs>
              <w:tab w:val="left" w:pos="709"/>
            </w:tabs>
            <w:spacing w:after="0"/>
            <w:ind w:right="60"/>
            <w:rPr>
              <w:lang w:val="en-US" w:eastAsia="en-GB"/>
            </w:rPr>
          </w:pPr>
          <w:r w:rsidRPr="00BB53FD">
            <w:rPr>
              <w:lang w:val="en-US" w:eastAsia="en-GB"/>
            </w:rPr>
            <w:t>English</w:t>
          </w:r>
          <w:r>
            <w:rPr>
              <w:lang w:val="en-US" w:eastAsia="en-GB"/>
            </w:rPr>
            <w:t xml:space="preserv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8DF1163"/>
    <w:multiLevelType w:val="hybridMultilevel"/>
    <w:tmpl w:val="89A063D2"/>
    <w:lvl w:ilvl="0" w:tplc="18090001">
      <w:start w:val="1"/>
      <w:numFmt w:val="bullet"/>
      <w:lvlText w:val=""/>
      <w:lvlJc w:val="left"/>
      <w:pPr>
        <w:ind w:left="886" w:hanging="360"/>
      </w:pPr>
      <w:rPr>
        <w:rFonts w:ascii="Symbol" w:hAnsi="Symbol" w:hint="default"/>
      </w:rPr>
    </w:lvl>
    <w:lvl w:ilvl="1" w:tplc="18090003" w:tentative="1">
      <w:start w:val="1"/>
      <w:numFmt w:val="bullet"/>
      <w:lvlText w:val="o"/>
      <w:lvlJc w:val="left"/>
      <w:pPr>
        <w:ind w:left="1606" w:hanging="360"/>
      </w:pPr>
      <w:rPr>
        <w:rFonts w:ascii="Courier New" w:hAnsi="Courier New" w:cs="Courier New" w:hint="default"/>
      </w:rPr>
    </w:lvl>
    <w:lvl w:ilvl="2" w:tplc="18090005" w:tentative="1">
      <w:start w:val="1"/>
      <w:numFmt w:val="bullet"/>
      <w:lvlText w:val=""/>
      <w:lvlJc w:val="left"/>
      <w:pPr>
        <w:ind w:left="2326" w:hanging="360"/>
      </w:pPr>
      <w:rPr>
        <w:rFonts w:ascii="Wingdings" w:hAnsi="Wingdings" w:hint="default"/>
      </w:rPr>
    </w:lvl>
    <w:lvl w:ilvl="3" w:tplc="18090001" w:tentative="1">
      <w:start w:val="1"/>
      <w:numFmt w:val="bullet"/>
      <w:lvlText w:val=""/>
      <w:lvlJc w:val="left"/>
      <w:pPr>
        <w:ind w:left="3046" w:hanging="360"/>
      </w:pPr>
      <w:rPr>
        <w:rFonts w:ascii="Symbol" w:hAnsi="Symbol" w:hint="default"/>
      </w:rPr>
    </w:lvl>
    <w:lvl w:ilvl="4" w:tplc="18090003" w:tentative="1">
      <w:start w:val="1"/>
      <w:numFmt w:val="bullet"/>
      <w:lvlText w:val="o"/>
      <w:lvlJc w:val="left"/>
      <w:pPr>
        <w:ind w:left="3766" w:hanging="360"/>
      </w:pPr>
      <w:rPr>
        <w:rFonts w:ascii="Courier New" w:hAnsi="Courier New" w:cs="Courier New" w:hint="default"/>
      </w:rPr>
    </w:lvl>
    <w:lvl w:ilvl="5" w:tplc="18090005" w:tentative="1">
      <w:start w:val="1"/>
      <w:numFmt w:val="bullet"/>
      <w:lvlText w:val=""/>
      <w:lvlJc w:val="left"/>
      <w:pPr>
        <w:ind w:left="4486" w:hanging="360"/>
      </w:pPr>
      <w:rPr>
        <w:rFonts w:ascii="Wingdings" w:hAnsi="Wingdings" w:hint="default"/>
      </w:rPr>
    </w:lvl>
    <w:lvl w:ilvl="6" w:tplc="18090001" w:tentative="1">
      <w:start w:val="1"/>
      <w:numFmt w:val="bullet"/>
      <w:lvlText w:val=""/>
      <w:lvlJc w:val="left"/>
      <w:pPr>
        <w:ind w:left="5206" w:hanging="360"/>
      </w:pPr>
      <w:rPr>
        <w:rFonts w:ascii="Symbol" w:hAnsi="Symbol" w:hint="default"/>
      </w:rPr>
    </w:lvl>
    <w:lvl w:ilvl="7" w:tplc="18090003" w:tentative="1">
      <w:start w:val="1"/>
      <w:numFmt w:val="bullet"/>
      <w:lvlText w:val="o"/>
      <w:lvlJc w:val="left"/>
      <w:pPr>
        <w:ind w:left="5926" w:hanging="360"/>
      </w:pPr>
      <w:rPr>
        <w:rFonts w:ascii="Courier New" w:hAnsi="Courier New" w:cs="Courier New" w:hint="default"/>
      </w:rPr>
    </w:lvl>
    <w:lvl w:ilvl="8" w:tplc="18090005" w:tentative="1">
      <w:start w:val="1"/>
      <w:numFmt w:val="bullet"/>
      <w:lvlText w:val=""/>
      <w:lvlJc w:val="left"/>
      <w:pPr>
        <w:ind w:left="6646"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8CB5AED"/>
    <w:multiLevelType w:val="hybridMultilevel"/>
    <w:tmpl w:val="1E16BA9A"/>
    <w:lvl w:ilvl="0" w:tplc="68F04CC2">
      <w:start w:val="1"/>
      <w:numFmt w:val="bullet"/>
      <w:lvlText w:val="-"/>
      <w:lvlJc w:val="left"/>
      <w:pPr>
        <w:ind w:left="1069" w:hanging="360"/>
      </w:pPr>
      <w:rPr>
        <w:rFonts w:ascii="Times New Roman" w:eastAsia="Times New Roman" w:hAnsi="Times New Roman" w:cs="Times New Roman"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6"/>
  </w:num>
  <w:num w:numId="3" w16cid:durableId="1086658250">
    <w:abstractNumId w:val="11"/>
  </w:num>
  <w:num w:numId="4" w16cid:durableId="1304967038">
    <w:abstractNumId w:val="17"/>
  </w:num>
  <w:num w:numId="5" w16cid:durableId="1625841798">
    <w:abstractNumId w:val="22"/>
  </w:num>
  <w:num w:numId="6" w16cid:durableId="1581711852">
    <w:abstractNumId w:val="24"/>
  </w:num>
  <w:num w:numId="7" w16cid:durableId="2010597269">
    <w:abstractNumId w:val="3"/>
  </w:num>
  <w:num w:numId="8" w16cid:durableId="154227337">
    <w:abstractNumId w:val="9"/>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8"/>
  </w:num>
  <w:num w:numId="15" w16cid:durableId="348874439">
    <w:abstractNumId w:val="21"/>
  </w:num>
  <w:num w:numId="16" w16cid:durableId="788280695">
    <w:abstractNumId w:val="25"/>
  </w:num>
  <w:num w:numId="17" w16cid:durableId="1058630122">
    <w:abstractNumId w:val="13"/>
  </w:num>
  <w:num w:numId="18" w16cid:durableId="2120908136">
    <w:abstractNumId w:val="14"/>
  </w:num>
  <w:num w:numId="19" w16cid:durableId="686714860">
    <w:abstractNumId w:val="26"/>
  </w:num>
  <w:num w:numId="20" w16cid:durableId="422990355">
    <w:abstractNumId w:val="20"/>
  </w:num>
  <w:num w:numId="21" w16cid:durableId="1837307304">
    <w:abstractNumId w:val="23"/>
  </w:num>
  <w:num w:numId="22" w16cid:durableId="302121546">
    <w:abstractNumId w:val="5"/>
  </w:num>
  <w:num w:numId="23" w16cid:durableId="728039549">
    <w:abstractNumId w:val="8"/>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877164939">
    <w:abstractNumId w:val="1"/>
  </w:num>
  <w:num w:numId="35" w16cid:durableId="9280758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1F252F"/>
    <w:rsid w:val="002109E6"/>
    <w:rsid w:val="00252050"/>
    <w:rsid w:val="002B3CBF"/>
    <w:rsid w:val="002C13C3"/>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6E6262"/>
    <w:rsid w:val="007523CA"/>
    <w:rsid w:val="00780CD3"/>
    <w:rsid w:val="007E531E"/>
    <w:rsid w:val="007F02AC"/>
    <w:rsid w:val="007F7012"/>
    <w:rsid w:val="008D02B7"/>
    <w:rsid w:val="008F0B52"/>
    <w:rsid w:val="008F4BA9"/>
    <w:rsid w:val="00915937"/>
    <w:rsid w:val="00994062"/>
    <w:rsid w:val="00996CC6"/>
    <w:rsid w:val="009A1EA0"/>
    <w:rsid w:val="009A2F00"/>
    <w:rsid w:val="009C5E27"/>
    <w:rsid w:val="00A033AD"/>
    <w:rsid w:val="00A557C9"/>
    <w:rsid w:val="00AB2CEA"/>
    <w:rsid w:val="00AF6424"/>
    <w:rsid w:val="00B24CC5"/>
    <w:rsid w:val="00B3644B"/>
    <w:rsid w:val="00B65513"/>
    <w:rsid w:val="00B73F08"/>
    <w:rsid w:val="00B8014C"/>
    <w:rsid w:val="00BB53FD"/>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3FD2"/>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A55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1.xml"/><Relationship Id="rId26" Type="http://schemas.openxmlformats.org/officeDocument/2006/relationships/control" Target="activeX/activeX5.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adalina.ivanica@ec.europa.eu" TargetMode="External"/><Relationship Id="rId20" Type="http://schemas.openxmlformats.org/officeDocument/2006/relationships/control" Target="activeX/activeX2.xml"/><Relationship Id="rId29" Type="http://schemas.openxmlformats.org/officeDocument/2006/relationships/hyperlink" Target="https://eur-lex.europa.eu/legal-content/EN/TXT/?uri=CELEX:32015D044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peter.handley@ec.europa.eu" TargetMode="External"/><Relationship Id="rId23" Type="http://schemas.openxmlformats.org/officeDocument/2006/relationships/image" Target="media/image5.wmf"/><Relationship Id="rId28" Type="http://schemas.openxmlformats.org/officeDocument/2006/relationships/control" Target="activeX/activeX6.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https://europa.eu/europass/en/create-europass-c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3.xml"/><Relationship Id="rId27" Type="http://schemas.openxmlformats.org/officeDocument/2006/relationships/image" Target="media/image7.wmf"/><Relationship Id="rId30" Type="http://schemas.openxmlformats.org/officeDocument/2006/relationships/hyperlink" Target="http://europass.cedefop.europa.eu/en/documents/curriculum-vitae"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02741E"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2741E"/>
    <w:rsid w:val="001E3B1B"/>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F56AE35A-A4C1-488B-8A80-41955AE84979}">
  <ds:schemaRefs>
    <ds:schemaRef ds:uri="1929b814-5a78-4bdc-9841-d8b9ef424f65"/>
    <ds:schemaRef ds:uri="http://purl.org/dc/dcmitype/"/>
    <ds:schemaRef ds:uri="http://www.w3.org/XML/1998/namespace"/>
    <ds:schemaRef ds:uri="http://purl.org/dc/elements/1.1/"/>
    <ds:schemaRef ds:uri="http://schemas.microsoft.com/sharepoint/v3/fields"/>
    <ds:schemaRef ds:uri="08927195-b699-4be0-9ee2-6c66dc215b5a"/>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a41a97bf-0494-41d8-ba3d-259bd7771890"/>
    <ds:schemaRef ds:uri="http://schemas.microsoft.com/office/2006/metadata/propertie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Eurolook.dotm</Template>
  <TotalTime>6</TotalTime>
  <Pages>4</Pages>
  <Words>1020</Words>
  <Characters>6590</Characters>
  <Application>Microsoft Office Word</Application>
  <DocSecurity>0</DocSecurity>
  <PresentationFormat>Microsoft Word 14.0</PresentationFormat>
  <Lines>366</Lines>
  <Paragraphs>176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2023-04-05T10:36:00Z</cp:lastPrinted>
  <dcterms:created xsi:type="dcterms:W3CDTF">2024-02-14T09:12:00Z</dcterms:created>
  <dcterms:modified xsi:type="dcterms:W3CDTF">2024-02-14T09:15:00Z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