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4801D" w14:textId="77777777" w:rsidR="00450504" w:rsidRDefault="00CB0CA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cs-CZ"/>
        </w:rPr>
        <w:t>Stanovisko odboru zahraničně politických analýz a plánování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br/>
        <w:t>Ministerstva zahraničních věcí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br/>
        <w:t>k “Průběžné zprávě o plnění DKRVO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lang w:val="cs-CZ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čerpání podpory” Ústavu mezinárodních vztahů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br/>
        <w:t>za rok 2022</w:t>
      </w:r>
    </w:p>
    <w:p w14:paraId="14B3B513" w14:textId="77777777" w:rsidR="00450504" w:rsidRDefault="0045050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D3659E4" w14:textId="77777777" w:rsidR="00450504" w:rsidRDefault="00CB0CA1">
      <w:pPr>
        <w:pStyle w:val="Odstavecseseznamem"/>
        <w:numPr>
          <w:ilvl w:val="0"/>
          <w:numId w:val="4"/>
        </w:numPr>
        <w:spacing w:after="240" w:line="288" w:lineRule="auto"/>
        <w:ind w:left="720"/>
        <w:jc w:val="both"/>
        <w:rPr>
          <w:rFonts w:ascii="Times New Roman" w:hAnsi="Times New Roman" w:cs="Times New Roman"/>
          <w:b/>
          <w:smallCap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cs-CZ"/>
        </w:rPr>
        <w:t>ÚVOD – OBECNÉ STANOVISKO OZAP K SEBEHODNOTÍCÍ ZPRÁVĚ</w:t>
      </w:r>
    </w:p>
    <w:p w14:paraId="39235E50" w14:textId="77777777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Stanovisko k sebehodnotící zprávě Ústavu mezinárodních vztahů (dále jen ÚMV) zpracoval odbor zahraničně politických analýz a plánování MZV (OZAP) v souladu s „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Manuálem pro provádění hodnocení výzkumné organizace v působnosti rezortu MZV ČR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“ (schválen Vědeckou radou MZV, dále jen VR, v roce 2018). Jeho členění navazuje na strukturu hodnotících formulářů, jež vyplňují členové VR: celkem 18 kritérií pokrývajících všech 5 modulů dle metodiky M17+. </w:t>
      </w:r>
    </w:p>
    <w:p w14:paraId="3E6BD85B" w14:textId="18B7EFBE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hodnocení za předchozí rok (2021) obdržel ÚMV výsledné zařazení mezi výzkumné organizace provádějící excelentní výzkum v mezinárodním kontextu (škála A)</w:t>
      </w:r>
      <w:r w:rsidR="005C4CA7">
        <w:rPr>
          <w:rFonts w:ascii="Times New Roman" w:hAnsi="Times New Roman" w:cs="Times New Roman"/>
          <w:sz w:val="24"/>
          <w:szCs w:val="24"/>
          <w:lang w:val="cs-CZ"/>
        </w:rPr>
        <w:t xml:space="preserve">, a to jak na základě </w:t>
      </w:r>
      <w:proofErr w:type="spellStart"/>
      <w:r w:rsidR="005C4CA7">
        <w:rPr>
          <w:rFonts w:ascii="Times New Roman" w:hAnsi="Times New Roman" w:cs="Times New Roman"/>
          <w:sz w:val="24"/>
          <w:szCs w:val="24"/>
          <w:lang w:val="cs-CZ"/>
        </w:rPr>
        <w:t>bibliometrických</w:t>
      </w:r>
      <w:proofErr w:type="spellEnd"/>
      <w:r w:rsidR="005C4CA7">
        <w:rPr>
          <w:rFonts w:ascii="Times New Roman" w:hAnsi="Times New Roman" w:cs="Times New Roman"/>
          <w:sz w:val="24"/>
          <w:szCs w:val="24"/>
          <w:lang w:val="cs-CZ"/>
        </w:rPr>
        <w:t xml:space="preserve"> údajů, tak hodnocení prováděného členy Vědecké rady MZV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Sebehodnotící zpráva ÚMV je vyhotovena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 souladu s požadavky </w:t>
      </w:r>
      <w:r w:rsidR="005C4CA7">
        <w:rPr>
          <w:rFonts w:ascii="Times New Roman" w:hAnsi="Times New Roman" w:cs="Times New Roman"/>
          <w:b/>
          <w:sz w:val="24"/>
          <w:szCs w:val="24"/>
          <w:lang w:val="cs-CZ"/>
        </w:rPr>
        <w:t xml:space="preserve">vládní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metodiky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M17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+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je  podložena relevantními konkrétními daty a údaji.</w:t>
      </w:r>
    </w:p>
    <w:p w14:paraId="4A580083" w14:textId="77777777" w:rsidR="00450504" w:rsidRPr="00E76C5E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 hlediska návaznosti na plnění Koncepce výzkumu MZV a Koncepce rozvoje ÚMV (viz modul 5) ÚMV v roce 2022 do podstatné míry naplňoval svoji základní ambici pro rozvoj jako „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nezávislá výzkumná instituce na poli mezinárodních studií v regionu střední Evropy s důrazem na provázanost vynikajícího základního a aplikovaného výzkumu a jeho uplatnění v rozhodovací sféře i ve společnosti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.“ Zmíněnou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provázanost výzkumu s uplatněním na straně zřizovatele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 z pohledu MZV zapotřebí dále významnou měrou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zvyšovat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V roce 2022 probíhala ze strany zřizovatele reflexe o nastavení vztahu MZV/ÚMV, jejímž výsledkem byly mj. intenzivnější konzultace mezi zřizovatelem a VO a zavedení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nového komunikačního mechanismu resortních výzkumných potřeb.</w:t>
      </w:r>
    </w:p>
    <w:p w14:paraId="2D18792F" w14:textId="7B22E4D1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5C4CA7">
        <w:rPr>
          <w:rFonts w:ascii="Times New Roman" w:hAnsi="Times New Roman" w:cs="Times New Roman"/>
          <w:sz w:val="24"/>
          <w:szCs w:val="24"/>
          <w:lang w:val="cs-CZ"/>
        </w:rPr>
        <w:t>nstitucionální podpora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 rok 2022 zůstala ve stejné výši jako v roce 2021 s tím, že více než rozšiřování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výzkumných kapacit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 dalším období je ze strany zřizovatele žádoucí </w:t>
      </w:r>
      <w:r w:rsidR="005C4CA7">
        <w:rPr>
          <w:rFonts w:ascii="Times New Roman" w:hAnsi="Times New Roman" w:cs="Times New Roman"/>
          <w:sz w:val="24"/>
          <w:szCs w:val="24"/>
          <w:lang w:val="cs-CZ"/>
        </w:rPr>
        <w:t xml:space="preserve">revize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stávajících kapacit s ohledem na priority české zahraniční politiky. </w:t>
      </w:r>
    </w:p>
    <w:p w14:paraId="1EEDC084" w14:textId="04B12C34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níže uvedené tabulce jsou pro přehled shrnut</w:t>
      </w:r>
      <w:r w:rsidR="005C4CA7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stanoviska OZAP s ukazateli pro vybraná (klíčová) kritéria včetně komentáře.</w:t>
      </w:r>
    </w:p>
    <w:p w14:paraId="21FF4386" w14:textId="77777777" w:rsidR="00450504" w:rsidRDefault="00450504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8CE2EAA" w14:textId="77777777" w:rsidR="00450504" w:rsidRPr="00E76C5E" w:rsidRDefault="00450504">
      <w:pPr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450504" w:rsidRPr="00DB2C39" w14:paraId="2432FBD0" w14:textId="77777777" w:rsidTr="00303B61">
        <w:tc>
          <w:tcPr>
            <w:tcW w:w="226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E1186E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732AA5" w14:textId="77777777" w:rsidR="00450504" w:rsidRPr="00303B61" w:rsidRDefault="00CB0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b/>
                <w:sz w:val="18"/>
                <w:szCs w:val="18"/>
              </w:rPr>
              <w:t>výsledky</w:t>
            </w:r>
          </w:p>
        </w:tc>
        <w:tc>
          <w:tcPr>
            <w:tcW w:w="353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37F15A" w14:textId="77777777" w:rsidR="00450504" w:rsidRPr="00303B61" w:rsidRDefault="00CB0C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b/>
                <w:sz w:val="18"/>
                <w:szCs w:val="18"/>
              </w:rPr>
              <w:t>Vývoj, perspektivy, potenciál, komentář, doporučení apod.</w:t>
            </w:r>
          </w:p>
        </w:tc>
      </w:tr>
      <w:tr w:rsidR="00450504" w:rsidRPr="00DB2C39" w14:paraId="511BE499" w14:textId="77777777" w:rsidTr="00AB3549">
        <w:trPr>
          <w:trHeight w:val="940"/>
        </w:trPr>
        <w:tc>
          <w:tcPr>
            <w:tcW w:w="2263" w:type="dxa"/>
            <w:shd w:val="clear" w:color="auto" w:fill="FF3300"/>
          </w:tcPr>
          <w:p w14:paraId="52F3268A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MODUL 1 – Kvalita vybraných výstupů výzkumu</w:t>
            </w:r>
          </w:p>
          <w:p w14:paraId="551A5D04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FF3300"/>
          </w:tcPr>
          <w:p w14:paraId="6F6F36F8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Hodnotí RVVI, stabilní výsledky</w:t>
            </w:r>
          </w:p>
        </w:tc>
        <w:tc>
          <w:tcPr>
            <w:tcW w:w="3538" w:type="dxa"/>
            <w:vMerge w:val="restart"/>
            <w:shd w:val="clear" w:color="auto" w:fill="FF3300"/>
          </w:tcPr>
          <w:p w14:paraId="189CC41A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nejsou k dispozici finální výsledky posledního hodnocení</w:t>
            </w:r>
          </w:p>
        </w:tc>
      </w:tr>
      <w:tr w:rsidR="00450504" w14:paraId="2242FC1A" w14:textId="77777777" w:rsidTr="00AB3549">
        <w:trPr>
          <w:trHeight w:val="950"/>
        </w:trPr>
        <w:tc>
          <w:tcPr>
            <w:tcW w:w="2263" w:type="dxa"/>
            <w:tcBorders>
              <w:bottom w:val="single" w:sz="4" w:space="0" w:color="000000"/>
            </w:tcBorders>
            <w:shd w:val="clear" w:color="auto" w:fill="FF3300"/>
          </w:tcPr>
          <w:p w14:paraId="361DA28A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MODUL 2 – Výkonnost výzkumu</w:t>
            </w:r>
          </w:p>
          <w:p w14:paraId="29F1639F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79C49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  <w:shd w:val="clear" w:color="auto" w:fill="FF3300"/>
          </w:tcPr>
          <w:p w14:paraId="698367F8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  <w:vMerge/>
            <w:tcBorders>
              <w:bottom w:val="single" w:sz="4" w:space="0" w:color="000000"/>
            </w:tcBorders>
            <w:shd w:val="clear" w:color="auto" w:fill="FF3300"/>
          </w:tcPr>
          <w:p w14:paraId="713891EC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504" w14:paraId="4B5C89C7" w14:textId="77777777" w:rsidTr="00AB3549">
        <w:tc>
          <w:tcPr>
            <w:tcW w:w="2263" w:type="dxa"/>
            <w:shd w:val="clear" w:color="auto" w:fill="92D050"/>
          </w:tcPr>
          <w:p w14:paraId="7ECE448A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MODUL 3 – Společenská relevance</w:t>
            </w:r>
          </w:p>
        </w:tc>
        <w:tc>
          <w:tcPr>
            <w:tcW w:w="6799" w:type="dxa"/>
            <w:gridSpan w:val="2"/>
            <w:shd w:val="clear" w:color="auto" w:fill="92D050"/>
          </w:tcPr>
          <w:p w14:paraId="4A284CD5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Hodnotí členové VR MZV</w:t>
            </w:r>
          </w:p>
          <w:p w14:paraId="07185409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504" w:rsidRPr="00DB2C39" w14:paraId="5C151651" w14:textId="77777777">
        <w:tc>
          <w:tcPr>
            <w:tcW w:w="2263" w:type="dxa"/>
          </w:tcPr>
          <w:p w14:paraId="381E6D16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KR 4 - </w:t>
            </w: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plikovatelnost výstupů výzkumu VO v praxi</w:t>
            </w:r>
          </w:p>
        </w:tc>
        <w:tc>
          <w:tcPr>
            <w:tcW w:w="3261" w:type="dxa"/>
          </w:tcPr>
          <w:p w14:paraId="024BBE03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Stabilní ve srovnání s předchozími lety</w:t>
            </w:r>
          </w:p>
        </w:tc>
        <w:tc>
          <w:tcPr>
            <w:tcW w:w="3538" w:type="dxa"/>
          </w:tcPr>
          <w:p w14:paraId="2EC5247A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Vytvořen nový mechanismus komunikace mezi MZV a ÚMV ohledně výzkumných potřeb resortu, změněna zřizovací listina ÚMV s akcentem na aplikovaný výzkum</w:t>
            </w:r>
          </w:p>
        </w:tc>
      </w:tr>
      <w:tr w:rsidR="00450504" w:rsidRPr="00DB2C39" w14:paraId="2AC627C0" w14:textId="77777777">
        <w:tc>
          <w:tcPr>
            <w:tcW w:w="2263" w:type="dxa"/>
          </w:tcPr>
          <w:p w14:paraId="30060289" w14:textId="77777777" w:rsidR="00450504" w:rsidRPr="00303B61" w:rsidRDefault="00CB0CA1">
            <w:pPr>
              <w:spacing w:after="240" w:line="28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KR 5 - </w:t>
            </w: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elevance výstupů výzkumu VO pro budování znalostního základu zahraniční politiky</w:t>
            </w:r>
          </w:p>
          <w:p w14:paraId="719C04D4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97228AA" w14:textId="77777777" w:rsidR="00450504" w:rsidRPr="00303B61" w:rsidRDefault="00303B61" w:rsidP="00AB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Rostoucí tendence</w:t>
            </w:r>
          </w:p>
        </w:tc>
        <w:tc>
          <w:tcPr>
            <w:tcW w:w="3538" w:type="dxa"/>
          </w:tcPr>
          <w:p w14:paraId="7B8EA7BE" w14:textId="77777777" w:rsidR="00450504" w:rsidRPr="00303B61" w:rsidRDefault="00AB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VO posiluje svůj vliv při budování znalostního základu </w:t>
            </w: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zástupců rozhodovací sféry</w:t>
            </w:r>
          </w:p>
        </w:tc>
      </w:tr>
      <w:tr w:rsidR="00450504" w:rsidRPr="005C4CA7" w14:paraId="2ADA0E0B" w14:textId="77777777">
        <w:tc>
          <w:tcPr>
            <w:tcW w:w="2263" w:type="dxa"/>
          </w:tcPr>
          <w:p w14:paraId="0EEFB0D1" w14:textId="77777777" w:rsidR="00450504" w:rsidRPr="00303B61" w:rsidRDefault="00CB0CA1">
            <w:pPr>
              <w:spacing w:after="240" w:line="28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 6: popularizace výsledků</w:t>
            </w:r>
          </w:p>
          <w:p w14:paraId="1C5F0105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3B6CE0C" w14:textId="77777777" w:rsidR="00450504" w:rsidRPr="00303B61" w:rsidRDefault="00AB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Vyšší počet mediálních vystoupení pracovníků ÚMV, rostoucí návštěvnost na sociálních sítích</w:t>
            </w:r>
          </w:p>
        </w:tc>
        <w:tc>
          <w:tcPr>
            <w:tcW w:w="3538" w:type="dxa"/>
          </w:tcPr>
          <w:p w14:paraId="170B62CD" w14:textId="77777777" w:rsidR="00450504" w:rsidRPr="00303B61" w:rsidRDefault="00AB3549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Pokud jde o sociální sítě</w:t>
            </w:r>
            <w:r w:rsidR="00303B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 není na některých platformách (</w:t>
            </w:r>
            <w:r w:rsidR="005902A5"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např. 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FB, </w:t>
            </w:r>
            <w:r w:rsidR="005902A5" w:rsidRPr="00303B61">
              <w:rPr>
                <w:rFonts w:ascii="Times New Roman" w:hAnsi="Times New Roman" w:cs="Times New Roman"/>
                <w:sz w:val="18"/>
                <w:szCs w:val="18"/>
              </w:rPr>
              <w:t>TW) zřejmá silná odezva „</w:t>
            </w:r>
            <w:proofErr w:type="spellStart"/>
            <w:r w:rsidR="005902A5" w:rsidRPr="00303B61">
              <w:rPr>
                <w:rFonts w:ascii="Times New Roman" w:hAnsi="Times New Roman" w:cs="Times New Roman"/>
                <w:sz w:val="18"/>
                <w:szCs w:val="18"/>
              </w:rPr>
              <w:t>followerů</w:t>
            </w:r>
            <w:proofErr w:type="spellEnd"/>
            <w:r w:rsidR="005902A5" w:rsidRPr="00303B61">
              <w:rPr>
                <w:rFonts w:ascii="Times New Roman" w:hAnsi="Times New Roman" w:cs="Times New Roman"/>
                <w:sz w:val="18"/>
                <w:szCs w:val="18"/>
              </w:rPr>
              <w:t>“ na publikované statuty.</w:t>
            </w:r>
          </w:p>
        </w:tc>
      </w:tr>
      <w:tr w:rsidR="00450504" w:rsidRPr="00DB2C39" w14:paraId="2072CAF0" w14:textId="77777777" w:rsidTr="00AB3549">
        <w:tc>
          <w:tcPr>
            <w:tcW w:w="2263" w:type="dxa"/>
            <w:tcBorders>
              <w:bottom w:val="single" w:sz="4" w:space="0" w:color="000000"/>
            </w:tcBorders>
          </w:tcPr>
          <w:p w14:paraId="0A597EFC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 7: p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articipace VO na posilování znalostního zázemí pracovníků MZV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26694BDC" w14:textId="77777777" w:rsidR="00450504" w:rsidRPr="00303B61" w:rsidRDefault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Posílení interakce mezi ÚMV a odbory MZV</w:t>
            </w:r>
          </w:p>
        </w:tc>
        <w:tc>
          <w:tcPr>
            <w:tcW w:w="3538" w:type="dxa"/>
            <w:tcBorders>
              <w:bottom w:val="single" w:sz="4" w:space="0" w:color="000000"/>
            </w:tcBorders>
          </w:tcPr>
          <w:p w14:paraId="3090073F" w14:textId="77777777" w:rsidR="00450504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OZAP pozitivně vnímá reakci ÚMV na potřeby aplikovaného výzkumu v kontextu nově zavedeného komunikačního mechanismu, viz též KR 11 </w:t>
            </w:r>
          </w:p>
        </w:tc>
      </w:tr>
      <w:tr w:rsidR="00450504" w14:paraId="1BDC5C4A" w14:textId="77777777" w:rsidTr="00AB3549">
        <w:trPr>
          <w:trHeight w:val="230"/>
        </w:trPr>
        <w:tc>
          <w:tcPr>
            <w:tcW w:w="2263" w:type="dxa"/>
            <w:shd w:val="clear" w:color="auto" w:fill="92D050"/>
          </w:tcPr>
          <w:p w14:paraId="6EE024DD" w14:textId="77777777" w:rsidR="00450504" w:rsidRPr="00303B61" w:rsidRDefault="00CB0C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 xml:space="preserve">MODUL 4 - </w:t>
            </w:r>
            <w:proofErr w:type="spellStart"/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Viabilita</w:t>
            </w:r>
            <w:proofErr w:type="spellEnd"/>
          </w:p>
        </w:tc>
        <w:tc>
          <w:tcPr>
            <w:tcW w:w="6799" w:type="dxa"/>
            <w:gridSpan w:val="2"/>
            <w:shd w:val="clear" w:color="auto" w:fill="92D050"/>
          </w:tcPr>
          <w:p w14:paraId="27F31DA9" w14:textId="77777777" w:rsidR="00450504" w:rsidRPr="00303B61" w:rsidRDefault="00CB0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Hodnotí členové VR MZV</w:t>
            </w:r>
          </w:p>
          <w:p w14:paraId="34C59B1C" w14:textId="77777777" w:rsidR="00450504" w:rsidRPr="00303B61" w:rsidRDefault="00450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2A5" w:rsidRPr="00DB2C39" w14:paraId="4593AFF9" w14:textId="77777777">
        <w:tc>
          <w:tcPr>
            <w:tcW w:w="2263" w:type="dxa"/>
          </w:tcPr>
          <w:p w14:paraId="6FCD3190" w14:textId="77777777" w:rsidR="005902A5" w:rsidRPr="00303B61" w:rsidRDefault="005902A5" w:rsidP="005902A5">
            <w:pPr>
              <w:spacing w:after="240" w:line="28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 11: k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valita spolupráce a komunikace VO s MZV ČR</w:t>
            </w:r>
          </w:p>
          <w:p w14:paraId="2DF3415F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681FAE41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Posílení interakce mezi ÚMV a odbory MZV</w:t>
            </w:r>
          </w:p>
        </w:tc>
        <w:tc>
          <w:tcPr>
            <w:tcW w:w="3538" w:type="dxa"/>
          </w:tcPr>
          <w:p w14:paraId="226CDE2A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Toto kritérium je klíčové pro spolupráci mezi MZV a ÚMV, potvrzení pozitivního směru by mělo potvrdit hodnocení členy VR, viz též KR 7</w:t>
            </w:r>
          </w:p>
        </w:tc>
      </w:tr>
      <w:tr w:rsidR="005902A5" w:rsidRPr="00DB2C39" w14:paraId="4CE3A188" w14:textId="77777777" w:rsidTr="00AB3549">
        <w:tc>
          <w:tcPr>
            <w:tcW w:w="2263" w:type="dxa"/>
            <w:tcBorders>
              <w:bottom w:val="single" w:sz="4" w:space="0" w:color="000000"/>
            </w:tcBorders>
          </w:tcPr>
          <w:p w14:paraId="4DD2BE92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 16: s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chopnost získat financování z externích zdrojů domácích i zahraničních, zejména prostřednictvím grantů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28E5BC16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Horší výsledky oproti předchozímu sledovanému období</w:t>
            </w:r>
          </w:p>
        </w:tc>
        <w:tc>
          <w:tcPr>
            <w:tcW w:w="3538" w:type="dxa"/>
            <w:tcBorders>
              <w:bottom w:val="single" w:sz="4" w:space="0" w:color="000000"/>
            </w:tcBorders>
          </w:tcPr>
          <w:p w14:paraId="106D51B1" w14:textId="77777777" w:rsidR="005902A5" w:rsidRPr="00303B61" w:rsidRDefault="005902A5" w:rsidP="005C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Jde o důležité kritérium sledované RVVI zejména pokud jde o zahraniční zdroje, očekáváme posílení v dalším období</w:t>
            </w:r>
            <w:r w:rsidR="005C4CA7">
              <w:rPr>
                <w:rFonts w:ascii="Times New Roman" w:hAnsi="Times New Roman" w:cs="Times New Roman"/>
                <w:sz w:val="18"/>
                <w:szCs w:val="18"/>
              </w:rPr>
              <w:t xml:space="preserve"> (řada grantových žádostí byla podána)</w:t>
            </w:r>
          </w:p>
        </w:tc>
      </w:tr>
      <w:tr w:rsidR="005902A5" w14:paraId="12AEA47C" w14:textId="77777777" w:rsidTr="00AB3549">
        <w:trPr>
          <w:trHeight w:val="230"/>
        </w:trPr>
        <w:tc>
          <w:tcPr>
            <w:tcW w:w="2263" w:type="dxa"/>
            <w:shd w:val="clear" w:color="auto" w:fill="92D050"/>
          </w:tcPr>
          <w:p w14:paraId="53B8BB04" w14:textId="77777777" w:rsidR="005902A5" w:rsidRPr="00303B61" w:rsidRDefault="005902A5" w:rsidP="005902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MODUL 5 – strategie a koncepce</w:t>
            </w:r>
          </w:p>
        </w:tc>
        <w:tc>
          <w:tcPr>
            <w:tcW w:w="6799" w:type="dxa"/>
            <w:gridSpan w:val="2"/>
            <w:shd w:val="clear" w:color="auto" w:fill="92D050"/>
          </w:tcPr>
          <w:p w14:paraId="70EB75C5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Hodnotí členové VR MZV</w:t>
            </w:r>
          </w:p>
          <w:p w14:paraId="1412074C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2A5" w:rsidRPr="00DB2C39" w14:paraId="55F86877" w14:textId="77777777">
        <w:tc>
          <w:tcPr>
            <w:tcW w:w="2263" w:type="dxa"/>
          </w:tcPr>
          <w:p w14:paraId="50E8F386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 17: p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řiměřenost, kvalita a realizovatelnost DKRVO ve vazbě na Koncepci výzkumu MZV</w:t>
            </w:r>
          </w:p>
        </w:tc>
        <w:tc>
          <w:tcPr>
            <w:tcW w:w="3261" w:type="dxa"/>
          </w:tcPr>
          <w:p w14:paraId="13D34AA7" w14:textId="77777777" w:rsidR="005902A5" w:rsidRPr="00303B61" w:rsidRDefault="00303B61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OZAP hodnotí pozitivně aktivní přístup ÚMV</w:t>
            </w:r>
          </w:p>
        </w:tc>
        <w:tc>
          <w:tcPr>
            <w:tcW w:w="3538" w:type="dxa"/>
          </w:tcPr>
          <w:p w14:paraId="2BE39C85" w14:textId="1BF96730" w:rsidR="005902A5" w:rsidRPr="00303B61" w:rsidRDefault="00303B61" w:rsidP="005C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ÚMV se významně podílel na vytvoření Koncepce výzkumu MZV na léta 2022–2027</w:t>
            </w:r>
          </w:p>
        </w:tc>
      </w:tr>
      <w:tr w:rsidR="005902A5" w:rsidRPr="00DB2C39" w14:paraId="15E3FDCC" w14:textId="77777777">
        <w:tc>
          <w:tcPr>
            <w:tcW w:w="2263" w:type="dxa"/>
          </w:tcPr>
          <w:p w14:paraId="35CC8861" w14:textId="77777777" w:rsidR="005902A5" w:rsidRPr="00303B61" w:rsidRDefault="005902A5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 18: </w:t>
            </w: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rozvoj výzkumných kapacit VO ve vztahu k potřebám MZV a kvalita jejich řízení</w:t>
            </w:r>
          </w:p>
        </w:tc>
        <w:tc>
          <w:tcPr>
            <w:tcW w:w="3261" w:type="dxa"/>
          </w:tcPr>
          <w:p w14:paraId="0298C157" w14:textId="77777777" w:rsidR="005902A5" w:rsidRPr="00303B61" w:rsidRDefault="00303B61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Probíhá průběžně</w:t>
            </w:r>
          </w:p>
        </w:tc>
        <w:tc>
          <w:tcPr>
            <w:tcW w:w="3538" w:type="dxa"/>
          </w:tcPr>
          <w:p w14:paraId="393DE0C0" w14:textId="77777777" w:rsidR="005902A5" w:rsidRPr="00303B61" w:rsidRDefault="00303B61" w:rsidP="00590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B61">
              <w:rPr>
                <w:rFonts w:ascii="Times New Roman" w:hAnsi="Times New Roman" w:cs="Times New Roman"/>
                <w:sz w:val="18"/>
                <w:szCs w:val="18"/>
              </w:rPr>
              <w:t>Kritérium je klíčové pro spolupráci mezi MZV a ÚMV</w:t>
            </w:r>
          </w:p>
        </w:tc>
      </w:tr>
    </w:tbl>
    <w:p w14:paraId="668C2FA2" w14:textId="77777777" w:rsidR="00450504" w:rsidRDefault="00450504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B0C405B" w14:textId="07900719" w:rsidR="00450504" w:rsidRDefault="00450504">
      <w:p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3B6CED13" w14:textId="77777777" w:rsidR="00DC07BF" w:rsidRDefault="00DC07BF">
      <w:p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100DA91F" w14:textId="77777777" w:rsidR="00303B61" w:rsidRDefault="00303B61">
      <w:p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771DB75E" w14:textId="77777777" w:rsidR="00303B61" w:rsidRDefault="00303B61">
      <w:p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4A107853" w14:textId="77777777" w:rsidR="00450504" w:rsidRDefault="00CB0CA1">
      <w:pPr>
        <w:pStyle w:val="Odstavecseseznamem"/>
        <w:numPr>
          <w:ilvl w:val="0"/>
          <w:numId w:val="4"/>
        </w:numPr>
        <w:spacing w:after="240" w:line="288" w:lineRule="auto"/>
        <w:ind w:left="720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  <w:lang w:val="cs-CZ"/>
        </w:rPr>
        <w:lastRenderedPageBreak/>
        <w:t>komentáře k jednotlivým kritériím hodnocení</w:t>
      </w:r>
    </w:p>
    <w:p w14:paraId="74E4E6A2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>Modul 1 – kvalita vybraných (excelentních) výstupů výzkumu</w:t>
      </w:r>
    </w:p>
    <w:p w14:paraId="0C70D6EE" w14:textId="49F85AED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Ze zprávy vyplývá, že v modulech 1: Kvalita vybraných (Excelentních) výstupů výzkumu a 2 Výkonnost výzkumu nejsou k dispozici finální výsledky posledního hodnocení a výpovědní hodnota výsledků event. srovnání s předchozími lety jsou tudíž omezené. </w:t>
      </w:r>
    </w:p>
    <w:p w14:paraId="5FF22886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KR 1: konkurenceschopnost a originalita výstupů výzkumné organizace (VO) a jejich přínos k poznání v daném oboru</w:t>
      </w:r>
    </w:p>
    <w:p w14:paraId="68098221" w14:textId="77777777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Hodnotí RVVI. Data uvedená v příslušné pasáži ilustrují rozsah a kvalitu výstupů ÚMV, zaznamenaných v Registru informací o výsledcích (RIV) i ostatních. OZAP bere na vědomí  dosažené známky v kategorii „přínos k poznání“. </w:t>
      </w:r>
    </w:p>
    <w:p w14:paraId="4FD229F1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br/>
        <w:t>Modul 2 – výkonnost výzkumu</w:t>
      </w:r>
    </w:p>
    <w:p w14:paraId="4C9FE95A" w14:textId="77777777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KR 2: výkonnost VO měřená počtem a kvalitou výstupů</w:t>
      </w:r>
    </w:p>
    <w:p w14:paraId="2DC803A1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KR 3: výstupy výzkumu VO zaznamenané v mezinárodních databázích, WOS</w:t>
      </w:r>
    </w:p>
    <w:p w14:paraId="6D3FFA79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Hodnotí RVVI. OZAP bere na vědomí dosažené počty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bibliometrizovatelných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výsledků vstupujících do RIV. </w:t>
      </w:r>
    </w:p>
    <w:p w14:paraId="4A78DCA2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br/>
        <w:t xml:space="preserve">Modul 3 – společenská relevance </w:t>
      </w:r>
    </w:p>
    <w:p w14:paraId="19B50341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KR 4: 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plikovatelnost výstupů výzkumu VO v praxi, včetně výstupů zpracovaných na základě DKRVO </w:t>
      </w:r>
    </w:p>
    <w:p w14:paraId="504A8444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OZAP pozoruje stabilizaci výsledků aplikovaného výzkumu v letech 2019 až 2022. Přenos výsledků do praxe, spolupráce s aplikační sférou nebo přenos znalostí a technologií na neakademické subjekty včetně MZV je pozorně sledován hodnotiteli VO. Uplatňuje se jako jedno z hlavních kritérií při hodnocení činnosti VO a je ústředním tématem reflexního procesu o dalším směřování ÚMV. MZV vytvořilo nový mechanismus komunikace mezi MZV a ÚMV ohledně výzkumných potřeb rezortu. Žádoucí je rostoucí počet výsledků aplikovaného výzkumu s důrazem na jejich kvalitu a relevantnost zejména pro potřeby MZV vycházející z kvalitního základního výzkumu. V tomto kontextu byla v roce 2022 pozměněná zřizovací listina UMV ze strany zřizovatele.</w:t>
      </w:r>
    </w:p>
    <w:p w14:paraId="55C1129F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OZAP bere na vědomí  účast ÚMV v programech aplikovaného výzkumu TA ČR (BETA2, ÉTA) i v uvedených prestižních mezinárodních projektech v rámci programů EU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Horizon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2020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Horizon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Europe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</w:p>
    <w:p w14:paraId="6AF44982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lastRenderedPageBreak/>
        <w:br/>
        <w:t>KR 5: r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elevance výstupů výzkumu VO pro budování znalostního základu zahraniční politiky</w:t>
      </w:r>
    </w:p>
    <w:p w14:paraId="38B4E1B6" w14:textId="77777777" w:rsidR="00450504" w:rsidRDefault="00CB0CA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OZAP pozitivně vnímá roli ÚMV v šíření relevantních informací o zahraniční politice směrem k významným aktérům české a zahraniční politiky i širší veřejnosti prostřednictvím expertíz, přednášek, seminářů, konferencí a dalších platforem. </w:t>
      </w:r>
      <w:r w:rsidR="00AB354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Vítaným mechanismem je cílené zasílání relevantní </w:t>
      </w:r>
      <w:proofErr w:type="spellStart"/>
      <w:r w:rsidR="00AB3549">
        <w:rPr>
          <w:rFonts w:ascii="Times New Roman" w:hAnsi="Times New Roman" w:cs="Times New Roman"/>
          <w:color w:val="000000"/>
          <w:sz w:val="24"/>
          <w:szCs w:val="24"/>
          <w:lang w:val="cs-CZ"/>
        </w:rPr>
        <w:t>policy</w:t>
      </w:r>
      <w:proofErr w:type="spellEnd"/>
      <w:r w:rsidR="00AB354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expertízy pro zástupce rozhodovací sféry.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Vzhledem k tomu, že popis činností dle KR 5 se částečně překrývá s KR 7, OZAP doporučuje zřetelněji definovat KR 5 ve smyslu „relevance“ zatímco KR7 ve smyslu konkrétní „participace. Upozorňujeme např. na pátý odstavec v KR5, ve kterém jsou uvedeny velké konferenční projekty, jejichž výčet se opakuje v KR7 (druhý odstavec), kde má dle našeho názoru místo.</w:t>
      </w:r>
    </w:p>
    <w:p w14:paraId="0E43C2BC" w14:textId="77777777" w:rsidR="00450504" w:rsidRDefault="0045050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589261F0" w14:textId="77777777" w:rsidR="00450504" w:rsidRDefault="0045050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02C42482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KR 6: popularizace výsledků</w:t>
      </w:r>
    </w:p>
    <w:p w14:paraId="39B94D6B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OZAP vnímá pozitivně zvyšující se počet návštěvníků na sociálních sítích ve správě ÚMV. Oceňuje spuštění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podcastu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#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FluX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jehož vytvoření bylo již avizováno v předchozí průběžné zprávě o plnění DRKVO, a který je produkován v souladu se současným trendem šíření informací. OZAP si je vědom náročnosti přípravy a rizika této formy popularizace výsledků, jejíž úspěch zaručí mj. i důsledná pravidelnost vysílání. </w:t>
      </w:r>
    </w:p>
    <w:p w14:paraId="14DBD293" w14:textId="40CFDB8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Při hlubším pohledu na příspěvky publikované na sociálních sítích (FB, TW,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YouTube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či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Instagram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) se nelze ubránit dojmu, že přes celkově </w:t>
      </w:r>
      <w:r w:rsidR="005C4CA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se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zvyšující počet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followerů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“ </w:t>
      </w:r>
      <w:r w:rsidR="005C4CA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těchto platform</w:t>
      </w:r>
      <w:r w:rsidR="005C4CA7">
        <w:rPr>
          <w:rFonts w:ascii="Times New Roman" w:hAnsi="Times New Roman" w:cs="Times New Roman"/>
          <w:color w:val="000000"/>
          <w:sz w:val="24"/>
          <w:szCs w:val="24"/>
          <w:lang w:val="cs-CZ"/>
        </w:rPr>
        <w:t>ách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, je reakce na jednotlivé příspěvky minimální (např. v případě FB nejsou příspěvky téměř komentovány ani sdíleny a velmi zřídka hodnoceny, podobně na TW, kde lze však ocenit počet zobrazení, které bývá okolo 100 až 300). Ke zvážení je omezit založené platformy na jednu až dvě s důrazem na interaktivnost jejich provozování. </w:t>
      </w:r>
    </w:p>
    <w:p w14:paraId="502A0D92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OZAP oceňuje zvyšující se počet výstupů pracovníků ÚMV ve veřejné debatě o české zahraniční politice prostřednictvím vystupování v českých sdělovacích prostředcích, které jsou vítaným krokem popularizace výsledků výzkumu s potenciálem pozitivně ovlivnit veřejné mínění a prohloubit jeho  orientaci v české zahraniční politice zejména pak v souvislosti se zahájením ruské invaze na Ukrajině.</w:t>
      </w:r>
    </w:p>
    <w:p w14:paraId="78576E68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7: p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articipace VO na posilování znalostního zázemí pracovníků MZV a vzdělávání širší odborné veřejnosti (semináře, přednášky, workshopy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)</w:t>
      </w:r>
    </w:p>
    <w:p w14:paraId="4D3379DA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Výstupy výzkumných pracovníků ÚMV na konferencích a na dalších otevřených či interních fórech MZV jsou zpravidla vítanou přidanou hodnotou, zejména pokud se opírají o hlubší vhled do dané problematiky či o nezávislou expertízu.</w:t>
      </w:r>
    </w:p>
    <w:p w14:paraId="4AD67397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 xml:space="preserve">Reflexní proces týkající se relace zřizovatele k VO posunul pozitivním směrem povědomí o potřebách MZV v oblasti aplikovaného výzkumu, přičemž pohotová reakce na tyto potřeby ze strany ÚMV pomáhá k vytvoření prostředí opírající se o vzájemný respekt a důvěru a podílí se také na splnění kritéria relevance výstupů (viz KR5). </w:t>
      </w:r>
    </w:p>
    <w:p w14:paraId="201D4811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8: z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apojení VO do činnosti expertních skupin a poradních orgánů</w:t>
      </w:r>
    </w:p>
    <w:p w14:paraId="1E627058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OZAP bere na vědomí aktivní zapojení pracovníků ÚMV do expertních a poradních orgánů doma i v zahraničí.  </w:t>
      </w:r>
    </w:p>
    <w:p w14:paraId="417CB457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9: p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odpora zřizovatele při přípravě akcí a projektů s výzkumnou a vzdělávací dimenzí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</w:p>
    <w:p w14:paraId="681F354F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ÚMV zpravidla profesionálně a efektivně spolupracoval při organizování akcí pod patronací MZV.</w:t>
      </w:r>
    </w:p>
    <w:p w14:paraId="104D1163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10: p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říspěvek VO k vysvětlování zahraničněpolitických témat mezi činiteli podílejícími se na jejím formování a pro veřejnost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</w:p>
    <w:p w14:paraId="77A0B5D7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KR10 lze pokládat za určitou syntézu KR5, KR6 a KR7, kde se relevance a participace na posilování znalostního zázemí pracovníků MZV a odborné veřejnosti opírají o vhodné formy popularizace či vysvětlování výsledků mezi činiteli podílejícími se na jejím formování a pro veřejnost. OZAP vítá v tomto kontextu spuštění nového systému cíleného rozesílání novinek vytvořeného na platformě internetových stránek a očekává v dalším kroku vyhodnocení jeho dopadu.</w:t>
      </w:r>
    </w:p>
    <w:p w14:paraId="6B6CDFC1" w14:textId="77777777" w:rsidR="00450504" w:rsidRDefault="00450504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</w:pPr>
    </w:p>
    <w:p w14:paraId="4AD0E99F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 xml:space="preserve">Modul 4 –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>viabilita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 xml:space="preserve"> </w:t>
      </w:r>
    </w:p>
    <w:p w14:paraId="4B9F5200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KR 11: k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valita spolupráce a komunikace VO s MZV ČR</w:t>
      </w:r>
    </w:p>
    <w:p w14:paraId="3A19B0A7" w14:textId="4F7D584E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Vedle vytvoření nového mechanismu komunikace mezi MZV a ÚMV ohledně výzkumných potřeb rezortu docházelo ve sledovaném období k intenzivnější interakci ať již v rámci jednání Vědecké rady MZV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 průběhu jednání Rady ÚMV či Dozorčí rady (kde došlo ke změně jednacího řádu ohledně zastoupení zřizovatele a VO). 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>Nastal p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ozitivní posun k přímé interakci mezi ÚMV a jednotlivými 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 xml:space="preserve">útvary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MZV 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 xml:space="preserve">ohledně specifických témat či agend, k čemuž přispěl </w:t>
      </w:r>
      <w:r>
        <w:rPr>
          <w:rFonts w:ascii="Times New Roman" w:hAnsi="Times New Roman" w:cs="Times New Roman"/>
          <w:sz w:val="24"/>
          <w:szCs w:val="24"/>
          <w:lang w:val="cs-CZ"/>
        </w:rPr>
        <w:t>i výše zmíněný mechanismus komunikace mezi MZV a ÚMV ohledně výzkumných potřeb rezortu.</w:t>
      </w:r>
    </w:p>
    <w:p w14:paraId="52DBF979" w14:textId="77777777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12: k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valita spolupráce a komunikace VO s partnery mimo MZV na národní úrovni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</w:p>
    <w:p w14:paraId="5BFE6E66" w14:textId="77777777" w:rsidR="00450504" w:rsidRDefault="00450504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4ADE17EB" w14:textId="77777777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OZAP bere na vědomí informaci VO o komunikaci s partnery mimo MZV na národní úrovni.</w:t>
      </w:r>
    </w:p>
    <w:p w14:paraId="08DEC91A" w14:textId="5CCFC512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lastRenderedPageBreak/>
        <w:t>KR 13: k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valita spolupráce a komunikace VO s partnery mimo MZV na mezinárodní úrovni</w:t>
      </w:r>
    </w:p>
    <w:p w14:paraId="65D58D6F" w14:textId="77777777" w:rsidR="00450504" w:rsidRDefault="00450504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4C9FD4DC" w14:textId="77777777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OZAP bere na vědomí informaci VO o komunikaci s partnery mimo MZV na mezinárodní úrovni. Vítá realizaci strategického přístupu k internacionalizaci.</w:t>
      </w:r>
    </w:p>
    <w:p w14:paraId="2AB5C73A" w14:textId="77777777" w:rsidR="00450504" w:rsidRDefault="00450504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1AA8C49A" w14:textId="77777777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14: r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ozsah mezinárodní spolupráce (počet společných projektů, konferencí, seminářů, 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field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research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>“ atd.)</w:t>
      </w:r>
    </w:p>
    <w:p w14:paraId="578B1B31" w14:textId="77777777" w:rsidR="00450504" w:rsidRDefault="00450504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0E9EF913" w14:textId="77777777" w:rsidR="00450504" w:rsidRDefault="00CB0CA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OZAP bere na vědomí informaci VO o rozsahu mezinárodní spolupráce zejména v rámci programu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Horizon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Europe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(RECLAIM).</w:t>
      </w:r>
    </w:p>
    <w:p w14:paraId="03C61251" w14:textId="77777777" w:rsidR="00450504" w:rsidRDefault="00450504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60B95AAE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 xml:space="preserve">KR 15: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Mobilita výzkumníků VO (domácí a zahraniční)</w:t>
      </w:r>
    </w:p>
    <w:p w14:paraId="41D8BA53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OZAP oceňuje další posilování mobility výzkumníků ÚMV</w:t>
      </w:r>
      <w:r w:rsidR="008B010D">
        <w:rPr>
          <w:rFonts w:ascii="Times New Roman" w:hAnsi="Times New Roman" w:cs="Times New Roman"/>
          <w:color w:val="000000"/>
          <w:sz w:val="24"/>
          <w:szCs w:val="24"/>
          <w:lang w:val="cs-CZ"/>
        </w:rPr>
        <w:t>, i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prostřednictvím již v loňské zprávě zmíněného projektu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Podpora globálního znalostního transferu pro transdisciplinární výzkum mezinárodních vztahů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14:paraId="3270D852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16: s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chopnost získat financování z externích zdrojů domácích i zahraničních, zejména prostřednictvím grantů</w:t>
      </w:r>
    </w:p>
    <w:p w14:paraId="2E279749" w14:textId="16B17973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Dle sebehodnotící zprávy se meziročně </w:t>
      </w:r>
      <w:r>
        <w:rPr>
          <w:rFonts w:ascii="Times New Roman" w:hAnsi="Times New Roman" w:cs="Times New Roman"/>
          <w:sz w:val="24"/>
          <w:szCs w:val="24"/>
          <w:lang w:val="cs-CZ"/>
        </w:rPr>
        <w:t>účelové prostředky (včetně zahraničních) snížily o 6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750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000,00 Kč oproti roku 2021. OZAP konstatuje, že získávání financí z externích zdrojů, zejména pak ze zahraničních, je vnímáno jako významné kritérium pro hodnocení VO. OZAP bere na vědomí vysvětlení VO, že jde „pouze o jednorázovou anomálii“ a doufá v razantní změnu 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příští sledované období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 xml:space="preserve"> (vedeme v patrnosti,  že byla podána řada grantových žádostí)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FE388A9" w14:textId="77777777" w:rsidR="00450504" w:rsidRDefault="00450504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</w:pPr>
    </w:p>
    <w:p w14:paraId="16FE9DA1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cs-CZ"/>
        </w:rPr>
        <w:t>Modul 5 – strategie a koncepce</w:t>
      </w:r>
    </w:p>
    <w:p w14:paraId="40F1E1FC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  <w:t>KR 17: p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řiměřenost, kvalita a realizovatelnost DKRVO ve vazbě na Koncepci výzkumu MZV</w:t>
      </w:r>
    </w:p>
    <w:p w14:paraId="1A7758BD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OZAP oceňuje podíl ÚMV na tvorbě nové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cs-CZ"/>
        </w:rPr>
        <w:t xml:space="preserve">Koncepce výzkumu MZV na léta 2022–2027 </w:t>
      </w:r>
      <w:r>
        <w:rPr>
          <w:rFonts w:ascii="Times New Roman" w:hAnsi="Times New Roman" w:cs="Times New Roman"/>
          <w:sz w:val="24"/>
          <w:szCs w:val="24"/>
          <w:lang w:val="cs-CZ"/>
        </w:rPr>
        <w:t>a očekává, že bude východiskem i pro připravovanou novou Koncepci rozvoje ÚMV včetně stanovení tematických a teritoriálních priorit výzkumu a budování relevantní expertízy.</w:t>
      </w:r>
    </w:p>
    <w:p w14:paraId="42DACE1E" w14:textId="77777777" w:rsidR="00DC07BF" w:rsidRDefault="00DC07BF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57832375" w14:textId="77777777" w:rsidR="00DC07BF" w:rsidRDefault="00DC07BF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6F941C7B" w14:textId="3E22C8EE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lastRenderedPageBreak/>
        <w:t xml:space="preserve">KR 18: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rozvoj výzkumných kapacit VO ve vztahu k potřebám MZV a kvalita jejich řízení</w:t>
      </w:r>
    </w:p>
    <w:p w14:paraId="20158203" w14:textId="00ADFACA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OZAP ber</w:t>
      </w:r>
      <w:r w:rsidR="00DC07BF">
        <w:rPr>
          <w:rFonts w:ascii="Times New Roman" w:hAnsi="Times New Roman" w:cs="Times New Roman"/>
          <w:sz w:val="24"/>
          <w:szCs w:val="24"/>
          <w:lang w:val="cs-CZ"/>
        </w:rPr>
        <w:t>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vědomí pokračování komplexního procesu reforem strategie, řízení a procesů ÚMV. </w:t>
      </w:r>
    </w:p>
    <w:p w14:paraId="74297325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Z pohledu OZAP je nyní žádoucí, aby resortní VO v tomto kursu nadále pokračovala, a to v souladu s potřebami MZV, a aby uspěla i v prezentaci svých aktivit napříč relevantními útvary MZV. </w:t>
      </w:r>
    </w:p>
    <w:p w14:paraId="75334C46" w14:textId="77777777" w:rsidR="00450504" w:rsidRDefault="00450504">
      <w:pPr>
        <w:pStyle w:val="Odstavecseseznamem"/>
        <w:spacing w:after="240" w:line="288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cs-CZ"/>
        </w:rPr>
      </w:pPr>
    </w:p>
    <w:p w14:paraId="4C0200C1" w14:textId="77777777" w:rsidR="00450504" w:rsidRDefault="00450504">
      <w:pPr>
        <w:pStyle w:val="Odstavecseseznamem"/>
        <w:spacing w:after="240" w:line="288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cs-CZ"/>
        </w:rPr>
      </w:pPr>
    </w:p>
    <w:p w14:paraId="03E3D88A" w14:textId="77777777" w:rsidR="00450504" w:rsidRDefault="00CB0CA1">
      <w:pPr>
        <w:pStyle w:val="Odstavecseseznamem"/>
        <w:numPr>
          <w:ilvl w:val="0"/>
          <w:numId w:val="4"/>
        </w:numPr>
        <w:spacing w:after="240" w:line="288" w:lineRule="auto"/>
        <w:ind w:left="720"/>
        <w:jc w:val="both"/>
        <w:rPr>
          <w:rFonts w:ascii="Times New Roman" w:hAnsi="Times New Roman" w:cs="Times New Roman"/>
          <w:b/>
          <w:smallCap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cs-CZ"/>
        </w:rPr>
        <w:t>SWOT analýza</w:t>
      </w:r>
    </w:p>
    <w:p w14:paraId="56F6D33D" w14:textId="77777777" w:rsidR="00CB0CA1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Ukazatele SWOT analýzy jsou téměř identické s ukazateli za předchozí sledované období.</w:t>
      </w:r>
    </w:p>
    <w:p w14:paraId="5612B256" w14:textId="318CF497" w:rsidR="00CB0CA1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Pokud jde o prezentované silné stránky ve SWOT analýze, OZAP si je vědom </w:t>
      </w:r>
      <w:r w:rsidR="008B010D">
        <w:rPr>
          <w:rFonts w:ascii="Times New Roman" w:hAnsi="Times New Roman" w:cs="Times New Roman"/>
          <w:sz w:val="24"/>
          <w:szCs w:val="24"/>
          <w:lang w:val="cs-CZ"/>
        </w:rPr>
        <w:t xml:space="preserve">přínosu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hybridního charakteru ÚMV propojující základní a aplikovaný výzkum. </w:t>
      </w:r>
    </w:p>
    <w:p w14:paraId="26506BA7" w14:textId="77777777" w:rsidR="00450504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OZAP bere na vědomí výčet slabých stránek, za zásadní pokládá mj. nedostatek kmenových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seniorních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výzkumníků a neúplné pokrytí oblastí se zahraničněpolitickou prioritou výzkumnými pracovníky ÚMV. Podobně jako v předchozím hodnocení OZAP uvítá v dalších sledovaných obdobích rovněž zaměření ÚMV na zvýšení povědomí o instituci v zahraničí i v domácím prostředí (včetně MZV).   </w:t>
      </w:r>
    </w:p>
    <w:p w14:paraId="763EBA69" w14:textId="77777777" w:rsidR="00CB0CA1" w:rsidRDefault="00CB0CA1">
      <w:pPr>
        <w:spacing w:after="24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OZAP rovněž odmítá existenci „snah o narušení nezávislosti instituce“. OZAP vychází z premisy umožnit VO nezávislý výzkum, zároveň však z pozice zřizovatele vyjadřuje dle situace různou míru rezervovanosti vůči autonomním výstupům ÚMV, které nejsou v souladu s prioritami a směřováním české zahraniční politiky. </w:t>
      </w:r>
    </w:p>
    <w:p w14:paraId="5F8238B1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</w:p>
    <w:p w14:paraId="21C5C388" w14:textId="77777777" w:rsidR="00450504" w:rsidRDefault="00450504">
      <w:pPr>
        <w:spacing w:after="240" w:line="288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AEAFB18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Zpracoval: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Mgr. Pavel Hrnčíř, tajemník VR</w:t>
      </w:r>
    </w:p>
    <w:p w14:paraId="63AF9485" w14:textId="77777777" w:rsidR="00450504" w:rsidRDefault="00CB0CA1">
      <w:pPr>
        <w:spacing w:after="240" w:line="288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Schválil:</w:t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PhDr. Jan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Šnaidauf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Ř OZAP a místopředseda VR</w:t>
      </w:r>
    </w:p>
    <w:sectPr w:rsidR="00450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1" w:right="1417" w:bottom="100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14D1" w14:textId="77777777" w:rsidR="00450504" w:rsidRDefault="00CB0CA1">
      <w:pPr>
        <w:spacing w:after="0" w:line="240" w:lineRule="auto"/>
      </w:pPr>
      <w:r>
        <w:separator/>
      </w:r>
    </w:p>
  </w:endnote>
  <w:endnote w:type="continuationSeparator" w:id="0">
    <w:p w14:paraId="1062AD43" w14:textId="77777777" w:rsidR="00450504" w:rsidRDefault="00CB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AD2A" w14:textId="77777777" w:rsidR="00450504" w:rsidRDefault="004505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1924" w14:textId="77777777" w:rsidR="00450504" w:rsidRDefault="004505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4799" w14:textId="77777777" w:rsidR="00450504" w:rsidRDefault="004505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0684" w14:textId="77777777" w:rsidR="00450504" w:rsidRDefault="00CB0CA1">
      <w:pPr>
        <w:spacing w:after="0" w:line="240" w:lineRule="auto"/>
      </w:pPr>
      <w:r>
        <w:separator/>
      </w:r>
    </w:p>
  </w:footnote>
  <w:footnote w:type="continuationSeparator" w:id="0">
    <w:p w14:paraId="36CD24C8" w14:textId="77777777" w:rsidR="00450504" w:rsidRDefault="00CB0CA1">
      <w:pPr>
        <w:spacing w:after="0" w:line="240" w:lineRule="auto"/>
      </w:pPr>
      <w:r>
        <w:continuationSeparator/>
      </w:r>
    </w:p>
  </w:footnote>
  <w:footnote w:id="1">
    <w:p w14:paraId="4CC61138" w14:textId="77777777" w:rsidR="00450504" w:rsidRDefault="00CB0CA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Dlouhodobá koncepce rozvoje výzkumné organizace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498C" w14:textId="77777777" w:rsidR="00450504" w:rsidRDefault="004505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BB65" w14:textId="77777777" w:rsidR="00450504" w:rsidRDefault="004505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7886" w14:textId="77777777" w:rsidR="00450504" w:rsidRDefault="004505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434"/>
    <w:multiLevelType w:val="hybridMultilevel"/>
    <w:tmpl w:val="65BE84E2"/>
    <w:lvl w:ilvl="0" w:tplc="6DC0BC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C269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00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6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46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F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8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4A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66"/>
    <w:multiLevelType w:val="hybridMultilevel"/>
    <w:tmpl w:val="681EC382"/>
    <w:lvl w:ilvl="0" w:tplc="E2961EF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C9CB40C">
      <w:start w:val="1"/>
      <w:numFmt w:val="lowerLetter"/>
      <w:lvlText w:val="%2."/>
      <w:lvlJc w:val="left"/>
      <w:pPr>
        <w:ind w:left="1440" w:hanging="360"/>
      </w:pPr>
    </w:lvl>
    <w:lvl w:ilvl="2" w:tplc="B2C496AE">
      <w:start w:val="1"/>
      <w:numFmt w:val="lowerRoman"/>
      <w:lvlText w:val="%3."/>
      <w:lvlJc w:val="right"/>
      <w:pPr>
        <w:ind w:left="2160" w:hanging="180"/>
      </w:pPr>
    </w:lvl>
    <w:lvl w:ilvl="3" w:tplc="089A4444">
      <w:start w:val="1"/>
      <w:numFmt w:val="decimal"/>
      <w:lvlText w:val="%4."/>
      <w:lvlJc w:val="left"/>
      <w:pPr>
        <w:ind w:left="2880" w:hanging="360"/>
      </w:pPr>
    </w:lvl>
    <w:lvl w:ilvl="4" w:tplc="58F4EA5C">
      <w:start w:val="1"/>
      <w:numFmt w:val="lowerLetter"/>
      <w:lvlText w:val="%5."/>
      <w:lvlJc w:val="left"/>
      <w:pPr>
        <w:ind w:left="3600" w:hanging="360"/>
      </w:pPr>
    </w:lvl>
    <w:lvl w:ilvl="5" w:tplc="8E96ACD4">
      <w:start w:val="1"/>
      <w:numFmt w:val="lowerRoman"/>
      <w:lvlText w:val="%6."/>
      <w:lvlJc w:val="right"/>
      <w:pPr>
        <w:ind w:left="4320" w:hanging="180"/>
      </w:pPr>
    </w:lvl>
    <w:lvl w:ilvl="6" w:tplc="C33439EC">
      <w:start w:val="1"/>
      <w:numFmt w:val="decimal"/>
      <w:lvlText w:val="%7."/>
      <w:lvlJc w:val="left"/>
      <w:pPr>
        <w:ind w:left="5040" w:hanging="360"/>
      </w:pPr>
    </w:lvl>
    <w:lvl w:ilvl="7" w:tplc="611C0284">
      <w:start w:val="1"/>
      <w:numFmt w:val="lowerLetter"/>
      <w:lvlText w:val="%8."/>
      <w:lvlJc w:val="left"/>
      <w:pPr>
        <w:ind w:left="5760" w:hanging="360"/>
      </w:pPr>
    </w:lvl>
    <w:lvl w:ilvl="8" w:tplc="02B071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21B"/>
    <w:multiLevelType w:val="hybridMultilevel"/>
    <w:tmpl w:val="7FCC4C84"/>
    <w:lvl w:ilvl="0" w:tplc="E9D889D4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2716CB8A">
      <w:start w:val="1"/>
      <w:numFmt w:val="lowerLetter"/>
      <w:lvlText w:val="%2."/>
      <w:lvlJc w:val="left"/>
      <w:pPr>
        <w:ind w:left="4680" w:hanging="360"/>
      </w:pPr>
    </w:lvl>
    <w:lvl w:ilvl="2" w:tplc="F4863814">
      <w:start w:val="1"/>
      <w:numFmt w:val="lowerRoman"/>
      <w:lvlText w:val="%3."/>
      <w:lvlJc w:val="right"/>
      <w:pPr>
        <w:ind w:left="5400" w:hanging="180"/>
      </w:pPr>
    </w:lvl>
    <w:lvl w:ilvl="3" w:tplc="B2645882">
      <w:start w:val="1"/>
      <w:numFmt w:val="decimal"/>
      <w:lvlText w:val="%4."/>
      <w:lvlJc w:val="left"/>
      <w:pPr>
        <w:ind w:left="6120" w:hanging="360"/>
      </w:pPr>
    </w:lvl>
    <w:lvl w:ilvl="4" w:tplc="0F580DA6">
      <w:start w:val="1"/>
      <w:numFmt w:val="lowerLetter"/>
      <w:lvlText w:val="%5."/>
      <w:lvlJc w:val="left"/>
      <w:pPr>
        <w:ind w:left="6840" w:hanging="360"/>
      </w:pPr>
    </w:lvl>
    <w:lvl w:ilvl="5" w:tplc="D99E4352">
      <w:start w:val="1"/>
      <w:numFmt w:val="lowerRoman"/>
      <w:lvlText w:val="%6."/>
      <w:lvlJc w:val="right"/>
      <w:pPr>
        <w:ind w:left="7560" w:hanging="180"/>
      </w:pPr>
    </w:lvl>
    <w:lvl w:ilvl="6" w:tplc="2C5C29F0">
      <w:start w:val="1"/>
      <w:numFmt w:val="decimal"/>
      <w:lvlText w:val="%7."/>
      <w:lvlJc w:val="left"/>
      <w:pPr>
        <w:ind w:left="8280" w:hanging="360"/>
      </w:pPr>
    </w:lvl>
    <w:lvl w:ilvl="7" w:tplc="2018AB5A">
      <w:start w:val="1"/>
      <w:numFmt w:val="lowerLetter"/>
      <w:lvlText w:val="%8."/>
      <w:lvlJc w:val="left"/>
      <w:pPr>
        <w:ind w:left="9000" w:hanging="360"/>
      </w:pPr>
    </w:lvl>
    <w:lvl w:ilvl="8" w:tplc="2B5A9B8E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F052B83"/>
    <w:multiLevelType w:val="hybridMultilevel"/>
    <w:tmpl w:val="03726D9A"/>
    <w:lvl w:ilvl="0" w:tplc="13C4C5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EC2E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2F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6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C9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E6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83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CD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46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04"/>
    <w:rsid w:val="00303B61"/>
    <w:rsid w:val="00450504"/>
    <w:rsid w:val="005902A5"/>
    <w:rsid w:val="005C4CA7"/>
    <w:rsid w:val="008B010D"/>
    <w:rsid w:val="00AB3549"/>
    <w:rsid w:val="00CB0CA1"/>
    <w:rsid w:val="00DB2C39"/>
    <w:rsid w:val="00DC07BF"/>
    <w:rsid w:val="00E76C5E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28A"/>
  <w15:docId w15:val="{1DBF04A6-4A13-4522-BD92-9F1D5E6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val="cs-CZ"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A877-2B93-44B2-9C30-B58042D0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2030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 Pavel</dc:creator>
  <cp:keywords/>
  <dc:description/>
  <cp:lastModifiedBy>HRNČÍŘ Pavel</cp:lastModifiedBy>
  <cp:revision>2</cp:revision>
  <cp:lastPrinted>2023-04-18T09:39:00Z</cp:lastPrinted>
  <dcterms:created xsi:type="dcterms:W3CDTF">2023-05-19T08:27:00Z</dcterms:created>
  <dcterms:modified xsi:type="dcterms:W3CDTF">2023-05-19T08:27:00Z</dcterms:modified>
</cp:coreProperties>
</file>