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AF" w:rsidRDefault="00035BBD" w:rsidP="00035BBD">
      <w:pPr>
        <w:spacing w:after="120" w:line="360" w:lineRule="auto"/>
        <w:jc w:val="center"/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Společné prohlášení Visegrádské skupiny o budoucnosti Východního partnerství</w:t>
      </w:r>
    </w:p>
    <w:p w:rsidR="00DE00AF" w:rsidRDefault="00035BBD" w:rsidP="00035BBD">
      <w:pPr>
        <w:spacing w:after="120" w:line="36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Vzhledem k omezením způsobeným vypuknutím epidemie COVID-19 odložilo české předsednictví Visegrádské skupiny (V4) </w:t>
      </w:r>
      <w:r>
        <w:rPr>
          <w:rFonts w:ascii="Times New Roman" w:hAnsi="Times New Roman" w:cs="Times New Roman"/>
          <w:sz w:val="23"/>
          <w:szCs w:val="23"/>
        </w:rPr>
        <w:t>setkání ministrů zahraničních věcí  V4 a zemí Východního partnerství s ministry zahraničních věcí Chorvatska, Německa a Švédska a vysokým představitelem Unie pro zahraniční věci a bezpečnostní politiku /místopředsedou Evropské komise a komisařem pro rozšiř</w:t>
      </w:r>
      <w:r>
        <w:rPr>
          <w:rFonts w:ascii="Times New Roman" w:hAnsi="Times New Roman" w:cs="Times New Roman"/>
          <w:sz w:val="23"/>
          <w:szCs w:val="23"/>
        </w:rPr>
        <w:t>ování a sousedství jako zvláštními hosty, původně plánované na 8. dubna 2020. Ministři Česka, Maďarska, Polska a Slovenska se však rozhodli vydat toto Společné prohlášení o budoucnosti Východního partnerství.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ab/>
        <w:t>Před summitem Východního partnerství v čer</w:t>
      </w:r>
      <w:r>
        <w:rPr>
          <w:rFonts w:ascii="Times New Roman" w:hAnsi="Times New Roman" w:cs="Times New Roman"/>
          <w:sz w:val="23"/>
          <w:szCs w:val="23"/>
        </w:rPr>
        <w:t>vnu tohoto roku oceňujeme deset let úspěšného politického rámce Východního partnerství spočívajícího na zásadách a hodnotách stanovených Pražskou deklarací z května 2009 a budeme se snažit na základě strukturovaných konzultací přijmout ambiciózní program p</w:t>
      </w:r>
      <w:r>
        <w:rPr>
          <w:rFonts w:ascii="Times New Roman" w:hAnsi="Times New Roman" w:cs="Times New Roman"/>
          <w:sz w:val="23"/>
          <w:szCs w:val="23"/>
        </w:rPr>
        <w:t>ro budoucnost. Vzali jsme na vědomí Společné sdělení Evropské komise a  vysokého představitele Unie pro zahraniční věci a bezpečnostní politiku "Posílení odolnosti - Východní partnerství</w:t>
      </w:r>
      <w:r>
        <w:rPr>
          <w:rFonts w:ascii="Times New Roman" w:hAnsi="Times New Roman" w:cs="Times New Roman"/>
          <w:sz w:val="23"/>
          <w:szCs w:val="23"/>
        </w:rPr>
        <w:t>, které slouží všem", které skýtá pevnou základnu pro rokování</w:t>
      </w:r>
      <w:r>
        <w:rPr>
          <w:rFonts w:ascii="Times New Roman" w:hAnsi="Times New Roman" w:cs="Times New Roman"/>
          <w:sz w:val="23"/>
          <w:szCs w:val="23"/>
        </w:rPr>
        <w:t xml:space="preserve"> summit</w:t>
      </w:r>
      <w:r>
        <w:rPr>
          <w:rFonts w:ascii="Times New Roman" w:hAnsi="Times New Roman" w:cs="Times New Roman"/>
          <w:sz w:val="23"/>
          <w:szCs w:val="23"/>
        </w:rPr>
        <w:t xml:space="preserve">u. 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3"/>
          <w:szCs w:val="23"/>
        </w:rPr>
        <w:tab/>
        <w:t>Zajistíme, aby si Východní partnerství zachovalo svůj strategický význam  a vysokou prioritu ve vnější činnosti EU a vítáme závazek nového vedení institucí EU pozvednout Východní partnerství na další úroveň.  Budeme usilovat, aby tato priorita byl</w:t>
      </w:r>
      <w:r>
        <w:rPr>
          <w:rFonts w:ascii="Times New Roman" w:hAnsi="Times New Roman" w:cs="Times New Roman"/>
          <w:sz w:val="23"/>
          <w:szCs w:val="23"/>
        </w:rPr>
        <w:t>a doprovázena i alokací dostatečných zdrojů  pro tuto politiku v příštím víceletém finančním rámci. Po roce 2020 musí Východní partnerství stavět na  provádění dvaceti opatření pro 2020 umožňujících individuální přístup partnerů. Naším hlavním cílem je pol</w:t>
      </w:r>
      <w:r>
        <w:rPr>
          <w:rFonts w:ascii="Times New Roman" w:hAnsi="Times New Roman" w:cs="Times New Roman"/>
          <w:sz w:val="23"/>
          <w:szCs w:val="23"/>
        </w:rPr>
        <w:t>itické sbližování a hospodářská integrace východních partnerů s Evropskou unií.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ab/>
        <w:t>Budoucí politika musí být pro naše partnery důvěryhodná, dynamická a přitažlivá a musí zároveň odrážet sdílené hodnoty jako základy Východního partnerství: mezinárodní řád</w:t>
      </w:r>
      <w:r>
        <w:rPr>
          <w:rFonts w:ascii="Times New Roman" w:hAnsi="Times New Roman" w:cs="Times New Roman"/>
          <w:sz w:val="23"/>
          <w:szCs w:val="23"/>
        </w:rPr>
        <w:t xml:space="preserve"> a mezinárodní právo založené na spravedlivých pravidlech, demokratické postupy, právní stát a nezávislé soudy a média, ochranu lidských práv a práv osob náležejících k menšinám, řádnou správu věcí veřejných, trvale udržitelný rozvoj a tržní hospodářství. </w:t>
      </w:r>
      <w:r>
        <w:rPr>
          <w:rFonts w:ascii="Times New Roman" w:hAnsi="Times New Roman" w:cs="Times New Roman"/>
          <w:sz w:val="23"/>
          <w:szCs w:val="23"/>
        </w:rPr>
        <w:t>Je rovněž třeba lépe využívat  podmíněnost a iniciativy a lepší monitorování postupu reforem. Uznáváme pokrok dosažený partnery a vybízíme je, aby pokračovali v upevňování demokracie a prosperity, aby jejich občané mohli přímo profitovat z transformace. Po</w:t>
      </w:r>
      <w:r>
        <w:rPr>
          <w:rFonts w:ascii="Times New Roman" w:hAnsi="Times New Roman" w:cs="Times New Roman"/>
          <w:sz w:val="23"/>
          <w:szCs w:val="23"/>
        </w:rPr>
        <w:t xml:space="preserve">tvrzujeme svou připravenost pokračovat ve sdílení svých zkušeností a odborných znalostí z transformace a pomáhat při budování kapacit. 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4. </w:t>
      </w:r>
      <w:r>
        <w:rPr>
          <w:rFonts w:ascii="Times New Roman" w:hAnsi="Times New Roman" w:cs="Times New Roman"/>
          <w:sz w:val="23"/>
          <w:szCs w:val="23"/>
        </w:rPr>
        <w:tab/>
        <w:t>Východní partnerství musí zůstat inkluzivní a nadále podporovat evropské touhy a volby příslušných partnerů a zárov</w:t>
      </w:r>
      <w:r>
        <w:rPr>
          <w:rFonts w:ascii="Times New Roman" w:hAnsi="Times New Roman" w:cs="Times New Roman"/>
          <w:sz w:val="23"/>
          <w:szCs w:val="23"/>
        </w:rPr>
        <w:t>eň musí diferencovat na základě závazků a aspirací partnerů. Mělo by umožnit hlubší sektorové partnerství s připravenými a zainteresovanými partnery. Plnění rámcových dohod s partnery je povzbudivé; v této souvislosti bychom uvítali dokončení jednání s Áze</w:t>
      </w:r>
      <w:r>
        <w:rPr>
          <w:rFonts w:ascii="Times New Roman" w:hAnsi="Times New Roman" w:cs="Times New Roman"/>
          <w:sz w:val="23"/>
          <w:szCs w:val="23"/>
        </w:rPr>
        <w:t xml:space="preserve">rbájdžánem a Běloruskem.  Nadále je třeba </w:t>
      </w:r>
      <w:proofErr w:type="spellStart"/>
      <w:r>
        <w:rPr>
          <w:rFonts w:ascii="Times New Roman" w:hAnsi="Times New Roman" w:cs="Times New Roman"/>
          <w:sz w:val="23"/>
          <w:szCs w:val="23"/>
        </w:rPr>
        <w:t>třeba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věnovat pozornost aktualizaci dohod o přidružení/hlubokých a k</w:t>
      </w:r>
      <w:r>
        <w:rPr>
          <w:rFonts w:ascii="Times New Roman" w:hAnsi="Times New Roman" w:cs="Times New Roman"/>
          <w:color w:val="000000"/>
          <w:sz w:val="24"/>
          <w:szCs w:val="24"/>
        </w:rPr>
        <w:t>omplexních zón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volného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obchodu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(AA/</w:t>
      </w:r>
      <w:proofErr w:type="spellStart"/>
      <w:r>
        <w:rPr>
          <w:rFonts w:ascii="Times New Roman" w:hAnsi="Times New Roman" w:cs="Times New Roman"/>
          <w:sz w:val="23"/>
          <w:szCs w:val="23"/>
        </w:rPr>
        <w:t>DCFTAs</w:t>
      </w:r>
      <w:proofErr w:type="spellEnd"/>
      <w:r>
        <w:rPr>
          <w:rFonts w:ascii="Times New Roman" w:hAnsi="Times New Roman" w:cs="Times New Roman"/>
          <w:sz w:val="23"/>
          <w:szCs w:val="23"/>
        </w:rPr>
        <w:t>) s přidruženými partnery v oblastech společného zájmu.  Zdůrazňujeme význam pokračující pomoci EU při bu</w:t>
      </w:r>
      <w:r>
        <w:rPr>
          <w:rFonts w:ascii="Times New Roman" w:hAnsi="Times New Roman" w:cs="Times New Roman"/>
          <w:sz w:val="23"/>
          <w:szCs w:val="23"/>
        </w:rPr>
        <w:t xml:space="preserve">dování kapacit, a to i při rozvoji profesionální státní služby a podporujeme myšlenku vytvoření Akademie veřejné správy Východního partnerství. 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>
        <w:rPr>
          <w:rFonts w:ascii="Times New Roman" w:hAnsi="Times New Roman" w:cs="Times New Roman"/>
          <w:sz w:val="23"/>
          <w:szCs w:val="23"/>
        </w:rPr>
        <w:tab/>
        <w:t>Stávající komplexní mezinárodní prostředí klade zvláštní důraz na odolnost jednotlivých zemí. Východní par</w:t>
      </w:r>
      <w:r>
        <w:rPr>
          <w:rFonts w:ascii="Times New Roman" w:hAnsi="Times New Roman" w:cs="Times New Roman"/>
          <w:sz w:val="23"/>
          <w:szCs w:val="23"/>
        </w:rPr>
        <w:t>tnerství se musí zaměřit na komplexní pomoc partnerům při budování odolných společností. Odolnost jako široký pojem zahrnující demokratické, hospodářské a společenské aspekty, jakož i bezpečnost a environmentální a humanitární rozměry,  by se měla transfor</w:t>
      </w:r>
      <w:r>
        <w:rPr>
          <w:rFonts w:ascii="Times New Roman" w:hAnsi="Times New Roman" w:cs="Times New Roman"/>
          <w:sz w:val="23"/>
          <w:szCs w:val="23"/>
        </w:rPr>
        <w:t>movat do praktických činností podpořených dostatečnými zdroji ve prospěch partnerů a regionální stability v evropském sousedství. Budování informační bezpečnosti a boj proti dezinformacím vyžaduje nezávislá média, profesionální žurnalistiku a mediální gram</w:t>
      </w:r>
      <w:r>
        <w:rPr>
          <w:rFonts w:ascii="Times New Roman" w:hAnsi="Times New Roman" w:cs="Times New Roman"/>
          <w:sz w:val="23"/>
          <w:szCs w:val="23"/>
        </w:rPr>
        <w:t>otnost. Hybridní hrozby včetně kybernetických útoků musejí být  řešeny společně postupy zaměřenými na posilování odolnosti. Nynější pandemie  COVID-19 ukázala potřebu lepší spolupráce při  řešení civilních katastrof a vyšší odolnosti a připravenosti zdravo</w:t>
      </w:r>
      <w:r>
        <w:rPr>
          <w:rFonts w:ascii="Times New Roman" w:hAnsi="Times New Roman" w:cs="Times New Roman"/>
          <w:sz w:val="23"/>
          <w:szCs w:val="23"/>
        </w:rPr>
        <w:t xml:space="preserve">tnictví. 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color w:val="201F1E"/>
          <w:sz w:val="23"/>
          <w:szCs w:val="23"/>
        </w:rPr>
        <w:t xml:space="preserve">6. </w:t>
      </w:r>
      <w:r>
        <w:rPr>
          <w:rFonts w:ascii="Times New Roman" w:hAnsi="Times New Roman" w:cs="Times New Roman"/>
          <w:color w:val="201F1E"/>
          <w:sz w:val="23"/>
          <w:szCs w:val="23"/>
        </w:rPr>
        <w:tab/>
        <w:t xml:space="preserve">Podporujeme relokaci 140 mil. eur na okamžitou pomoc a dalších  700 mil. eur by měla mít EU  připravených na zmírnění socioekonomických dopadů </w:t>
      </w:r>
      <w:proofErr w:type="spellStart"/>
      <w:r>
        <w:rPr>
          <w:rFonts w:ascii="Times New Roman" w:hAnsi="Times New Roman" w:cs="Times New Roman"/>
          <w:color w:val="201F1E"/>
          <w:sz w:val="23"/>
          <w:szCs w:val="23"/>
        </w:rPr>
        <w:t>koronavirové</w:t>
      </w:r>
      <w:proofErr w:type="spellEnd"/>
      <w:r>
        <w:rPr>
          <w:rFonts w:ascii="Times New Roman" w:hAnsi="Times New Roman" w:cs="Times New Roman"/>
          <w:color w:val="201F1E"/>
          <w:sz w:val="23"/>
          <w:szCs w:val="23"/>
        </w:rPr>
        <w:t xml:space="preserve"> krize v zemích Východního partnerství.  Jako V4 jsme se rozhodli vyhlásit v rámci Me</w:t>
      </w:r>
      <w:r>
        <w:rPr>
          <w:rFonts w:ascii="Times New Roman" w:hAnsi="Times New Roman" w:cs="Times New Roman"/>
          <w:color w:val="201F1E"/>
          <w:sz w:val="23"/>
          <w:szCs w:val="23"/>
        </w:rPr>
        <w:t>zinárodního visegrádského fondu mimořádný Program solidarity V4  pro země Východního partnerství se zjednodušenými postupy zaměřenými na praktické posílení zdraví a sociální a hospodářské odolnosti skupin občanů zemí  Východního partnerství postižených pan</w:t>
      </w:r>
      <w:r>
        <w:rPr>
          <w:rFonts w:ascii="Times New Roman" w:hAnsi="Times New Roman" w:cs="Times New Roman"/>
          <w:color w:val="201F1E"/>
          <w:sz w:val="23"/>
          <w:szCs w:val="23"/>
        </w:rPr>
        <w:t xml:space="preserve">demií  COVID-19 a jejími následky. 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color w:val="201F1E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7. </w:t>
      </w:r>
      <w:r>
        <w:rPr>
          <w:rFonts w:ascii="Times New Roman" w:hAnsi="Times New Roman" w:cs="Times New Roman"/>
          <w:sz w:val="23"/>
          <w:szCs w:val="23"/>
        </w:rPr>
        <w:tab/>
        <w:t xml:space="preserve">Zdůrazňujeme nenahraditelnou hodnotu  angažované, odhodlané a aktivní občanské společnosti usilující o lepší budoucnost svých komunit či zemí. </w:t>
      </w:r>
      <w:r>
        <w:rPr>
          <w:rFonts w:ascii="Times New Roman" w:hAnsi="Times New Roman" w:cs="Times New Roman"/>
          <w:sz w:val="23"/>
          <w:szCs w:val="23"/>
        </w:rPr>
        <w:t xml:space="preserve">Oceňujeme přínos Fóra občanské společnosti Východního partnerství k rozvoji příslušných politik. Podporujeme častější mezilidské kontakty a mládežnické iniciativy, včetně vytvoření sítě regionálních mládežnických kanceláří pro spolupráci. 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8. </w:t>
      </w:r>
      <w:r>
        <w:rPr>
          <w:rFonts w:ascii="Times New Roman" w:hAnsi="Times New Roman" w:cs="Times New Roman"/>
          <w:sz w:val="23"/>
          <w:szCs w:val="23"/>
        </w:rPr>
        <w:tab/>
        <w:t xml:space="preserve">Prosperita </w:t>
      </w:r>
      <w:r>
        <w:rPr>
          <w:rFonts w:ascii="Times New Roman" w:hAnsi="Times New Roman" w:cs="Times New Roman"/>
          <w:sz w:val="23"/>
          <w:szCs w:val="23"/>
        </w:rPr>
        <w:t xml:space="preserve">a hospodářský pokrok jsou dalším klíčovým zaměřením Východního partnerství. EU a východní partneři by měli přijmout smělá opatření ke zvýšení a zlepšení jejich propojení, dopravy a </w:t>
      </w:r>
      <w:r>
        <w:rPr>
          <w:rFonts w:ascii="Times New Roman" w:hAnsi="Times New Roman" w:cs="Times New Roman"/>
          <w:sz w:val="23"/>
          <w:szCs w:val="23"/>
        </w:rPr>
        <w:lastRenderedPageBreak/>
        <w:t>infrastrukturálních základů k dosažení budoucích hospodářských úspěchů.  So</w:t>
      </w:r>
      <w:r>
        <w:rPr>
          <w:rFonts w:ascii="Times New Roman" w:hAnsi="Times New Roman" w:cs="Times New Roman"/>
          <w:sz w:val="23"/>
          <w:szCs w:val="23"/>
        </w:rPr>
        <w:t>učástí těchto snah by měly být rovněž digitální ekonomika a digitální propojení. Podporujeme vizi  odstupňovaného přístupu našich partnerů na jednotný trh EU na úrovních prospěšných jak pro partnery, tak pro členské státy EU.  Uznáváme rovněž důležitost in</w:t>
      </w:r>
      <w:r>
        <w:rPr>
          <w:rFonts w:ascii="Times New Roman" w:hAnsi="Times New Roman" w:cs="Times New Roman"/>
          <w:sz w:val="23"/>
          <w:szCs w:val="23"/>
        </w:rPr>
        <w:t xml:space="preserve">vestic pro prosperitu Východního partnerství a podporujeme záměr vytvořit Investiční agenturu Východního partnerství. 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9. </w:t>
      </w:r>
      <w:r>
        <w:rPr>
          <w:rFonts w:ascii="Times New Roman" w:hAnsi="Times New Roman" w:cs="Times New Roman"/>
          <w:sz w:val="23"/>
          <w:szCs w:val="23"/>
        </w:rPr>
        <w:tab/>
        <w:t>Východní partnerství by po roce 2020 mělo adekvátně zohledňovat úsilí o řešení globálních environmentálních výzev, včetně klimatický</w:t>
      </w:r>
      <w:r>
        <w:rPr>
          <w:rFonts w:ascii="Times New Roman" w:hAnsi="Times New Roman" w:cs="Times New Roman"/>
          <w:sz w:val="23"/>
          <w:szCs w:val="23"/>
        </w:rPr>
        <w:t xml:space="preserve">ch změn. Tyto postupy by měly být konzultovány s partnery, aby jejich environmentální problémy mohly být řešeny efektivně. 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10. </w:t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sz w:val="23"/>
          <w:szCs w:val="23"/>
        </w:rPr>
        <w:t>Odsuzujeme nezákonnou anexi Autonomní republiky Krym a města Sevastopol Ruskou federací; tuto anexi neuznáváme a uznávat nebud</w:t>
      </w:r>
      <w:r>
        <w:rPr>
          <w:rFonts w:ascii="Times New Roman" w:hAnsi="Times New Roman" w:cs="Times New Roman"/>
          <w:sz w:val="23"/>
          <w:szCs w:val="23"/>
        </w:rPr>
        <w:t xml:space="preserve">eme. Vyzýváme všechny smluvní strany k rychlému a úplnému provádění Minských dohod. Jsme </w:t>
      </w:r>
      <w:proofErr w:type="spellStart"/>
      <w:r>
        <w:rPr>
          <w:rFonts w:ascii="Times New Roman" w:hAnsi="Times New Roman" w:cs="Times New Roman"/>
          <w:sz w:val="23"/>
          <w:szCs w:val="23"/>
        </w:rPr>
        <w:t>jednotni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v pevné podpoře Ukrajiny a jednoty, svrchovanosti, nezávislosti a územní celistvosti všech partnerských zemí. 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tabs>
          <w:tab w:val="left" w:pos="6237"/>
        </w:tabs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>11.     Z</w:t>
      </w:r>
      <w:r>
        <w:rPr>
          <w:rFonts w:ascii="Times New Roman" w:hAnsi="Times New Roman" w:cs="Times New Roman"/>
          <w:sz w:val="23"/>
          <w:szCs w:val="23"/>
        </w:rPr>
        <w:t>důrazňujeme naléhavost co nejryc</w:t>
      </w:r>
      <w:r>
        <w:rPr>
          <w:rFonts w:ascii="Times New Roman" w:hAnsi="Times New Roman" w:cs="Times New Roman"/>
          <w:sz w:val="23"/>
          <w:szCs w:val="23"/>
        </w:rPr>
        <w:t xml:space="preserve">hlejšího řešení nevyřešených konfliktů na území zemí Východního partnerství na základě norem a zásad mezinárodního práva, jak jsou zakotveny v Chartě OSN a Helsinském závěrečném aktu. </w:t>
      </w:r>
    </w:p>
    <w:p w:rsidR="00DE00AF" w:rsidRDefault="00DE00AF" w:rsidP="00035BBD">
      <w:pPr>
        <w:tabs>
          <w:tab w:val="left" w:pos="6237"/>
        </w:tabs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12. </w:t>
      </w:r>
      <w:r>
        <w:rPr>
          <w:rFonts w:ascii="Times New Roman" w:hAnsi="Times New Roman" w:cs="Times New Roman"/>
          <w:sz w:val="23"/>
          <w:szCs w:val="23"/>
        </w:rPr>
        <w:t xml:space="preserve">        Vyjadřujeme  pevné přesvědčení, že úzká spolupráce EU se Spojeným královstvím, Spojenými státy a dalšími spojenci je prospěšná zejména v oblasti regionální stability, odolnosti našich partnerů a jejich hospodářské prosperity. </w:t>
      </w:r>
    </w:p>
    <w:p w:rsidR="00DE00AF" w:rsidRDefault="00DE00AF" w:rsidP="00035BB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00AF" w:rsidRDefault="00035BBD" w:rsidP="00035BBD">
      <w:pPr>
        <w:spacing w:after="120" w:line="36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>13.          Potvrzu</w:t>
      </w:r>
      <w:r>
        <w:rPr>
          <w:rFonts w:ascii="Times New Roman" w:hAnsi="Times New Roman" w:cs="Times New Roman"/>
          <w:sz w:val="23"/>
          <w:szCs w:val="23"/>
        </w:rPr>
        <w:t xml:space="preserve">jeme svou připravenost pokračovat v podpoře a rozvoji Východního partnerství po roce 2020, abychom přispěli k ambiciózním cílům summitu a k úspěšné budoucnosti východních partnerů. </w:t>
      </w:r>
    </w:p>
    <w:p w:rsidR="00DE00AF" w:rsidRDefault="00035BBD" w:rsidP="00035BBD">
      <w:pPr>
        <w:spacing w:after="120" w:line="360" w:lineRule="auto"/>
        <w:jc w:val="center"/>
      </w:pPr>
      <w:r>
        <w:rPr>
          <w:rFonts w:ascii="Times New Roman" w:hAnsi="Times New Roman" w:cs="Times New Roman"/>
          <w:sz w:val="23"/>
          <w:szCs w:val="23"/>
        </w:rPr>
        <w:t xml:space="preserve">X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X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X</w:t>
      </w:r>
      <w:proofErr w:type="spellEnd"/>
    </w:p>
    <w:sectPr w:rsidR="00DE00AF">
      <w:footerReference w:type="default" r:id="rId7"/>
      <w:pgSz w:w="11906" w:h="16838"/>
      <w:pgMar w:top="1440" w:right="1080" w:bottom="1440" w:left="108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5BBD">
      <w:pPr>
        <w:spacing w:after="0" w:line="240" w:lineRule="auto"/>
      </w:pPr>
      <w:r>
        <w:separator/>
      </w:r>
    </w:p>
  </w:endnote>
  <w:endnote w:type="continuationSeparator" w:id="0">
    <w:p w:rsidR="00000000" w:rsidRDefault="0003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AF" w:rsidRDefault="00DE0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5BBD">
      <w:pPr>
        <w:spacing w:after="0" w:line="240" w:lineRule="auto"/>
      </w:pPr>
      <w:r>
        <w:separator/>
      </w:r>
    </w:p>
  </w:footnote>
  <w:footnote w:type="continuationSeparator" w:id="0">
    <w:p w:rsidR="00000000" w:rsidRDefault="00035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AF"/>
    <w:rsid w:val="00035BBD"/>
    <w:rsid w:val="00D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D5DD"/>
  <w15:docId w15:val="{156B5731-AEB4-4EA3-AF34-5036CB34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15A38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A54C7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F0A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F0AA6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F0AA6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F0AA6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7E0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/>
      <w:color w:val="auto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color w:val="auto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014B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A54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F0AA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F0A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F0A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470017"/>
  </w:style>
  <w:style w:type="paragraph" w:styleId="Zhlav">
    <w:name w:val="header"/>
    <w:basedOn w:val="Normln"/>
    <w:link w:val="ZhlavChar"/>
    <w:uiPriority w:val="99"/>
    <w:unhideWhenUsed/>
    <w:rsid w:val="00257E08"/>
    <w:pPr>
      <w:tabs>
        <w:tab w:val="center" w:pos="4703"/>
        <w:tab w:val="right" w:pos="9406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85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6445-01FD-4347-A54C-B7211BA1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BALOGH</dc:creator>
  <dc:description/>
  <cp:lastModifiedBy>Adéla RUBEŠOVÁ</cp:lastModifiedBy>
  <cp:revision>2</cp:revision>
  <cp:lastPrinted>2020-04-08T11:11:00Z</cp:lastPrinted>
  <dcterms:created xsi:type="dcterms:W3CDTF">2020-04-08T11:39:00Z</dcterms:created>
  <dcterms:modified xsi:type="dcterms:W3CDTF">2020-04-08T11:39:00Z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MZV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