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928" w:rightFromText="142" w:vertAnchor="page" w:horzAnchor="page" w:tblpX="681" w:tblpY="625"/>
        <w:tblW w:w="1062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63"/>
        <w:gridCol w:w="4248"/>
        <w:gridCol w:w="5221"/>
      </w:tblGrid>
      <w:tr w:rsidR="00822CD9" w:rsidTr="00DE652E">
        <w:trPr>
          <w:trHeight w:hRule="exact" w:val="1134"/>
        </w:trPr>
        <w:tc>
          <w:tcPr>
            <w:tcW w:w="1159" w:type="dxa"/>
            <w:tcBorders>
              <w:top w:val="nil"/>
              <w:left w:val="nil"/>
              <w:bottom w:val="nil"/>
              <w:right w:val="single" w:sz="18" w:space="0" w:color="D52B1E"/>
            </w:tcBorders>
            <w:vAlign w:val="center"/>
            <w:hideMark/>
          </w:tcPr>
          <w:p w:rsidR="00822CD9" w:rsidRDefault="00822CD9" w:rsidP="00DE652E">
            <w:pPr>
              <w:spacing w:after="120" w:line="240" w:lineRule="auto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  <w:noProof/>
                <w:lang w:eastAsia="cs-CZ"/>
              </w:rPr>
              <w:drawing>
                <wp:inline distT="0" distB="0" distL="0" distR="0" wp14:anchorId="08712CCC" wp14:editId="78D04AE0">
                  <wp:extent cx="723900" cy="72390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single" w:sz="18" w:space="0" w:color="D52B1E"/>
              <w:bottom w:val="nil"/>
              <w:right w:val="single" w:sz="18" w:space="0" w:color="004A9B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hideMark/>
          </w:tcPr>
          <w:p w:rsidR="00822CD9" w:rsidRDefault="00822CD9" w:rsidP="00DE652E">
            <w:pPr>
              <w:pStyle w:val="Nzevuradu"/>
              <w:spacing w:before="0" w:after="120" w:line="240" w:lineRule="auto"/>
              <w:ind w:left="0"/>
            </w:pPr>
            <w:r>
              <w:rPr>
                <w:sz w:val="26"/>
                <w:szCs w:val="26"/>
              </w:rPr>
              <w:t>Ministerstvo zahraničních věcí</w:t>
            </w:r>
            <w:r>
              <w:rPr>
                <w:sz w:val="26"/>
                <w:szCs w:val="26"/>
              </w:rPr>
              <w:br/>
              <w:t>České republiky</w:t>
            </w:r>
          </w:p>
        </w:tc>
        <w:tc>
          <w:tcPr>
            <w:tcW w:w="5213" w:type="dxa"/>
            <w:tcBorders>
              <w:top w:val="nil"/>
              <w:left w:val="single" w:sz="18" w:space="0" w:color="004A9B"/>
              <w:bottom w:val="nil"/>
              <w:right w:val="nil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vAlign w:val="center"/>
            <w:hideMark/>
          </w:tcPr>
          <w:p w:rsidR="00822CD9" w:rsidRDefault="00822CD9" w:rsidP="00DE652E">
            <w:pPr>
              <w:pStyle w:val="Adresa"/>
              <w:spacing w:after="120" w:line="240" w:lineRule="auto"/>
            </w:pPr>
            <w:r>
              <w:t xml:space="preserve">Odbor zahraničněpolitických analýz a </w:t>
            </w:r>
            <w:proofErr w:type="gramStart"/>
            <w:r>
              <w:t>plánování                  Loretánské</w:t>
            </w:r>
            <w:proofErr w:type="gramEnd"/>
            <w:r>
              <w:t xml:space="preserve"> nám. 5, 118 00 Praha 1</w:t>
            </w:r>
          </w:p>
          <w:p w:rsidR="00822CD9" w:rsidRDefault="00822CD9" w:rsidP="00DE652E">
            <w:pPr>
              <w:pStyle w:val="Adresa"/>
              <w:spacing w:after="120" w:line="240" w:lineRule="auto"/>
            </w:pPr>
            <w:r>
              <w:t>tel.: +420 224 18</w:t>
            </w:r>
            <w:r w:rsidR="0043253E">
              <w:t>2</w:t>
            </w:r>
            <w:bookmarkStart w:id="0" w:name="_GoBack"/>
            <w:bookmarkEnd w:id="0"/>
            <w:r>
              <w:t>708, fax: +</w:t>
            </w:r>
            <w:proofErr w:type="gramStart"/>
            <w:r>
              <w:t>420 224 182015                                 email</w:t>
            </w:r>
            <w:proofErr w:type="gramEnd"/>
            <w:r>
              <w:t>:  ozap_dotace@mzv.cz</w:t>
            </w:r>
          </w:p>
          <w:p w:rsidR="00822CD9" w:rsidRDefault="0043253E" w:rsidP="00DE652E">
            <w:pPr>
              <w:pStyle w:val="Adresa"/>
              <w:spacing w:after="120" w:line="240" w:lineRule="auto"/>
            </w:pPr>
            <w:hyperlink r:id="rId10" w:history="1">
              <w:r w:rsidR="00822CD9">
                <w:rPr>
                  <w:rStyle w:val="Hypertextovodkaz"/>
                </w:rPr>
                <w:t>www.mzv.cz</w:t>
              </w:r>
            </w:hyperlink>
          </w:p>
        </w:tc>
      </w:tr>
    </w:tbl>
    <w:p w:rsidR="00822CD9" w:rsidRDefault="00822CD9" w:rsidP="00374090">
      <w:pPr>
        <w:pStyle w:val="Zhlav"/>
        <w:rPr>
          <w:rFonts w:ascii="Georgia" w:hAnsi="Georgia"/>
          <w:b/>
          <w:sz w:val="24"/>
          <w:szCs w:val="24"/>
          <w:lang w:val="de-DE"/>
        </w:rPr>
      </w:pPr>
    </w:p>
    <w:p w:rsidR="00822CD9" w:rsidRDefault="00822CD9" w:rsidP="00374090">
      <w:pPr>
        <w:pStyle w:val="Zhlav"/>
        <w:rPr>
          <w:rFonts w:ascii="Georgia" w:hAnsi="Georgia"/>
          <w:b/>
          <w:sz w:val="24"/>
          <w:szCs w:val="24"/>
          <w:lang w:val="de-DE"/>
        </w:rPr>
      </w:pPr>
    </w:p>
    <w:p w:rsidR="00374090" w:rsidRDefault="00374090" w:rsidP="00374090">
      <w:pPr>
        <w:pStyle w:val="Zhlav"/>
        <w:rPr>
          <w:rFonts w:ascii="Georgia" w:hAnsi="Georgia"/>
          <w:b/>
          <w:sz w:val="24"/>
          <w:szCs w:val="24"/>
          <w:lang w:val="de-DE"/>
        </w:rPr>
      </w:pPr>
      <w:proofErr w:type="spellStart"/>
      <w:r w:rsidRPr="00374090">
        <w:rPr>
          <w:rFonts w:ascii="Georgia" w:hAnsi="Georgia"/>
          <w:b/>
          <w:sz w:val="24"/>
          <w:szCs w:val="24"/>
          <w:lang w:val="de-DE"/>
        </w:rPr>
        <w:t>Příloha</w:t>
      </w:r>
      <w:proofErr w:type="spellEnd"/>
      <w:r w:rsidRPr="00374090">
        <w:rPr>
          <w:rFonts w:ascii="Georgia" w:hAnsi="Georgia"/>
          <w:b/>
          <w:sz w:val="24"/>
          <w:szCs w:val="24"/>
          <w:lang w:val="de-DE"/>
        </w:rPr>
        <w:t xml:space="preserve"> č. IX</w:t>
      </w:r>
    </w:p>
    <w:p w:rsidR="00F34826" w:rsidRPr="00374090" w:rsidRDefault="00F34826" w:rsidP="00374090">
      <w:pPr>
        <w:pStyle w:val="Zhlav"/>
        <w:rPr>
          <w:b/>
          <w:sz w:val="24"/>
          <w:szCs w:val="24"/>
        </w:rPr>
      </w:pPr>
    </w:p>
    <w:tbl>
      <w:tblPr>
        <w:tblpPr w:leftFromText="141" w:rightFromText="141" w:vertAnchor="text" w:horzAnchor="margin" w:tblpY="55"/>
        <w:tblW w:w="9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6"/>
      </w:tblGrid>
      <w:tr w:rsidR="00374090" w:rsidTr="00374090">
        <w:tc>
          <w:tcPr>
            <w:tcW w:w="9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:rsidR="00374090" w:rsidRDefault="00374090" w:rsidP="00374090">
            <w:pPr>
              <w:spacing w:after="120" w:line="240" w:lineRule="auto"/>
              <w:jc w:val="center"/>
              <w:rPr>
                <w:rFonts w:ascii="Times New Roman" w:hAnsi="Times New Roman"/>
                <w:bCs/>
                <w:caps/>
                <w:kern w:val="32"/>
                <w:sz w:val="24"/>
                <w:szCs w:val="24"/>
                <w:lang w:eastAsia="cs-CZ"/>
              </w:rPr>
            </w:pPr>
            <w:r w:rsidRPr="00CC189A">
              <w:rPr>
                <w:rFonts w:ascii="Times New Roman" w:hAnsi="Times New Roman"/>
                <w:b/>
                <w:sz w:val="24"/>
                <w:szCs w:val="24"/>
                <w:lang w:eastAsia="cs-CZ"/>
              </w:rPr>
              <w:t xml:space="preserve">PRIORITY ZAHRANIČNÍ POLITIKY ČR A MEZINÁRODNÍ VZTAHY - </w:t>
            </w:r>
            <w:r w:rsidRPr="00CC189A">
              <w:rPr>
                <w:rFonts w:ascii="Times New Roman" w:hAnsi="Times New Roman"/>
                <w:b/>
                <w:kern w:val="32"/>
                <w:sz w:val="24"/>
                <w:szCs w:val="24"/>
                <w:lang w:eastAsia="cs-CZ"/>
              </w:rPr>
              <w:t>rok 2020</w:t>
            </w:r>
          </w:p>
        </w:tc>
      </w:tr>
    </w:tbl>
    <w:p w:rsidR="00CC189A" w:rsidRPr="00FD0140" w:rsidRDefault="00CC189A" w:rsidP="00CC189A">
      <w:pPr>
        <w:spacing w:after="120" w:line="240" w:lineRule="auto"/>
        <w:jc w:val="center"/>
        <w:rPr>
          <w:rFonts w:ascii="Georgia" w:hAnsi="Georgia"/>
          <w:sz w:val="24"/>
          <w:szCs w:val="24"/>
          <w:lang w:eastAsia="cs-CZ"/>
        </w:rPr>
      </w:pPr>
    </w:p>
    <w:tbl>
      <w:tblPr>
        <w:tblpPr w:leftFromText="141" w:rightFromText="141" w:vertAnchor="text" w:horzAnchor="margin" w:tblpY="145"/>
        <w:tblW w:w="9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6"/>
      </w:tblGrid>
      <w:tr w:rsidR="00374090" w:rsidTr="00374090">
        <w:tc>
          <w:tcPr>
            <w:tcW w:w="9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:rsidR="00374090" w:rsidRDefault="00374090" w:rsidP="00374090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Cs/>
                <w:caps/>
                <w:kern w:val="32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cs-CZ"/>
              </w:rPr>
              <w:t xml:space="preserve">POSUZOVÁNÍ UZNATELNÝCH VÝDAJŮ NA REALIZACI </w:t>
            </w:r>
            <w:r>
              <w:rPr>
                <w:rFonts w:ascii="Times New Roman" w:hAnsi="Times New Roman"/>
                <w:b/>
                <w:kern w:val="32"/>
                <w:sz w:val="24"/>
                <w:szCs w:val="24"/>
                <w:lang w:eastAsia="cs-CZ"/>
              </w:rPr>
              <w:t xml:space="preserve">PROJEKTŮ </w:t>
            </w:r>
          </w:p>
        </w:tc>
      </w:tr>
    </w:tbl>
    <w:p w:rsidR="00B54F98" w:rsidRDefault="00B54F98" w:rsidP="00C97FC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C97FCC" w:rsidRPr="00FD0140" w:rsidRDefault="00C97FCC" w:rsidP="00EB7F53">
      <w:pPr>
        <w:spacing w:before="120" w:after="0" w:line="240" w:lineRule="auto"/>
        <w:ind w:firstLine="709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Uznatelné výdaje lze obecně definovat jako ty skutečně vynaložené výdaje, které lze hradit z dotace a o jejichž úhradu může žadatel o dotaci žádat v souvislosti se schváleným projektem. </w:t>
      </w:r>
    </w:p>
    <w:p w:rsidR="00C97FCC" w:rsidRPr="00FD0140" w:rsidRDefault="00C97FCC" w:rsidP="00EB7F53">
      <w:pPr>
        <w:spacing w:before="120" w:after="0" w:line="240" w:lineRule="auto"/>
        <w:ind w:firstLine="709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Při tvorbě rozpočtu projektu je povinností žadatele o dotaci kalkulovat uznatelné výdaje vždy na základě reálných cen, realistických odhadů a s přihlédnutím k eventuálním limitům stanoveným pro jednotlivé položky či nákladové druhy zadavatelem.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sz w:val="24"/>
          <w:szCs w:val="24"/>
          <w:u w:val="single"/>
          <w:lang w:eastAsia="cs-CZ"/>
        </w:rPr>
      </w:pP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/>
          <w:sz w:val="24"/>
          <w:szCs w:val="24"/>
          <w:u w:val="single"/>
          <w:lang w:eastAsia="cs-CZ"/>
        </w:rPr>
        <w:t>Pravidla pro zařazení a prokázání uznatelných výdajů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Uznatelné výdaje musí splňovat následující podmínky: 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1. Výdaj musí být vynaložen na činnosti v souladu s obsahovou stránkou a cílem příslušného projektu, musí bezprostředně souviset s jeho realizací a být pro jeho realizaci nezbytný a jeho vynaložení musí splňovat podmínku zdravého finančního řízení projektu především z hlediska efektivnosti vložených prostředků.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2. Výdaj musí příjemci dotace či jeho partnerovi vzniknout v době realizace projektu tak, jak je definováno ve smlouvě se zadavatelem. 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3. Výdaj musí být doložen průkaznými účetními či daňovými doklady (s výjimkou nepřímých výdajů) a správně zaevidován v účetních knihách příjemce dotace tak, aby byl identifikovatelný a kontrolovatelný (v souladu se zákonem o účetnictví č. 563/1991 Sb.). Účetním dokladem je pouze prvotní doklad, který musí mít následující náležitosti podle § 11 zákona č. 563/1991, o účetnictví, ve znění pozdějších předpisů. Pokud na faktuře jako prvotním účetním dokladu nejsou obsaženy všechny údaje prokazující správnost a oprávněnost uhrazení nákladů, je potřeba je doložit formou příloh (např. Smlouvou, Příkazní smlouvou, DPP). Pro daňové doklady, které jsou vydány zahraniční osobou, platí pravidla podle zákona č. 235/2004 Sb., o dani z přidané hodnoty, kde jsou uvedeny požadované náležitosti těchto dokladů. Pokud doklad neobsahuje některé náležitosti nebo ho nelze doložit, řeší se tato situace místopřísežným prohlášením příjemce dotace. 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4. Výdaj musí být stanoven pro realizaci příslušného projektu a musí být obsažen v rozpočtu projektů.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  <w:r w:rsidRPr="00FD0140">
        <w:rPr>
          <w:rFonts w:ascii="Georgia" w:hAnsi="Georgia"/>
          <w:sz w:val="24"/>
          <w:szCs w:val="24"/>
        </w:rPr>
        <w:t xml:space="preserve">5. Veškeré výdaje (výdajové doklady) budou řádně označeny číslem </w:t>
      </w:r>
      <w:r w:rsidR="002344A3" w:rsidRPr="00FD0140">
        <w:rPr>
          <w:rFonts w:ascii="Georgia" w:hAnsi="Georgia"/>
          <w:sz w:val="24"/>
          <w:szCs w:val="24"/>
        </w:rPr>
        <w:t>k</w:t>
      </w:r>
      <w:r w:rsidRPr="00FD0140">
        <w:rPr>
          <w:rFonts w:ascii="Georgia" w:hAnsi="Georgia"/>
          <w:sz w:val="24"/>
          <w:szCs w:val="24"/>
        </w:rPr>
        <w:t xml:space="preserve">apitoly a </w:t>
      </w:r>
      <w:r w:rsidR="002344A3" w:rsidRPr="00FD0140">
        <w:rPr>
          <w:rFonts w:ascii="Georgia" w:hAnsi="Georgia"/>
          <w:sz w:val="24"/>
          <w:szCs w:val="24"/>
        </w:rPr>
        <w:t>p</w:t>
      </w:r>
      <w:r w:rsidRPr="00FD0140">
        <w:rPr>
          <w:rFonts w:ascii="Georgia" w:hAnsi="Georgia"/>
          <w:sz w:val="24"/>
          <w:szCs w:val="24"/>
        </w:rPr>
        <w:t xml:space="preserve">odkapitoly, tak aby tyto údaje souhlasily s údaji v tabulce </w:t>
      </w:r>
      <w:r w:rsidR="002344A3" w:rsidRPr="00FD0140">
        <w:rPr>
          <w:rFonts w:ascii="Georgia" w:hAnsi="Georgia"/>
          <w:sz w:val="24"/>
          <w:szCs w:val="24"/>
        </w:rPr>
        <w:t>p</w:t>
      </w:r>
      <w:r w:rsidRPr="00FD0140">
        <w:rPr>
          <w:rFonts w:ascii="Georgia" w:hAnsi="Georgia"/>
          <w:sz w:val="24"/>
          <w:szCs w:val="24"/>
        </w:rPr>
        <w:t>řehled nákladů.</w:t>
      </w:r>
      <w:r w:rsidR="00FD0140">
        <w:rPr>
          <w:rFonts w:ascii="Georgia" w:hAnsi="Georgia"/>
          <w:sz w:val="24"/>
          <w:szCs w:val="24"/>
        </w:rPr>
        <w:t xml:space="preserve"> </w:t>
      </w:r>
      <w:r w:rsidR="00FD0140" w:rsidRPr="00FD0140">
        <w:rPr>
          <w:rFonts w:ascii="Georgia" w:hAnsi="Georgia"/>
          <w:sz w:val="24"/>
          <w:szCs w:val="24"/>
        </w:rPr>
        <w:t>Pokud příjemce disponuje elektronickým účetním systémem, který zahrnuje požadovanou identifikaci kapitoly a podkapitoly rozpočtu, přiloží rovněž výpis z tohoto systému.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/>
          <w:sz w:val="24"/>
          <w:szCs w:val="24"/>
          <w:u w:val="single"/>
          <w:lang w:eastAsia="cs-CZ"/>
        </w:rPr>
        <w:lastRenderedPageBreak/>
        <w:t>1. Osobní výdaje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bCs/>
          <w:sz w:val="24"/>
          <w:szCs w:val="24"/>
          <w:lang w:eastAsia="cs-CZ"/>
        </w:rPr>
      </w:pPr>
      <w:r w:rsidRPr="00FD0140">
        <w:rPr>
          <w:rFonts w:ascii="Georgia" w:hAnsi="Georgia"/>
          <w:b/>
          <w:bCs/>
          <w:sz w:val="24"/>
          <w:szCs w:val="24"/>
          <w:lang w:eastAsia="cs-CZ"/>
        </w:rPr>
        <w:t>Osobní výdaje na zaměstnance příjemce dotace</w:t>
      </w:r>
    </w:p>
    <w:p w:rsidR="00C97FCC" w:rsidRPr="00FD0140" w:rsidRDefault="00C97FCC" w:rsidP="00EB7F53">
      <w:pPr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  <w:r w:rsidRPr="00FD0140">
        <w:rPr>
          <w:rFonts w:ascii="Georgia" w:hAnsi="Georgia"/>
          <w:bCs/>
          <w:sz w:val="24"/>
          <w:szCs w:val="24"/>
          <w:u w:val="single"/>
          <w:lang w:eastAsia="cs-CZ"/>
        </w:rPr>
        <w:t xml:space="preserve">1. Osobní výdaje </w:t>
      </w:r>
      <w:r w:rsidRPr="00FD0140">
        <w:rPr>
          <w:rFonts w:ascii="Georgia" w:hAnsi="Georgia"/>
          <w:sz w:val="24"/>
          <w:szCs w:val="24"/>
          <w:lang w:eastAsia="cs-CZ"/>
        </w:rPr>
        <w:t>(mzdové náklady včetně zákonných odvodů na zdravotní a sociální pojištění nebo náklady na experty) jsou výdaji na základě pracovněprávních vztahů (</w:t>
      </w:r>
      <w:r w:rsidRPr="00FD0140">
        <w:rPr>
          <w:rFonts w:ascii="Georgia" w:hAnsi="Georgia"/>
          <w:color w:val="212529"/>
          <w:sz w:val="24"/>
          <w:szCs w:val="24"/>
          <w:lang w:eastAsia="cs-CZ"/>
        </w:rPr>
        <w:t xml:space="preserve">Zákon č. 262/2006 Sb., zákoník práce, ve znění pozdějších předpisů, Zákon č. 435/2004 Sb., o zaměstnanosti, ve znění pozdějších předpisů). </w:t>
      </w:r>
      <w:r w:rsidRPr="00FD0140">
        <w:rPr>
          <w:rFonts w:ascii="Georgia" w:hAnsi="Georgia"/>
          <w:color w:val="333333"/>
          <w:sz w:val="24"/>
          <w:szCs w:val="24"/>
        </w:rPr>
        <w:t>Základními pracovněprávními vztahy jsou pracovní poměr a právní vztahy založené dohodami o pracích konaných mimo pracovní poměr (tedy dohodou o pracovní činnosti nebo dohodou o provedení práce).</w:t>
      </w:r>
    </w:p>
    <w:p w:rsidR="00C97FCC" w:rsidRPr="00FD0140" w:rsidRDefault="00C97FCC" w:rsidP="00EB7F53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2. Osobní výdaje na zaměstnance příjemce dotace jsou uznatelnými výdaji, pokud zaměstnanec vykonává ve své pracovní době výhradně činnost přímo spojenou s realizací příslušného projektu. Pokud zaměstnanec plní pracovní činnosti přímo spojené s realizací příslušného projektu pouze v části své pracovní doby, je uznatelným výdajem pouze alikvotní část jeho mzdy.</w:t>
      </w:r>
    </w:p>
    <w:p w:rsidR="00C97FCC" w:rsidRPr="00FD0140" w:rsidRDefault="00C97FCC" w:rsidP="00EB7F53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3. Mzdy zaměstnanců příjemce dotace pracujících na činnostech přímo spojených s realizací projektu jsou uznatelným výdajem maximálně do výše mzdy za srovnatelně náročnou pracovní činnost, a to s ohledem na kvalifikaci a délku praxe, vykonávanou v rozpočtové sféře, v níž je aplikováno nařízení vlády č. 564/2006 Sb., o platových poměrech zaměstnanců ve veřejných službách a správě, ve znění pozdějších předpisů, a zákon č. 262/2006 Sb., zákoník práce, ve znění pozdějších předpisů. </w:t>
      </w:r>
    </w:p>
    <w:p w:rsidR="00C97FCC" w:rsidRPr="00FD0140" w:rsidRDefault="00C97FCC" w:rsidP="00EB7F53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Vyplácení odměn zaměstnancům příjemce dotace je považováno za neuznatelný výdaj.</w:t>
      </w:r>
    </w:p>
    <w:p w:rsidR="00C97FCC" w:rsidRPr="00FD0140" w:rsidRDefault="00C97FCC" w:rsidP="00EB7F53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4. Zákonné odvody na sociální a zdravotní pojištění hrazené příjemcem dotace za zaměstnance pracující na činnostech přímo spojených s realizací příslušného projektu jsou uznatelným výdajem.</w:t>
      </w:r>
    </w:p>
    <w:p w:rsidR="00C97FCC" w:rsidRPr="00FD0140" w:rsidRDefault="00C97FCC" w:rsidP="00EB7F53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5. Výdaje spojené s vysláním zaměstnance příjemce dotace na zahraniční pracovní cestu (bez omezení délky trvání pobytu v zahraničí) v přímé souvislosti s realizací příslušného projektu (stravné, kapesné, ubytování a náhrady dalších nutných výdajů) jsou uznatelným výdajem vedle mzdy pracovníka v ČR, pokud respektují zákon č. 262/2006 Sb., zákoník práce, a limity stanovené pro jednotlivé země ministerstvem financí.</w:t>
      </w:r>
    </w:p>
    <w:p w:rsidR="00C97FCC" w:rsidRPr="00FD0140" w:rsidRDefault="00C97FCC" w:rsidP="00EB7F53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6. Mzdy pracovníků zaměstnaných v přímé souvislosti s realizací příslušného projektu na základě pracovněprávního vztahu uzavřeného v zahraničí jsou uznatelným výdajem, pokud nepřekročí místně obvyklou výši mezd při srovnatelné náročnosti pracovní činnosti a kvalifikaci a délce praxe pracovníka. Poskytovatel dotace může pro stanovení maximálních limitů v těchto případech přihlédnout k Nařízení vlády č. 62/1994 Sb. o poskytování náhrad některých výdajů zaměstnancům rozpočtových a příspěvkových organizací s pravidelným pracovištěm v zahraničí. 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Cs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Cs/>
          <w:sz w:val="24"/>
          <w:szCs w:val="24"/>
          <w:u w:val="single"/>
          <w:lang w:eastAsia="cs-CZ"/>
        </w:rPr>
        <w:t>Osobní výdaje na externí spolupracovníky příjemce dotace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1. Výdaje na odměny pro externí spolupracovníky příjemce dotace (ať ve formě smluv o dílo nebo smluv o poskytnutí služeb) jsou uznatelným výdajem, pokud jsou v přímé spojitosti s realizací příslušného projektu a pokud jsou ve výši obvyklé při srovnatelných typech aktivit. 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2. Výdaje spojené s vysláním externích spolupracovníků příjemce dotace na zahraniční pracovní cestu (bez omezení délky trvání pobytu v zahraničí) v přímé souvislosti s realizací příslušného projektu (stravné, kapesné, ubytování a náhrady dalších nutných výdajů) jsou uznatelným výdajem vedle odměny v ČR, pokud </w:t>
      </w:r>
      <w:r w:rsidRPr="00FD0140">
        <w:rPr>
          <w:rFonts w:ascii="Georgia" w:hAnsi="Georgia"/>
          <w:sz w:val="24"/>
          <w:szCs w:val="24"/>
          <w:lang w:eastAsia="cs-CZ"/>
        </w:rPr>
        <w:lastRenderedPageBreak/>
        <w:t xml:space="preserve">respektují zákon č. 262/2006 Sb., zákoník práce, a limity stanovené pro jednotlivé země ministerstvem financí. 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Cs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Cs/>
          <w:sz w:val="24"/>
          <w:szCs w:val="24"/>
          <w:u w:val="single"/>
          <w:lang w:eastAsia="cs-CZ"/>
        </w:rPr>
        <w:t>Výdaje na pobyt zástupců spolupracujících subjektů v ČR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Náklady na pobyt zástupců spolupracujících subjektů v ČR (stravné, kapesné, ubytování a náhrady dalších nutných výdajů) jsou uznatelným výdajem, pokud je jejich pobyt součástí projektu (školení, odborné semináře apod.) a pokud jsou kalkulovány na základě zásady přiměřenosti. Poskytovatel dotace může v této souvislosti přihlédnout k limitům, které pro maximální výše ubytování a stravování v ČR stanoví zahraniční subjekty (EU).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/>
          <w:sz w:val="24"/>
          <w:szCs w:val="24"/>
          <w:u w:val="single"/>
          <w:lang w:eastAsia="cs-CZ"/>
        </w:rPr>
        <w:t>2. Cestovní výdaje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Cestovní výdaje jsou uznatelným výdajem, pokud přímo souvisejí s efektivním provedením projektu a současně jsou pro jeho realizaci nezbytné. Výše cestovného je limitována zákonem č. 262/2006 Sb., zákoník práce, ve znění pozdějších předpisů a prováděcích předpisů. Mezi výdaje související s provedením pracovních cest patří zejména jízdné všemi druhy veřejných dopravních prostředků, včetně výdajů na letenky a výdajů na autotaxi, náhrada za použití vlastních osobních motorových vozidel pracovníků při pracovních cestách a služebních motorových vozidel bez přiděleného řidiče při pracovních cestách, stravné, kapesné a nocležné. Výdaje na jízdné jsou uznatelným výdajem, pokud je dodržen princip přiměřenosti (letenky ekonomické třídy, 2. třída při využití železnice). 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/>
          <w:sz w:val="24"/>
          <w:szCs w:val="24"/>
          <w:u w:val="single"/>
          <w:lang w:eastAsia="cs-CZ"/>
        </w:rPr>
        <w:t>3. Vybavení a dodávky zboží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Cs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Cs/>
          <w:sz w:val="24"/>
          <w:szCs w:val="24"/>
          <w:u w:val="single"/>
          <w:lang w:eastAsia="cs-CZ"/>
        </w:rPr>
        <w:t>Výdaje na pořízení dlouhodobého hmotného a nehmotného majetku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Výdaje na pořízení dlouhodobého hmotného majetku (pozemky, stavby, samostatné movité věci a soubory movitých věcí se samostatným </w:t>
      </w:r>
      <w:proofErr w:type="spellStart"/>
      <w:r w:rsidRPr="00FD0140">
        <w:rPr>
          <w:rFonts w:ascii="Georgia" w:hAnsi="Georgia"/>
          <w:sz w:val="24"/>
          <w:szCs w:val="24"/>
          <w:lang w:eastAsia="cs-CZ"/>
        </w:rPr>
        <w:t>technicko-ekonomickým</w:t>
      </w:r>
      <w:proofErr w:type="spellEnd"/>
      <w:r w:rsidRPr="00FD0140">
        <w:rPr>
          <w:rFonts w:ascii="Georgia" w:hAnsi="Georgia"/>
          <w:sz w:val="24"/>
          <w:szCs w:val="24"/>
          <w:lang w:eastAsia="cs-CZ"/>
        </w:rPr>
        <w:t xml:space="preserve"> určením s dobou použitelnosti delší než 1 rok) a dlouhodobého nehmotného majetku (software, nehmotné výsledky výzkumu apod.) nejsou uznatelné. 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Cs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Cs/>
          <w:sz w:val="24"/>
          <w:szCs w:val="24"/>
          <w:u w:val="single"/>
          <w:lang w:eastAsia="cs-CZ"/>
        </w:rPr>
        <w:t>Výdaje na pořízení drobného hmotného majetku, na spotřební materiál (zboží) a na energie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1. Výdaje na nákup drobného dlouhodobého hmotného majetku, který je jednorázově daňově uznatelným nákladem a je veden v operativní evidenci majetku, podléhají písemnému schválení ze strany poskytovatele dotace. Jsou uznatelným výdajem, pokud je pořízení drobného dlouhodobého hmotného majetku nutné pro realizaci projektu a pokud byl pořízen za ceny v místě obvyklé.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2. Výdaje na nákup spotřebního materiálu (zboží) a pohonných hmot jsou uznatelným nákladem, pouze pokud byly spotřebované v souvislosti s realizací projektu. Není-li některý materiál spotřebováván pouze k plnění cílů projektu, ale jen zčásti, stanoví se výše uznatelných nákladů jako podíl na celkových výdajích na daný spotřební materiál zjištěný dostatečně průkazným rozpočtovým způsobem. </w:t>
      </w:r>
    </w:p>
    <w:p w:rsidR="009C17AE" w:rsidRDefault="00C97FCC" w:rsidP="009C17AE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3. Uznatelným nákladem je energie spotřebovaná v souvislosti s realizací projektu. Není-li energie využívána pouze k plnění cílů projektu, ale jen zčásti, stanoví se výše uznatelných nákladů jako podíl na celkových výdajích na energii zjištěný dostatečně průkazným rozpočtovým způsobem.</w:t>
      </w:r>
    </w:p>
    <w:p w:rsidR="009C17AE" w:rsidRDefault="00C97FCC" w:rsidP="009C17AE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9C17AE">
        <w:rPr>
          <w:rFonts w:ascii="Georgia" w:hAnsi="Georgia"/>
          <w:sz w:val="24"/>
          <w:szCs w:val="24"/>
          <w:u w:val="single"/>
          <w:lang w:eastAsia="cs-CZ"/>
        </w:rPr>
        <w:t>Odpisy</w:t>
      </w:r>
      <w:r w:rsidRPr="00FD0140">
        <w:rPr>
          <w:rFonts w:ascii="Georgia" w:hAnsi="Georgia"/>
          <w:sz w:val="24"/>
          <w:szCs w:val="24"/>
          <w:lang w:eastAsia="cs-CZ"/>
        </w:rPr>
        <w:t xml:space="preserve"> </w:t>
      </w:r>
    </w:p>
    <w:p w:rsidR="00C97FCC" w:rsidRPr="009C17AE" w:rsidRDefault="009C17AE" w:rsidP="009C17AE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>
        <w:rPr>
          <w:rFonts w:ascii="Georgia" w:hAnsi="Georgia"/>
          <w:sz w:val="24"/>
          <w:szCs w:val="24"/>
          <w:lang w:eastAsia="cs-CZ"/>
        </w:rPr>
        <w:t xml:space="preserve">Odpisy </w:t>
      </w:r>
      <w:r w:rsidR="00C97FCC" w:rsidRPr="00FD0140">
        <w:rPr>
          <w:rFonts w:ascii="Georgia" w:hAnsi="Georgia"/>
          <w:sz w:val="24"/>
          <w:szCs w:val="24"/>
          <w:lang w:eastAsia="cs-CZ"/>
        </w:rPr>
        <w:t>nejsou uznatelným výdajem.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bCs/>
          <w:sz w:val="24"/>
          <w:szCs w:val="24"/>
          <w:lang w:eastAsia="cs-CZ"/>
        </w:rPr>
      </w:pPr>
      <w:r w:rsidRPr="00FD0140">
        <w:rPr>
          <w:rFonts w:ascii="Georgia" w:hAnsi="Georgia"/>
          <w:b/>
          <w:sz w:val="24"/>
          <w:szCs w:val="24"/>
          <w:u w:val="single"/>
          <w:lang w:eastAsia="cs-CZ"/>
        </w:rPr>
        <w:lastRenderedPageBreak/>
        <w:t xml:space="preserve">4. </w:t>
      </w:r>
      <w:r w:rsidRPr="00FD0140">
        <w:rPr>
          <w:rFonts w:ascii="Georgia" w:hAnsi="Georgia"/>
          <w:b/>
          <w:bCs/>
          <w:sz w:val="24"/>
          <w:szCs w:val="24"/>
          <w:u w:val="single"/>
          <w:lang w:eastAsia="cs-CZ"/>
        </w:rPr>
        <w:t>Výdaje související s využíváním prostor pro účely projektu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1. Výdaje související s využíváním prostor pro účely realizace příslušného projektu jsou uznatelnými výdaji, pokud </w:t>
      </w:r>
      <w:r w:rsidR="00B54F98" w:rsidRPr="00FD0140">
        <w:rPr>
          <w:rFonts w:ascii="Georgia" w:hAnsi="Georgia"/>
          <w:sz w:val="24"/>
          <w:szCs w:val="24"/>
          <w:lang w:eastAsia="cs-CZ"/>
        </w:rPr>
        <w:t>příjemce dotace doloží a zdůvodní</w:t>
      </w:r>
      <w:r w:rsidRPr="00FD0140">
        <w:rPr>
          <w:rFonts w:ascii="Georgia" w:hAnsi="Georgia"/>
          <w:sz w:val="24"/>
          <w:szCs w:val="24"/>
          <w:lang w:eastAsia="cs-CZ"/>
        </w:rPr>
        <w:t xml:space="preserve">, že se jedná o výdaje, které vznikly prokazatelně v důsledku realizace daného projektu, tedy např. výdaje na nájem, vytápění, osvětlení a další služby související s bytovými i nebytovými prostorami pronajatými pro realizací projektu. 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2. Pokud je v souvislosti s realizací projektu využívána pouze část prostor navíc, měla by být částka v kalkulaci projektu účtovaná v odpovídajícím poměru. V takovém případě by měl výpočet uvádět skutečné roční nájemné pro příjemce dotace, dobu využívání pro příslušný projekt, poměrnou část využívanou pro provedení projektu a výsledné uznatelné výdaje na nájemné. Výdaje na nájem v případě, kdy příjemce dotace dané prostory vlastní nebo je užívá zdarma nebo byly dány k dispozici konečným příjemcem pomoci, nebudou považovány za uznatelné.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/>
          <w:sz w:val="24"/>
          <w:szCs w:val="24"/>
          <w:u w:val="single"/>
          <w:lang w:eastAsia="cs-CZ"/>
        </w:rPr>
        <w:t>5. Subdodávky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1. Výdaje na služby (mj. komunikační služby, nájem movitých i nemovitých věcí, půjčovné za vozidla pro služební cesty, úklidové a čistící služby, ostraha, školení, překlady, expertízy, laboratorní služby, psaní, rozmnožování a tisky materiálů, doprava a pojištění materiálů a zboží dopravovaného do místa realizace projektu a zpět) jsou uznatelným nákladem, pokud pořízené služby přímo přispívají k realizaci cílů projektu a pokud jsou zakoupeny za ceny přiměřené a v místě obvyklé. 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2. Výdaje na práce provedené nezávislým konzultantem nebo dodavatelem jsou uznatelné pouze v případě, jestliže je taková práce pro realizaci projektu nezbytná a výše výdajů je přiměřená. V kalkulaci projektu musí být uvedena sazba, která musí splňovat zásadu přiměřenosti a obvyklé výše v místě a čase.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3. Pokud je poskytovatelem dotace stanoveno, že je příjemce dotace povinen si pro účely proplácení uznatelných výdajů otevřít nový samostatný bankovní účet, jsou bankovní poplatky a výdaje za zřízení účtu uznatelnými výdaji.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4. Výdaje na právní poradenství jsou uznatelnými výdaji, pokud bude prokázáno, že musely být vynaloženy v souvislosti s realizací projektu a jsou v souladu s cíli projektu.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5. Odměny notářů za ověření dokumentů jsou uznatelnými výdaji, pokud byly vynaloženy v souvislosti s realizací projektu.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6. Výdaje na odborné posudky nezbytné v souvislosti s realizací projektu (např. výdaje na účetní audit, pokud je řídicím orgánem ve smlouvě o financování nebo v rozhodnutí stanovena povinnost účetního auditu) jsou uznatelným výdajem, pokud jsou v přiměřené výši a za ceny v místě obvyklé. 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7. Výdaje na pohoštění jsou uznatelným výdajem, pouze pokud byly vydány v přímé souvislosti s realizací příslušného projektu (školení, semináře) nebo při propagaci realizovaného projektu, a to vždy při dodržení principu přiměřenosti a nákupu za ceny v místě obvyklé.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8. Výdaje na propagaci výsledků projektu (mj. návrh a výroba materiálů propagujících výsledky projektu, zajišťování příslušných konferencí a seminářů v rámci realizace projektu apod.) jsou uznatelným výdajem při dodržení principu přiměřenosti a nákupu za ceny v místě obvyklé.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sz w:val="24"/>
          <w:szCs w:val="24"/>
          <w:u w:val="single"/>
          <w:lang w:eastAsia="cs-CZ"/>
        </w:rPr>
      </w:pP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/>
          <w:sz w:val="24"/>
          <w:szCs w:val="24"/>
          <w:u w:val="single"/>
          <w:lang w:eastAsia="cs-CZ"/>
        </w:rPr>
        <w:t>Nepřímé výdaje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Nepřímé výdaje jsou především administrativní výdaje, které nelze přímo přiřadit k určitému jednotlivému výkonu v rámci realizace projektu, nicméně příjemce dotace je pro úspěšnou realizaci projektu musí vynaložit. Nepřímé výdaje jsou</w:t>
      </w:r>
      <w:r w:rsidRPr="00FD0140">
        <w:rPr>
          <w:rFonts w:ascii="Georgia" w:hAnsi="Georgia"/>
          <w:sz w:val="24"/>
          <w:szCs w:val="24"/>
          <w:lang w:eastAsia="ar-SA"/>
        </w:rPr>
        <w:t xml:space="preserve"> vykazovány formou přehledné tabulky (bez dokladů a faktur) a jsou </w:t>
      </w:r>
      <w:r w:rsidRPr="00FD0140">
        <w:rPr>
          <w:rFonts w:ascii="Georgia" w:hAnsi="Georgia"/>
          <w:sz w:val="24"/>
          <w:szCs w:val="24"/>
          <w:lang w:eastAsia="cs-CZ"/>
        </w:rPr>
        <w:t xml:space="preserve">uznatelným výdajem, pokud: </w:t>
      </w:r>
    </w:p>
    <w:p w:rsidR="00C97FCC" w:rsidRPr="00FD0140" w:rsidRDefault="00C97FCC" w:rsidP="00C97FCC">
      <w:pPr>
        <w:numPr>
          <w:ilvl w:val="0"/>
          <w:numId w:val="2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nepřekročí výši 7 % uznatelných nákladů projektu</w:t>
      </w:r>
    </w:p>
    <w:p w:rsidR="00C97FCC" w:rsidRPr="00FD0140" w:rsidRDefault="00C97FCC" w:rsidP="00C97FCC">
      <w:pPr>
        <w:numPr>
          <w:ilvl w:val="0"/>
          <w:numId w:val="2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nezahrnují výdaje hrazené v rámci jiných položek rozpočtu projektu;</w:t>
      </w:r>
    </w:p>
    <w:p w:rsidR="00C97FCC" w:rsidRPr="00FD0140" w:rsidRDefault="00C97FCC" w:rsidP="00C97FCC">
      <w:pPr>
        <w:numPr>
          <w:ilvl w:val="0"/>
          <w:numId w:val="2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příjemce dotace není příjemcem provozní dotace ze zdrojů zadavatele.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sz w:val="24"/>
          <w:szCs w:val="24"/>
          <w:u w:val="single"/>
          <w:lang w:eastAsia="cs-CZ"/>
        </w:rPr>
      </w:pP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/>
          <w:sz w:val="24"/>
          <w:szCs w:val="24"/>
          <w:u w:val="single"/>
          <w:lang w:eastAsia="cs-CZ"/>
        </w:rPr>
        <w:t>Výdaje na daně a poplatky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1. Pokud vznikla příjemci dotace povinnost uhradit daň z přidané hodnoty (DPH) a pokud příjemce dotace nemá možnost odpočtu DPH na vstupu, je v tomto případě DPH uznatelným výdajem, a to v takové výši, jakou příjemce dotace skutečně uhradil bez ohledu na eventuální změnu procentní sazby u příslušného nákupu.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2. Pokud v zahraničí vznikne povinnost platit silniční daň dle místních předpisů a jedná se o vozidlo pořízené v souvislosti s realizací projektu, je tato daň uznatelným výdajem. 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3. Zákonné odvody na sociální a zdravotní pojištění jsou uznatelným výdajem za podmínky jejich zaplacení v zákonem stanovené výši (dle českého či zahraničního práva), jsou-li hrazeny na pracovníky vykonávající ve své pracovní době činnost přímo spojenou s realizací příslušného projektu. 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4. Pojištění léčebných výloh (event. úrazové pojištění) a zdravotní příprava osob vysílaných do zahraničí v souvislosti s příslušným projektem (např. očkování) jsou uznatelným výdajem.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5.  Pojištění odpovědnosti za škodu na majetku nebo na zdraví vůči třetím subjektům pro osoby vysílané do zahraničí v přímé souvislosti s realizací příslušného projektu jsou uznatelným výdajem. 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6. Správní poplatky, jejichž zaplacení ať v ČR nebo v místě realizace projektu je nezbytné pro realizaci projektu jsou uznatelným výdajem (může se jednat např. o pracovní povolení, registrace pobytu a jiné místní poplatky);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7. Víza pro pracovníky vysílané do zahraničí v souvislosti s příslušným projektem jsou uznatelným výdajem;</w:t>
      </w: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sz w:val="24"/>
          <w:szCs w:val="24"/>
          <w:u w:val="single"/>
          <w:lang w:eastAsia="cs-CZ"/>
        </w:rPr>
      </w:pPr>
    </w:p>
    <w:p w:rsidR="00C97FCC" w:rsidRPr="00FD0140" w:rsidRDefault="00C97FCC" w:rsidP="00C97FCC">
      <w:pPr>
        <w:keepNext/>
        <w:spacing w:before="120" w:after="0" w:line="240" w:lineRule="auto"/>
        <w:jc w:val="both"/>
        <w:rPr>
          <w:rFonts w:ascii="Georgia" w:hAnsi="Georgia"/>
          <w:b/>
          <w:sz w:val="24"/>
          <w:szCs w:val="24"/>
          <w:u w:val="single"/>
          <w:lang w:eastAsia="cs-CZ"/>
        </w:rPr>
      </w:pPr>
      <w:r w:rsidRPr="00FD0140">
        <w:rPr>
          <w:rFonts w:ascii="Georgia" w:hAnsi="Georgia"/>
          <w:b/>
          <w:sz w:val="24"/>
          <w:szCs w:val="24"/>
          <w:u w:val="single"/>
          <w:lang w:eastAsia="cs-CZ"/>
        </w:rPr>
        <w:t>Neuznatelné výdaje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1. Neuznatelné jsou ty výdaje příjemce dotace, které nesplňují výše uvedené podmínky pro uznatelné výdaje, tj. zejména, že </w:t>
      </w:r>
    </w:p>
    <w:p w:rsidR="00C97FCC" w:rsidRPr="00FD0140" w:rsidRDefault="00C97FCC" w:rsidP="00C97FCC">
      <w:pPr>
        <w:numPr>
          <w:ilvl w:val="0"/>
          <w:numId w:val="3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výdaje souvisejí s jiným obdobím, než je období realizace projektu (výdaje vzniklé před datem zahájení a po dni ukončení projektu);</w:t>
      </w:r>
    </w:p>
    <w:p w:rsidR="00C97FCC" w:rsidRPr="00FD0140" w:rsidRDefault="00C97FCC" w:rsidP="00C97FCC">
      <w:pPr>
        <w:numPr>
          <w:ilvl w:val="0"/>
          <w:numId w:val="3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odměny zaměstnancům příjemce dotace</w:t>
      </w:r>
    </w:p>
    <w:p w:rsidR="00C97FCC" w:rsidRPr="00FD0140" w:rsidRDefault="00C97FCC" w:rsidP="00C97FCC">
      <w:pPr>
        <w:numPr>
          <w:ilvl w:val="0"/>
          <w:numId w:val="3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výdaje zřetelně nesouvisí s činností příjemce dotace pro realizovaný projekt;</w:t>
      </w:r>
    </w:p>
    <w:p w:rsidR="00C97FCC" w:rsidRPr="00FD0140" w:rsidRDefault="00C97FCC" w:rsidP="00C97FCC">
      <w:pPr>
        <w:numPr>
          <w:ilvl w:val="0"/>
          <w:numId w:val="3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lastRenderedPageBreak/>
        <w:t>výdaje není možné doložit věrohodnými a průkaznými písemnými doklady (s výjimkou nepřímých);</w:t>
      </w:r>
    </w:p>
    <w:p w:rsidR="00C97FCC" w:rsidRPr="00FD0140" w:rsidRDefault="00C97FCC" w:rsidP="00C97FCC">
      <w:pPr>
        <w:numPr>
          <w:ilvl w:val="0"/>
          <w:numId w:val="3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výdaje nejsou nezbytné pro realizaci projektu;</w:t>
      </w:r>
    </w:p>
    <w:p w:rsidR="00C97FCC" w:rsidRPr="00FD0140" w:rsidRDefault="00C97FCC" w:rsidP="00C97FCC">
      <w:pPr>
        <w:numPr>
          <w:ilvl w:val="0"/>
          <w:numId w:val="3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výdaje byly financovány z jiných dotačních zdrojů ČR.</w:t>
      </w:r>
    </w:p>
    <w:p w:rsidR="00C97FCC" w:rsidRPr="00FD0140" w:rsidRDefault="00C97FCC" w:rsidP="00C97FCC">
      <w:p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2. Mezi neuznatelné výdaje příjemce dotace, patří zejména: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výdaje přesahující limity určené poskytovatelem dotace jako maximální výše uznatelných výdajů;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výdaje na reprezentaci (pohoštění, občerstvení apod.), pokud poskytnutí občerstvení nesouvisí s realizací projektu (např. semináře, školení apod.). 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odměny členům statutárních orgánů;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výdaje na zaměstnance, kteří se na projektu přímo nepodílejí; 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výdaje na zaměstnance, které nejsou povinné pro zaměstnavatele dle zákona č. 262/2006 Sb., zákoník práce, ve znění pozdějších předpisů (např. stravenky, příspěvky na penzijní připojištění, životní pojištění, příspěvky na rekreaci apod.);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DPH, pokud je příjemce dotace plátce DPH a tato daň je mu návratná, a to jakýmkoliv způsobem;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daně a poplatky, jako jsou daně z příjmů, daň darovací, daň dědická, daň z převodu nemovitostí a správní a soudní poplatky s výjimkami výše uvedenými;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dary ve smyslu reprezentace, nikoli dary ve smyslu pomoci rozvojové, transformační či humanitární doložené písemným dokladem;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pokuty a penále, popř. další sankční výdaje;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odpis pohledávek;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manka a škody;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tvorba rezerv a opravných položek;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zúčtování oprávky k opravné položce k nabytému majetku;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úroky z úvěrů a půjček, splátky půjček;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finanční leasing;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 xml:space="preserve">kursové ztráty 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finanční výdaje, které nejsou výše uvedeny mezi uznatelnými výdaji, zejména poplatky za vedení jiného účtu než je běžný účet projektu;</w:t>
      </w:r>
    </w:p>
    <w:p w:rsidR="00C97FCC" w:rsidRPr="00FD0140" w:rsidRDefault="00C97FCC" w:rsidP="00C97FCC">
      <w:pPr>
        <w:numPr>
          <w:ilvl w:val="0"/>
          <w:numId w:val="4"/>
        </w:numPr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výdaje na právní spory.</w:t>
      </w:r>
    </w:p>
    <w:p w:rsidR="00C97FCC" w:rsidRPr="00FD0140" w:rsidRDefault="00C97FCC" w:rsidP="00C97FCC">
      <w:pPr>
        <w:autoSpaceDE w:val="0"/>
        <w:autoSpaceDN w:val="0"/>
        <w:adjustRightInd w:val="0"/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3. Výdaje v naturáliích nepředstavují skutečný výdaj a jsou proto neuznatelným nákladem projektu. Poskytovatel dotace může požadovat, aby žadatel o dotaci v rámci rozpočtu ocenil svoje výdaje v naturáliích vynaložené pro realizaci projektu.</w:t>
      </w:r>
    </w:p>
    <w:p w:rsidR="00C97FCC" w:rsidRPr="00FD0140" w:rsidRDefault="00C97FCC" w:rsidP="00C97FCC">
      <w:pPr>
        <w:autoSpaceDE w:val="0"/>
        <w:autoSpaceDN w:val="0"/>
        <w:adjustRightInd w:val="0"/>
        <w:spacing w:before="120" w:after="0" w:line="240" w:lineRule="auto"/>
        <w:jc w:val="both"/>
        <w:rPr>
          <w:rFonts w:ascii="Georgia" w:hAnsi="Georgia"/>
          <w:sz w:val="24"/>
          <w:szCs w:val="24"/>
          <w:lang w:eastAsia="cs-CZ"/>
        </w:rPr>
      </w:pPr>
      <w:r w:rsidRPr="00FD0140">
        <w:rPr>
          <w:rFonts w:ascii="Georgia" w:hAnsi="Georgia"/>
          <w:sz w:val="24"/>
          <w:szCs w:val="24"/>
          <w:lang w:eastAsia="cs-CZ"/>
        </w:rPr>
        <w:t>4. Neuznatelné výdaje musí příjemce dotace vždy hradit z jiných zdrojů, než jsou prostředky MZV ČR.</w:t>
      </w:r>
    </w:p>
    <w:p w:rsidR="008C61F5" w:rsidRPr="00FD0140" w:rsidRDefault="008C61F5">
      <w:pPr>
        <w:rPr>
          <w:rFonts w:ascii="Georgia" w:hAnsi="Georgia"/>
          <w:sz w:val="24"/>
          <w:szCs w:val="24"/>
        </w:rPr>
      </w:pPr>
    </w:p>
    <w:sectPr w:rsidR="008C61F5" w:rsidRPr="00FD0140" w:rsidSect="00F348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03B" w:rsidRDefault="00B4303B" w:rsidP="00374090">
      <w:pPr>
        <w:spacing w:after="0" w:line="240" w:lineRule="auto"/>
      </w:pPr>
      <w:r>
        <w:separator/>
      </w:r>
    </w:p>
  </w:endnote>
  <w:endnote w:type="continuationSeparator" w:id="0">
    <w:p w:rsidR="00B4303B" w:rsidRDefault="00B4303B" w:rsidP="00374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ePublicStd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090" w:rsidRDefault="0037409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090" w:rsidRDefault="00374090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090" w:rsidRDefault="0037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03B" w:rsidRDefault="00B4303B" w:rsidP="00374090">
      <w:pPr>
        <w:spacing w:after="0" w:line="240" w:lineRule="auto"/>
      </w:pPr>
      <w:r>
        <w:separator/>
      </w:r>
    </w:p>
  </w:footnote>
  <w:footnote w:type="continuationSeparator" w:id="0">
    <w:p w:rsidR="00B4303B" w:rsidRDefault="00B4303B" w:rsidP="00374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090" w:rsidRDefault="0037409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090" w:rsidRDefault="00374090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090" w:rsidRDefault="0037409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30A3"/>
    <w:multiLevelType w:val="hybridMultilevel"/>
    <w:tmpl w:val="2E04A810"/>
    <w:lvl w:ilvl="0" w:tplc="ADCC08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BA70213"/>
    <w:multiLevelType w:val="hybridMultilevel"/>
    <w:tmpl w:val="8922699E"/>
    <w:lvl w:ilvl="0" w:tplc="ADCC08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A4410CC"/>
    <w:multiLevelType w:val="hybridMultilevel"/>
    <w:tmpl w:val="0ADE6468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C4237D5"/>
    <w:multiLevelType w:val="hybridMultilevel"/>
    <w:tmpl w:val="45CAD8A2"/>
    <w:lvl w:ilvl="0" w:tplc="ADCC08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AD8"/>
    <w:rsid w:val="002344A3"/>
    <w:rsid w:val="00374090"/>
    <w:rsid w:val="0043253E"/>
    <w:rsid w:val="004D3513"/>
    <w:rsid w:val="00667AD8"/>
    <w:rsid w:val="00822CD9"/>
    <w:rsid w:val="008C61F5"/>
    <w:rsid w:val="009C17AE"/>
    <w:rsid w:val="00B4303B"/>
    <w:rsid w:val="00B54F98"/>
    <w:rsid w:val="00C97FCC"/>
    <w:rsid w:val="00CA0B3C"/>
    <w:rsid w:val="00CC189A"/>
    <w:rsid w:val="00DB73C6"/>
    <w:rsid w:val="00EB7F53"/>
    <w:rsid w:val="00F34826"/>
    <w:rsid w:val="00FD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7FCC"/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aliases w:val="Název části"/>
    <w:basedOn w:val="Normln"/>
    <w:link w:val="NzevChar"/>
    <w:qFormat/>
    <w:rsid w:val="00B54F98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bdr w:val="single" w:sz="4" w:space="0" w:color="auto"/>
      <w:lang w:eastAsia="cs-CZ"/>
    </w:rPr>
  </w:style>
  <w:style w:type="character" w:customStyle="1" w:styleId="NzevChar">
    <w:name w:val="Název Char"/>
    <w:aliases w:val="Název části Char"/>
    <w:basedOn w:val="Standardnpsmoodstavce"/>
    <w:link w:val="Nzev"/>
    <w:rsid w:val="00B54F98"/>
    <w:rPr>
      <w:rFonts w:ascii="Times New Roman" w:eastAsia="Times New Roman" w:hAnsi="Times New Roman" w:cs="Times New Roman"/>
      <w:b/>
      <w:bCs/>
      <w:sz w:val="24"/>
      <w:szCs w:val="24"/>
      <w:bdr w:val="single" w:sz="4" w:space="0" w:color="auto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74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4090"/>
    <w:rPr>
      <w:rFonts w:ascii="Calibri" w:eastAsia="Times New Roman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74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4090"/>
    <w:rPr>
      <w:rFonts w:ascii="Calibri" w:eastAsia="Times New Roman" w:hAnsi="Calibri" w:cs="Times New Roman"/>
    </w:rPr>
  </w:style>
  <w:style w:type="character" w:customStyle="1" w:styleId="NzevuraduChar">
    <w:name w:val="Název uradu Char"/>
    <w:link w:val="Nzevuradu"/>
    <w:uiPriority w:val="99"/>
    <w:locked/>
    <w:rsid w:val="00822CD9"/>
    <w:rPr>
      <w:rFonts w:ascii="Georgia" w:hAnsi="Georgia" w:cs="RePublicStd"/>
      <w:sz w:val="24"/>
      <w:szCs w:val="24"/>
    </w:rPr>
  </w:style>
  <w:style w:type="paragraph" w:customStyle="1" w:styleId="Nzevuradu">
    <w:name w:val="Název uradu"/>
    <w:basedOn w:val="Normln"/>
    <w:link w:val="NzevuraduChar"/>
    <w:uiPriority w:val="99"/>
    <w:rsid w:val="00822CD9"/>
    <w:pPr>
      <w:autoSpaceDE w:val="0"/>
      <w:autoSpaceDN w:val="0"/>
      <w:adjustRightInd w:val="0"/>
      <w:spacing w:before="226" w:after="0"/>
      <w:ind w:left="369" w:right="369"/>
    </w:pPr>
    <w:rPr>
      <w:rFonts w:ascii="Georgia" w:eastAsiaTheme="minorHAnsi" w:hAnsi="Georgia" w:cs="RePublicStd"/>
      <w:sz w:val="24"/>
      <w:szCs w:val="24"/>
    </w:rPr>
  </w:style>
  <w:style w:type="character" w:customStyle="1" w:styleId="AdresaChar">
    <w:name w:val="Adresa Char"/>
    <w:link w:val="Adresa"/>
    <w:uiPriority w:val="99"/>
    <w:locked/>
    <w:rsid w:val="00822CD9"/>
    <w:rPr>
      <w:rFonts w:ascii="Georgia" w:hAnsi="Georgia" w:cs="RePublicStd"/>
      <w:sz w:val="16"/>
      <w:szCs w:val="16"/>
    </w:rPr>
  </w:style>
  <w:style w:type="paragraph" w:customStyle="1" w:styleId="Adresa">
    <w:name w:val="Adresa"/>
    <w:basedOn w:val="Normln"/>
    <w:link w:val="AdresaChar"/>
    <w:uiPriority w:val="99"/>
    <w:rsid w:val="00822CD9"/>
    <w:pPr>
      <w:autoSpaceDE w:val="0"/>
      <w:autoSpaceDN w:val="0"/>
      <w:adjustRightInd w:val="0"/>
      <w:spacing w:after="0"/>
      <w:ind w:right="2"/>
    </w:pPr>
    <w:rPr>
      <w:rFonts w:ascii="Georgia" w:eastAsiaTheme="minorHAnsi" w:hAnsi="Georgia" w:cs="RePublicStd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822CD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2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2CD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7FCC"/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aliases w:val="Název části"/>
    <w:basedOn w:val="Normln"/>
    <w:link w:val="NzevChar"/>
    <w:qFormat/>
    <w:rsid w:val="00B54F98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bdr w:val="single" w:sz="4" w:space="0" w:color="auto"/>
      <w:lang w:eastAsia="cs-CZ"/>
    </w:rPr>
  </w:style>
  <w:style w:type="character" w:customStyle="1" w:styleId="NzevChar">
    <w:name w:val="Název Char"/>
    <w:aliases w:val="Název části Char"/>
    <w:basedOn w:val="Standardnpsmoodstavce"/>
    <w:link w:val="Nzev"/>
    <w:rsid w:val="00B54F98"/>
    <w:rPr>
      <w:rFonts w:ascii="Times New Roman" w:eastAsia="Times New Roman" w:hAnsi="Times New Roman" w:cs="Times New Roman"/>
      <w:b/>
      <w:bCs/>
      <w:sz w:val="24"/>
      <w:szCs w:val="24"/>
      <w:bdr w:val="single" w:sz="4" w:space="0" w:color="auto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74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4090"/>
    <w:rPr>
      <w:rFonts w:ascii="Calibri" w:eastAsia="Times New Roman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74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4090"/>
    <w:rPr>
      <w:rFonts w:ascii="Calibri" w:eastAsia="Times New Roman" w:hAnsi="Calibri" w:cs="Times New Roman"/>
    </w:rPr>
  </w:style>
  <w:style w:type="character" w:customStyle="1" w:styleId="NzevuraduChar">
    <w:name w:val="Název uradu Char"/>
    <w:link w:val="Nzevuradu"/>
    <w:uiPriority w:val="99"/>
    <w:locked/>
    <w:rsid w:val="00822CD9"/>
    <w:rPr>
      <w:rFonts w:ascii="Georgia" w:hAnsi="Georgia" w:cs="RePublicStd"/>
      <w:sz w:val="24"/>
      <w:szCs w:val="24"/>
    </w:rPr>
  </w:style>
  <w:style w:type="paragraph" w:customStyle="1" w:styleId="Nzevuradu">
    <w:name w:val="Název uradu"/>
    <w:basedOn w:val="Normln"/>
    <w:link w:val="NzevuraduChar"/>
    <w:uiPriority w:val="99"/>
    <w:rsid w:val="00822CD9"/>
    <w:pPr>
      <w:autoSpaceDE w:val="0"/>
      <w:autoSpaceDN w:val="0"/>
      <w:adjustRightInd w:val="0"/>
      <w:spacing w:before="226" w:after="0"/>
      <w:ind w:left="369" w:right="369"/>
    </w:pPr>
    <w:rPr>
      <w:rFonts w:ascii="Georgia" w:eastAsiaTheme="minorHAnsi" w:hAnsi="Georgia" w:cs="RePublicStd"/>
      <w:sz w:val="24"/>
      <w:szCs w:val="24"/>
    </w:rPr>
  </w:style>
  <w:style w:type="character" w:customStyle="1" w:styleId="AdresaChar">
    <w:name w:val="Adresa Char"/>
    <w:link w:val="Adresa"/>
    <w:uiPriority w:val="99"/>
    <w:locked/>
    <w:rsid w:val="00822CD9"/>
    <w:rPr>
      <w:rFonts w:ascii="Georgia" w:hAnsi="Georgia" w:cs="RePublicStd"/>
      <w:sz w:val="16"/>
      <w:szCs w:val="16"/>
    </w:rPr>
  </w:style>
  <w:style w:type="paragraph" w:customStyle="1" w:styleId="Adresa">
    <w:name w:val="Adresa"/>
    <w:basedOn w:val="Normln"/>
    <w:link w:val="AdresaChar"/>
    <w:uiPriority w:val="99"/>
    <w:rsid w:val="00822CD9"/>
    <w:pPr>
      <w:autoSpaceDE w:val="0"/>
      <w:autoSpaceDN w:val="0"/>
      <w:adjustRightInd w:val="0"/>
      <w:spacing w:after="0"/>
      <w:ind w:right="2"/>
    </w:pPr>
    <w:rPr>
      <w:rFonts w:ascii="Georgia" w:eastAsiaTheme="minorHAnsi" w:hAnsi="Georgia" w:cs="RePublicStd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822CD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2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2CD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6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mzv.cz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FCB68-14FA-4E36-8823-4AB1BB237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E64E4F6.dotm</Template>
  <TotalTime>0</TotalTime>
  <Pages>6</Pages>
  <Words>2398</Words>
  <Characters>14149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CR</Company>
  <LinksUpToDate>false</LinksUpToDate>
  <CharactersWithSpaces>16514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PAVLOVIĆOVÁ</dc:creator>
  <cp:keywords/>
  <dc:description/>
  <cp:lastModifiedBy>Eva DRDÁKOVÁ</cp:lastModifiedBy>
  <cp:revision>2</cp:revision>
  <dcterms:created xsi:type="dcterms:W3CDTF">2019-09-17T08:23:00Z</dcterms:created>
  <dcterms:modified xsi:type="dcterms:W3CDTF">2019-09-17T08:23:00Z</dcterms:modified>
</cp:coreProperties>
</file>