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E2A" w:rsidRPr="00CC3DE7" w:rsidRDefault="00FC0E2A" w:rsidP="00636BBE">
      <w:pPr>
        <w:pStyle w:val="Zhlav"/>
        <w:tabs>
          <w:tab w:val="clear" w:pos="9072"/>
          <w:tab w:val="right" w:pos="5954"/>
        </w:tabs>
        <w:spacing w:after="240"/>
        <w:ind w:right="2268"/>
        <w:jc w:val="both"/>
        <w:rPr>
          <w:rFonts w:ascii="Arial" w:hAnsi="Arial" w:cs="Arial"/>
          <w:b/>
          <w:sz w:val="36"/>
          <w:szCs w:val="36"/>
        </w:rPr>
      </w:pPr>
      <w:bookmarkStart w:id="0" w:name="_GoBack"/>
      <w:bookmarkEnd w:id="0"/>
      <w:r w:rsidRPr="00CC3DE7">
        <w:rPr>
          <w:rFonts w:ascii="Arial" w:hAnsi="Arial" w:cs="Arial"/>
          <w:b/>
          <w:color w:val="808080"/>
          <w:sz w:val="36"/>
          <w:szCs w:val="36"/>
        </w:rPr>
        <w:t>Pressemitteilung</w:t>
      </w:r>
    </w:p>
    <w:p w:rsidR="00995241" w:rsidRPr="00CC3DE7" w:rsidRDefault="00995241" w:rsidP="00030E44">
      <w:pPr>
        <w:jc w:val="center"/>
        <w:rPr>
          <w:rFonts w:ascii="Arial" w:hAnsi="Arial" w:cs="Arial"/>
          <w:b/>
          <w:sz w:val="28"/>
          <w:szCs w:val="28"/>
        </w:rPr>
      </w:pPr>
    </w:p>
    <w:p w:rsidR="00995241" w:rsidRDefault="00440051" w:rsidP="00440051">
      <w:pPr>
        <w:jc w:val="center"/>
        <w:rPr>
          <w:rStyle w:val="Hypertextovodkaz"/>
          <w:rFonts w:ascii="Arial" w:eastAsia="ArialMT" w:hAnsi="Arial" w:cs="Arial"/>
          <w:b/>
          <w:bCs/>
          <w:color w:val="000000"/>
          <w:sz w:val="28"/>
          <w:szCs w:val="28"/>
          <w:u w:val="none"/>
        </w:rPr>
      </w:pPr>
      <w:r w:rsidRPr="00440051">
        <w:rPr>
          <w:rStyle w:val="Hypertextovodkaz"/>
          <w:rFonts w:ascii="Arial" w:eastAsia="ArialMT" w:hAnsi="Arial" w:cs="Arial"/>
          <w:b/>
          <w:bCs/>
          <w:color w:val="000000"/>
          <w:sz w:val="28"/>
          <w:szCs w:val="28"/>
          <w:u w:val="none"/>
        </w:rPr>
        <w:t>DTIHK-Konjunkturumfrage 2016:</w:t>
      </w:r>
      <w:r>
        <w:rPr>
          <w:rStyle w:val="Hypertextovodkaz"/>
          <w:rFonts w:ascii="Arial" w:eastAsia="ArialMT" w:hAnsi="Arial" w:cs="Arial"/>
          <w:b/>
          <w:bCs/>
          <w:color w:val="000000"/>
          <w:sz w:val="28"/>
          <w:szCs w:val="28"/>
          <w:u w:val="none"/>
        </w:rPr>
        <w:t xml:space="preserve"> </w:t>
      </w:r>
      <w:r>
        <w:rPr>
          <w:rStyle w:val="Hypertextovodkaz"/>
          <w:rFonts w:ascii="Arial" w:eastAsia="ArialMT" w:hAnsi="Arial" w:cs="Arial"/>
          <w:b/>
          <w:bCs/>
          <w:color w:val="000000"/>
          <w:sz w:val="28"/>
          <w:szCs w:val="28"/>
          <w:u w:val="none"/>
        </w:rPr>
        <w:br/>
      </w:r>
      <w:r w:rsidRPr="00440051">
        <w:rPr>
          <w:rStyle w:val="Hypertextovodkaz"/>
          <w:rFonts w:ascii="Arial" w:eastAsia="ArialMT" w:hAnsi="Arial" w:cs="Arial"/>
          <w:b/>
          <w:bCs/>
          <w:color w:val="000000"/>
          <w:sz w:val="28"/>
          <w:szCs w:val="28"/>
          <w:u w:val="none"/>
        </w:rPr>
        <w:t>Tschechien ist nach vier Jahren wieder MOE-Primus</w:t>
      </w:r>
    </w:p>
    <w:p w:rsidR="00440051" w:rsidRDefault="00440051" w:rsidP="00440051">
      <w:pPr>
        <w:jc w:val="center"/>
        <w:rPr>
          <w:rStyle w:val="Hypertextovodkaz"/>
          <w:rFonts w:ascii="Arial" w:eastAsia="ArialMT" w:hAnsi="Arial" w:cs="Arial"/>
          <w:b/>
          <w:bCs/>
          <w:color w:val="000000"/>
          <w:sz w:val="24"/>
          <w:szCs w:val="24"/>
          <w:u w:val="none"/>
        </w:rPr>
      </w:pPr>
      <w:r w:rsidRPr="00440051">
        <w:rPr>
          <w:rStyle w:val="Hypertextovodkaz"/>
          <w:rFonts w:ascii="Arial" w:eastAsia="ArialMT" w:hAnsi="Arial" w:cs="Arial"/>
          <w:b/>
          <w:bCs/>
          <w:color w:val="000000"/>
          <w:sz w:val="24"/>
          <w:szCs w:val="24"/>
          <w:u w:val="none"/>
        </w:rPr>
        <w:t>Viel Optimismus, aber auch ein dramatischer Absturz bei der „Verfügbarkeit von Fachkräften“</w:t>
      </w:r>
    </w:p>
    <w:p w:rsidR="00440051" w:rsidRPr="00440051" w:rsidRDefault="00440051" w:rsidP="00440051">
      <w:pPr>
        <w:spacing w:after="0"/>
        <w:jc w:val="center"/>
        <w:rPr>
          <w:rFonts w:ascii="Arial" w:hAnsi="Arial" w:cs="Arial"/>
          <w:bCs/>
          <w:sz w:val="24"/>
          <w:szCs w:val="24"/>
        </w:rPr>
      </w:pPr>
    </w:p>
    <w:p w:rsidR="00440051" w:rsidRPr="008D2B14" w:rsidRDefault="00FD649B" w:rsidP="00440051">
      <w:pPr>
        <w:autoSpaceDE w:val="0"/>
        <w:jc w:val="both"/>
        <w:rPr>
          <w:rFonts w:ascii="Arial" w:eastAsia="ArialMT" w:hAnsi="Arial" w:cs="Arial"/>
          <w:b/>
          <w:color w:val="000000"/>
        </w:rPr>
      </w:pPr>
      <w:r w:rsidRPr="00CC3DE7">
        <w:rPr>
          <w:rFonts w:ascii="Arial" w:hAnsi="Arial" w:cs="Arial"/>
          <w:bCs/>
          <w:i/>
        </w:rPr>
        <w:t>Prag</w:t>
      </w:r>
      <w:r w:rsidR="00AB394F" w:rsidRPr="00CC3DE7">
        <w:rPr>
          <w:rFonts w:ascii="Arial" w:hAnsi="Arial" w:cs="Arial"/>
          <w:bCs/>
          <w:i/>
        </w:rPr>
        <w:t xml:space="preserve">, </w:t>
      </w:r>
      <w:r w:rsidR="00440051">
        <w:rPr>
          <w:rFonts w:ascii="Arial" w:hAnsi="Arial" w:cs="Arial"/>
          <w:bCs/>
          <w:i/>
        </w:rPr>
        <w:t>05</w:t>
      </w:r>
      <w:r w:rsidR="005E114E" w:rsidRPr="00CC3DE7">
        <w:rPr>
          <w:rFonts w:ascii="Arial" w:hAnsi="Arial" w:cs="Arial"/>
          <w:bCs/>
          <w:i/>
        </w:rPr>
        <w:t>.0</w:t>
      </w:r>
      <w:r w:rsidR="00440051">
        <w:rPr>
          <w:rFonts w:ascii="Arial" w:hAnsi="Arial" w:cs="Arial"/>
          <w:bCs/>
          <w:i/>
        </w:rPr>
        <w:t>4</w:t>
      </w:r>
      <w:r w:rsidR="00AB6350" w:rsidRPr="00CC3DE7">
        <w:rPr>
          <w:rFonts w:ascii="Arial" w:hAnsi="Arial" w:cs="Arial"/>
          <w:bCs/>
          <w:i/>
        </w:rPr>
        <w:t>.2016</w:t>
      </w:r>
      <w:r w:rsidR="00AB6350" w:rsidRPr="00CC3DE7">
        <w:rPr>
          <w:rFonts w:ascii="Arial" w:hAnsi="Arial" w:cs="Arial"/>
        </w:rPr>
        <w:t xml:space="preserve"> </w:t>
      </w:r>
      <w:r w:rsidR="00C57742" w:rsidRPr="00CC3DE7">
        <w:rPr>
          <w:rFonts w:ascii="Arial" w:hAnsi="Arial" w:cs="Arial"/>
          <w:bCs/>
        </w:rPr>
        <w:t>–</w:t>
      </w:r>
      <w:r w:rsidR="00D165C4" w:rsidRPr="00CC3DE7">
        <w:rPr>
          <w:rFonts w:ascii="Arial" w:hAnsi="Arial" w:cs="Arial"/>
          <w:bCs/>
        </w:rPr>
        <w:t xml:space="preserve"> </w:t>
      </w:r>
      <w:r w:rsidR="00440051" w:rsidRPr="008D2B14">
        <w:rPr>
          <w:rFonts w:ascii="Arial" w:eastAsia="ArialMT" w:hAnsi="Arial" w:cs="Arial"/>
          <w:b/>
          <w:color w:val="000000"/>
        </w:rPr>
        <w:t>Die</w:t>
      </w:r>
      <w:r w:rsidR="00440051" w:rsidRPr="008D2B14">
        <w:rPr>
          <w:rFonts w:ascii="Arial" w:hAnsi="Arial" w:cs="Arial"/>
          <w:b/>
        </w:rPr>
        <w:t xml:space="preserve"> aktuelle</w:t>
      </w:r>
      <w:r w:rsidR="00440051" w:rsidRPr="008D2B14">
        <w:rPr>
          <w:rFonts w:ascii="Arial" w:eastAsia="ArialMT" w:hAnsi="Arial" w:cs="Arial"/>
          <w:b/>
          <w:color w:val="000000"/>
        </w:rPr>
        <w:t xml:space="preserve"> Wirtschaftslage in Tschechien ist nach Ansicht ausländischer, überwiegend deutscher Investoren ausgezeichnet. </w:t>
      </w:r>
      <w:r w:rsidR="00440051" w:rsidRPr="008D2B14">
        <w:rPr>
          <w:rFonts w:ascii="Arial" w:hAnsi="Arial" w:cs="Arial"/>
          <w:b/>
        </w:rPr>
        <w:t xml:space="preserve">Das ergab die jüngste Konjunkturumfrage der Deutsch-Tschechischen Industrie- und Handelskammer (DTIHK). Die Stimmungslage zeigt sich in den Umfragewerten fast wieder so gut wie im Rekordjahr 2008, </w:t>
      </w:r>
      <w:r w:rsidR="00AD0A76">
        <w:rPr>
          <w:rFonts w:ascii="Arial" w:hAnsi="Arial" w:cs="Arial"/>
          <w:b/>
        </w:rPr>
        <w:t>kurz</w:t>
      </w:r>
      <w:r w:rsidR="00440051" w:rsidRPr="008D2B14">
        <w:rPr>
          <w:rFonts w:ascii="Arial" w:hAnsi="Arial" w:cs="Arial"/>
          <w:b/>
        </w:rPr>
        <w:t xml:space="preserve"> vor der Krise. Auch wenn die Aussichten für das gesamte Jahr etwas zurückhaltender beurteilt werden, rechnen die Unternehmen mit einer deutlichen Steigerung bei Beschäftigungszahlen, Investitionsausgaben und Löhnen. Tschechien ist im mittelosteuropäischen Vergleich unter 16 Ländern das attraktivste. Aber die Umfrage enthält auch eine deutliche Warnung: Die mangelnde Verfügbarkeit von Fachkräften sehen die Investoren mittlerweile mit Abstand als den größten Standortnachteil in Tschechien.</w:t>
      </w:r>
    </w:p>
    <w:p w:rsidR="00440051" w:rsidRPr="008D2B14" w:rsidRDefault="00440051" w:rsidP="00440051">
      <w:pPr>
        <w:autoSpaceDE w:val="0"/>
        <w:spacing w:after="0"/>
        <w:jc w:val="both"/>
        <w:rPr>
          <w:rFonts w:ascii="Arial" w:eastAsia="ArialMT" w:hAnsi="Arial" w:cs="Arial"/>
          <w:b/>
          <w:color w:val="000000"/>
        </w:rPr>
      </w:pPr>
      <w:r w:rsidRPr="008D2B14">
        <w:rPr>
          <w:rFonts w:ascii="Arial" w:eastAsia="ArialMT" w:hAnsi="Arial" w:cs="Arial"/>
          <w:b/>
          <w:color w:val="000000"/>
        </w:rPr>
        <w:t>Breite Zufriedenheit mit der Wirtschaftslage</w:t>
      </w:r>
    </w:p>
    <w:p w:rsidR="00440051" w:rsidRPr="008D2B14" w:rsidRDefault="00440051" w:rsidP="00440051">
      <w:pPr>
        <w:autoSpaceDE w:val="0"/>
        <w:jc w:val="both"/>
        <w:rPr>
          <w:rFonts w:ascii="Arial" w:eastAsia="ArialMT" w:hAnsi="Arial" w:cs="Arial"/>
          <w:color w:val="000000"/>
        </w:rPr>
      </w:pPr>
      <w:r w:rsidRPr="008D2B14">
        <w:rPr>
          <w:rFonts w:ascii="Arial" w:eastAsia="ArialMT" w:hAnsi="Arial" w:cs="Arial"/>
          <w:color w:val="000000"/>
        </w:rPr>
        <w:t xml:space="preserve">Das Land bewegt sich derzeit auf einem sehr hohen Niveau. Das zeigt sich insbesondere darin, dass </w:t>
      </w:r>
      <w:r w:rsidR="00247478">
        <w:rPr>
          <w:rFonts w:ascii="Arial" w:eastAsia="ArialMT" w:hAnsi="Arial" w:cs="Arial"/>
          <w:color w:val="000000"/>
        </w:rPr>
        <w:t>–</w:t>
      </w:r>
      <w:r w:rsidR="00EF5EDC" w:rsidRPr="00247478">
        <w:rPr>
          <w:rFonts w:ascii="Arial" w:eastAsia="ArialMT" w:hAnsi="Arial" w:cs="Arial"/>
          <w:color w:val="000000"/>
        </w:rPr>
        <w:t xml:space="preserve"> wie im Jahr zuvor </w:t>
      </w:r>
      <w:r w:rsidR="00247478">
        <w:rPr>
          <w:rFonts w:ascii="Arial" w:eastAsia="ArialMT" w:hAnsi="Arial" w:cs="Arial"/>
          <w:color w:val="000000"/>
        </w:rPr>
        <w:t>–</w:t>
      </w:r>
      <w:r w:rsidRPr="008D2B14">
        <w:rPr>
          <w:rFonts w:ascii="Arial" w:eastAsia="ArialMT" w:hAnsi="Arial" w:cs="Arial"/>
          <w:color w:val="000000"/>
        </w:rPr>
        <w:t xml:space="preserve"> 92 Prozent der Investoren Tschechien wieder als ihren Standort wählen würden. Bei der positiven Einschätzung der Wirtschaftslage erleben wir das zweite Jahr in Folge beinahe eine Verdopplung: Mehr als die Hälfte der Unternehmen, insgesamt 56 Prozent, schätzen die Wirtschaftslage als „gut“ ein. Ein Jahr zuvor war der Wert von 16 auf 29 Prozent gestiegen. Im Gegenzug halten aktuell nur 4 Prozent die gegenwärtige Wirtschaftslage für „schlecht“. Das sind Werte, die nur</w:t>
      </w:r>
      <w:r w:rsidR="00AD0A76">
        <w:rPr>
          <w:rFonts w:ascii="Arial" w:eastAsia="ArialMT" w:hAnsi="Arial" w:cs="Arial"/>
          <w:color w:val="000000"/>
        </w:rPr>
        <w:t xml:space="preserve"> im Frühjahr</w:t>
      </w:r>
      <w:r w:rsidRPr="008D2B14">
        <w:rPr>
          <w:rFonts w:ascii="Arial" w:eastAsia="ArialMT" w:hAnsi="Arial" w:cs="Arial"/>
          <w:color w:val="000000"/>
        </w:rPr>
        <w:t xml:space="preserve"> 2008, auf dem Höhepunkt des wirtschaftlichen Aufschwungs kurz vor dem Ausbruch der Krise, noch etwas besser waren. </w:t>
      </w:r>
    </w:p>
    <w:p w:rsidR="00440051" w:rsidRPr="008D2B14" w:rsidRDefault="00440051" w:rsidP="00440051">
      <w:pPr>
        <w:autoSpaceDE w:val="0"/>
        <w:spacing w:after="0"/>
        <w:jc w:val="both"/>
        <w:rPr>
          <w:rFonts w:ascii="Arial" w:eastAsia="ArialMT" w:hAnsi="Arial" w:cs="Arial"/>
          <w:b/>
          <w:color w:val="000000"/>
        </w:rPr>
      </w:pPr>
      <w:r w:rsidRPr="008D2B14">
        <w:rPr>
          <w:rFonts w:ascii="Arial" w:eastAsia="ArialMT" w:hAnsi="Arial" w:cs="Arial"/>
          <w:b/>
          <w:color w:val="000000"/>
        </w:rPr>
        <w:t>Stabilität bei den Wirtschaftsaussichten</w:t>
      </w:r>
    </w:p>
    <w:p w:rsidR="00247478" w:rsidRDefault="00440051">
      <w:pPr>
        <w:autoSpaceDE w:val="0"/>
        <w:jc w:val="both"/>
        <w:rPr>
          <w:rFonts w:ascii="Arial" w:eastAsia="ArialMT" w:hAnsi="Arial" w:cs="Arial"/>
          <w:color w:val="000000"/>
        </w:rPr>
      </w:pPr>
      <w:r w:rsidRPr="008D2B14">
        <w:rPr>
          <w:rFonts w:ascii="Arial" w:eastAsia="ArialMT" w:hAnsi="Arial" w:cs="Arial"/>
          <w:color w:val="000000"/>
        </w:rPr>
        <w:t xml:space="preserve">Was die Erwartung eines </w:t>
      </w:r>
      <w:r w:rsidRPr="008D2B14">
        <w:rPr>
          <w:rFonts w:ascii="Arial" w:eastAsia="ArialMT" w:hAnsi="Arial" w:cs="Arial"/>
          <w:bCs/>
          <w:color w:val="000000"/>
        </w:rPr>
        <w:t>weiteren Wirtschaftsaufschwungs</w:t>
      </w:r>
      <w:r w:rsidRPr="008D2B14">
        <w:rPr>
          <w:rFonts w:ascii="Arial" w:eastAsia="ArialMT" w:hAnsi="Arial" w:cs="Arial"/>
          <w:color w:val="000000"/>
        </w:rPr>
        <w:t xml:space="preserve"> betrifft, so lesen wir auch hier gute Nachrichten, auch wenn die Unternehmen etwas zurückha</w:t>
      </w:r>
      <w:r w:rsidR="00C64737">
        <w:rPr>
          <w:rFonts w:ascii="Arial" w:eastAsia="ArialMT" w:hAnsi="Arial" w:cs="Arial"/>
          <w:color w:val="000000"/>
        </w:rPr>
        <w:t>ltender sind als im Vorjahr. 34 </w:t>
      </w:r>
      <w:r w:rsidRPr="008D2B14">
        <w:rPr>
          <w:rFonts w:ascii="Arial" w:eastAsia="ArialMT" w:hAnsi="Arial" w:cs="Arial"/>
          <w:color w:val="000000"/>
        </w:rPr>
        <w:t>Prozent (2015: 33 Prozent) erwarten bessere Aussichten für den Jahresverlauf. Gut jedes zweite Unternehmen erwartet für den Jahresverlauf eine stabile Entwicklung, und 10 Prozent  be</w:t>
      </w:r>
      <w:r>
        <w:rPr>
          <w:rFonts w:ascii="Arial" w:eastAsia="ArialMT" w:hAnsi="Arial" w:cs="Arial"/>
          <w:color w:val="000000"/>
        </w:rPr>
        <w:t>fürchten eine Verschlechterung</w:t>
      </w:r>
      <w:r w:rsidR="00AD0A76">
        <w:rPr>
          <w:rFonts w:ascii="Arial" w:eastAsia="ArialMT" w:hAnsi="Arial" w:cs="Arial"/>
          <w:color w:val="000000"/>
        </w:rPr>
        <w:t>, mehr als doppelt so viele wie im Jahr zuvor</w:t>
      </w:r>
      <w:r>
        <w:rPr>
          <w:rFonts w:ascii="Arial" w:eastAsia="ArialMT" w:hAnsi="Arial" w:cs="Arial"/>
          <w:color w:val="000000"/>
        </w:rPr>
        <w:t>.</w:t>
      </w:r>
      <w:r w:rsidR="0008317D" w:rsidRPr="0008317D">
        <w:rPr>
          <w:rFonts w:ascii="Arial" w:eastAsia="ArialMT" w:hAnsi="Arial" w:cs="Arial"/>
          <w:i/>
          <w:color w:val="000000"/>
        </w:rPr>
        <w:t xml:space="preserve"> </w:t>
      </w:r>
      <w:r w:rsidR="0008317D">
        <w:rPr>
          <w:rFonts w:ascii="Arial" w:eastAsia="ArialMT" w:hAnsi="Arial" w:cs="Arial"/>
          <w:i/>
          <w:color w:val="000000"/>
        </w:rPr>
        <w:t>„</w:t>
      </w:r>
      <w:r w:rsidR="0008317D" w:rsidRPr="008D2B14">
        <w:rPr>
          <w:rFonts w:ascii="Arial" w:eastAsia="ArialMT" w:hAnsi="Arial" w:cs="Arial"/>
          <w:i/>
          <w:color w:val="000000"/>
        </w:rPr>
        <w:t xml:space="preserve">Die Wirtschaft hat sich zuletzt schon sehr gut entwickelt. Hinzu kommen die Unsicherheiten der geopolitischen Großwetterlage, so dass die Unternehmen etwas vorsichtiger in die Zukunft blicken. </w:t>
      </w:r>
      <w:r w:rsidR="006C022D">
        <w:rPr>
          <w:rFonts w:ascii="Arial" w:eastAsia="ArialMT" w:hAnsi="Arial" w:cs="Arial"/>
          <w:i/>
          <w:color w:val="000000"/>
        </w:rPr>
        <w:t>Das</w:t>
      </w:r>
      <w:r w:rsidR="0008317D" w:rsidRPr="008D2B14">
        <w:rPr>
          <w:rFonts w:ascii="Arial" w:eastAsia="ArialMT" w:hAnsi="Arial" w:cs="Arial"/>
          <w:i/>
          <w:color w:val="000000"/>
        </w:rPr>
        <w:t xml:space="preserve"> zeigt sich</w:t>
      </w:r>
      <w:r w:rsidR="006C022D">
        <w:rPr>
          <w:rFonts w:ascii="Arial" w:eastAsia="ArialMT" w:hAnsi="Arial" w:cs="Arial"/>
          <w:i/>
          <w:color w:val="000000"/>
        </w:rPr>
        <w:t xml:space="preserve"> auch</w:t>
      </w:r>
      <w:r w:rsidR="0008317D" w:rsidRPr="008D2B14">
        <w:rPr>
          <w:rFonts w:ascii="Arial" w:eastAsia="ArialMT" w:hAnsi="Arial" w:cs="Arial"/>
          <w:i/>
          <w:color w:val="000000"/>
        </w:rPr>
        <w:t xml:space="preserve">, wenn wir die aktuelle Geschäftslage </w:t>
      </w:r>
      <w:r w:rsidR="006C022D">
        <w:rPr>
          <w:rFonts w:ascii="Arial" w:eastAsia="ArialMT" w:hAnsi="Arial" w:cs="Arial"/>
          <w:i/>
          <w:color w:val="000000"/>
        </w:rPr>
        <w:t xml:space="preserve">der Unternehmen </w:t>
      </w:r>
      <w:r w:rsidR="0008317D" w:rsidRPr="008D2B14">
        <w:rPr>
          <w:rFonts w:ascii="Arial" w:eastAsia="ArialMT" w:hAnsi="Arial" w:cs="Arial"/>
          <w:i/>
          <w:color w:val="000000"/>
        </w:rPr>
        <w:t xml:space="preserve">und im Gegenzug die Zukunftsaussichten betrachten. Im Ganzen zeichnet sich im Vergleich zum </w:t>
      </w:r>
      <w:r w:rsidR="0008317D" w:rsidRPr="008D2B14">
        <w:rPr>
          <w:rFonts w:ascii="Arial" w:eastAsia="ArialMT" w:hAnsi="Arial" w:cs="Arial"/>
          <w:i/>
          <w:color w:val="000000"/>
        </w:rPr>
        <w:lastRenderedPageBreak/>
        <w:t>vergangenen Ausnahmejahr eher stabiles Wachstum ab, mittelfristig eine Verlangsamung“</w:t>
      </w:r>
      <w:r w:rsidR="0008317D">
        <w:rPr>
          <w:rFonts w:ascii="Arial" w:eastAsia="ArialMT" w:hAnsi="Arial" w:cs="Arial"/>
          <w:i/>
          <w:color w:val="000000"/>
        </w:rPr>
        <w:t>,</w:t>
      </w:r>
      <w:r w:rsidR="0008317D" w:rsidRPr="008D2B14">
        <w:rPr>
          <w:rFonts w:ascii="Arial" w:eastAsia="ArialMT" w:hAnsi="Arial" w:cs="Arial"/>
          <w:color w:val="000000"/>
        </w:rPr>
        <w:t xml:space="preserve"> erklärt DTIHK-Geschäftsführer Bernard Bauer.</w:t>
      </w:r>
    </w:p>
    <w:p w:rsidR="00440051" w:rsidRPr="008D2B14" w:rsidRDefault="00440051" w:rsidP="00440051">
      <w:pPr>
        <w:autoSpaceDE w:val="0"/>
        <w:spacing w:after="0"/>
        <w:jc w:val="both"/>
        <w:rPr>
          <w:rFonts w:ascii="Arial" w:eastAsia="ArialMT" w:hAnsi="Arial" w:cs="Arial"/>
          <w:b/>
          <w:color w:val="000000"/>
        </w:rPr>
      </w:pPr>
      <w:r w:rsidRPr="008D2B14">
        <w:rPr>
          <w:rFonts w:ascii="Arial" w:eastAsia="ArialMT" w:hAnsi="Arial" w:cs="Arial"/>
          <w:b/>
          <w:color w:val="000000"/>
        </w:rPr>
        <w:t xml:space="preserve">Unternehmen bei Umsatzprognose und Exportaussichten optimistisch </w:t>
      </w:r>
    </w:p>
    <w:p w:rsidR="00440051" w:rsidRPr="008D2B14" w:rsidRDefault="006C022D" w:rsidP="00564DD1">
      <w:pPr>
        <w:jc w:val="both"/>
        <w:rPr>
          <w:rFonts w:ascii="Arial" w:eastAsia="ArialMT" w:hAnsi="Arial" w:cs="Arial"/>
          <w:color w:val="000000"/>
        </w:rPr>
      </w:pPr>
      <w:r>
        <w:rPr>
          <w:rFonts w:ascii="Arial" w:eastAsia="ArialMT" w:hAnsi="Arial" w:cs="Arial"/>
          <w:color w:val="000000"/>
        </w:rPr>
        <w:t>Der Erfolg 2015</w:t>
      </w:r>
      <w:r w:rsidR="00440051" w:rsidRPr="008D2B14">
        <w:rPr>
          <w:rFonts w:ascii="Arial" w:eastAsia="ArialMT" w:hAnsi="Arial" w:cs="Arial"/>
          <w:color w:val="000000"/>
        </w:rPr>
        <w:t xml:space="preserve"> hängt auch mit Einmalfaktoren zusammen, wie der erfolgreichen Abschöpfung von EU-Mitteln, die der Wirtschaft im letzten Jahr wichtige Impulse gaben. Dank niedriger Arbeitslosenquote und steigender Reallöhne bleiben aber auch die Privathaushalte ein wichtiger Konjunkturfaktor. Dem entsprechen zuversichtliche Umsatzprognosen der Firmen. Abermals geht mehr als die Hälfte von ihnen von einer Steigerung aus. Beim Exportabsatz, </w:t>
      </w:r>
      <w:r w:rsidR="00440051" w:rsidRPr="008D2B14">
        <w:rPr>
          <w:rFonts w:ascii="Arial" w:eastAsia="ArialMT" w:hAnsi="Arial" w:cs="Arial"/>
          <w:iCs/>
          <w:color w:val="000000"/>
        </w:rPr>
        <w:t>der gerade bei vielen deutschen Unternehmen einen großen Anteil ausmacht,</w:t>
      </w:r>
      <w:r w:rsidR="00440051" w:rsidRPr="008D2B14">
        <w:rPr>
          <w:rFonts w:ascii="Arial" w:eastAsia="ArialMT" w:hAnsi="Arial" w:cs="Arial"/>
          <w:color w:val="000000"/>
        </w:rPr>
        <w:t xml:space="preserve"> rechnen wie im letzten Jahr knapp 40 Prozent mit einer Zunahme. Nur 5 Prozent </w:t>
      </w:r>
      <w:r w:rsidR="00EF5EDC" w:rsidRPr="00247478">
        <w:rPr>
          <w:rFonts w:ascii="Arial" w:eastAsia="ArialMT" w:hAnsi="Arial" w:cs="Arial"/>
          <w:color w:val="000000"/>
        </w:rPr>
        <w:t>– dieser Wert hat sich im Vergleich zum Vorjahr halbiert –</w:t>
      </w:r>
      <w:r w:rsidR="00440051" w:rsidRPr="008D2B14">
        <w:rPr>
          <w:rFonts w:ascii="Arial" w:eastAsia="ArialMT" w:hAnsi="Arial" w:cs="Arial"/>
          <w:color w:val="000000"/>
        </w:rPr>
        <w:t xml:space="preserve"> gehen von sinkenden Exporten aus.</w:t>
      </w:r>
    </w:p>
    <w:p w:rsidR="00440051" w:rsidRPr="008D2B14" w:rsidRDefault="00440051" w:rsidP="00440051">
      <w:pPr>
        <w:autoSpaceDE w:val="0"/>
        <w:spacing w:after="0"/>
        <w:jc w:val="both"/>
        <w:rPr>
          <w:rFonts w:ascii="Arial" w:eastAsia="ArialMT" w:hAnsi="Arial" w:cs="Arial"/>
          <w:color w:val="000000"/>
        </w:rPr>
      </w:pPr>
      <w:r w:rsidRPr="008D2B14">
        <w:rPr>
          <w:rFonts w:ascii="Arial" w:hAnsi="Arial" w:cs="Arial"/>
          <w:b/>
          <w:color w:val="000000"/>
        </w:rPr>
        <w:t>Positive Signale auch bei Beschäftigung und Investitionen</w:t>
      </w:r>
    </w:p>
    <w:p w:rsidR="00440051" w:rsidRPr="008D2B14" w:rsidRDefault="00440051" w:rsidP="00440051">
      <w:pPr>
        <w:autoSpaceDE w:val="0"/>
        <w:jc w:val="both"/>
        <w:rPr>
          <w:rFonts w:ascii="Arial" w:eastAsia="ArialMT" w:hAnsi="Arial" w:cs="Arial"/>
          <w:color w:val="000000"/>
        </w:rPr>
      </w:pPr>
      <w:r w:rsidRPr="008D2B14">
        <w:rPr>
          <w:rFonts w:ascii="Arial" w:eastAsia="ArialMT" w:hAnsi="Arial" w:cs="Arial"/>
          <w:color w:val="000000"/>
        </w:rPr>
        <w:t>Erfreulich ist auch, dass 41 Prozent der Unternehmen (8 Prozent</w:t>
      </w:r>
      <w:r w:rsidR="00E937B4">
        <w:rPr>
          <w:rFonts w:ascii="Arial" w:eastAsia="ArialMT" w:hAnsi="Arial" w:cs="Arial"/>
          <w:color w:val="000000"/>
        </w:rPr>
        <w:t>punkte</w:t>
      </w:r>
      <w:r w:rsidRPr="008D2B14">
        <w:rPr>
          <w:rFonts w:ascii="Arial" w:eastAsia="ArialMT" w:hAnsi="Arial" w:cs="Arial"/>
          <w:color w:val="000000"/>
        </w:rPr>
        <w:t xml:space="preserve"> mehr als 2015) mit einer Steigerung </w:t>
      </w:r>
      <w:r w:rsidR="003120AE">
        <w:rPr>
          <w:rFonts w:ascii="Arial" w:eastAsia="ArialMT" w:hAnsi="Arial" w:cs="Arial"/>
          <w:color w:val="000000"/>
        </w:rPr>
        <w:t>i</w:t>
      </w:r>
      <w:r w:rsidRPr="008D2B14">
        <w:rPr>
          <w:rFonts w:ascii="Arial" w:eastAsia="ArialMT" w:hAnsi="Arial" w:cs="Arial"/>
          <w:color w:val="000000"/>
        </w:rPr>
        <w:t>hrer Investitionsausgaben rechnen. „</w:t>
      </w:r>
      <w:r w:rsidRPr="008D2B14">
        <w:rPr>
          <w:rFonts w:ascii="Arial" w:eastAsia="ArialMT" w:hAnsi="Arial" w:cs="Arial"/>
          <w:i/>
          <w:color w:val="000000"/>
        </w:rPr>
        <w:t>Ein wichtiges Signal. Dazu gehören nach Aussagen vieler Mitgliedsfirmen auch Investitionen in die Digitalisierung der Unternehmens- und Kommunikationsstrukturen sowie der Produktion. Gerade in diesem Bereich muss sich das Land gut aufstellen, um in einer innovationsgetriebenen Zeit ganz vorne mitspielen zu können“</w:t>
      </w:r>
      <w:r w:rsidRPr="008D2B14">
        <w:rPr>
          <w:rFonts w:ascii="Arial" w:eastAsia="ArialMT" w:hAnsi="Arial" w:cs="Arial"/>
          <w:color w:val="000000"/>
        </w:rPr>
        <w:t>, so Bernard Bauer. Anders als viele befürchten, zeichnet sich im Zuge der Digitalisierung bisher nicht ab, dass die intelligente Maschine den Menschen ersetzt: 44</w:t>
      </w:r>
      <w:r w:rsidR="003120AE">
        <w:rPr>
          <w:rFonts w:ascii="Arial" w:eastAsia="ArialMT" w:hAnsi="Arial" w:cs="Arial"/>
          <w:color w:val="000000"/>
        </w:rPr>
        <w:t> </w:t>
      </w:r>
      <w:r w:rsidRPr="008D2B14">
        <w:rPr>
          <w:rFonts w:ascii="Arial" w:eastAsia="ArialMT" w:hAnsi="Arial" w:cs="Arial"/>
          <w:color w:val="000000"/>
        </w:rPr>
        <w:t xml:space="preserve">Prozent der Firmen planen, im Jahresverlauf mehr Mitarbeiter einzustellen </w:t>
      </w:r>
      <w:r w:rsidR="003120AE">
        <w:rPr>
          <w:rFonts w:ascii="Arial" w:eastAsia="ArialMT" w:hAnsi="Arial" w:cs="Arial"/>
          <w:color w:val="000000"/>
        </w:rPr>
        <w:t>–</w:t>
      </w:r>
      <w:r w:rsidRPr="008D2B14">
        <w:rPr>
          <w:rFonts w:ascii="Arial" w:eastAsia="ArialMT" w:hAnsi="Arial" w:cs="Arial"/>
          <w:color w:val="000000"/>
        </w:rPr>
        <w:t xml:space="preserve"> eine Zunahme von 9 Prozent</w:t>
      </w:r>
      <w:r w:rsidR="00E937B4">
        <w:rPr>
          <w:rFonts w:ascii="Arial" w:eastAsia="ArialMT" w:hAnsi="Arial" w:cs="Arial"/>
          <w:color w:val="000000"/>
        </w:rPr>
        <w:t>punkte</w:t>
      </w:r>
      <w:r w:rsidRPr="008D2B14">
        <w:rPr>
          <w:rFonts w:ascii="Arial" w:eastAsia="ArialMT" w:hAnsi="Arial" w:cs="Arial"/>
          <w:color w:val="000000"/>
        </w:rPr>
        <w:t xml:space="preserve"> im Vergleich zu 2015.</w:t>
      </w:r>
    </w:p>
    <w:p w:rsidR="00440051" w:rsidRPr="008D2B14" w:rsidRDefault="00440051" w:rsidP="00440051">
      <w:pPr>
        <w:autoSpaceDE w:val="0"/>
        <w:spacing w:after="0"/>
        <w:jc w:val="both"/>
        <w:rPr>
          <w:rFonts w:ascii="Arial" w:eastAsia="ArialMT" w:hAnsi="Arial" w:cs="Arial"/>
          <w:b/>
          <w:color w:val="000000"/>
        </w:rPr>
      </w:pPr>
      <w:r w:rsidRPr="008D2B14">
        <w:rPr>
          <w:rFonts w:ascii="Arial" w:eastAsia="ArialMT" w:hAnsi="Arial" w:cs="Arial"/>
          <w:b/>
          <w:color w:val="000000"/>
        </w:rPr>
        <w:t>Dramatischer Absturz bei der „Verfügbarkeit von Fachkräften“</w:t>
      </w:r>
    </w:p>
    <w:p w:rsidR="00440051" w:rsidRPr="008D2B14" w:rsidRDefault="00440051" w:rsidP="00241065">
      <w:pPr>
        <w:jc w:val="both"/>
        <w:rPr>
          <w:rFonts w:ascii="Arial" w:eastAsia="Times New Roman" w:hAnsi="Arial" w:cs="Arial"/>
          <w:lang w:eastAsia="de-DE"/>
        </w:rPr>
      </w:pPr>
      <w:r w:rsidRPr="008D2B14">
        <w:rPr>
          <w:rFonts w:ascii="Arial" w:eastAsia="ArialMT" w:hAnsi="Arial" w:cs="Arial"/>
          <w:color w:val="000000"/>
        </w:rPr>
        <w:t>Die diesjährige Konjunkturumfrage offenbart aber auch, wie dramatisch die Situation bereits in Sachen Fachkräftemangel ist. Den Standortfaktor „Verfügbarkeit von Fachkräften“ haben die Unternehmen in Tschechien auf den letzten Platz von insgesamt 21 Faktoren verbannt – tiefer geht nicht. Ein Absturz um sieben Plätze innerhalb eines Jahres</w:t>
      </w:r>
      <w:r w:rsidR="00241065">
        <w:rPr>
          <w:rFonts w:ascii="Arial" w:eastAsia="ArialMT" w:hAnsi="Arial" w:cs="Arial"/>
          <w:color w:val="000000"/>
        </w:rPr>
        <w:t xml:space="preserve">. </w:t>
      </w:r>
      <w:r w:rsidR="00241065" w:rsidRPr="00A16A90">
        <w:rPr>
          <w:rFonts w:ascii="Arial" w:hAnsi="Arial" w:cs="Arial"/>
          <w:i/>
          <w:iCs/>
          <w:color w:val="000000"/>
        </w:rPr>
        <w:t xml:space="preserve">„Dieser Trend muss gestoppt werden, denn er wird </w:t>
      </w:r>
      <w:r w:rsidR="00241065">
        <w:rPr>
          <w:rFonts w:ascii="Arial" w:hAnsi="Arial" w:cs="Arial"/>
          <w:i/>
          <w:iCs/>
          <w:color w:val="000000"/>
        </w:rPr>
        <w:t xml:space="preserve">in </w:t>
      </w:r>
      <w:r w:rsidR="00241065" w:rsidRPr="00A16A90">
        <w:rPr>
          <w:rFonts w:ascii="Arial" w:hAnsi="Arial" w:cs="Arial"/>
          <w:i/>
          <w:iCs/>
          <w:color w:val="000000"/>
        </w:rPr>
        <w:t xml:space="preserve">Tschechien zum </w:t>
      </w:r>
      <w:r w:rsidR="00241065">
        <w:rPr>
          <w:rFonts w:ascii="Arial" w:hAnsi="Arial" w:cs="Arial"/>
          <w:i/>
          <w:iCs/>
          <w:color w:val="000000"/>
        </w:rPr>
        <w:t xml:space="preserve">limitierenden Faktor – sowohl </w:t>
      </w:r>
      <w:r w:rsidR="00241065" w:rsidRPr="00A16A90">
        <w:rPr>
          <w:rFonts w:ascii="Arial" w:hAnsi="Arial" w:cs="Arial"/>
          <w:i/>
          <w:iCs/>
          <w:color w:val="000000"/>
        </w:rPr>
        <w:t xml:space="preserve">für die Entwicklung der bereits bestehenden Investitionen </w:t>
      </w:r>
      <w:r w:rsidR="00241065">
        <w:rPr>
          <w:rFonts w:ascii="Arial" w:hAnsi="Arial" w:cs="Arial"/>
          <w:i/>
          <w:iCs/>
          <w:color w:val="000000"/>
        </w:rPr>
        <w:t>als auch</w:t>
      </w:r>
      <w:r w:rsidR="00241065" w:rsidRPr="00A16A90">
        <w:rPr>
          <w:rFonts w:ascii="Arial" w:hAnsi="Arial" w:cs="Arial"/>
          <w:i/>
          <w:iCs/>
          <w:color w:val="000000"/>
        </w:rPr>
        <w:t xml:space="preserve"> für </w:t>
      </w:r>
      <w:r w:rsidR="00241065">
        <w:rPr>
          <w:rFonts w:ascii="Arial" w:hAnsi="Arial" w:cs="Arial"/>
          <w:i/>
          <w:iCs/>
          <w:color w:val="000000"/>
        </w:rPr>
        <w:t>neue Investitionse</w:t>
      </w:r>
      <w:r w:rsidR="00241065" w:rsidRPr="00A16A90">
        <w:rPr>
          <w:rFonts w:ascii="Arial" w:hAnsi="Arial" w:cs="Arial"/>
          <w:i/>
          <w:iCs/>
          <w:color w:val="000000"/>
        </w:rPr>
        <w:t xml:space="preserve">ntscheidungen. Dies betrifft leider nicht nur hochqualifizierte technische </w:t>
      </w:r>
      <w:r w:rsidR="00241065">
        <w:rPr>
          <w:rFonts w:ascii="Arial" w:hAnsi="Arial" w:cs="Arial"/>
          <w:i/>
          <w:iCs/>
          <w:color w:val="000000"/>
        </w:rPr>
        <w:t>F</w:t>
      </w:r>
      <w:r w:rsidR="00241065" w:rsidRPr="00A16A90">
        <w:rPr>
          <w:rFonts w:ascii="Arial" w:hAnsi="Arial" w:cs="Arial"/>
          <w:i/>
          <w:iCs/>
          <w:color w:val="000000"/>
        </w:rPr>
        <w:t>&amp;</w:t>
      </w:r>
      <w:r w:rsidR="00241065">
        <w:rPr>
          <w:rFonts w:ascii="Arial" w:hAnsi="Arial" w:cs="Arial"/>
          <w:i/>
          <w:iCs/>
          <w:color w:val="000000"/>
        </w:rPr>
        <w:t>E</w:t>
      </w:r>
      <w:r w:rsidR="00241065" w:rsidRPr="00A16A90">
        <w:rPr>
          <w:rFonts w:ascii="Arial" w:hAnsi="Arial" w:cs="Arial"/>
          <w:i/>
          <w:iCs/>
          <w:color w:val="000000"/>
        </w:rPr>
        <w:t xml:space="preserve">-Mitarbeiter, sondern auch übliche </w:t>
      </w:r>
      <w:r w:rsidR="00241065">
        <w:rPr>
          <w:rFonts w:ascii="Arial" w:hAnsi="Arial" w:cs="Arial"/>
          <w:i/>
          <w:iCs/>
          <w:color w:val="000000"/>
        </w:rPr>
        <w:t>B</w:t>
      </w:r>
      <w:r w:rsidR="00241065" w:rsidRPr="00A16A90">
        <w:rPr>
          <w:rFonts w:ascii="Arial" w:hAnsi="Arial" w:cs="Arial"/>
          <w:i/>
          <w:iCs/>
          <w:color w:val="000000"/>
        </w:rPr>
        <w:t>erufe</w:t>
      </w:r>
      <w:r w:rsidR="00241065">
        <w:rPr>
          <w:rFonts w:ascii="Arial" w:hAnsi="Arial" w:cs="Arial"/>
          <w:i/>
          <w:iCs/>
          <w:color w:val="000000"/>
        </w:rPr>
        <w:t xml:space="preserve"> direkt in der Produktion</w:t>
      </w:r>
      <w:r w:rsidR="00241065" w:rsidRPr="00A16A90">
        <w:rPr>
          <w:rFonts w:ascii="Arial" w:hAnsi="Arial" w:cs="Arial"/>
          <w:i/>
          <w:iCs/>
          <w:color w:val="000000"/>
        </w:rPr>
        <w:t>“</w:t>
      </w:r>
      <w:r w:rsidR="00241065" w:rsidRPr="00A16A90">
        <w:rPr>
          <w:rFonts w:ascii="Arial" w:hAnsi="Arial" w:cs="Arial"/>
          <w:color w:val="000000"/>
        </w:rPr>
        <w:t>, erklärt Pavel Roman</w:t>
      </w:r>
      <w:r w:rsidR="00241065">
        <w:rPr>
          <w:rFonts w:ascii="Arial" w:hAnsi="Arial" w:cs="Arial"/>
          <w:color w:val="000000"/>
        </w:rPr>
        <w:t xml:space="preserve">, Leiter Unternehmenskommunikation der Bosch-Gruppe in Tschechien und </w:t>
      </w:r>
      <w:r w:rsidR="00241065" w:rsidRPr="00A16A90">
        <w:rPr>
          <w:rFonts w:ascii="Arial" w:hAnsi="Arial" w:cs="Arial"/>
          <w:color w:val="000000"/>
        </w:rPr>
        <w:t>DTIHK-Vizepräsident.</w:t>
      </w:r>
      <w:r w:rsidR="00241065">
        <w:rPr>
          <w:rFonts w:ascii="Arial" w:hAnsi="Arial" w:cs="Arial"/>
          <w:color w:val="000000"/>
        </w:rPr>
        <w:t xml:space="preserve"> </w:t>
      </w:r>
      <w:r w:rsidRPr="008D2B14">
        <w:rPr>
          <w:rFonts w:ascii="Arial" w:eastAsia="ArialMT" w:hAnsi="Arial" w:cs="Arial"/>
          <w:color w:val="000000"/>
        </w:rPr>
        <w:t>Dementsprechend haben die Firmen auch den Daumen weiter gesenkt für das tschechische Berufsbildungssystem, das die praktische Ausbildung nicht in die Unternehmen verlagert: Platz 16 im Faktoren-Ranking. Fachkräftemangel führt zu einer empfindlichen Steigerung der Gehälter und gefährdet die Konkurrenzfähigkeit. Der Standortfaktor „Arbeitskosten“ wurde daher auf Platz 10 verwiesen – ein Abfall um 6 Plätze im Vergleich zu 2015. Diesen Trend hat schon die aktuelle Vergütungsstudie der DTIHK und Kienbaum Management Consultants aufgezeigt.</w:t>
      </w:r>
    </w:p>
    <w:p w:rsidR="00440051" w:rsidRPr="008D2B14" w:rsidRDefault="00440051" w:rsidP="00440051">
      <w:pPr>
        <w:autoSpaceDE w:val="0"/>
        <w:spacing w:after="0"/>
        <w:jc w:val="both"/>
        <w:rPr>
          <w:rFonts w:ascii="Arial" w:eastAsia="ArialMT" w:hAnsi="Arial" w:cs="Arial"/>
          <w:b/>
          <w:color w:val="000000"/>
        </w:rPr>
      </w:pPr>
      <w:r w:rsidRPr="008D2B14">
        <w:rPr>
          <w:rFonts w:ascii="Arial" w:eastAsia="ArialMT" w:hAnsi="Arial" w:cs="Arial"/>
          <w:b/>
          <w:color w:val="000000"/>
        </w:rPr>
        <w:t>MOE-Vergleich: Tschechien wieder Primus</w:t>
      </w:r>
    </w:p>
    <w:p w:rsidR="00995241" w:rsidRPr="00CC3DE7" w:rsidRDefault="00440051" w:rsidP="00440051">
      <w:pPr>
        <w:jc w:val="both"/>
        <w:rPr>
          <w:rFonts w:ascii="Arial" w:hAnsi="Arial" w:cs="Arial"/>
          <w:b/>
          <w:bCs/>
        </w:rPr>
      </w:pPr>
      <w:r w:rsidRPr="008D2B14">
        <w:rPr>
          <w:rFonts w:ascii="Arial" w:eastAsia="ArialMT" w:hAnsi="Arial" w:cs="Arial"/>
          <w:color w:val="000000"/>
        </w:rPr>
        <w:t xml:space="preserve">Tschechien hat sich im mittelosteuropäischen Standort-Ranking von Polen den Platz 1 zurückgeholt – nach vier Jahren. Denn Tschechien kann weiterhin auf eine Reihe guter </w:t>
      </w:r>
      <w:r w:rsidRPr="008D2B14">
        <w:rPr>
          <w:rFonts w:ascii="Arial" w:eastAsia="ArialMT" w:hAnsi="Arial" w:cs="Arial"/>
          <w:bCs/>
          <w:color w:val="000000"/>
        </w:rPr>
        <w:lastRenderedPageBreak/>
        <w:t>Standortqualitäten bauen</w:t>
      </w:r>
      <w:r w:rsidRPr="008D2B14">
        <w:rPr>
          <w:rFonts w:ascii="Arial" w:eastAsia="ArialMT" w:hAnsi="Arial" w:cs="Arial"/>
          <w:color w:val="000000"/>
        </w:rPr>
        <w:t xml:space="preserve">. Die EU-Mitgliedschaft ist am wichtigsten, aber im MOE-Kontext kein Alleinstellungsmerkmal. Regelrecht glänzen kann Tschechien aber mit seiner Qualität und Verfügbarkeit lokaler Zulieferer, allen voran in der Automobilindustrie. Die Produktivität und Leistungsbereitschaft der Arbeitnehmer sowie ihre Qualifikation belegen gleich danach Platz 3 und 4. Neu unter den Top-5-Faktoren ist die „Berechenbarkeit der Wirtschaftspolitik“, die eng mit einer nun schon </w:t>
      </w:r>
      <w:r w:rsidR="00027B6A">
        <w:rPr>
          <w:rFonts w:ascii="Arial" w:eastAsia="ArialMT" w:hAnsi="Arial" w:cs="Arial"/>
          <w:color w:val="000000"/>
        </w:rPr>
        <w:t>zwei</w:t>
      </w:r>
      <w:r w:rsidR="00027B6A" w:rsidRPr="008D2B14">
        <w:rPr>
          <w:rFonts w:ascii="Arial" w:eastAsia="ArialMT" w:hAnsi="Arial" w:cs="Arial"/>
          <w:color w:val="000000"/>
        </w:rPr>
        <w:t xml:space="preserve"> </w:t>
      </w:r>
      <w:r w:rsidRPr="008D2B14">
        <w:rPr>
          <w:rFonts w:ascii="Arial" w:eastAsia="ArialMT" w:hAnsi="Arial" w:cs="Arial"/>
          <w:color w:val="000000"/>
        </w:rPr>
        <w:t>Jahre anhaltenden politischen Stabilität einhergeht.</w:t>
      </w:r>
    </w:p>
    <w:p w:rsidR="00F8339F" w:rsidRDefault="00F8339F" w:rsidP="00F8339F">
      <w:pPr>
        <w:spacing w:after="120"/>
        <w:jc w:val="both"/>
        <w:rPr>
          <w:rFonts w:ascii="Arial" w:hAnsi="Arial" w:cs="Arial"/>
          <w:color w:val="000000"/>
          <w:u w:val="single"/>
        </w:rPr>
      </w:pPr>
    </w:p>
    <w:tbl>
      <w:tblPr>
        <w:tblStyle w:val="Mkatabulky"/>
        <w:tblW w:w="9212" w:type="dxa"/>
        <w:tblInd w:w="108" w:type="dxa"/>
        <w:tblBorders>
          <w:insideH w:val="none" w:sz="0" w:space="0" w:color="auto"/>
          <w:insideV w:val="none" w:sz="0" w:space="0" w:color="auto"/>
        </w:tblBorders>
        <w:tblLayout w:type="fixed"/>
        <w:tblLook w:val="04A0" w:firstRow="1" w:lastRow="0" w:firstColumn="1" w:lastColumn="0" w:noHBand="0" w:noVBand="1"/>
      </w:tblPr>
      <w:tblGrid>
        <w:gridCol w:w="2093"/>
        <w:gridCol w:w="7119"/>
      </w:tblGrid>
      <w:tr w:rsidR="00F8339F" w:rsidTr="00923687">
        <w:tc>
          <w:tcPr>
            <w:tcW w:w="9212" w:type="dxa"/>
            <w:gridSpan w:val="2"/>
          </w:tcPr>
          <w:p w:rsidR="00F8339F" w:rsidRDefault="00F8339F" w:rsidP="00923687">
            <w:pPr>
              <w:spacing w:before="120" w:after="120"/>
              <w:jc w:val="both"/>
              <w:rPr>
                <w:rFonts w:ascii="Arial" w:hAnsi="Arial" w:cs="Arial"/>
                <w:color w:val="000000"/>
                <w:u w:val="single"/>
              </w:rPr>
            </w:pPr>
            <w:r w:rsidRPr="00F8339F">
              <w:rPr>
                <w:rFonts w:ascii="Arial" w:hAnsi="Arial" w:cs="Arial"/>
                <w:b/>
                <w:color w:val="000000"/>
              </w:rPr>
              <w:t>Technische Parameter zur Umfrage:</w:t>
            </w:r>
          </w:p>
        </w:tc>
      </w:tr>
      <w:tr w:rsidR="00923687" w:rsidTr="00923687">
        <w:tc>
          <w:tcPr>
            <w:tcW w:w="2093" w:type="dxa"/>
          </w:tcPr>
          <w:p w:rsidR="00923687" w:rsidRPr="00F8339F" w:rsidRDefault="00923687" w:rsidP="00923687">
            <w:pPr>
              <w:spacing w:after="60"/>
              <w:jc w:val="both"/>
              <w:rPr>
                <w:rFonts w:ascii="Arial" w:hAnsi="Arial" w:cs="Arial"/>
                <w:color w:val="000000"/>
                <w:sz w:val="20"/>
                <w:szCs w:val="20"/>
              </w:rPr>
            </w:pPr>
            <w:r w:rsidRPr="00F8339F">
              <w:rPr>
                <w:rFonts w:ascii="Arial" w:hAnsi="Arial" w:cs="Arial"/>
                <w:i/>
                <w:color w:val="000000"/>
                <w:sz w:val="20"/>
                <w:szCs w:val="20"/>
              </w:rPr>
              <w:t>Befragungszeitraum:</w:t>
            </w:r>
            <w:r w:rsidRPr="00F8339F">
              <w:rPr>
                <w:rFonts w:ascii="Arial" w:hAnsi="Arial" w:cs="Arial"/>
                <w:color w:val="000000"/>
                <w:sz w:val="20"/>
                <w:szCs w:val="20"/>
              </w:rPr>
              <w:t xml:space="preserve"> </w:t>
            </w:r>
          </w:p>
        </w:tc>
        <w:tc>
          <w:tcPr>
            <w:tcW w:w="7119" w:type="dxa"/>
          </w:tcPr>
          <w:p w:rsidR="00923687" w:rsidRPr="00F8339F" w:rsidRDefault="00923687" w:rsidP="00923687">
            <w:pPr>
              <w:spacing w:after="60"/>
              <w:jc w:val="both"/>
              <w:rPr>
                <w:rFonts w:ascii="Arial" w:hAnsi="Arial" w:cs="Arial"/>
                <w:b/>
                <w:color w:val="000000"/>
              </w:rPr>
            </w:pPr>
            <w:r w:rsidRPr="00F8339F">
              <w:rPr>
                <w:rFonts w:ascii="Arial" w:hAnsi="Arial" w:cs="Arial"/>
                <w:color w:val="000000"/>
                <w:sz w:val="20"/>
                <w:szCs w:val="20"/>
              </w:rPr>
              <w:t xml:space="preserve">Februar 2016 </w:t>
            </w:r>
          </w:p>
        </w:tc>
      </w:tr>
      <w:tr w:rsidR="00923687" w:rsidTr="00923687">
        <w:tc>
          <w:tcPr>
            <w:tcW w:w="2093" w:type="dxa"/>
          </w:tcPr>
          <w:p w:rsidR="00923687" w:rsidRPr="00F8339F" w:rsidRDefault="00923687" w:rsidP="00923687">
            <w:pPr>
              <w:spacing w:after="60"/>
              <w:jc w:val="both"/>
              <w:rPr>
                <w:rFonts w:ascii="Arial" w:hAnsi="Arial" w:cs="Arial"/>
                <w:i/>
                <w:color w:val="000000"/>
                <w:sz w:val="20"/>
                <w:szCs w:val="20"/>
              </w:rPr>
            </w:pPr>
            <w:r w:rsidRPr="00F8339F">
              <w:rPr>
                <w:rFonts w:ascii="Arial" w:hAnsi="Arial" w:cs="Arial"/>
                <w:i/>
                <w:color w:val="000000"/>
                <w:sz w:val="20"/>
                <w:szCs w:val="20"/>
              </w:rPr>
              <w:t>Teilnehmerkreis:</w:t>
            </w:r>
          </w:p>
        </w:tc>
        <w:tc>
          <w:tcPr>
            <w:tcW w:w="7119" w:type="dxa"/>
          </w:tcPr>
          <w:p w:rsidR="00923687" w:rsidRPr="00F8339F" w:rsidRDefault="00923687" w:rsidP="0004301A">
            <w:pPr>
              <w:spacing w:after="60"/>
              <w:jc w:val="both"/>
              <w:rPr>
                <w:rFonts w:ascii="Arial" w:hAnsi="Arial" w:cs="Arial"/>
                <w:color w:val="000000"/>
                <w:sz w:val="20"/>
                <w:szCs w:val="20"/>
              </w:rPr>
            </w:pPr>
            <w:r w:rsidRPr="00F8339F">
              <w:rPr>
                <w:rFonts w:ascii="Arial" w:hAnsi="Arial" w:cs="Arial"/>
                <w:color w:val="000000"/>
                <w:sz w:val="20"/>
                <w:szCs w:val="20"/>
              </w:rPr>
              <w:t>Unternehmen, die in Tschechien tätig sind, davon</w:t>
            </w:r>
            <w:r w:rsidR="00B84DA8">
              <w:rPr>
                <w:rFonts w:ascii="Arial" w:hAnsi="Arial" w:cs="Arial"/>
                <w:color w:val="000000"/>
                <w:sz w:val="20"/>
                <w:szCs w:val="20"/>
              </w:rPr>
              <w:t xml:space="preserve"> gehören 56 </w:t>
            </w:r>
            <w:r w:rsidRPr="00F8339F">
              <w:rPr>
                <w:rFonts w:ascii="Arial" w:hAnsi="Arial" w:cs="Arial"/>
                <w:color w:val="000000"/>
                <w:sz w:val="20"/>
                <w:szCs w:val="20"/>
              </w:rPr>
              <w:t>%</w:t>
            </w:r>
            <w:r w:rsidR="00B84DA8">
              <w:rPr>
                <w:rFonts w:ascii="Arial" w:hAnsi="Arial" w:cs="Arial"/>
                <w:color w:val="000000"/>
                <w:sz w:val="20"/>
                <w:szCs w:val="20"/>
              </w:rPr>
              <w:t xml:space="preserve"> einem Konzern</w:t>
            </w:r>
            <w:r w:rsidRPr="00F8339F">
              <w:rPr>
                <w:rFonts w:ascii="Arial" w:hAnsi="Arial" w:cs="Arial"/>
                <w:color w:val="000000"/>
                <w:sz w:val="20"/>
                <w:szCs w:val="20"/>
              </w:rPr>
              <w:t xml:space="preserve"> </w:t>
            </w:r>
            <w:r w:rsidR="00B84DA8">
              <w:rPr>
                <w:rFonts w:ascii="Arial" w:hAnsi="Arial" w:cs="Arial"/>
                <w:color w:val="000000"/>
                <w:sz w:val="20"/>
                <w:szCs w:val="20"/>
              </w:rPr>
              <w:t>bzw. einer Unternehmensgruppe</w:t>
            </w:r>
            <w:r w:rsidR="00F76598">
              <w:rPr>
                <w:rFonts w:ascii="Arial" w:hAnsi="Arial" w:cs="Arial"/>
                <w:color w:val="000000"/>
                <w:sz w:val="20"/>
                <w:szCs w:val="20"/>
              </w:rPr>
              <w:t xml:space="preserve"> an</w:t>
            </w:r>
            <w:r w:rsidR="00B84DA8">
              <w:rPr>
                <w:rFonts w:ascii="Arial" w:hAnsi="Arial" w:cs="Arial"/>
                <w:color w:val="000000"/>
                <w:sz w:val="20"/>
                <w:szCs w:val="20"/>
              </w:rPr>
              <w:t xml:space="preserve"> (73 % dieser Unternehmen haben ihre Zentrale</w:t>
            </w:r>
            <w:r w:rsidRPr="00F8339F">
              <w:rPr>
                <w:rFonts w:ascii="Arial" w:hAnsi="Arial" w:cs="Arial"/>
                <w:color w:val="000000"/>
                <w:sz w:val="20"/>
                <w:szCs w:val="20"/>
              </w:rPr>
              <w:t xml:space="preserve"> in Deutschland, 9</w:t>
            </w:r>
            <w:r w:rsidR="00B84DA8">
              <w:rPr>
                <w:rFonts w:ascii="Arial" w:hAnsi="Arial" w:cs="Arial"/>
                <w:color w:val="000000"/>
                <w:sz w:val="20"/>
                <w:szCs w:val="20"/>
              </w:rPr>
              <w:t> </w:t>
            </w:r>
            <w:r w:rsidRPr="00F8339F">
              <w:rPr>
                <w:rFonts w:ascii="Arial" w:hAnsi="Arial" w:cs="Arial"/>
                <w:color w:val="000000"/>
                <w:sz w:val="20"/>
                <w:szCs w:val="20"/>
              </w:rPr>
              <w:t>% in Österreich, 9</w:t>
            </w:r>
            <w:r w:rsidR="00B84DA8">
              <w:rPr>
                <w:rFonts w:ascii="Arial" w:hAnsi="Arial" w:cs="Arial"/>
                <w:color w:val="000000"/>
                <w:sz w:val="20"/>
                <w:szCs w:val="20"/>
              </w:rPr>
              <w:t> </w:t>
            </w:r>
            <w:r w:rsidRPr="00F8339F">
              <w:rPr>
                <w:rFonts w:ascii="Arial" w:hAnsi="Arial" w:cs="Arial"/>
                <w:color w:val="000000"/>
                <w:sz w:val="20"/>
                <w:szCs w:val="20"/>
              </w:rPr>
              <w:t>% in Tschechien, 8</w:t>
            </w:r>
            <w:r w:rsidR="00B84DA8">
              <w:rPr>
                <w:rFonts w:ascii="Arial" w:hAnsi="Arial" w:cs="Arial"/>
                <w:color w:val="000000"/>
                <w:sz w:val="20"/>
                <w:szCs w:val="20"/>
              </w:rPr>
              <w:t> </w:t>
            </w:r>
            <w:r w:rsidRPr="00F8339F">
              <w:rPr>
                <w:rFonts w:ascii="Arial" w:hAnsi="Arial" w:cs="Arial"/>
                <w:color w:val="000000"/>
                <w:sz w:val="20"/>
                <w:szCs w:val="20"/>
              </w:rPr>
              <w:t>% in anderen europäischen Ländern</w:t>
            </w:r>
            <w:r w:rsidR="00B84DA8">
              <w:rPr>
                <w:rFonts w:ascii="Arial" w:hAnsi="Arial" w:cs="Arial"/>
                <w:color w:val="000000"/>
                <w:sz w:val="20"/>
                <w:szCs w:val="20"/>
              </w:rPr>
              <w:t>)</w:t>
            </w:r>
          </w:p>
        </w:tc>
      </w:tr>
      <w:tr w:rsidR="00923687" w:rsidTr="00923687">
        <w:tc>
          <w:tcPr>
            <w:tcW w:w="2093" w:type="dxa"/>
          </w:tcPr>
          <w:p w:rsidR="00923687" w:rsidRPr="00F8339F" w:rsidRDefault="00923687" w:rsidP="00923687">
            <w:pPr>
              <w:spacing w:after="60"/>
              <w:jc w:val="both"/>
              <w:rPr>
                <w:rFonts w:ascii="Arial" w:hAnsi="Arial" w:cs="Arial"/>
                <w:i/>
                <w:color w:val="000000"/>
                <w:sz w:val="20"/>
                <w:szCs w:val="20"/>
              </w:rPr>
            </w:pPr>
            <w:r w:rsidRPr="00F8339F">
              <w:rPr>
                <w:rFonts w:ascii="Arial" w:hAnsi="Arial" w:cs="Arial"/>
                <w:i/>
                <w:color w:val="000000"/>
                <w:sz w:val="20"/>
                <w:szCs w:val="20"/>
              </w:rPr>
              <w:t>Teilnehmerzahl:</w:t>
            </w:r>
          </w:p>
        </w:tc>
        <w:tc>
          <w:tcPr>
            <w:tcW w:w="7119" w:type="dxa"/>
          </w:tcPr>
          <w:p w:rsidR="00923687" w:rsidRPr="00F8339F" w:rsidRDefault="00923687" w:rsidP="00923687">
            <w:pPr>
              <w:spacing w:after="60"/>
              <w:jc w:val="both"/>
              <w:rPr>
                <w:rFonts w:ascii="Arial" w:hAnsi="Arial" w:cs="Arial"/>
                <w:color w:val="000000"/>
                <w:sz w:val="20"/>
                <w:szCs w:val="20"/>
              </w:rPr>
            </w:pPr>
            <w:r w:rsidRPr="00F8339F">
              <w:rPr>
                <w:rFonts w:ascii="Arial" w:hAnsi="Arial" w:cs="Arial"/>
                <w:color w:val="000000"/>
                <w:sz w:val="20"/>
                <w:szCs w:val="20"/>
              </w:rPr>
              <w:t>195</w:t>
            </w:r>
          </w:p>
        </w:tc>
      </w:tr>
      <w:tr w:rsidR="00923687" w:rsidTr="00923687">
        <w:tc>
          <w:tcPr>
            <w:tcW w:w="2093" w:type="dxa"/>
          </w:tcPr>
          <w:p w:rsidR="00923687" w:rsidRPr="00F8339F" w:rsidRDefault="00923687" w:rsidP="00923687">
            <w:pPr>
              <w:spacing w:after="60"/>
              <w:rPr>
                <w:rFonts w:ascii="Arial" w:hAnsi="Arial" w:cs="Arial"/>
                <w:i/>
                <w:color w:val="000000"/>
                <w:sz w:val="20"/>
                <w:szCs w:val="20"/>
              </w:rPr>
            </w:pPr>
            <w:r w:rsidRPr="00F8339F">
              <w:rPr>
                <w:rFonts w:ascii="Arial" w:hAnsi="Arial" w:cs="Arial"/>
                <w:i/>
                <w:color w:val="000000"/>
                <w:sz w:val="20"/>
                <w:szCs w:val="20"/>
              </w:rPr>
              <w:t>Beteiligung nach Sektoren:</w:t>
            </w:r>
          </w:p>
        </w:tc>
        <w:tc>
          <w:tcPr>
            <w:tcW w:w="7119" w:type="dxa"/>
          </w:tcPr>
          <w:p w:rsidR="00923687" w:rsidRPr="00F8339F" w:rsidRDefault="00923687" w:rsidP="00B84DA8">
            <w:pPr>
              <w:spacing w:after="60"/>
              <w:jc w:val="both"/>
              <w:rPr>
                <w:rFonts w:ascii="Arial" w:hAnsi="Arial" w:cs="Arial"/>
                <w:color w:val="000000"/>
                <w:sz w:val="20"/>
                <w:szCs w:val="20"/>
              </w:rPr>
            </w:pPr>
            <w:r w:rsidRPr="00F8339F">
              <w:rPr>
                <w:rFonts w:ascii="Arial" w:hAnsi="Arial" w:cs="Arial"/>
                <w:color w:val="000000"/>
                <w:sz w:val="20"/>
                <w:szCs w:val="20"/>
              </w:rPr>
              <w:t>44</w:t>
            </w:r>
            <w:r w:rsidR="00B84DA8">
              <w:rPr>
                <w:rFonts w:ascii="Arial" w:hAnsi="Arial" w:cs="Arial"/>
                <w:color w:val="000000"/>
                <w:sz w:val="20"/>
                <w:szCs w:val="20"/>
              </w:rPr>
              <w:t> </w:t>
            </w:r>
            <w:r w:rsidRPr="00F8339F">
              <w:rPr>
                <w:rFonts w:ascii="Arial" w:hAnsi="Arial" w:cs="Arial"/>
                <w:color w:val="000000"/>
                <w:sz w:val="20"/>
                <w:szCs w:val="20"/>
              </w:rPr>
              <w:t>% verarbeitendes Gewerbe, 25</w:t>
            </w:r>
            <w:r w:rsidR="00B84DA8">
              <w:rPr>
                <w:rFonts w:ascii="Arial" w:hAnsi="Arial" w:cs="Arial"/>
                <w:color w:val="000000"/>
                <w:sz w:val="20"/>
                <w:szCs w:val="20"/>
              </w:rPr>
              <w:t> </w:t>
            </w:r>
            <w:r w:rsidRPr="00F8339F">
              <w:rPr>
                <w:rFonts w:ascii="Arial" w:hAnsi="Arial" w:cs="Arial"/>
                <w:color w:val="000000"/>
                <w:sz w:val="20"/>
                <w:szCs w:val="20"/>
              </w:rPr>
              <w:t>% Dienstleistungen, 19</w:t>
            </w:r>
            <w:r w:rsidR="00B84DA8">
              <w:rPr>
                <w:rFonts w:ascii="Arial" w:hAnsi="Arial" w:cs="Arial"/>
                <w:color w:val="000000"/>
                <w:sz w:val="20"/>
                <w:szCs w:val="20"/>
              </w:rPr>
              <w:t> </w:t>
            </w:r>
            <w:r w:rsidRPr="00F8339F">
              <w:rPr>
                <w:rFonts w:ascii="Arial" w:hAnsi="Arial" w:cs="Arial"/>
                <w:color w:val="000000"/>
                <w:sz w:val="20"/>
                <w:szCs w:val="20"/>
              </w:rPr>
              <w:t>% Handel, 10</w:t>
            </w:r>
            <w:r w:rsidR="00B84DA8">
              <w:rPr>
                <w:rFonts w:ascii="Arial" w:hAnsi="Arial" w:cs="Arial"/>
                <w:color w:val="000000"/>
                <w:sz w:val="20"/>
                <w:szCs w:val="20"/>
              </w:rPr>
              <w:t> </w:t>
            </w:r>
            <w:r w:rsidRPr="00F8339F">
              <w:rPr>
                <w:rFonts w:ascii="Arial" w:hAnsi="Arial" w:cs="Arial"/>
                <w:color w:val="000000"/>
                <w:sz w:val="20"/>
                <w:szCs w:val="20"/>
              </w:rPr>
              <w:t>% Bauwirtschaft, 2</w:t>
            </w:r>
            <w:r w:rsidR="00B84DA8">
              <w:rPr>
                <w:rFonts w:ascii="Arial" w:hAnsi="Arial" w:cs="Arial"/>
                <w:color w:val="000000"/>
                <w:sz w:val="20"/>
                <w:szCs w:val="20"/>
              </w:rPr>
              <w:t> </w:t>
            </w:r>
            <w:r w:rsidRPr="00F8339F">
              <w:rPr>
                <w:rFonts w:ascii="Arial" w:hAnsi="Arial" w:cs="Arial"/>
                <w:color w:val="000000"/>
                <w:sz w:val="20"/>
                <w:szCs w:val="20"/>
              </w:rPr>
              <w:t>% Energie- und Wasserversorgung, Entsorgung</w:t>
            </w:r>
          </w:p>
        </w:tc>
      </w:tr>
    </w:tbl>
    <w:p w:rsidR="00F8339F" w:rsidRDefault="00F8339F" w:rsidP="00636BBE">
      <w:pPr>
        <w:jc w:val="both"/>
        <w:rPr>
          <w:rFonts w:ascii="Arial" w:hAnsi="Arial" w:cs="Arial"/>
          <w:color w:val="000000"/>
        </w:rPr>
      </w:pPr>
    </w:p>
    <w:p w:rsidR="00923687" w:rsidRDefault="00923687" w:rsidP="00636BBE">
      <w:pPr>
        <w:jc w:val="both"/>
        <w:rPr>
          <w:rFonts w:ascii="Arial" w:hAnsi="Arial" w:cs="Arial"/>
          <w:color w:val="000000"/>
        </w:rPr>
      </w:pPr>
    </w:p>
    <w:p w:rsidR="00030E44" w:rsidRPr="00CC3DE7" w:rsidRDefault="00440051" w:rsidP="00636BBE">
      <w:pPr>
        <w:jc w:val="both"/>
        <w:rPr>
          <w:rFonts w:ascii="Arial" w:hAnsi="Arial" w:cs="Arial"/>
          <w:bCs/>
        </w:rPr>
      </w:pPr>
      <w:r>
        <w:rPr>
          <w:rFonts w:ascii="Arial" w:hAnsi="Arial" w:cs="Arial"/>
          <w:color w:val="000000"/>
        </w:rPr>
        <w:t>F</w:t>
      </w:r>
      <w:r w:rsidR="00030E44" w:rsidRPr="00CC3DE7">
        <w:rPr>
          <w:rFonts w:ascii="Arial" w:hAnsi="Arial" w:cs="Arial"/>
          <w:color w:val="000000"/>
        </w:rPr>
        <w:t xml:space="preserve">otos zur Pressemitteilung finden Sie unter </w:t>
      </w:r>
      <w:hyperlink r:id="rId7" w:history="1">
        <w:r w:rsidR="00995241" w:rsidRPr="00CC3DE7">
          <w:rPr>
            <w:rStyle w:val="Hypertextovodkaz"/>
            <w:rFonts w:ascii="Arial" w:hAnsi="Arial" w:cs="Arial"/>
          </w:rPr>
          <w:t>http://tschechien.ahk.de/presse/pressebilder/</w:t>
        </w:r>
      </w:hyperlink>
    </w:p>
    <w:p w:rsidR="00030E44" w:rsidRPr="00CC3DE7" w:rsidRDefault="00030E44" w:rsidP="00636BBE">
      <w:pPr>
        <w:jc w:val="both"/>
        <w:rPr>
          <w:rFonts w:ascii="Arial" w:hAnsi="Arial" w:cs="Arial"/>
          <w:color w:val="000000"/>
        </w:rPr>
      </w:pPr>
    </w:p>
    <w:p w:rsidR="002B5A86" w:rsidRPr="00CC3DE7" w:rsidRDefault="002B5A86" w:rsidP="00636BBE">
      <w:pPr>
        <w:jc w:val="both"/>
        <w:rPr>
          <w:rFonts w:ascii="Arial" w:hAnsi="Arial" w:cs="Arial"/>
          <w:u w:val="single"/>
        </w:rPr>
      </w:pPr>
      <w:r w:rsidRPr="00CC3DE7">
        <w:rPr>
          <w:rFonts w:ascii="Arial" w:hAnsi="Arial" w:cs="Arial"/>
          <w:u w:val="single"/>
        </w:rPr>
        <w:t>Kontaktperson:</w:t>
      </w:r>
    </w:p>
    <w:p w:rsidR="00290A61" w:rsidRPr="00CC3DE7" w:rsidRDefault="00AB48F1" w:rsidP="00636BBE">
      <w:pPr>
        <w:spacing w:after="0"/>
        <w:jc w:val="both"/>
        <w:rPr>
          <w:rFonts w:ascii="Arial" w:hAnsi="Arial" w:cs="Arial"/>
        </w:rPr>
      </w:pPr>
      <w:r w:rsidRPr="00CC3DE7">
        <w:rPr>
          <w:rFonts w:ascii="Arial" w:hAnsi="Arial" w:cs="Arial"/>
        </w:rPr>
        <w:t>Christian Rühmkorf</w:t>
      </w:r>
    </w:p>
    <w:p w:rsidR="00290A61" w:rsidRPr="00CC3DE7" w:rsidRDefault="00AB48F1" w:rsidP="00636BBE">
      <w:pPr>
        <w:spacing w:after="0"/>
        <w:jc w:val="both"/>
        <w:rPr>
          <w:rFonts w:ascii="Arial" w:hAnsi="Arial" w:cs="Arial"/>
        </w:rPr>
      </w:pPr>
      <w:r w:rsidRPr="00CC3DE7">
        <w:rPr>
          <w:rFonts w:ascii="Arial" w:hAnsi="Arial" w:cs="Arial"/>
        </w:rPr>
        <w:t xml:space="preserve">Öffentlichkeitsarbeit und Public </w:t>
      </w:r>
      <w:proofErr w:type="spellStart"/>
      <w:r w:rsidRPr="00CC3DE7">
        <w:rPr>
          <w:rFonts w:ascii="Arial" w:hAnsi="Arial" w:cs="Arial"/>
        </w:rPr>
        <w:t>Affairs</w:t>
      </w:r>
      <w:proofErr w:type="spellEnd"/>
    </w:p>
    <w:p w:rsidR="00290A61" w:rsidRPr="00CC3DE7" w:rsidRDefault="00290A61" w:rsidP="00636BBE">
      <w:pPr>
        <w:spacing w:after="0"/>
        <w:jc w:val="both"/>
        <w:rPr>
          <w:rFonts w:ascii="Arial" w:hAnsi="Arial" w:cs="Arial"/>
        </w:rPr>
      </w:pPr>
      <w:r w:rsidRPr="00CC3DE7">
        <w:rPr>
          <w:rFonts w:ascii="Arial" w:hAnsi="Arial" w:cs="Arial"/>
        </w:rPr>
        <w:t>Tel.: +420</w:t>
      </w:r>
      <w:r w:rsidR="00AB48F1" w:rsidRPr="00CC3DE7">
        <w:rPr>
          <w:rFonts w:ascii="Arial" w:hAnsi="Arial" w:cs="Arial"/>
        </w:rPr>
        <w:t> 221 490 30</w:t>
      </w:r>
      <w:r w:rsidR="00FD649B" w:rsidRPr="00CC3DE7">
        <w:rPr>
          <w:rFonts w:ascii="Arial" w:hAnsi="Arial" w:cs="Arial"/>
        </w:rPr>
        <w:t>3</w:t>
      </w:r>
    </w:p>
    <w:p w:rsidR="002B5A86" w:rsidRPr="00CC3DE7" w:rsidRDefault="00290A61" w:rsidP="00636BBE">
      <w:pPr>
        <w:jc w:val="both"/>
        <w:rPr>
          <w:rFonts w:ascii="Arial" w:hAnsi="Arial" w:cs="Arial"/>
        </w:rPr>
      </w:pPr>
      <w:r w:rsidRPr="00CC3DE7">
        <w:rPr>
          <w:rFonts w:ascii="Arial" w:hAnsi="Arial" w:cs="Arial"/>
        </w:rPr>
        <w:t>E</w:t>
      </w:r>
      <w:r w:rsidR="00AB48F1" w:rsidRPr="00CC3DE7">
        <w:rPr>
          <w:rFonts w:ascii="Arial" w:hAnsi="Arial" w:cs="Arial"/>
        </w:rPr>
        <w:t>-M</w:t>
      </w:r>
      <w:r w:rsidRPr="00CC3DE7">
        <w:rPr>
          <w:rFonts w:ascii="Arial" w:hAnsi="Arial" w:cs="Arial"/>
        </w:rPr>
        <w:t xml:space="preserve">ail: </w:t>
      </w:r>
      <w:hyperlink r:id="rId8" w:history="1">
        <w:r w:rsidR="00AB48F1" w:rsidRPr="00CC3DE7">
          <w:rPr>
            <w:rStyle w:val="Hypertextovodkaz"/>
            <w:rFonts w:ascii="Arial" w:hAnsi="Arial" w:cs="Arial"/>
          </w:rPr>
          <w:t>ruehmkorf@dtihk.cz</w:t>
        </w:r>
      </w:hyperlink>
      <w:r w:rsidR="00AB48F1" w:rsidRPr="00CC3DE7">
        <w:rPr>
          <w:rFonts w:ascii="Arial" w:hAnsi="Arial" w:cs="Arial"/>
        </w:rPr>
        <w:t xml:space="preserve"> </w:t>
      </w:r>
    </w:p>
    <w:p w:rsidR="005727A7" w:rsidRPr="00CC3DE7" w:rsidRDefault="005727A7" w:rsidP="00636BBE">
      <w:pPr>
        <w:jc w:val="both"/>
        <w:rPr>
          <w:rFonts w:ascii="Arial" w:hAnsi="Arial" w:cs="Arial"/>
          <w:b/>
          <w:bCs/>
        </w:rPr>
      </w:pPr>
    </w:p>
    <w:p w:rsidR="00376C6A" w:rsidRPr="00CC3DE7" w:rsidRDefault="00376C6A" w:rsidP="00636BBE">
      <w:pPr>
        <w:jc w:val="both"/>
        <w:rPr>
          <w:rFonts w:ascii="Arial" w:hAnsi="Arial" w:cs="Arial"/>
          <w:b/>
          <w:bCs/>
        </w:rPr>
      </w:pPr>
    </w:p>
    <w:p w:rsidR="003403B8" w:rsidRPr="00CC3DE7" w:rsidRDefault="002B5A86" w:rsidP="00636BBE">
      <w:pPr>
        <w:jc w:val="both"/>
        <w:rPr>
          <w:rFonts w:ascii="Arial" w:hAnsi="Arial" w:cs="Arial"/>
          <w:bCs/>
          <w:i/>
          <w:sz w:val="18"/>
          <w:szCs w:val="18"/>
        </w:rPr>
      </w:pPr>
      <w:r w:rsidRPr="00CC3DE7">
        <w:rPr>
          <w:rFonts w:ascii="Arial" w:hAnsi="Arial" w:cs="Arial"/>
          <w:b/>
          <w:bCs/>
          <w:i/>
          <w:sz w:val="18"/>
          <w:szCs w:val="18"/>
        </w:rPr>
        <w:t xml:space="preserve">Über die DTIHK: </w:t>
      </w:r>
      <w:r w:rsidRPr="00CC3DE7">
        <w:rPr>
          <w:rFonts w:ascii="Arial" w:hAnsi="Arial" w:cs="Arial"/>
          <w:i/>
          <w:sz w:val="18"/>
          <w:szCs w:val="18"/>
        </w:rPr>
        <w:t xml:space="preserve">Die Deutsch-Tschechische Industrie- und Handelskammer (DTIHK) ist mit </w:t>
      </w:r>
      <w:r w:rsidR="00612646" w:rsidRPr="00CC3DE7">
        <w:rPr>
          <w:rFonts w:ascii="Arial" w:hAnsi="Arial" w:cs="Arial"/>
          <w:i/>
          <w:sz w:val="18"/>
          <w:szCs w:val="18"/>
        </w:rPr>
        <w:t>rund</w:t>
      </w:r>
      <w:r w:rsidRPr="00CC3DE7">
        <w:rPr>
          <w:rFonts w:ascii="Arial" w:hAnsi="Arial" w:cs="Arial"/>
          <w:i/>
          <w:sz w:val="18"/>
          <w:szCs w:val="18"/>
        </w:rPr>
        <w:t xml:space="preserve"> </w:t>
      </w:r>
      <w:r w:rsidR="00F7281E" w:rsidRPr="00CC3DE7">
        <w:rPr>
          <w:rFonts w:ascii="Arial" w:hAnsi="Arial" w:cs="Arial"/>
          <w:i/>
          <w:sz w:val="18"/>
          <w:szCs w:val="18"/>
        </w:rPr>
        <w:t>6</w:t>
      </w:r>
      <w:r w:rsidR="00612646" w:rsidRPr="00CC3DE7">
        <w:rPr>
          <w:rFonts w:ascii="Arial" w:hAnsi="Arial" w:cs="Arial"/>
          <w:i/>
          <w:sz w:val="18"/>
          <w:szCs w:val="18"/>
        </w:rPr>
        <w:t>5</w:t>
      </w:r>
      <w:r w:rsidR="00AB48F1" w:rsidRPr="00CC3DE7">
        <w:rPr>
          <w:rFonts w:ascii="Arial" w:hAnsi="Arial" w:cs="Arial"/>
          <w:i/>
          <w:sz w:val="18"/>
          <w:szCs w:val="18"/>
        </w:rPr>
        <w:t>0</w:t>
      </w:r>
      <w:r w:rsidRPr="00CC3DE7">
        <w:rPr>
          <w:rFonts w:ascii="Arial" w:hAnsi="Arial" w:cs="Arial"/>
          <w:i/>
          <w:sz w:val="18"/>
          <w:szCs w:val="18"/>
        </w:rPr>
        <w:t xml:space="preserve"> Mitgliedern die größte bilaterale Auslandshandelskammer in Tschechien. Sie unterstützt den Auf- und Ausbau der Geschäftsbeziehungen zwischen deutschen und tschechischen Firmen und setzt sich bei Politik und Verwaltung für unternehmensfreundliche Rahmenbedingungen in Tschechien ein. Die DTIHK gehört zum Netz der deutschen Auslandshandelskammern (AHKs) und der Industrie- und Handelskammern (IHKs) in Deutschland; Dachorganisation ist der Deutsche Industrie- und Handelskammertag (DIHK) in Berlin. Ihre </w:t>
      </w:r>
      <w:r w:rsidRPr="00CC3DE7">
        <w:rPr>
          <w:rFonts w:ascii="Arial" w:hAnsi="Arial" w:cs="Arial"/>
          <w:bCs/>
          <w:i/>
          <w:sz w:val="18"/>
          <w:szCs w:val="18"/>
        </w:rPr>
        <w:t>100%-</w:t>
      </w:r>
      <w:proofErr w:type="spellStart"/>
      <w:r w:rsidRPr="00CC3DE7">
        <w:rPr>
          <w:rFonts w:ascii="Arial" w:hAnsi="Arial" w:cs="Arial"/>
          <w:bCs/>
          <w:i/>
          <w:sz w:val="18"/>
          <w:szCs w:val="18"/>
        </w:rPr>
        <w:t>ige</w:t>
      </w:r>
      <w:proofErr w:type="spellEnd"/>
      <w:r w:rsidRPr="00CC3DE7">
        <w:rPr>
          <w:rFonts w:ascii="Arial" w:hAnsi="Arial" w:cs="Arial"/>
          <w:bCs/>
          <w:i/>
          <w:sz w:val="18"/>
          <w:szCs w:val="18"/>
        </w:rPr>
        <w:t xml:space="preserve"> Tochtergesellschaft </w:t>
      </w:r>
      <w:r w:rsidRPr="00CC3DE7">
        <w:rPr>
          <w:rFonts w:ascii="Arial" w:hAnsi="Arial" w:cs="Arial"/>
          <w:b/>
          <w:bCs/>
          <w:i/>
          <w:sz w:val="18"/>
          <w:szCs w:val="18"/>
        </w:rPr>
        <w:t>AHK Services s.r.o.</w:t>
      </w:r>
      <w:r w:rsidRPr="00CC3DE7">
        <w:rPr>
          <w:rFonts w:ascii="Arial" w:hAnsi="Arial" w:cs="Arial"/>
          <w:bCs/>
          <w:i/>
          <w:sz w:val="18"/>
          <w:szCs w:val="18"/>
        </w:rPr>
        <w:t xml:space="preserve"> berät und unterstützt in allen Fragen rund um die Markterschließung. Die globale Servicemarke DEinternational steht dabei als Garant für Qualität und professionelle Leistung im AHK-Verbund.</w:t>
      </w:r>
    </w:p>
    <w:sectPr w:rsidR="003403B8" w:rsidRPr="00CC3DE7" w:rsidSect="00F62E84">
      <w:headerReference w:type="default" r:id="rId9"/>
      <w:footerReference w:type="default" r:id="rId10"/>
      <w:pgSz w:w="11906" w:h="16838" w:code="9"/>
      <w:pgMar w:top="1417" w:right="1417" w:bottom="1134" w:left="1417" w:header="113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701" w:rsidRDefault="00B97701">
      <w:pPr>
        <w:spacing w:after="0" w:line="240" w:lineRule="auto"/>
      </w:pPr>
      <w:r>
        <w:separator/>
      </w:r>
    </w:p>
  </w:endnote>
  <w:endnote w:type="continuationSeparator" w:id="0">
    <w:p w:rsidR="00B97701" w:rsidRDefault="00B9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Rotis Sans Serif Pro ExtraBold">
    <w:charset w:val="80"/>
    <w:family w:val="auto"/>
    <w:pitch w:val="variable"/>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MT">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01" w:rsidRDefault="00B97701" w:rsidP="00A94EBC">
    <w:pPr>
      <w:ind w:right="-2"/>
      <w:rPr>
        <w:rFonts w:ascii="Arial Narrow" w:hAnsi="Arial Narrow"/>
        <w:sz w:val="16"/>
      </w:rPr>
    </w:pPr>
    <w:r>
      <w:rPr>
        <w:rFonts w:ascii="Arial Narrow" w:hAnsi="Arial Narrow"/>
        <w:sz w:val="16"/>
      </w:rPr>
      <w:t>Deutsch-Tschechische Industrie- und Handelskammer</w:t>
    </w:r>
    <w:r w:rsidRPr="003818F4">
      <w:rPr>
        <w:rFonts w:ascii="Arial Narrow" w:hAnsi="Arial Narrow"/>
        <w:b/>
        <w:color w:val="000000"/>
        <w:sz w:val="16"/>
      </w:rPr>
      <w:t xml:space="preserve"> </w:t>
    </w:r>
    <w:r w:rsidRPr="003818F4">
      <w:rPr>
        <w:b/>
        <w:color w:val="000000"/>
        <w:sz w:val="16"/>
        <w:szCs w:val="16"/>
      </w:rPr>
      <w:t>|</w:t>
    </w:r>
    <w:r>
      <w:rPr>
        <w:rFonts w:ascii="Arial Narrow" w:hAnsi="Arial Narrow"/>
        <w:sz w:val="16"/>
      </w:rPr>
      <w:t xml:space="preserve"> Česko-německá obchodní a průmyslová komora </w:t>
    </w:r>
    <w:r w:rsidRPr="003818F4">
      <w:rPr>
        <w:b/>
        <w:color w:val="000000"/>
        <w:sz w:val="16"/>
        <w:szCs w:val="16"/>
      </w:rPr>
      <w:t>|</w:t>
    </w:r>
    <w:r>
      <w:rPr>
        <w:rFonts w:ascii="Arial Narrow" w:hAnsi="Arial Narrow"/>
        <w:sz w:val="16"/>
      </w:rPr>
      <w:t xml:space="preserve"> Václavské nám. 40</w:t>
    </w:r>
    <w:r w:rsidRPr="003818F4">
      <w:rPr>
        <w:rFonts w:ascii="Arial Narrow" w:hAnsi="Arial Narrow"/>
        <w:b/>
        <w:color w:val="000000"/>
        <w:sz w:val="16"/>
      </w:rPr>
      <w:t xml:space="preserve"> </w:t>
    </w:r>
    <w:r w:rsidRPr="003818F4">
      <w:rPr>
        <w:b/>
        <w:color w:val="000000"/>
        <w:sz w:val="16"/>
        <w:szCs w:val="16"/>
      </w:rPr>
      <w:t>|</w:t>
    </w:r>
    <w:r>
      <w:rPr>
        <w:rFonts w:ascii="Arial Narrow" w:hAnsi="Arial Narrow"/>
        <w:sz w:val="16"/>
      </w:rPr>
      <w:t xml:space="preserve"> CZ-110 00 Praha 1 </w:t>
    </w:r>
    <w:r>
      <w:rPr>
        <w:rFonts w:ascii="Arial Narrow" w:hAnsi="Arial Narrow"/>
        <w:sz w:val="16"/>
      </w:rPr>
      <w:br/>
      <w:t xml:space="preserve">Telefon: +420-224 221 200 </w:t>
    </w:r>
    <w:r w:rsidRPr="003818F4">
      <w:rPr>
        <w:b/>
        <w:color w:val="000000"/>
        <w:sz w:val="16"/>
        <w:szCs w:val="16"/>
      </w:rPr>
      <w:t>|</w:t>
    </w:r>
    <w:r>
      <w:rPr>
        <w:rFonts w:ascii="Arial Narrow" w:hAnsi="Arial Narrow"/>
        <w:sz w:val="16"/>
      </w:rPr>
      <w:t xml:space="preserve"> Telefax: +420-224 222 200 </w:t>
    </w:r>
    <w:r w:rsidRPr="003818F4">
      <w:rPr>
        <w:b/>
        <w:color w:val="000000"/>
        <w:sz w:val="16"/>
        <w:szCs w:val="16"/>
      </w:rPr>
      <w:t>|</w:t>
    </w:r>
    <w:r>
      <w:rPr>
        <w:rFonts w:ascii="Arial Narrow" w:hAnsi="Arial Narrow"/>
        <w:sz w:val="16"/>
      </w:rPr>
      <w:t xml:space="preserve"> Email: info@dtihk.cz</w:t>
    </w:r>
    <w:r w:rsidRPr="003818F4">
      <w:rPr>
        <w:rFonts w:ascii="Arial Narrow" w:hAnsi="Arial Narrow"/>
        <w:b/>
        <w:color w:val="000000"/>
        <w:sz w:val="16"/>
      </w:rPr>
      <w:t xml:space="preserve"> </w:t>
    </w:r>
    <w:r w:rsidRPr="003818F4">
      <w:rPr>
        <w:b/>
        <w:color w:val="000000"/>
        <w:sz w:val="16"/>
        <w:szCs w:val="16"/>
      </w:rPr>
      <w:t>|</w:t>
    </w:r>
    <w:r>
      <w:rPr>
        <w:rFonts w:ascii="Arial Narrow" w:hAnsi="Arial Narrow"/>
        <w:sz w:val="16"/>
      </w:rPr>
      <w:t xml:space="preserve"> Internet: www.dtihk.cz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701" w:rsidRDefault="00B97701">
      <w:pPr>
        <w:spacing w:after="0" w:line="240" w:lineRule="auto"/>
      </w:pPr>
      <w:r>
        <w:separator/>
      </w:r>
    </w:p>
  </w:footnote>
  <w:footnote w:type="continuationSeparator" w:id="0">
    <w:p w:rsidR="00B97701" w:rsidRDefault="00B97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701" w:rsidRDefault="00B97701" w:rsidP="00D4293C">
    <w:pPr>
      <w:pStyle w:val="Zhlav"/>
      <w:tabs>
        <w:tab w:val="clear" w:pos="9072"/>
        <w:tab w:val="left" w:pos="4320"/>
        <w:tab w:val="right" w:pos="5954"/>
      </w:tabs>
      <w:spacing w:after="240" w:line="288" w:lineRule="auto"/>
      <w:ind w:right="2268"/>
      <w:jc w:val="both"/>
      <w:rPr>
        <w:sz w:val="28"/>
      </w:rPr>
    </w:pPr>
    <w:r>
      <w:rPr>
        <w:noProof/>
        <w:sz w:val="28"/>
        <w:lang w:val="cs-CZ" w:eastAsia="cs-CZ"/>
      </w:rPr>
      <w:drawing>
        <wp:anchor distT="0" distB="0" distL="114300" distR="114300" simplePos="0" relativeHeight="251659264" behindDoc="1" locked="0" layoutInCell="1" allowOverlap="1">
          <wp:simplePos x="0" y="0"/>
          <wp:positionH relativeFrom="column">
            <wp:posOffset>14605</wp:posOffset>
          </wp:positionH>
          <wp:positionV relativeFrom="paragraph">
            <wp:posOffset>-196215</wp:posOffset>
          </wp:positionV>
          <wp:extent cx="2514600" cy="504825"/>
          <wp:effectExtent l="19050" t="0" r="0" b="0"/>
          <wp:wrapTight wrapText="bothSides">
            <wp:wrapPolygon edited="0">
              <wp:start x="-164" y="0"/>
              <wp:lineTo x="-164" y="21192"/>
              <wp:lineTo x="21600" y="21192"/>
              <wp:lineTo x="21600" y="0"/>
              <wp:lineTo x="-164" y="0"/>
            </wp:wrapPolygon>
          </wp:wrapTight>
          <wp:docPr id="1" name="Bild 1" descr="AHK-Tschechie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K-Tschechien-rgb"/>
                  <pic:cNvPicPr>
                    <a:picLocks noChangeAspect="1" noChangeArrowheads="1"/>
                  </pic:cNvPicPr>
                </pic:nvPicPr>
                <pic:blipFill>
                  <a:blip r:embed="rId1"/>
                  <a:srcRect/>
                  <a:stretch>
                    <a:fillRect/>
                  </a:stretch>
                </pic:blipFill>
                <pic:spPr bwMode="auto">
                  <a:xfrm>
                    <a:off x="0" y="0"/>
                    <a:ext cx="2514600" cy="504825"/>
                  </a:xfrm>
                  <a:prstGeom prst="rect">
                    <a:avLst/>
                  </a:prstGeom>
                  <a:noFill/>
                  <a:ln w="9525">
                    <a:noFill/>
                    <a:miter lim="800000"/>
                    <a:headEnd/>
                    <a:tailEnd/>
                  </a:ln>
                </pic:spPr>
              </pic:pic>
            </a:graphicData>
          </a:graphic>
        </wp:anchor>
      </w:drawing>
    </w:r>
  </w:p>
  <w:p w:rsidR="00B97701" w:rsidRDefault="00B97701" w:rsidP="00D4293C">
    <w:pPr>
      <w:pStyle w:val="Zhlav"/>
      <w:tabs>
        <w:tab w:val="clear" w:pos="9072"/>
        <w:tab w:val="left" w:pos="4320"/>
        <w:tab w:val="right" w:pos="5954"/>
      </w:tabs>
      <w:spacing w:after="240" w:line="288" w:lineRule="auto"/>
      <w:ind w:right="2268"/>
      <w:jc w:val="both"/>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507"/>
    <w:rsid w:val="00000628"/>
    <w:rsid w:val="00002414"/>
    <w:rsid w:val="00002612"/>
    <w:rsid w:val="00002CE5"/>
    <w:rsid w:val="0000434E"/>
    <w:rsid w:val="0001094C"/>
    <w:rsid w:val="00010FA6"/>
    <w:rsid w:val="0001312B"/>
    <w:rsid w:val="0001359F"/>
    <w:rsid w:val="00013612"/>
    <w:rsid w:val="00016149"/>
    <w:rsid w:val="00016B36"/>
    <w:rsid w:val="00017CE7"/>
    <w:rsid w:val="00020413"/>
    <w:rsid w:val="000209C2"/>
    <w:rsid w:val="00025471"/>
    <w:rsid w:val="00025520"/>
    <w:rsid w:val="00026305"/>
    <w:rsid w:val="00027B6A"/>
    <w:rsid w:val="00030E44"/>
    <w:rsid w:val="000348E9"/>
    <w:rsid w:val="00037484"/>
    <w:rsid w:val="00040201"/>
    <w:rsid w:val="0004301A"/>
    <w:rsid w:val="00044938"/>
    <w:rsid w:val="00046D99"/>
    <w:rsid w:val="000500C4"/>
    <w:rsid w:val="00050A5D"/>
    <w:rsid w:val="0005213D"/>
    <w:rsid w:val="00056206"/>
    <w:rsid w:val="00057602"/>
    <w:rsid w:val="00061343"/>
    <w:rsid w:val="00066CAD"/>
    <w:rsid w:val="00071898"/>
    <w:rsid w:val="00076F66"/>
    <w:rsid w:val="0008174E"/>
    <w:rsid w:val="00082B36"/>
    <w:rsid w:val="0008317D"/>
    <w:rsid w:val="0008633E"/>
    <w:rsid w:val="000A2831"/>
    <w:rsid w:val="000A6DB8"/>
    <w:rsid w:val="000B13EC"/>
    <w:rsid w:val="000B2003"/>
    <w:rsid w:val="000B2E06"/>
    <w:rsid w:val="000B64D1"/>
    <w:rsid w:val="000C0DF7"/>
    <w:rsid w:val="000C18B3"/>
    <w:rsid w:val="000C4135"/>
    <w:rsid w:val="000D1DC1"/>
    <w:rsid w:val="000D566C"/>
    <w:rsid w:val="000D73FB"/>
    <w:rsid w:val="000E087E"/>
    <w:rsid w:val="000E5C08"/>
    <w:rsid w:val="000E7C21"/>
    <w:rsid w:val="000F0631"/>
    <w:rsid w:val="000F5A43"/>
    <w:rsid w:val="0010514C"/>
    <w:rsid w:val="00125129"/>
    <w:rsid w:val="001414E4"/>
    <w:rsid w:val="0014168D"/>
    <w:rsid w:val="001460BE"/>
    <w:rsid w:val="001536D9"/>
    <w:rsid w:val="001620A8"/>
    <w:rsid w:val="0016212B"/>
    <w:rsid w:val="00162A87"/>
    <w:rsid w:val="0017431B"/>
    <w:rsid w:val="00180A81"/>
    <w:rsid w:val="00182AF5"/>
    <w:rsid w:val="001838A8"/>
    <w:rsid w:val="001859B8"/>
    <w:rsid w:val="001904A6"/>
    <w:rsid w:val="00194DF6"/>
    <w:rsid w:val="001968A3"/>
    <w:rsid w:val="001A2678"/>
    <w:rsid w:val="001A363A"/>
    <w:rsid w:val="001A68ED"/>
    <w:rsid w:val="001C005D"/>
    <w:rsid w:val="001C3E08"/>
    <w:rsid w:val="001C4457"/>
    <w:rsid w:val="001D4FB0"/>
    <w:rsid w:val="001E1796"/>
    <w:rsid w:val="001E2E8F"/>
    <w:rsid w:val="001E4836"/>
    <w:rsid w:val="001E54EB"/>
    <w:rsid w:val="001F552F"/>
    <w:rsid w:val="001F64C8"/>
    <w:rsid w:val="00200756"/>
    <w:rsid w:val="0020236C"/>
    <w:rsid w:val="0020470C"/>
    <w:rsid w:val="002062CC"/>
    <w:rsid w:val="00211443"/>
    <w:rsid w:val="0021309C"/>
    <w:rsid w:val="002160FF"/>
    <w:rsid w:val="00216103"/>
    <w:rsid w:val="00221DCE"/>
    <w:rsid w:val="00224D70"/>
    <w:rsid w:val="00241065"/>
    <w:rsid w:val="002414A6"/>
    <w:rsid w:val="00245DD1"/>
    <w:rsid w:val="00246589"/>
    <w:rsid w:val="00247478"/>
    <w:rsid w:val="0026258F"/>
    <w:rsid w:val="00263F86"/>
    <w:rsid w:val="0026728D"/>
    <w:rsid w:val="00270304"/>
    <w:rsid w:val="002848C0"/>
    <w:rsid w:val="00286343"/>
    <w:rsid w:val="00290A61"/>
    <w:rsid w:val="0029119B"/>
    <w:rsid w:val="00292B11"/>
    <w:rsid w:val="00293D32"/>
    <w:rsid w:val="002A147E"/>
    <w:rsid w:val="002A399D"/>
    <w:rsid w:val="002B1AD6"/>
    <w:rsid w:val="002B40EC"/>
    <w:rsid w:val="002B5A86"/>
    <w:rsid w:val="002B7780"/>
    <w:rsid w:val="002C2290"/>
    <w:rsid w:val="002C4B0F"/>
    <w:rsid w:val="002C6B75"/>
    <w:rsid w:val="002D12CD"/>
    <w:rsid w:val="002D3CF5"/>
    <w:rsid w:val="002D52EF"/>
    <w:rsid w:val="002D7E39"/>
    <w:rsid w:val="002E48D1"/>
    <w:rsid w:val="002E4910"/>
    <w:rsid w:val="002F0616"/>
    <w:rsid w:val="002F123A"/>
    <w:rsid w:val="002F21DA"/>
    <w:rsid w:val="002F7508"/>
    <w:rsid w:val="002F76DB"/>
    <w:rsid w:val="00300C13"/>
    <w:rsid w:val="00304160"/>
    <w:rsid w:val="00306365"/>
    <w:rsid w:val="00307C3E"/>
    <w:rsid w:val="00310A88"/>
    <w:rsid w:val="003120AE"/>
    <w:rsid w:val="00316B43"/>
    <w:rsid w:val="00316D09"/>
    <w:rsid w:val="003232FC"/>
    <w:rsid w:val="00324200"/>
    <w:rsid w:val="003261FD"/>
    <w:rsid w:val="003307CC"/>
    <w:rsid w:val="003403B8"/>
    <w:rsid w:val="0034068A"/>
    <w:rsid w:val="00340DCD"/>
    <w:rsid w:val="00343B04"/>
    <w:rsid w:val="003546D0"/>
    <w:rsid w:val="00356A1D"/>
    <w:rsid w:val="003649C5"/>
    <w:rsid w:val="00367BC6"/>
    <w:rsid w:val="00371C68"/>
    <w:rsid w:val="00376C6A"/>
    <w:rsid w:val="00386144"/>
    <w:rsid w:val="0038707E"/>
    <w:rsid w:val="003976FF"/>
    <w:rsid w:val="003A112A"/>
    <w:rsid w:val="003A2079"/>
    <w:rsid w:val="003A763B"/>
    <w:rsid w:val="003A78FF"/>
    <w:rsid w:val="003B23AE"/>
    <w:rsid w:val="003B2C2E"/>
    <w:rsid w:val="003B2D8A"/>
    <w:rsid w:val="003B31FB"/>
    <w:rsid w:val="003B5A20"/>
    <w:rsid w:val="003B71DE"/>
    <w:rsid w:val="003B724A"/>
    <w:rsid w:val="003C1A34"/>
    <w:rsid w:val="003D174B"/>
    <w:rsid w:val="003E31B6"/>
    <w:rsid w:val="003E6943"/>
    <w:rsid w:val="003E7962"/>
    <w:rsid w:val="003F4892"/>
    <w:rsid w:val="003F5152"/>
    <w:rsid w:val="003F5649"/>
    <w:rsid w:val="003F713D"/>
    <w:rsid w:val="00401581"/>
    <w:rsid w:val="00401FA8"/>
    <w:rsid w:val="004042C0"/>
    <w:rsid w:val="00404453"/>
    <w:rsid w:val="004125F4"/>
    <w:rsid w:val="00416F90"/>
    <w:rsid w:val="00420092"/>
    <w:rsid w:val="00427846"/>
    <w:rsid w:val="00431C07"/>
    <w:rsid w:val="004349BB"/>
    <w:rsid w:val="00436594"/>
    <w:rsid w:val="00440051"/>
    <w:rsid w:val="004402FC"/>
    <w:rsid w:val="00441788"/>
    <w:rsid w:val="004428E2"/>
    <w:rsid w:val="004562C0"/>
    <w:rsid w:val="004624F2"/>
    <w:rsid w:val="00463148"/>
    <w:rsid w:val="004673CA"/>
    <w:rsid w:val="00494B12"/>
    <w:rsid w:val="00497E16"/>
    <w:rsid w:val="004A0A9A"/>
    <w:rsid w:val="004A7E26"/>
    <w:rsid w:val="004B1BA8"/>
    <w:rsid w:val="004D18D9"/>
    <w:rsid w:val="004D3F75"/>
    <w:rsid w:val="004D419B"/>
    <w:rsid w:val="004D4D00"/>
    <w:rsid w:val="004D635B"/>
    <w:rsid w:val="004D79FB"/>
    <w:rsid w:val="004E0EB8"/>
    <w:rsid w:val="004E2DFE"/>
    <w:rsid w:val="004E34CE"/>
    <w:rsid w:val="004E5473"/>
    <w:rsid w:val="004E623A"/>
    <w:rsid w:val="004E65C7"/>
    <w:rsid w:val="004F0B30"/>
    <w:rsid w:val="004F0EAD"/>
    <w:rsid w:val="004F41B4"/>
    <w:rsid w:val="005151A1"/>
    <w:rsid w:val="0052365D"/>
    <w:rsid w:val="00523B40"/>
    <w:rsid w:val="00526D7A"/>
    <w:rsid w:val="005322E3"/>
    <w:rsid w:val="00534DFE"/>
    <w:rsid w:val="0054177A"/>
    <w:rsid w:val="00542AF3"/>
    <w:rsid w:val="00545768"/>
    <w:rsid w:val="00547BDE"/>
    <w:rsid w:val="005520F3"/>
    <w:rsid w:val="00554AEB"/>
    <w:rsid w:val="00557CF6"/>
    <w:rsid w:val="00557F5F"/>
    <w:rsid w:val="00562CE7"/>
    <w:rsid w:val="00564DD1"/>
    <w:rsid w:val="00567665"/>
    <w:rsid w:val="005727A7"/>
    <w:rsid w:val="00572966"/>
    <w:rsid w:val="00573678"/>
    <w:rsid w:val="005805BF"/>
    <w:rsid w:val="00582E95"/>
    <w:rsid w:val="00587006"/>
    <w:rsid w:val="00593856"/>
    <w:rsid w:val="005A2C65"/>
    <w:rsid w:val="005A51B3"/>
    <w:rsid w:val="005B1838"/>
    <w:rsid w:val="005C23E9"/>
    <w:rsid w:val="005C47C7"/>
    <w:rsid w:val="005C717E"/>
    <w:rsid w:val="005D48E7"/>
    <w:rsid w:val="005E114E"/>
    <w:rsid w:val="005E4D71"/>
    <w:rsid w:val="005E73E8"/>
    <w:rsid w:val="00601B6C"/>
    <w:rsid w:val="00612646"/>
    <w:rsid w:val="0061403B"/>
    <w:rsid w:val="0062160E"/>
    <w:rsid w:val="0062216E"/>
    <w:rsid w:val="00622480"/>
    <w:rsid w:val="00627E95"/>
    <w:rsid w:val="00636BBE"/>
    <w:rsid w:val="0064595A"/>
    <w:rsid w:val="0064712F"/>
    <w:rsid w:val="00652381"/>
    <w:rsid w:val="00657F37"/>
    <w:rsid w:val="00667507"/>
    <w:rsid w:val="00670DEB"/>
    <w:rsid w:val="00671026"/>
    <w:rsid w:val="00677DC4"/>
    <w:rsid w:val="00684817"/>
    <w:rsid w:val="006934DE"/>
    <w:rsid w:val="00695CAC"/>
    <w:rsid w:val="00696E91"/>
    <w:rsid w:val="006A4E6E"/>
    <w:rsid w:val="006B0472"/>
    <w:rsid w:val="006B547F"/>
    <w:rsid w:val="006C022D"/>
    <w:rsid w:val="006C28D7"/>
    <w:rsid w:val="006C29C2"/>
    <w:rsid w:val="006C799F"/>
    <w:rsid w:val="006D2113"/>
    <w:rsid w:val="006D3924"/>
    <w:rsid w:val="006D6A4B"/>
    <w:rsid w:val="006E023F"/>
    <w:rsid w:val="006E15A2"/>
    <w:rsid w:val="006E4D09"/>
    <w:rsid w:val="006E7BBA"/>
    <w:rsid w:val="006F119D"/>
    <w:rsid w:val="006F790A"/>
    <w:rsid w:val="007024A5"/>
    <w:rsid w:val="007060D3"/>
    <w:rsid w:val="00711FD6"/>
    <w:rsid w:val="00715C7F"/>
    <w:rsid w:val="00715CFA"/>
    <w:rsid w:val="007206B6"/>
    <w:rsid w:val="007244D1"/>
    <w:rsid w:val="00725C42"/>
    <w:rsid w:val="00726F64"/>
    <w:rsid w:val="00731E49"/>
    <w:rsid w:val="00733C42"/>
    <w:rsid w:val="007437AF"/>
    <w:rsid w:val="00751B21"/>
    <w:rsid w:val="0075560E"/>
    <w:rsid w:val="00756622"/>
    <w:rsid w:val="0076092D"/>
    <w:rsid w:val="00761BDF"/>
    <w:rsid w:val="007626D7"/>
    <w:rsid w:val="00764E47"/>
    <w:rsid w:val="0077506A"/>
    <w:rsid w:val="00780F57"/>
    <w:rsid w:val="00787623"/>
    <w:rsid w:val="00791CAE"/>
    <w:rsid w:val="0079472F"/>
    <w:rsid w:val="00794826"/>
    <w:rsid w:val="007A4302"/>
    <w:rsid w:val="007A7EA3"/>
    <w:rsid w:val="007B1637"/>
    <w:rsid w:val="007B1FE5"/>
    <w:rsid w:val="007B2C0B"/>
    <w:rsid w:val="007B6CA0"/>
    <w:rsid w:val="007C0ADD"/>
    <w:rsid w:val="007C12DA"/>
    <w:rsid w:val="007C4448"/>
    <w:rsid w:val="007D05F8"/>
    <w:rsid w:val="007D13F2"/>
    <w:rsid w:val="007D294D"/>
    <w:rsid w:val="007D74AB"/>
    <w:rsid w:val="007E03B6"/>
    <w:rsid w:val="007E40D7"/>
    <w:rsid w:val="007E75D0"/>
    <w:rsid w:val="007F0DD5"/>
    <w:rsid w:val="007F1605"/>
    <w:rsid w:val="007F31CC"/>
    <w:rsid w:val="007F4EA7"/>
    <w:rsid w:val="007F6813"/>
    <w:rsid w:val="007F7513"/>
    <w:rsid w:val="00801E9E"/>
    <w:rsid w:val="00812260"/>
    <w:rsid w:val="00812F04"/>
    <w:rsid w:val="00814C6E"/>
    <w:rsid w:val="00815126"/>
    <w:rsid w:val="008172C2"/>
    <w:rsid w:val="008216AA"/>
    <w:rsid w:val="00826E60"/>
    <w:rsid w:val="0084445E"/>
    <w:rsid w:val="008455CC"/>
    <w:rsid w:val="0085012E"/>
    <w:rsid w:val="008709D9"/>
    <w:rsid w:val="008719BF"/>
    <w:rsid w:val="00881B49"/>
    <w:rsid w:val="00886B97"/>
    <w:rsid w:val="00892316"/>
    <w:rsid w:val="0089396C"/>
    <w:rsid w:val="00896F1C"/>
    <w:rsid w:val="008A30FF"/>
    <w:rsid w:val="008A3123"/>
    <w:rsid w:val="008A51E5"/>
    <w:rsid w:val="008A661C"/>
    <w:rsid w:val="008A6C8F"/>
    <w:rsid w:val="008A77EE"/>
    <w:rsid w:val="008B7ACE"/>
    <w:rsid w:val="008C0028"/>
    <w:rsid w:val="008C68B1"/>
    <w:rsid w:val="008D3031"/>
    <w:rsid w:val="008E1663"/>
    <w:rsid w:val="008E1816"/>
    <w:rsid w:val="008F2BA4"/>
    <w:rsid w:val="008F300D"/>
    <w:rsid w:val="008F4D3E"/>
    <w:rsid w:val="009109BC"/>
    <w:rsid w:val="00914EF0"/>
    <w:rsid w:val="00916BDC"/>
    <w:rsid w:val="00923687"/>
    <w:rsid w:val="00925A8C"/>
    <w:rsid w:val="00932CAD"/>
    <w:rsid w:val="0094247E"/>
    <w:rsid w:val="00956E90"/>
    <w:rsid w:val="0096024A"/>
    <w:rsid w:val="00962618"/>
    <w:rsid w:val="00973BF6"/>
    <w:rsid w:val="00980AFF"/>
    <w:rsid w:val="00983D3A"/>
    <w:rsid w:val="009929E3"/>
    <w:rsid w:val="00995241"/>
    <w:rsid w:val="00996CA1"/>
    <w:rsid w:val="009A0D23"/>
    <w:rsid w:val="009A146A"/>
    <w:rsid w:val="009A418C"/>
    <w:rsid w:val="009B0292"/>
    <w:rsid w:val="009B102B"/>
    <w:rsid w:val="009B26C4"/>
    <w:rsid w:val="009B6437"/>
    <w:rsid w:val="009B698D"/>
    <w:rsid w:val="009B6A34"/>
    <w:rsid w:val="009B7D4D"/>
    <w:rsid w:val="009C0591"/>
    <w:rsid w:val="009C3C92"/>
    <w:rsid w:val="009C600A"/>
    <w:rsid w:val="009C7ABE"/>
    <w:rsid w:val="009D5872"/>
    <w:rsid w:val="009D7667"/>
    <w:rsid w:val="009E06A4"/>
    <w:rsid w:val="009E0ECB"/>
    <w:rsid w:val="009E3273"/>
    <w:rsid w:val="009E5302"/>
    <w:rsid w:val="009E58C0"/>
    <w:rsid w:val="009F4A16"/>
    <w:rsid w:val="009F5702"/>
    <w:rsid w:val="009F671B"/>
    <w:rsid w:val="00A04F4B"/>
    <w:rsid w:val="00A0685A"/>
    <w:rsid w:val="00A07E73"/>
    <w:rsid w:val="00A07F80"/>
    <w:rsid w:val="00A1289A"/>
    <w:rsid w:val="00A207B0"/>
    <w:rsid w:val="00A22571"/>
    <w:rsid w:val="00A22C3B"/>
    <w:rsid w:val="00A25E0F"/>
    <w:rsid w:val="00A26FF6"/>
    <w:rsid w:val="00A2768B"/>
    <w:rsid w:val="00A31BF9"/>
    <w:rsid w:val="00A32A6D"/>
    <w:rsid w:val="00A350E5"/>
    <w:rsid w:val="00A35213"/>
    <w:rsid w:val="00A46100"/>
    <w:rsid w:val="00A50E40"/>
    <w:rsid w:val="00A535F4"/>
    <w:rsid w:val="00A5562C"/>
    <w:rsid w:val="00A55B20"/>
    <w:rsid w:val="00A57756"/>
    <w:rsid w:val="00A63C08"/>
    <w:rsid w:val="00A655B4"/>
    <w:rsid w:val="00A6785C"/>
    <w:rsid w:val="00A72AB3"/>
    <w:rsid w:val="00A73575"/>
    <w:rsid w:val="00A74A8A"/>
    <w:rsid w:val="00A7591C"/>
    <w:rsid w:val="00A80D7A"/>
    <w:rsid w:val="00A8514F"/>
    <w:rsid w:val="00A8742A"/>
    <w:rsid w:val="00A94EBC"/>
    <w:rsid w:val="00A97D8E"/>
    <w:rsid w:val="00AA05C1"/>
    <w:rsid w:val="00AA3810"/>
    <w:rsid w:val="00AA7980"/>
    <w:rsid w:val="00AB15C1"/>
    <w:rsid w:val="00AB394F"/>
    <w:rsid w:val="00AB48F1"/>
    <w:rsid w:val="00AB4A60"/>
    <w:rsid w:val="00AB4DB0"/>
    <w:rsid w:val="00AB6350"/>
    <w:rsid w:val="00AC009F"/>
    <w:rsid w:val="00AC592F"/>
    <w:rsid w:val="00AD0A76"/>
    <w:rsid w:val="00AD1399"/>
    <w:rsid w:val="00AD3947"/>
    <w:rsid w:val="00AD52C6"/>
    <w:rsid w:val="00AD633C"/>
    <w:rsid w:val="00AD6920"/>
    <w:rsid w:val="00AD7811"/>
    <w:rsid w:val="00AE231A"/>
    <w:rsid w:val="00AF0083"/>
    <w:rsid w:val="00AF3932"/>
    <w:rsid w:val="00AF5656"/>
    <w:rsid w:val="00AF5C62"/>
    <w:rsid w:val="00B06687"/>
    <w:rsid w:val="00B068F9"/>
    <w:rsid w:val="00B15FB6"/>
    <w:rsid w:val="00B16EB3"/>
    <w:rsid w:val="00B21545"/>
    <w:rsid w:val="00B22D11"/>
    <w:rsid w:val="00B23994"/>
    <w:rsid w:val="00B267EF"/>
    <w:rsid w:val="00B2793D"/>
    <w:rsid w:val="00B3108E"/>
    <w:rsid w:val="00B3522C"/>
    <w:rsid w:val="00B430D2"/>
    <w:rsid w:val="00B453A4"/>
    <w:rsid w:val="00B45D4C"/>
    <w:rsid w:val="00B54D50"/>
    <w:rsid w:val="00B571ED"/>
    <w:rsid w:val="00B65696"/>
    <w:rsid w:val="00B6770C"/>
    <w:rsid w:val="00B7099E"/>
    <w:rsid w:val="00B71214"/>
    <w:rsid w:val="00B73AC6"/>
    <w:rsid w:val="00B8193E"/>
    <w:rsid w:val="00B84C33"/>
    <w:rsid w:val="00B84DA8"/>
    <w:rsid w:val="00B92FAA"/>
    <w:rsid w:val="00B97701"/>
    <w:rsid w:val="00B97DF4"/>
    <w:rsid w:val="00BA29D9"/>
    <w:rsid w:val="00BA3618"/>
    <w:rsid w:val="00BA49CF"/>
    <w:rsid w:val="00BA7225"/>
    <w:rsid w:val="00BC22AF"/>
    <w:rsid w:val="00BC6581"/>
    <w:rsid w:val="00BC6D73"/>
    <w:rsid w:val="00BD2DDB"/>
    <w:rsid w:val="00BD793C"/>
    <w:rsid w:val="00BE3F37"/>
    <w:rsid w:val="00BF4253"/>
    <w:rsid w:val="00BF728C"/>
    <w:rsid w:val="00C1040E"/>
    <w:rsid w:val="00C112BE"/>
    <w:rsid w:val="00C132E9"/>
    <w:rsid w:val="00C138DD"/>
    <w:rsid w:val="00C150A3"/>
    <w:rsid w:val="00C17B60"/>
    <w:rsid w:val="00C31A4D"/>
    <w:rsid w:val="00C3373E"/>
    <w:rsid w:val="00C370EC"/>
    <w:rsid w:val="00C3741A"/>
    <w:rsid w:val="00C43AC7"/>
    <w:rsid w:val="00C46440"/>
    <w:rsid w:val="00C51AFF"/>
    <w:rsid w:val="00C523DD"/>
    <w:rsid w:val="00C54715"/>
    <w:rsid w:val="00C57742"/>
    <w:rsid w:val="00C638FE"/>
    <w:rsid w:val="00C64737"/>
    <w:rsid w:val="00C65D69"/>
    <w:rsid w:val="00C676A9"/>
    <w:rsid w:val="00C70DE9"/>
    <w:rsid w:val="00C73769"/>
    <w:rsid w:val="00C76A92"/>
    <w:rsid w:val="00C77D3B"/>
    <w:rsid w:val="00C8080D"/>
    <w:rsid w:val="00C8156E"/>
    <w:rsid w:val="00C90492"/>
    <w:rsid w:val="00C95477"/>
    <w:rsid w:val="00CA1FDE"/>
    <w:rsid w:val="00CB0730"/>
    <w:rsid w:val="00CB2818"/>
    <w:rsid w:val="00CB4F9E"/>
    <w:rsid w:val="00CB59B0"/>
    <w:rsid w:val="00CC123D"/>
    <w:rsid w:val="00CC3DE7"/>
    <w:rsid w:val="00CD3B60"/>
    <w:rsid w:val="00CD44CE"/>
    <w:rsid w:val="00CE1647"/>
    <w:rsid w:val="00CE1C57"/>
    <w:rsid w:val="00CF1D78"/>
    <w:rsid w:val="00CF3609"/>
    <w:rsid w:val="00CF7095"/>
    <w:rsid w:val="00D06EB1"/>
    <w:rsid w:val="00D0768E"/>
    <w:rsid w:val="00D10404"/>
    <w:rsid w:val="00D11020"/>
    <w:rsid w:val="00D11DF8"/>
    <w:rsid w:val="00D165C4"/>
    <w:rsid w:val="00D17AEE"/>
    <w:rsid w:val="00D239D1"/>
    <w:rsid w:val="00D2510F"/>
    <w:rsid w:val="00D30019"/>
    <w:rsid w:val="00D32C43"/>
    <w:rsid w:val="00D35599"/>
    <w:rsid w:val="00D35978"/>
    <w:rsid w:val="00D4293C"/>
    <w:rsid w:val="00D441F8"/>
    <w:rsid w:val="00D46452"/>
    <w:rsid w:val="00D46FB6"/>
    <w:rsid w:val="00D511AC"/>
    <w:rsid w:val="00D55C1B"/>
    <w:rsid w:val="00D61498"/>
    <w:rsid w:val="00D7088A"/>
    <w:rsid w:val="00D70E04"/>
    <w:rsid w:val="00D7151B"/>
    <w:rsid w:val="00D73F0B"/>
    <w:rsid w:val="00D8260F"/>
    <w:rsid w:val="00D843C9"/>
    <w:rsid w:val="00D87ABC"/>
    <w:rsid w:val="00D87B8A"/>
    <w:rsid w:val="00D87E5F"/>
    <w:rsid w:val="00D92B33"/>
    <w:rsid w:val="00D97401"/>
    <w:rsid w:val="00DA0E23"/>
    <w:rsid w:val="00DA2F42"/>
    <w:rsid w:val="00DB02BC"/>
    <w:rsid w:val="00DB1180"/>
    <w:rsid w:val="00DB406B"/>
    <w:rsid w:val="00DB4DF4"/>
    <w:rsid w:val="00DB5BED"/>
    <w:rsid w:val="00DB742C"/>
    <w:rsid w:val="00DC04F3"/>
    <w:rsid w:val="00DC3138"/>
    <w:rsid w:val="00DC79F5"/>
    <w:rsid w:val="00DD1960"/>
    <w:rsid w:val="00DD25BB"/>
    <w:rsid w:val="00DD5A1E"/>
    <w:rsid w:val="00DE1A13"/>
    <w:rsid w:val="00DE6054"/>
    <w:rsid w:val="00DF4C69"/>
    <w:rsid w:val="00DF667F"/>
    <w:rsid w:val="00DF68C3"/>
    <w:rsid w:val="00DF74C2"/>
    <w:rsid w:val="00E058D4"/>
    <w:rsid w:val="00E10D3E"/>
    <w:rsid w:val="00E1241B"/>
    <w:rsid w:val="00E1449E"/>
    <w:rsid w:val="00E155DE"/>
    <w:rsid w:val="00E22346"/>
    <w:rsid w:val="00E24FB2"/>
    <w:rsid w:val="00E25778"/>
    <w:rsid w:val="00E45C5E"/>
    <w:rsid w:val="00E64B08"/>
    <w:rsid w:val="00E65B33"/>
    <w:rsid w:val="00E70F53"/>
    <w:rsid w:val="00E733C5"/>
    <w:rsid w:val="00E73DE8"/>
    <w:rsid w:val="00E75504"/>
    <w:rsid w:val="00E81340"/>
    <w:rsid w:val="00E825B8"/>
    <w:rsid w:val="00E857CB"/>
    <w:rsid w:val="00E937B4"/>
    <w:rsid w:val="00E96EAC"/>
    <w:rsid w:val="00EA49EC"/>
    <w:rsid w:val="00EA67E3"/>
    <w:rsid w:val="00EB14FE"/>
    <w:rsid w:val="00EB638B"/>
    <w:rsid w:val="00EC4194"/>
    <w:rsid w:val="00EC70A1"/>
    <w:rsid w:val="00ED1038"/>
    <w:rsid w:val="00ED23DB"/>
    <w:rsid w:val="00ED2F89"/>
    <w:rsid w:val="00ED3DB5"/>
    <w:rsid w:val="00ED4581"/>
    <w:rsid w:val="00ED48F7"/>
    <w:rsid w:val="00ED5C1F"/>
    <w:rsid w:val="00EE0A3D"/>
    <w:rsid w:val="00EE16E1"/>
    <w:rsid w:val="00EE1F49"/>
    <w:rsid w:val="00EE2185"/>
    <w:rsid w:val="00EE3BBD"/>
    <w:rsid w:val="00EE6915"/>
    <w:rsid w:val="00EF1CDA"/>
    <w:rsid w:val="00EF5453"/>
    <w:rsid w:val="00EF5EDC"/>
    <w:rsid w:val="00EF7A39"/>
    <w:rsid w:val="00F10106"/>
    <w:rsid w:val="00F16790"/>
    <w:rsid w:val="00F17FD6"/>
    <w:rsid w:val="00F41B48"/>
    <w:rsid w:val="00F41BE7"/>
    <w:rsid w:val="00F43DA2"/>
    <w:rsid w:val="00F5138E"/>
    <w:rsid w:val="00F5283F"/>
    <w:rsid w:val="00F5681B"/>
    <w:rsid w:val="00F62E84"/>
    <w:rsid w:val="00F71FF0"/>
    <w:rsid w:val="00F7281E"/>
    <w:rsid w:val="00F734ED"/>
    <w:rsid w:val="00F76598"/>
    <w:rsid w:val="00F82A13"/>
    <w:rsid w:val="00F8339F"/>
    <w:rsid w:val="00F85252"/>
    <w:rsid w:val="00F8667F"/>
    <w:rsid w:val="00F91962"/>
    <w:rsid w:val="00FA286D"/>
    <w:rsid w:val="00FA3747"/>
    <w:rsid w:val="00FA5C79"/>
    <w:rsid w:val="00FB0426"/>
    <w:rsid w:val="00FB7A48"/>
    <w:rsid w:val="00FC0E2A"/>
    <w:rsid w:val="00FC1643"/>
    <w:rsid w:val="00FC3A42"/>
    <w:rsid w:val="00FC460B"/>
    <w:rsid w:val="00FD31CC"/>
    <w:rsid w:val="00FD4B85"/>
    <w:rsid w:val="00FD6114"/>
    <w:rsid w:val="00FD649B"/>
    <w:rsid w:val="00FE7E0B"/>
    <w:rsid w:val="00FF17D7"/>
    <w:rsid w:val="00FF3C6A"/>
    <w:rsid w:val="00FF3D6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26C4"/>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B26C4"/>
    <w:pPr>
      <w:tabs>
        <w:tab w:val="center" w:pos="4536"/>
        <w:tab w:val="right" w:pos="9072"/>
      </w:tabs>
    </w:pPr>
  </w:style>
  <w:style w:type="character" w:customStyle="1" w:styleId="ZhlavChar">
    <w:name w:val="Záhlaví Char"/>
    <w:basedOn w:val="Standardnpsmoodstavce"/>
    <w:link w:val="Zhlav"/>
    <w:rsid w:val="009B26C4"/>
    <w:rPr>
      <w:rFonts w:ascii="Calibri" w:eastAsia="Calibri" w:hAnsi="Calibri" w:cs="Times New Roman"/>
      <w:lang w:val="de-DE"/>
    </w:rPr>
  </w:style>
  <w:style w:type="character" w:styleId="Hypertextovodkaz">
    <w:name w:val="Hyperlink"/>
    <w:basedOn w:val="Standardnpsmoodstavce"/>
    <w:uiPriority w:val="99"/>
    <w:unhideWhenUsed/>
    <w:rsid w:val="00BC6D73"/>
    <w:rPr>
      <w:color w:val="0000FF"/>
      <w:u w:val="single"/>
    </w:rPr>
  </w:style>
  <w:style w:type="paragraph" w:styleId="Zpat">
    <w:name w:val="footer"/>
    <w:basedOn w:val="Normln"/>
    <w:link w:val="ZpatChar"/>
    <w:uiPriority w:val="99"/>
    <w:semiHidden/>
    <w:unhideWhenUsed/>
    <w:rsid w:val="004D18D9"/>
    <w:pPr>
      <w:tabs>
        <w:tab w:val="center" w:pos="4536"/>
        <w:tab w:val="right" w:pos="9072"/>
      </w:tabs>
    </w:pPr>
  </w:style>
  <w:style w:type="character" w:customStyle="1" w:styleId="ZpatChar">
    <w:name w:val="Zápatí Char"/>
    <w:basedOn w:val="Standardnpsmoodstavce"/>
    <w:link w:val="Zpat"/>
    <w:uiPriority w:val="99"/>
    <w:semiHidden/>
    <w:rsid w:val="004D18D9"/>
    <w:rPr>
      <w:sz w:val="22"/>
      <w:szCs w:val="22"/>
      <w:lang w:val="de-DE" w:eastAsia="en-US"/>
    </w:rPr>
  </w:style>
  <w:style w:type="paragraph" w:customStyle="1" w:styleId="Default">
    <w:name w:val="Default"/>
    <w:rsid w:val="00A207B0"/>
    <w:pPr>
      <w:autoSpaceDE w:val="0"/>
      <w:autoSpaceDN w:val="0"/>
      <w:adjustRightInd w:val="0"/>
    </w:pPr>
    <w:rPr>
      <w:rFonts w:ascii="Arial" w:hAnsi="Arial" w:cs="Arial"/>
      <w:color w:val="000000"/>
      <w:sz w:val="24"/>
      <w:szCs w:val="24"/>
      <w:lang w:val="cs-CZ" w:eastAsia="cs-CZ"/>
    </w:rPr>
  </w:style>
  <w:style w:type="paragraph" w:styleId="Normlnweb">
    <w:name w:val="Normal (Web)"/>
    <w:basedOn w:val="Normln"/>
    <w:uiPriority w:val="99"/>
    <w:unhideWhenUsed/>
    <w:rsid w:val="004673CA"/>
    <w:pPr>
      <w:spacing w:before="15" w:after="15" w:line="225" w:lineRule="atLeast"/>
    </w:pPr>
    <w:rPr>
      <w:rFonts w:ascii="Arial" w:eastAsia="Times New Roman" w:hAnsi="Arial" w:cs="Arial"/>
      <w:color w:val="333333"/>
      <w:sz w:val="17"/>
      <w:szCs w:val="17"/>
      <w:lang w:val="cs-CZ" w:eastAsia="cs-CZ"/>
    </w:rPr>
  </w:style>
  <w:style w:type="character" w:styleId="Siln">
    <w:name w:val="Strong"/>
    <w:basedOn w:val="Standardnpsmoodstavce"/>
    <w:uiPriority w:val="22"/>
    <w:qFormat/>
    <w:rsid w:val="004673CA"/>
    <w:rPr>
      <w:b/>
      <w:bCs/>
    </w:rPr>
  </w:style>
  <w:style w:type="paragraph" w:customStyle="1" w:styleId="Pa1">
    <w:name w:val="Pa1"/>
    <w:basedOn w:val="Default"/>
    <w:next w:val="Default"/>
    <w:uiPriority w:val="99"/>
    <w:rsid w:val="00D8260F"/>
    <w:pPr>
      <w:spacing w:line="181" w:lineRule="atLeast"/>
    </w:pPr>
    <w:rPr>
      <w:rFonts w:ascii="Rotis Sans Serif Pro ExtraBold" w:hAnsi="Rotis Sans Serif Pro ExtraBold" w:cs="Times New Roman"/>
      <w:color w:val="auto"/>
    </w:rPr>
  </w:style>
  <w:style w:type="character" w:customStyle="1" w:styleId="A3">
    <w:name w:val="A3"/>
    <w:uiPriority w:val="99"/>
    <w:rsid w:val="00D8260F"/>
    <w:rPr>
      <w:rFonts w:cs="Rotis Sans Serif Pro ExtraBold"/>
      <w:b/>
      <w:bCs/>
      <w:color w:val="000000"/>
      <w:sz w:val="16"/>
      <w:szCs w:val="16"/>
    </w:rPr>
  </w:style>
  <w:style w:type="paragraph" w:customStyle="1" w:styleId="Pa8">
    <w:name w:val="Pa8"/>
    <w:basedOn w:val="Default"/>
    <w:next w:val="Default"/>
    <w:uiPriority w:val="99"/>
    <w:rsid w:val="00D8260F"/>
    <w:pPr>
      <w:spacing w:line="181" w:lineRule="atLeast"/>
    </w:pPr>
    <w:rPr>
      <w:rFonts w:ascii="Rotis Sans Serif Pro ExtraBold" w:hAnsi="Rotis Sans Serif Pro ExtraBold" w:cs="Times New Roman"/>
      <w:color w:val="auto"/>
    </w:rPr>
  </w:style>
  <w:style w:type="character" w:styleId="Odkaznakoment">
    <w:name w:val="annotation reference"/>
    <w:basedOn w:val="Standardnpsmoodstavce"/>
    <w:uiPriority w:val="99"/>
    <w:semiHidden/>
    <w:unhideWhenUsed/>
    <w:rsid w:val="003261FD"/>
    <w:rPr>
      <w:sz w:val="16"/>
      <w:szCs w:val="16"/>
    </w:rPr>
  </w:style>
  <w:style w:type="paragraph" w:styleId="Textkomente">
    <w:name w:val="annotation text"/>
    <w:basedOn w:val="Normln"/>
    <w:link w:val="TextkomenteChar"/>
    <w:uiPriority w:val="99"/>
    <w:unhideWhenUsed/>
    <w:rsid w:val="003261FD"/>
    <w:rPr>
      <w:sz w:val="20"/>
      <w:szCs w:val="20"/>
    </w:rPr>
  </w:style>
  <w:style w:type="character" w:customStyle="1" w:styleId="TextkomenteChar">
    <w:name w:val="Text komentáře Char"/>
    <w:basedOn w:val="Standardnpsmoodstavce"/>
    <w:link w:val="Textkomente"/>
    <w:uiPriority w:val="99"/>
    <w:rsid w:val="003261FD"/>
    <w:rPr>
      <w:lang w:val="de-DE" w:eastAsia="en-US"/>
    </w:rPr>
  </w:style>
  <w:style w:type="paragraph" w:styleId="Pedmtkomente">
    <w:name w:val="annotation subject"/>
    <w:basedOn w:val="Textkomente"/>
    <w:next w:val="Textkomente"/>
    <w:link w:val="PedmtkomenteChar"/>
    <w:uiPriority w:val="99"/>
    <w:semiHidden/>
    <w:unhideWhenUsed/>
    <w:rsid w:val="003261FD"/>
    <w:rPr>
      <w:b/>
      <w:bCs/>
    </w:rPr>
  </w:style>
  <w:style w:type="character" w:customStyle="1" w:styleId="PedmtkomenteChar">
    <w:name w:val="Předmět komentáře Char"/>
    <w:basedOn w:val="TextkomenteChar"/>
    <w:link w:val="Pedmtkomente"/>
    <w:uiPriority w:val="99"/>
    <w:semiHidden/>
    <w:rsid w:val="003261FD"/>
    <w:rPr>
      <w:b/>
      <w:bCs/>
      <w:lang w:val="de-DE" w:eastAsia="en-US"/>
    </w:rPr>
  </w:style>
  <w:style w:type="paragraph" w:styleId="Textbubliny">
    <w:name w:val="Balloon Text"/>
    <w:basedOn w:val="Normln"/>
    <w:link w:val="TextbublinyChar"/>
    <w:uiPriority w:val="99"/>
    <w:semiHidden/>
    <w:unhideWhenUsed/>
    <w:rsid w:val="003261F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61FD"/>
    <w:rPr>
      <w:rFonts w:ascii="Tahoma" w:hAnsi="Tahoma" w:cs="Tahoma"/>
      <w:sz w:val="16"/>
      <w:szCs w:val="16"/>
      <w:lang w:val="de-DE" w:eastAsia="en-US"/>
    </w:rPr>
  </w:style>
  <w:style w:type="paragraph" w:styleId="Revize">
    <w:name w:val="Revision"/>
    <w:hidden/>
    <w:uiPriority w:val="99"/>
    <w:semiHidden/>
    <w:rsid w:val="0064595A"/>
    <w:rPr>
      <w:sz w:val="22"/>
      <w:szCs w:val="22"/>
      <w:lang w:eastAsia="en-US"/>
    </w:rPr>
  </w:style>
  <w:style w:type="table" w:styleId="Mkatabulky">
    <w:name w:val="Table Grid"/>
    <w:basedOn w:val="Normlntabulka"/>
    <w:uiPriority w:val="59"/>
    <w:rsid w:val="005727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osttext">
    <w:name w:val="Plain Text"/>
    <w:basedOn w:val="Normln"/>
    <w:link w:val="ProsttextChar"/>
    <w:uiPriority w:val="99"/>
    <w:semiHidden/>
    <w:unhideWhenUsed/>
    <w:rsid w:val="00696E91"/>
    <w:pPr>
      <w:spacing w:after="0" w:line="240" w:lineRule="auto"/>
    </w:pPr>
    <w:rPr>
      <w:rFonts w:ascii="Consolas" w:eastAsiaTheme="minorHAnsi" w:hAnsi="Consolas" w:cstheme="minorBidi"/>
      <w:sz w:val="21"/>
      <w:szCs w:val="21"/>
      <w:lang w:val="cs-CZ"/>
    </w:rPr>
  </w:style>
  <w:style w:type="character" w:customStyle="1" w:styleId="ProsttextChar">
    <w:name w:val="Prostý text Char"/>
    <w:basedOn w:val="Standardnpsmoodstavce"/>
    <w:link w:val="Prosttext"/>
    <w:uiPriority w:val="99"/>
    <w:semiHidden/>
    <w:rsid w:val="00696E91"/>
    <w:rPr>
      <w:rFonts w:ascii="Consolas" w:eastAsiaTheme="minorHAnsi" w:hAnsi="Consolas" w:cstheme="minorBidi"/>
      <w:sz w:val="21"/>
      <w:szCs w:val="21"/>
      <w:lang w:val="cs-CZ" w:eastAsia="en-US"/>
    </w:rPr>
  </w:style>
  <w:style w:type="character" w:customStyle="1" w:styleId="apple-converted-space">
    <w:name w:val="apple-converted-space"/>
    <w:basedOn w:val="Standardnpsmoodstavce"/>
    <w:rsid w:val="00925A8C"/>
  </w:style>
  <w:style w:type="character" w:customStyle="1" w:styleId="TextkomenteChar1">
    <w:name w:val="Text komentáře Char1"/>
    <w:basedOn w:val="Standardnpsmoodstavce"/>
    <w:uiPriority w:val="99"/>
    <w:semiHidden/>
    <w:rsid w:val="00CF7095"/>
    <w:rPr>
      <w:rFonts w:ascii="Calibri" w:eastAsia="Calibri" w:hAnsi="Calibri"/>
      <w:kern w:val="1"/>
      <w:lang w:val="de-D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26C4"/>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9B26C4"/>
    <w:pPr>
      <w:tabs>
        <w:tab w:val="center" w:pos="4536"/>
        <w:tab w:val="right" w:pos="9072"/>
      </w:tabs>
    </w:pPr>
  </w:style>
  <w:style w:type="character" w:customStyle="1" w:styleId="ZhlavChar">
    <w:name w:val="Záhlaví Char"/>
    <w:basedOn w:val="Standardnpsmoodstavce"/>
    <w:link w:val="Zhlav"/>
    <w:rsid w:val="009B26C4"/>
    <w:rPr>
      <w:rFonts w:ascii="Calibri" w:eastAsia="Calibri" w:hAnsi="Calibri" w:cs="Times New Roman"/>
      <w:lang w:val="de-DE"/>
    </w:rPr>
  </w:style>
  <w:style w:type="character" w:styleId="Hypertextovodkaz">
    <w:name w:val="Hyperlink"/>
    <w:basedOn w:val="Standardnpsmoodstavce"/>
    <w:uiPriority w:val="99"/>
    <w:unhideWhenUsed/>
    <w:rsid w:val="00BC6D73"/>
    <w:rPr>
      <w:color w:val="0000FF"/>
      <w:u w:val="single"/>
    </w:rPr>
  </w:style>
  <w:style w:type="paragraph" w:styleId="Zpat">
    <w:name w:val="footer"/>
    <w:basedOn w:val="Normln"/>
    <w:link w:val="ZpatChar"/>
    <w:uiPriority w:val="99"/>
    <w:semiHidden/>
    <w:unhideWhenUsed/>
    <w:rsid w:val="004D18D9"/>
    <w:pPr>
      <w:tabs>
        <w:tab w:val="center" w:pos="4536"/>
        <w:tab w:val="right" w:pos="9072"/>
      </w:tabs>
    </w:pPr>
  </w:style>
  <w:style w:type="character" w:customStyle="1" w:styleId="ZpatChar">
    <w:name w:val="Zápatí Char"/>
    <w:basedOn w:val="Standardnpsmoodstavce"/>
    <w:link w:val="Zpat"/>
    <w:uiPriority w:val="99"/>
    <w:semiHidden/>
    <w:rsid w:val="004D18D9"/>
    <w:rPr>
      <w:sz w:val="22"/>
      <w:szCs w:val="22"/>
      <w:lang w:val="de-DE" w:eastAsia="en-US"/>
    </w:rPr>
  </w:style>
  <w:style w:type="paragraph" w:customStyle="1" w:styleId="Default">
    <w:name w:val="Default"/>
    <w:rsid w:val="00A207B0"/>
    <w:pPr>
      <w:autoSpaceDE w:val="0"/>
      <w:autoSpaceDN w:val="0"/>
      <w:adjustRightInd w:val="0"/>
    </w:pPr>
    <w:rPr>
      <w:rFonts w:ascii="Arial" w:hAnsi="Arial" w:cs="Arial"/>
      <w:color w:val="000000"/>
      <w:sz w:val="24"/>
      <w:szCs w:val="24"/>
      <w:lang w:val="cs-CZ" w:eastAsia="cs-CZ"/>
    </w:rPr>
  </w:style>
  <w:style w:type="paragraph" w:styleId="Normlnweb">
    <w:name w:val="Normal (Web)"/>
    <w:basedOn w:val="Normln"/>
    <w:uiPriority w:val="99"/>
    <w:unhideWhenUsed/>
    <w:rsid w:val="004673CA"/>
    <w:pPr>
      <w:spacing w:before="15" w:after="15" w:line="225" w:lineRule="atLeast"/>
    </w:pPr>
    <w:rPr>
      <w:rFonts w:ascii="Arial" w:eastAsia="Times New Roman" w:hAnsi="Arial" w:cs="Arial"/>
      <w:color w:val="333333"/>
      <w:sz w:val="17"/>
      <w:szCs w:val="17"/>
      <w:lang w:val="cs-CZ" w:eastAsia="cs-CZ"/>
    </w:rPr>
  </w:style>
  <w:style w:type="character" w:styleId="Siln">
    <w:name w:val="Strong"/>
    <w:basedOn w:val="Standardnpsmoodstavce"/>
    <w:uiPriority w:val="22"/>
    <w:qFormat/>
    <w:rsid w:val="004673CA"/>
    <w:rPr>
      <w:b/>
      <w:bCs/>
    </w:rPr>
  </w:style>
  <w:style w:type="paragraph" w:customStyle="1" w:styleId="Pa1">
    <w:name w:val="Pa1"/>
    <w:basedOn w:val="Default"/>
    <w:next w:val="Default"/>
    <w:uiPriority w:val="99"/>
    <w:rsid w:val="00D8260F"/>
    <w:pPr>
      <w:spacing w:line="181" w:lineRule="atLeast"/>
    </w:pPr>
    <w:rPr>
      <w:rFonts w:ascii="Rotis Sans Serif Pro ExtraBold" w:hAnsi="Rotis Sans Serif Pro ExtraBold" w:cs="Times New Roman"/>
      <w:color w:val="auto"/>
    </w:rPr>
  </w:style>
  <w:style w:type="character" w:customStyle="1" w:styleId="A3">
    <w:name w:val="A3"/>
    <w:uiPriority w:val="99"/>
    <w:rsid w:val="00D8260F"/>
    <w:rPr>
      <w:rFonts w:cs="Rotis Sans Serif Pro ExtraBold"/>
      <w:b/>
      <w:bCs/>
      <w:color w:val="000000"/>
      <w:sz w:val="16"/>
      <w:szCs w:val="16"/>
    </w:rPr>
  </w:style>
  <w:style w:type="paragraph" w:customStyle="1" w:styleId="Pa8">
    <w:name w:val="Pa8"/>
    <w:basedOn w:val="Default"/>
    <w:next w:val="Default"/>
    <w:uiPriority w:val="99"/>
    <w:rsid w:val="00D8260F"/>
    <w:pPr>
      <w:spacing w:line="181" w:lineRule="atLeast"/>
    </w:pPr>
    <w:rPr>
      <w:rFonts w:ascii="Rotis Sans Serif Pro ExtraBold" w:hAnsi="Rotis Sans Serif Pro ExtraBold" w:cs="Times New Roman"/>
      <w:color w:val="auto"/>
    </w:rPr>
  </w:style>
  <w:style w:type="character" w:styleId="Odkaznakoment">
    <w:name w:val="annotation reference"/>
    <w:basedOn w:val="Standardnpsmoodstavce"/>
    <w:uiPriority w:val="99"/>
    <w:semiHidden/>
    <w:unhideWhenUsed/>
    <w:rsid w:val="003261FD"/>
    <w:rPr>
      <w:sz w:val="16"/>
      <w:szCs w:val="16"/>
    </w:rPr>
  </w:style>
  <w:style w:type="paragraph" w:styleId="Textkomente">
    <w:name w:val="annotation text"/>
    <w:basedOn w:val="Normln"/>
    <w:link w:val="TextkomenteChar"/>
    <w:uiPriority w:val="99"/>
    <w:unhideWhenUsed/>
    <w:rsid w:val="003261FD"/>
    <w:rPr>
      <w:sz w:val="20"/>
      <w:szCs w:val="20"/>
    </w:rPr>
  </w:style>
  <w:style w:type="character" w:customStyle="1" w:styleId="TextkomenteChar">
    <w:name w:val="Text komentáře Char"/>
    <w:basedOn w:val="Standardnpsmoodstavce"/>
    <w:link w:val="Textkomente"/>
    <w:uiPriority w:val="99"/>
    <w:rsid w:val="003261FD"/>
    <w:rPr>
      <w:lang w:val="de-DE" w:eastAsia="en-US"/>
    </w:rPr>
  </w:style>
  <w:style w:type="paragraph" w:styleId="Pedmtkomente">
    <w:name w:val="annotation subject"/>
    <w:basedOn w:val="Textkomente"/>
    <w:next w:val="Textkomente"/>
    <w:link w:val="PedmtkomenteChar"/>
    <w:uiPriority w:val="99"/>
    <w:semiHidden/>
    <w:unhideWhenUsed/>
    <w:rsid w:val="003261FD"/>
    <w:rPr>
      <w:b/>
      <w:bCs/>
    </w:rPr>
  </w:style>
  <w:style w:type="character" w:customStyle="1" w:styleId="PedmtkomenteChar">
    <w:name w:val="Předmět komentáře Char"/>
    <w:basedOn w:val="TextkomenteChar"/>
    <w:link w:val="Pedmtkomente"/>
    <w:uiPriority w:val="99"/>
    <w:semiHidden/>
    <w:rsid w:val="003261FD"/>
    <w:rPr>
      <w:b/>
      <w:bCs/>
      <w:lang w:val="de-DE" w:eastAsia="en-US"/>
    </w:rPr>
  </w:style>
  <w:style w:type="paragraph" w:styleId="Textbubliny">
    <w:name w:val="Balloon Text"/>
    <w:basedOn w:val="Normln"/>
    <w:link w:val="TextbublinyChar"/>
    <w:uiPriority w:val="99"/>
    <w:semiHidden/>
    <w:unhideWhenUsed/>
    <w:rsid w:val="003261F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61FD"/>
    <w:rPr>
      <w:rFonts w:ascii="Tahoma" w:hAnsi="Tahoma" w:cs="Tahoma"/>
      <w:sz w:val="16"/>
      <w:szCs w:val="16"/>
      <w:lang w:val="de-DE" w:eastAsia="en-US"/>
    </w:rPr>
  </w:style>
  <w:style w:type="paragraph" w:styleId="Revize">
    <w:name w:val="Revision"/>
    <w:hidden/>
    <w:uiPriority w:val="99"/>
    <w:semiHidden/>
    <w:rsid w:val="0064595A"/>
    <w:rPr>
      <w:sz w:val="22"/>
      <w:szCs w:val="22"/>
      <w:lang w:eastAsia="en-US"/>
    </w:rPr>
  </w:style>
  <w:style w:type="table" w:styleId="Mkatabulky">
    <w:name w:val="Table Grid"/>
    <w:basedOn w:val="Normlntabulka"/>
    <w:uiPriority w:val="59"/>
    <w:rsid w:val="005727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osttext">
    <w:name w:val="Plain Text"/>
    <w:basedOn w:val="Normln"/>
    <w:link w:val="ProsttextChar"/>
    <w:uiPriority w:val="99"/>
    <w:semiHidden/>
    <w:unhideWhenUsed/>
    <w:rsid w:val="00696E91"/>
    <w:pPr>
      <w:spacing w:after="0" w:line="240" w:lineRule="auto"/>
    </w:pPr>
    <w:rPr>
      <w:rFonts w:ascii="Consolas" w:eastAsiaTheme="minorHAnsi" w:hAnsi="Consolas" w:cstheme="minorBidi"/>
      <w:sz w:val="21"/>
      <w:szCs w:val="21"/>
      <w:lang w:val="cs-CZ"/>
    </w:rPr>
  </w:style>
  <w:style w:type="character" w:customStyle="1" w:styleId="ProsttextChar">
    <w:name w:val="Prostý text Char"/>
    <w:basedOn w:val="Standardnpsmoodstavce"/>
    <w:link w:val="Prosttext"/>
    <w:uiPriority w:val="99"/>
    <w:semiHidden/>
    <w:rsid w:val="00696E91"/>
    <w:rPr>
      <w:rFonts w:ascii="Consolas" w:eastAsiaTheme="minorHAnsi" w:hAnsi="Consolas" w:cstheme="minorBidi"/>
      <w:sz w:val="21"/>
      <w:szCs w:val="21"/>
      <w:lang w:val="cs-CZ" w:eastAsia="en-US"/>
    </w:rPr>
  </w:style>
  <w:style w:type="character" w:customStyle="1" w:styleId="apple-converted-space">
    <w:name w:val="apple-converted-space"/>
    <w:basedOn w:val="Standardnpsmoodstavce"/>
    <w:rsid w:val="00925A8C"/>
  </w:style>
  <w:style w:type="character" w:customStyle="1" w:styleId="TextkomenteChar1">
    <w:name w:val="Text komentáře Char1"/>
    <w:basedOn w:val="Standardnpsmoodstavce"/>
    <w:uiPriority w:val="99"/>
    <w:semiHidden/>
    <w:rsid w:val="00CF7095"/>
    <w:rPr>
      <w:rFonts w:ascii="Calibri" w:eastAsia="Calibri" w:hAnsi="Calibri"/>
      <w:kern w:val="1"/>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50127">
      <w:bodyDiv w:val="1"/>
      <w:marLeft w:val="0"/>
      <w:marRight w:val="0"/>
      <w:marTop w:val="0"/>
      <w:marBottom w:val="0"/>
      <w:divBdr>
        <w:top w:val="none" w:sz="0" w:space="0" w:color="auto"/>
        <w:left w:val="none" w:sz="0" w:space="0" w:color="auto"/>
        <w:bottom w:val="none" w:sz="0" w:space="0" w:color="auto"/>
        <w:right w:val="none" w:sz="0" w:space="0" w:color="auto"/>
      </w:divBdr>
    </w:div>
    <w:div w:id="89670055">
      <w:bodyDiv w:val="1"/>
      <w:marLeft w:val="0"/>
      <w:marRight w:val="0"/>
      <w:marTop w:val="0"/>
      <w:marBottom w:val="0"/>
      <w:divBdr>
        <w:top w:val="none" w:sz="0" w:space="0" w:color="auto"/>
        <w:left w:val="none" w:sz="0" w:space="0" w:color="auto"/>
        <w:bottom w:val="none" w:sz="0" w:space="0" w:color="auto"/>
        <w:right w:val="none" w:sz="0" w:space="0" w:color="auto"/>
      </w:divBdr>
    </w:div>
    <w:div w:id="154687929">
      <w:bodyDiv w:val="1"/>
      <w:marLeft w:val="0"/>
      <w:marRight w:val="0"/>
      <w:marTop w:val="0"/>
      <w:marBottom w:val="0"/>
      <w:divBdr>
        <w:top w:val="none" w:sz="0" w:space="0" w:color="auto"/>
        <w:left w:val="none" w:sz="0" w:space="0" w:color="auto"/>
        <w:bottom w:val="none" w:sz="0" w:space="0" w:color="auto"/>
        <w:right w:val="none" w:sz="0" w:space="0" w:color="auto"/>
      </w:divBdr>
    </w:div>
    <w:div w:id="322198008">
      <w:bodyDiv w:val="1"/>
      <w:marLeft w:val="0"/>
      <w:marRight w:val="0"/>
      <w:marTop w:val="0"/>
      <w:marBottom w:val="0"/>
      <w:divBdr>
        <w:top w:val="none" w:sz="0" w:space="0" w:color="auto"/>
        <w:left w:val="none" w:sz="0" w:space="0" w:color="auto"/>
        <w:bottom w:val="none" w:sz="0" w:space="0" w:color="auto"/>
        <w:right w:val="none" w:sz="0" w:space="0" w:color="auto"/>
      </w:divBdr>
    </w:div>
    <w:div w:id="398792070">
      <w:bodyDiv w:val="1"/>
      <w:marLeft w:val="0"/>
      <w:marRight w:val="0"/>
      <w:marTop w:val="0"/>
      <w:marBottom w:val="0"/>
      <w:divBdr>
        <w:top w:val="none" w:sz="0" w:space="0" w:color="auto"/>
        <w:left w:val="none" w:sz="0" w:space="0" w:color="auto"/>
        <w:bottom w:val="none" w:sz="0" w:space="0" w:color="auto"/>
        <w:right w:val="none" w:sz="0" w:space="0" w:color="auto"/>
      </w:divBdr>
    </w:div>
    <w:div w:id="616764720">
      <w:bodyDiv w:val="1"/>
      <w:marLeft w:val="0"/>
      <w:marRight w:val="0"/>
      <w:marTop w:val="0"/>
      <w:marBottom w:val="0"/>
      <w:divBdr>
        <w:top w:val="none" w:sz="0" w:space="0" w:color="auto"/>
        <w:left w:val="none" w:sz="0" w:space="0" w:color="auto"/>
        <w:bottom w:val="none" w:sz="0" w:space="0" w:color="auto"/>
        <w:right w:val="none" w:sz="0" w:space="0" w:color="auto"/>
      </w:divBdr>
      <w:divsChild>
        <w:div w:id="1805194125">
          <w:marLeft w:val="0"/>
          <w:marRight w:val="0"/>
          <w:marTop w:val="0"/>
          <w:marBottom w:val="0"/>
          <w:divBdr>
            <w:top w:val="none" w:sz="0" w:space="0" w:color="auto"/>
            <w:left w:val="none" w:sz="0" w:space="0" w:color="auto"/>
            <w:bottom w:val="none" w:sz="0" w:space="0" w:color="auto"/>
            <w:right w:val="none" w:sz="0" w:space="0" w:color="auto"/>
          </w:divBdr>
          <w:divsChild>
            <w:div w:id="190995815">
              <w:marLeft w:val="0"/>
              <w:marRight w:val="0"/>
              <w:marTop w:val="0"/>
              <w:marBottom w:val="0"/>
              <w:divBdr>
                <w:top w:val="none" w:sz="0" w:space="0" w:color="auto"/>
                <w:left w:val="none" w:sz="0" w:space="0" w:color="auto"/>
                <w:bottom w:val="none" w:sz="0" w:space="0" w:color="auto"/>
                <w:right w:val="none" w:sz="0" w:space="0" w:color="auto"/>
              </w:divBdr>
              <w:divsChild>
                <w:div w:id="1746759274">
                  <w:marLeft w:val="0"/>
                  <w:marRight w:val="0"/>
                  <w:marTop w:val="0"/>
                  <w:marBottom w:val="0"/>
                  <w:divBdr>
                    <w:top w:val="none" w:sz="0" w:space="0" w:color="auto"/>
                    <w:left w:val="none" w:sz="0" w:space="0" w:color="auto"/>
                    <w:bottom w:val="none" w:sz="0" w:space="0" w:color="auto"/>
                    <w:right w:val="none" w:sz="0" w:space="0" w:color="auto"/>
                  </w:divBdr>
                  <w:divsChild>
                    <w:div w:id="2086150472">
                      <w:marLeft w:val="0"/>
                      <w:marRight w:val="0"/>
                      <w:marTop w:val="0"/>
                      <w:marBottom w:val="0"/>
                      <w:divBdr>
                        <w:top w:val="none" w:sz="0" w:space="0" w:color="auto"/>
                        <w:left w:val="none" w:sz="0" w:space="0" w:color="auto"/>
                        <w:bottom w:val="none" w:sz="0" w:space="0" w:color="auto"/>
                        <w:right w:val="none" w:sz="0" w:space="0" w:color="auto"/>
                      </w:divBdr>
                      <w:divsChild>
                        <w:div w:id="415832266">
                          <w:marLeft w:val="0"/>
                          <w:marRight w:val="0"/>
                          <w:marTop w:val="45"/>
                          <w:marBottom w:val="0"/>
                          <w:divBdr>
                            <w:top w:val="none" w:sz="0" w:space="0" w:color="auto"/>
                            <w:left w:val="none" w:sz="0" w:space="0" w:color="auto"/>
                            <w:bottom w:val="none" w:sz="0" w:space="0" w:color="auto"/>
                            <w:right w:val="none" w:sz="0" w:space="0" w:color="auto"/>
                          </w:divBdr>
                          <w:divsChild>
                            <w:div w:id="759178717">
                              <w:marLeft w:val="0"/>
                              <w:marRight w:val="0"/>
                              <w:marTop w:val="0"/>
                              <w:marBottom w:val="0"/>
                              <w:divBdr>
                                <w:top w:val="none" w:sz="0" w:space="0" w:color="auto"/>
                                <w:left w:val="none" w:sz="0" w:space="0" w:color="auto"/>
                                <w:bottom w:val="none" w:sz="0" w:space="0" w:color="auto"/>
                                <w:right w:val="none" w:sz="0" w:space="0" w:color="auto"/>
                              </w:divBdr>
                              <w:divsChild>
                                <w:div w:id="135344850">
                                  <w:marLeft w:val="0"/>
                                  <w:marRight w:val="0"/>
                                  <w:marTop w:val="0"/>
                                  <w:marBottom w:val="0"/>
                                  <w:divBdr>
                                    <w:top w:val="none" w:sz="0" w:space="0" w:color="auto"/>
                                    <w:left w:val="none" w:sz="0" w:space="0" w:color="auto"/>
                                    <w:bottom w:val="none" w:sz="0" w:space="0" w:color="auto"/>
                                    <w:right w:val="none" w:sz="0" w:space="0" w:color="auto"/>
                                  </w:divBdr>
                                  <w:divsChild>
                                    <w:div w:id="1729570909">
                                      <w:marLeft w:val="0"/>
                                      <w:marRight w:val="0"/>
                                      <w:marTop w:val="75"/>
                                      <w:marBottom w:val="0"/>
                                      <w:divBdr>
                                        <w:top w:val="none" w:sz="0" w:space="0" w:color="auto"/>
                                        <w:left w:val="none" w:sz="0" w:space="0" w:color="auto"/>
                                        <w:bottom w:val="none" w:sz="0" w:space="0" w:color="auto"/>
                                        <w:right w:val="none" w:sz="0" w:space="0" w:color="auto"/>
                                      </w:divBdr>
                                      <w:divsChild>
                                        <w:div w:id="895117612">
                                          <w:marLeft w:val="0"/>
                                          <w:marRight w:val="0"/>
                                          <w:marTop w:val="0"/>
                                          <w:marBottom w:val="450"/>
                                          <w:divBdr>
                                            <w:top w:val="none" w:sz="0" w:space="0" w:color="auto"/>
                                            <w:left w:val="none" w:sz="0" w:space="0" w:color="auto"/>
                                            <w:bottom w:val="none" w:sz="0" w:space="0" w:color="auto"/>
                                            <w:right w:val="none" w:sz="0" w:space="0" w:color="auto"/>
                                          </w:divBdr>
                                          <w:divsChild>
                                            <w:div w:id="625813204">
                                              <w:marLeft w:val="0"/>
                                              <w:marRight w:val="0"/>
                                              <w:marTop w:val="0"/>
                                              <w:marBottom w:val="0"/>
                                              <w:divBdr>
                                                <w:top w:val="none" w:sz="0" w:space="0" w:color="auto"/>
                                                <w:left w:val="none" w:sz="0" w:space="0" w:color="auto"/>
                                                <w:bottom w:val="single" w:sz="6" w:space="8" w:color="DDDDDD"/>
                                                <w:right w:val="none" w:sz="0" w:space="0" w:color="auto"/>
                                              </w:divBdr>
                                              <w:divsChild>
                                                <w:div w:id="113869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761350">
      <w:bodyDiv w:val="1"/>
      <w:marLeft w:val="0"/>
      <w:marRight w:val="0"/>
      <w:marTop w:val="0"/>
      <w:marBottom w:val="0"/>
      <w:divBdr>
        <w:top w:val="none" w:sz="0" w:space="0" w:color="auto"/>
        <w:left w:val="none" w:sz="0" w:space="0" w:color="auto"/>
        <w:bottom w:val="none" w:sz="0" w:space="0" w:color="auto"/>
        <w:right w:val="none" w:sz="0" w:space="0" w:color="auto"/>
      </w:divBdr>
    </w:div>
    <w:div w:id="1019893116">
      <w:bodyDiv w:val="1"/>
      <w:marLeft w:val="0"/>
      <w:marRight w:val="0"/>
      <w:marTop w:val="0"/>
      <w:marBottom w:val="0"/>
      <w:divBdr>
        <w:top w:val="none" w:sz="0" w:space="0" w:color="auto"/>
        <w:left w:val="none" w:sz="0" w:space="0" w:color="auto"/>
        <w:bottom w:val="none" w:sz="0" w:space="0" w:color="auto"/>
        <w:right w:val="none" w:sz="0" w:space="0" w:color="auto"/>
      </w:divBdr>
    </w:div>
    <w:div w:id="1161315444">
      <w:bodyDiv w:val="1"/>
      <w:marLeft w:val="0"/>
      <w:marRight w:val="0"/>
      <w:marTop w:val="0"/>
      <w:marBottom w:val="0"/>
      <w:divBdr>
        <w:top w:val="none" w:sz="0" w:space="0" w:color="auto"/>
        <w:left w:val="none" w:sz="0" w:space="0" w:color="auto"/>
        <w:bottom w:val="none" w:sz="0" w:space="0" w:color="auto"/>
        <w:right w:val="none" w:sz="0" w:space="0" w:color="auto"/>
      </w:divBdr>
    </w:div>
    <w:div w:id="1186018272">
      <w:bodyDiv w:val="1"/>
      <w:marLeft w:val="0"/>
      <w:marRight w:val="0"/>
      <w:marTop w:val="0"/>
      <w:marBottom w:val="0"/>
      <w:divBdr>
        <w:top w:val="none" w:sz="0" w:space="0" w:color="auto"/>
        <w:left w:val="none" w:sz="0" w:space="0" w:color="auto"/>
        <w:bottom w:val="none" w:sz="0" w:space="0" w:color="auto"/>
        <w:right w:val="none" w:sz="0" w:space="0" w:color="auto"/>
      </w:divBdr>
    </w:div>
    <w:div w:id="188235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ehmkorf@dtihk.cz" TargetMode="External"/><Relationship Id="rId3" Type="http://schemas.openxmlformats.org/officeDocument/2006/relationships/settings" Target="settings.xml"/><Relationship Id="rId7" Type="http://schemas.openxmlformats.org/officeDocument/2006/relationships/hyperlink" Target="http://tschechien.ahk.de/presse/pressebilde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1179</Words>
  <Characters>6961</Characters>
  <Application>Microsoft Office Word</Application>
  <DocSecurity>0</DocSecurity>
  <Lines>58</Lines>
  <Paragraphs>16</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LinksUpToDate>false</LinksUpToDate>
  <CharactersWithSpaces>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2016-04-05T13:27:00Z</dcterms:created>
  <dcterms:modified xsi:type="dcterms:W3CDTF">2016-04-05T13:27:00Z</dcterms:modified>
</cp:coreProperties>
</file>